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FDDBB">
      <w:pPr>
        <w:jc w:val="center"/>
        <w:rPr>
          <w:rFonts w:ascii="Times New Roman" w:hAnsi="Times New Roman"/>
          <w:b/>
          <w:sz w:val="52"/>
          <w:szCs w:val="52"/>
        </w:rPr>
      </w:pPr>
    </w:p>
    <w:p w14:paraId="04AD8F04">
      <w:pPr>
        <w:jc w:val="center"/>
        <w:rPr>
          <w:rFonts w:ascii="Times New Roman" w:hAnsi="Times New Roman"/>
          <w:b/>
          <w:sz w:val="52"/>
          <w:szCs w:val="52"/>
        </w:rPr>
      </w:pPr>
    </w:p>
    <w:p w14:paraId="078BBBB2">
      <w:pPr>
        <w:jc w:val="center"/>
        <w:rPr>
          <w:rFonts w:ascii="Times New Roman" w:hAnsi="Times New Roman"/>
          <w:b/>
          <w:sz w:val="52"/>
          <w:szCs w:val="52"/>
        </w:rPr>
      </w:pPr>
    </w:p>
    <w:p w14:paraId="2ED1E1B1">
      <w:pPr>
        <w:jc w:val="center"/>
        <w:rPr>
          <w:rFonts w:ascii="Times New Roman" w:hAnsi="Times New Roman"/>
          <w:b/>
          <w:sz w:val="52"/>
          <w:szCs w:val="52"/>
        </w:rPr>
      </w:pPr>
      <w:r>
        <w:rPr>
          <w:rFonts w:hint="eastAsia" w:ascii="Times New Roman" w:hAnsi="Times New Roman"/>
          <w:b/>
          <w:sz w:val="52"/>
          <w:szCs w:val="52"/>
        </w:rPr>
        <w:t>汉玉伟木（清丰县）家居有限公司年产1万套实木复合门、4万平方米</w:t>
      </w:r>
    </w:p>
    <w:p w14:paraId="147C7B58">
      <w:pPr>
        <w:jc w:val="center"/>
        <w:rPr>
          <w:rFonts w:ascii="Times New Roman" w:hAnsi="Times New Roman"/>
          <w:b/>
          <w:sz w:val="52"/>
          <w:szCs w:val="52"/>
        </w:rPr>
      </w:pPr>
      <w:r>
        <w:rPr>
          <w:rFonts w:hint="eastAsia" w:ascii="Times New Roman" w:hAnsi="Times New Roman"/>
          <w:b/>
          <w:sz w:val="52"/>
          <w:szCs w:val="52"/>
        </w:rPr>
        <w:t>全屋定制项目</w:t>
      </w:r>
    </w:p>
    <w:p w14:paraId="5653D1F9">
      <w:pPr>
        <w:pStyle w:val="12"/>
        <w:adjustRightInd w:val="0"/>
        <w:snapToGrid w:val="0"/>
        <w:spacing w:line="300" w:lineRule="auto"/>
        <w:ind w:firstLine="0" w:firstLineChars="0"/>
        <w:jc w:val="center"/>
        <w:rPr>
          <w:rFonts w:ascii="Times New Roman" w:hAnsi="Times New Roman"/>
          <w:b/>
          <w:sz w:val="48"/>
          <w:szCs w:val="48"/>
        </w:rPr>
      </w:pPr>
    </w:p>
    <w:p w14:paraId="2E496154">
      <w:pPr>
        <w:spacing w:line="360" w:lineRule="auto"/>
        <w:jc w:val="center"/>
        <w:rPr>
          <w:rFonts w:ascii="Times New Roman" w:hAnsi="Times New Roman" w:eastAsia="宋体"/>
          <w:b/>
          <w:sz w:val="84"/>
          <w:szCs w:val="84"/>
        </w:rPr>
      </w:pPr>
      <w:r>
        <w:rPr>
          <w:rFonts w:ascii="Times New Roman" w:hAnsi="Times New Roman"/>
          <w:b/>
          <w:sz w:val="84"/>
          <w:szCs w:val="84"/>
        </w:rPr>
        <w:t>环境影响报告</w:t>
      </w:r>
      <w:r>
        <w:rPr>
          <w:rFonts w:hint="eastAsia" w:ascii="Times New Roman" w:hAnsi="Times New Roman"/>
          <w:b/>
          <w:sz w:val="84"/>
          <w:szCs w:val="84"/>
        </w:rPr>
        <w:t>书</w:t>
      </w:r>
    </w:p>
    <w:p w14:paraId="0D7C5748">
      <w:pPr>
        <w:spacing w:line="360" w:lineRule="auto"/>
        <w:rPr>
          <w:rFonts w:ascii="Times New Roman" w:hAnsi="Times New Roman"/>
          <w:b/>
          <w:sz w:val="44"/>
          <w:szCs w:val="44"/>
        </w:rPr>
      </w:pPr>
    </w:p>
    <w:p w14:paraId="78C68DFE">
      <w:pPr>
        <w:spacing w:line="360" w:lineRule="auto"/>
        <w:rPr>
          <w:rFonts w:ascii="Times New Roman" w:hAnsi="Times New Roman"/>
          <w:b/>
          <w:sz w:val="44"/>
          <w:szCs w:val="44"/>
        </w:rPr>
      </w:pPr>
    </w:p>
    <w:p w14:paraId="58213505">
      <w:pPr>
        <w:spacing w:line="360" w:lineRule="auto"/>
        <w:rPr>
          <w:rFonts w:ascii="Times New Roman" w:hAnsi="Times New Roman"/>
          <w:b/>
          <w:sz w:val="44"/>
          <w:szCs w:val="44"/>
        </w:rPr>
      </w:pPr>
    </w:p>
    <w:p w14:paraId="4D2E0DC4">
      <w:pPr>
        <w:spacing w:line="360" w:lineRule="auto"/>
        <w:rPr>
          <w:rFonts w:ascii="Times New Roman" w:hAnsi="Times New Roman"/>
          <w:b/>
          <w:sz w:val="44"/>
          <w:szCs w:val="44"/>
        </w:rPr>
      </w:pPr>
    </w:p>
    <w:p w14:paraId="52E0CBD4">
      <w:pPr>
        <w:spacing w:line="360" w:lineRule="auto"/>
        <w:rPr>
          <w:rFonts w:ascii="Times New Roman" w:hAnsi="Times New Roman"/>
          <w:b/>
          <w:sz w:val="44"/>
          <w:szCs w:val="44"/>
        </w:rPr>
      </w:pPr>
    </w:p>
    <w:p w14:paraId="0964BA2E">
      <w:pPr>
        <w:spacing w:line="360" w:lineRule="auto"/>
        <w:rPr>
          <w:rFonts w:ascii="Times New Roman" w:hAnsi="Times New Roman"/>
          <w:b/>
          <w:sz w:val="44"/>
          <w:szCs w:val="44"/>
        </w:rPr>
      </w:pPr>
    </w:p>
    <w:p w14:paraId="5E8787BE">
      <w:pPr>
        <w:spacing w:line="360" w:lineRule="auto"/>
        <w:rPr>
          <w:rFonts w:ascii="Times New Roman" w:hAnsi="Times New Roman"/>
          <w:b/>
          <w:sz w:val="44"/>
          <w:szCs w:val="44"/>
        </w:rPr>
      </w:pPr>
    </w:p>
    <w:p w14:paraId="1F7B5601">
      <w:pPr>
        <w:spacing w:line="360" w:lineRule="auto"/>
        <w:ind w:left="-251"/>
        <w:jc w:val="center"/>
        <w:rPr>
          <w:b/>
          <w:sz w:val="36"/>
          <w:szCs w:val="36"/>
        </w:rPr>
      </w:pPr>
      <w:r>
        <w:rPr>
          <w:b/>
          <w:sz w:val="36"/>
          <w:szCs w:val="36"/>
        </w:rPr>
        <w:t>建设单位：</w:t>
      </w:r>
      <w:r>
        <w:rPr>
          <w:rFonts w:hint="eastAsia"/>
          <w:b/>
          <w:sz w:val="36"/>
          <w:szCs w:val="36"/>
        </w:rPr>
        <w:t>汉玉伟木（清丰县）家居有限公司</w:t>
      </w:r>
    </w:p>
    <w:p w14:paraId="33A11AF6">
      <w:pPr>
        <w:spacing w:line="360" w:lineRule="auto"/>
        <w:ind w:left="-251"/>
        <w:jc w:val="center"/>
        <w:rPr>
          <w:rFonts w:hint="eastAsia" w:ascii="Times New Roman" w:hAnsi="Times New Roman" w:eastAsiaTheme="minorEastAsia"/>
          <w:b/>
          <w:sz w:val="36"/>
          <w:szCs w:val="36"/>
          <w:u w:color="000000"/>
          <w:lang w:eastAsia="zh-CN"/>
        </w:rPr>
      </w:pPr>
      <w:r>
        <w:rPr>
          <w:rFonts w:ascii="Times New Roman" w:hAnsi="Times New Roman"/>
          <w:b/>
          <w:sz w:val="36"/>
          <w:szCs w:val="36"/>
          <w:u w:color="000000"/>
        </w:rPr>
        <w:t>环评单位：</w:t>
      </w:r>
      <w:r>
        <w:rPr>
          <w:rFonts w:hint="eastAsia" w:ascii="Times New Roman" w:hAnsi="Times New Roman"/>
          <w:b/>
          <w:sz w:val="36"/>
          <w:szCs w:val="36"/>
          <w:u w:color="000000"/>
          <w:lang w:eastAsia="zh-CN"/>
        </w:rPr>
        <w:t>河南晟达安环低碳科技有限公司</w:t>
      </w:r>
    </w:p>
    <w:p w14:paraId="585F4BF4">
      <w:pPr>
        <w:spacing w:line="360" w:lineRule="auto"/>
        <w:jc w:val="center"/>
        <w:rPr>
          <w:rFonts w:ascii="Times New Roman" w:hAnsi="Times New Roman"/>
          <w:b/>
          <w:sz w:val="36"/>
          <w:szCs w:val="36"/>
        </w:rPr>
      </w:pPr>
      <w:r>
        <w:rPr>
          <w:rFonts w:ascii="Times New Roman" w:hAnsi="Times New Roman"/>
          <w:b/>
          <w:sz w:val="36"/>
          <w:szCs w:val="36"/>
        </w:rPr>
        <w:t>二〇二</w:t>
      </w:r>
      <w:r>
        <w:rPr>
          <w:rFonts w:hint="eastAsia" w:ascii="Times New Roman" w:hAnsi="Times New Roman"/>
          <w:b/>
          <w:sz w:val="36"/>
          <w:szCs w:val="36"/>
          <w:lang w:val="en-US" w:eastAsia="zh-CN"/>
        </w:rPr>
        <w:t>四</w:t>
      </w:r>
      <w:r>
        <w:rPr>
          <w:rFonts w:ascii="Times New Roman" w:hAnsi="Times New Roman"/>
          <w:b/>
          <w:sz w:val="36"/>
          <w:szCs w:val="36"/>
        </w:rPr>
        <w:t>年</w:t>
      </w:r>
      <w:r>
        <w:rPr>
          <w:rFonts w:hint="eastAsia" w:ascii="Times New Roman" w:hAnsi="Times New Roman"/>
          <w:b/>
          <w:sz w:val="36"/>
          <w:szCs w:val="36"/>
          <w:lang w:val="en-US" w:eastAsia="zh-CN"/>
        </w:rPr>
        <w:t>八</w:t>
      </w:r>
      <w:r>
        <w:rPr>
          <w:rFonts w:ascii="Times New Roman" w:hAnsi="Times New Roman"/>
          <w:b/>
          <w:sz w:val="36"/>
          <w:szCs w:val="36"/>
        </w:rPr>
        <w:t>月</w:t>
      </w:r>
    </w:p>
    <w:p w14:paraId="2295DE3C">
      <w:pPr>
        <w:spacing w:line="360" w:lineRule="auto"/>
      </w:pPr>
    </w:p>
    <w:p w14:paraId="4E92A07D">
      <w:pPr>
        <w:pStyle w:val="17"/>
        <w:rPr>
          <w:rFonts w:hint="default" w:eastAsiaTheme="minorEastAsia"/>
          <w:lang w:val="en-US" w:eastAsia="zh-CN"/>
        </w:rPr>
        <w:sectPr>
          <w:headerReference r:id="rId3" w:type="default"/>
          <w:pgSz w:w="11906" w:h="16838"/>
          <w:pgMar w:top="1440" w:right="1800" w:bottom="1440" w:left="1800" w:header="851" w:footer="992" w:gutter="0"/>
          <w:cols w:space="425" w:num="1"/>
          <w:titlePg/>
          <w:docGrid w:type="lines" w:linePitch="312" w:charSpace="0"/>
        </w:sectPr>
      </w:pPr>
      <w:r>
        <w:rPr>
          <w:rFonts w:hint="eastAsia"/>
          <w:lang w:val="en-US" w:eastAsia="zh-CN"/>
        </w:rPr>
        <w:t xml:space="preserve">                                     </w:t>
      </w:r>
    </w:p>
    <w:p w14:paraId="0B5D6C7C">
      <w:pPr>
        <w:sectPr>
          <w:pgSz w:w="11906" w:h="16838"/>
          <w:pgMar w:top="1440" w:right="1800" w:bottom="1440" w:left="1800" w:header="851" w:footer="992" w:gutter="0"/>
          <w:cols w:space="425" w:num="1"/>
          <w:titlePg/>
          <w:docGrid w:type="lines" w:linePitch="312" w:charSpace="0"/>
        </w:sectPr>
      </w:pPr>
    </w:p>
    <w:p w14:paraId="4B2633C4">
      <w:pPr>
        <w:pStyle w:val="17"/>
        <w:spacing w:line="360" w:lineRule="auto"/>
        <w:ind w:firstLine="0"/>
        <w:rPr>
          <w:rFonts w:hint="default" w:ascii="Times New Roman" w:hAnsi="Times New Roman" w:cs="Times New Roman"/>
          <w:sz w:val="24"/>
          <w:szCs w:val="24"/>
        </w:rPr>
      </w:pPr>
    </w:p>
    <w:p w14:paraId="05D1CDE0">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目  录</w:t>
      </w:r>
    </w:p>
    <w:p w14:paraId="7919C32B">
      <w:pPr>
        <w:pStyle w:val="23"/>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"1-2"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_Toc26452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 </w:t>
      </w:r>
      <w:r>
        <w:rPr>
          <w:rFonts w:hint="default" w:ascii="Times New Roman" w:hAnsi="Times New Roman" w:cs="Times New Roman"/>
          <w:sz w:val="24"/>
          <w:szCs w:val="24"/>
        </w:rPr>
        <w:t>概述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_Toc26452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392227E9">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_Toc21294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1.1 </w:t>
      </w:r>
      <w:r>
        <w:rPr>
          <w:rFonts w:hint="default" w:ascii="Times New Roman" w:hAnsi="Times New Roman" w:cs="Times New Roman"/>
          <w:sz w:val="24"/>
          <w:szCs w:val="24"/>
        </w:rPr>
        <w:t>项目由来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6340898">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_Toc17391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1.2 </w:t>
      </w:r>
      <w:r>
        <w:rPr>
          <w:rFonts w:hint="default" w:ascii="Times New Roman" w:hAnsi="Times New Roman" w:cs="Times New Roman"/>
          <w:sz w:val="24"/>
          <w:szCs w:val="24"/>
        </w:rPr>
        <w:t>建设项目特点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_Toc17391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CFEF0E6">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_Toc5938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1.3 </w:t>
      </w:r>
      <w:r>
        <w:rPr>
          <w:rFonts w:hint="default" w:ascii="Times New Roman" w:hAnsi="Times New Roman" w:cs="Times New Roman"/>
          <w:sz w:val="24"/>
          <w:szCs w:val="24"/>
        </w:rPr>
        <w:t>环境影响评价的工作过程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_Toc5938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3ECD2A6">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_Toc9604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1.4 </w:t>
      </w:r>
      <w:r>
        <w:rPr>
          <w:rFonts w:hint="default" w:ascii="Times New Roman" w:hAnsi="Times New Roman" w:cs="Times New Roman"/>
          <w:sz w:val="24"/>
          <w:szCs w:val="24"/>
        </w:rPr>
        <w:t>相关情况的判定分析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_Toc9604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BB9C47C">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_Toc14376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1.5 </w:t>
      </w:r>
      <w:r>
        <w:rPr>
          <w:rFonts w:hint="default" w:ascii="Times New Roman" w:hAnsi="Times New Roman" w:cs="Times New Roman"/>
          <w:sz w:val="24"/>
          <w:szCs w:val="24"/>
        </w:rPr>
        <w:t>关注的环境问题及环境影响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_Toc14376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59331FE">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1.6 </w:t>
      </w:r>
      <w:r>
        <w:rPr>
          <w:rFonts w:hint="default" w:ascii="Times New Roman" w:hAnsi="Times New Roman" w:cs="Times New Roman"/>
          <w:sz w:val="24"/>
          <w:szCs w:val="24"/>
        </w:rPr>
        <w:t>环境影响评价的主要结论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72B162E">
      <w:pPr>
        <w:pStyle w:val="23"/>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_Toc4735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2 </w:t>
      </w:r>
      <w:r>
        <w:rPr>
          <w:rFonts w:hint="default" w:ascii="Times New Roman" w:hAnsi="Times New Roman" w:cs="Times New Roman"/>
          <w:sz w:val="24"/>
          <w:szCs w:val="24"/>
        </w:rPr>
        <w:t>总则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_Toc4735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2B9CE4F">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_Toc15290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2.1. </w:t>
      </w:r>
      <w:r>
        <w:rPr>
          <w:rFonts w:hint="default" w:ascii="Times New Roman" w:hAnsi="Times New Roman" w:cs="Times New Roman"/>
          <w:sz w:val="24"/>
          <w:szCs w:val="24"/>
        </w:rPr>
        <w:t>编制依据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_Toc15290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7BB0BDA0">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2.2. </w:t>
      </w:r>
      <w:r>
        <w:rPr>
          <w:rFonts w:hint="default" w:ascii="Times New Roman" w:hAnsi="Times New Roman" w:cs="Times New Roman"/>
          <w:sz w:val="24"/>
          <w:szCs w:val="24"/>
        </w:rPr>
        <w:t>评价目的与原则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DC4BB98">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_Toc6463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2.3. </w:t>
      </w:r>
      <w:r>
        <w:rPr>
          <w:rFonts w:hint="default" w:ascii="Times New Roman" w:hAnsi="Times New Roman" w:cs="Times New Roman"/>
          <w:sz w:val="24"/>
          <w:szCs w:val="24"/>
        </w:rPr>
        <w:t>环境影响识别与评价因子筛选</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_Toc6463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3D26948">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2.4. </w:t>
      </w:r>
      <w:r>
        <w:rPr>
          <w:rFonts w:hint="default" w:ascii="Times New Roman" w:hAnsi="Times New Roman" w:cs="Times New Roman"/>
          <w:sz w:val="24"/>
          <w:szCs w:val="24"/>
        </w:rPr>
        <w:t>环境功能区划及评价标准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_Toc20334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35967C12">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_Toc19149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2.5. </w:t>
      </w:r>
      <w:r>
        <w:rPr>
          <w:rFonts w:hint="default" w:ascii="Times New Roman" w:hAnsi="Times New Roman" w:cs="Times New Roman"/>
          <w:sz w:val="24"/>
          <w:szCs w:val="24"/>
        </w:rPr>
        <w:t>环境影响评价等级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_Toc19149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14EF26AC">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_Toc31446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2.6. </w:t>
      </w:r>
      <w:r>
        <w:rPr>
          <w:rFonts w:hint="default" w:ascii="Times New Roman" w:hAnsi="Times New Roman" w:cs="Times New Roman"/>
          <w:sz w:val="24"/>
          <w:szCs w:val="24"/>
        </w:rPr>
        <w:t>环境影响评价范围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_Toc31446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43A6AE7D">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_Toc20604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2.7. </w:t>
      </w:r>
      <w:r>
        <w:rPr>
          <w:rFonts w:hint="default" w:ascii="Times New Roman" w:hAnsi="Times New Roman" w:cs="Times New Roman"/>
          <w:sz w:val="24"/>
          <w:szCs w:val="24"/>
        </w:rPr>
        <w:t>环境保护目标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_Toc20604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37A8DC4E">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_Toc31163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zh-CN"/>
        </w:rPr>
        <w:t xml:space="preserve">2.8. </w:t>
      </w:r>
      <w:r>
        <w:rPr>
          <w:rFonts w:hint="default" w:ascii="Times New Roman" w:hAnsi="Times New Roman" w:cs="Times New Roman"/>
          <w:sz w:val="24"/>
          <w:szCs w:val="24"/>
          <w:lang w:val="zh-CN"/>
        </w:rPr>
        <w:t>与产业政策相符性分析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_Toc31163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CE0F146">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_Toc11551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zh-CN"/>
        </w:rPr>
        <w:t xml:space="preserve">2.9. </w:t>
      </w:r>
      <w:r>
        <w:rPr>
          <w:rFonts w:hint="default" w:ascii="Times New Roman" w:hAnsi="Times New Roman" w:cs="Times New Roman"/>
          <w:sz w:val="24"/>
          <w:szCs w:val="24"/>
          <w:lang w:val="zh-CN"/>
        </w:rPr>
        <w:t>与相关规划的相符性分析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_Toc11551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A736F35">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_Toc15488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zh-CN"/>
        </w:rPr>
        <w:t xml:space="preserve">2.10. </w:t>
      </w:r>
      <w:r>
        <w:rPr>
          <w:rFonts w:hint="default" w:ascii="Times New Roman" w:hAnsi="Times New Roman" w:cs="Times New Roman"/>
          <w:sz w:val="24"/>
          <w:szCs w:val="24"/>
          <w:lang w:val="zh-CN"/>
        </w:rPr>
        <w:t>与环境保护政策相符性分析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_Toc15488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846A4CD">
      <w:pPr>
        <w:pStyle w:val="23"/>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_Toc11494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 </w:t>
      </w:r>
      <w:r>
        <w:rPr>
          <w:rFonts w:hint="default" w:ascii="Times New Roman" w:hAnsi="Times New Roman" w:cs="Times New Roman"/>
          <w:sz w:val="24"/>
          <w:szCs w:val="24"/>
        </w:rPr>
        <w:t>建设项目工程分析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_Toc11494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54</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EC44DF2">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_Toc28297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3.1. </w:t>
      </w:r>
      <w:r>
        <w:rPr>
          <w:rFonts w:hint="default" w:ascii="Times New Roman" w:hAnsi="Times New Roman" w:cs="Times New Roman"/>
          <w:sz w:val="24"/>
          <w:szCs w:val="24"/>
        </w:rPr>
        <w:t>项目基本概况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_Toc28297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54</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90395F4">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_Toc26062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3.2. </w:t>
      </w:r>
      <w:r>
        <w:rPr>
          <w:rFonts w:hint="default" w:ascii="Times New Roman" w:hAnsi="Times New Roman" w:cs="Times New Roman"/>
          <w:sz w:val="24"/>
          <w:szCs w:val="24"/>
        </w:rPr>
        <w:t>原辅料种类及消耗量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_Toc26062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35B65D36">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_Toc11615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3.3. </w:t>
      </w:r>
      <w:r>
        <w:rPr>
          <w:rFonts w:hint="default" w:ascii="Times New Roman" w:hAnsi="Times New Roman" w:cs="Times New Roman"/>
          <w:sz w:val="24"/>
          <w:szCs w:val="24"/>
        </w:rPr>
        <w:t>能耗消耗与主要生产设备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_Toc11615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59</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384FE57">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_Toc26811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3.4. </w:t>
      </w:r>
      <w:r>
        <w:rPr>
          <w:rFonts w:hint="default" w:ascii="Times New Roman" w:hAnsi="Times New Roman" w:cs="Times New Roman"/>
          <w:sz w:val="24"/>
          <w:szCs w:val="24"/>
        </w:rPr>
        <w:t>生产工艺及产污环节分析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_Toc26811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39CC5552">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_Toc29166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3.5. </w:t>
      </w:r>
      <w:r>
        <w:rPr>
          <w:rFonts w:hint="default" w:ascii="Times New Roman" w:hAnsi="Times New Roman" w:cs="Times New Roman"/>
          <w:sz w:val="24"/>
          <w:szCs w:val="24"/>
        </w:rPr>
        <w:t>水平衡与物料平衡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_Toc29166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15399A17">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_Toc4143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3.6. </w:t>
      </w:r>
      <w:r>
        <w:rPr>
          <w:rFonts w:hint="default" w:ascii="Times New Roman" w:hAnsi="Times New Roman" w:cs="Times New Roman"/>
          <w:sz w:val="24"/>
          <w:szCs w:val="24"/>
        </w:rPr>
        <w:t>源强核算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_Toc4143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67</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788DDBE3">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3.7. </w:t>
      </w:r>
      <w:r>
        <w:rPr>
          <w:rFonts w:hint="default" w:ascii="Times New Roman" w:hAnsi="Times New Roman" w:cs="Times New Roman"/>
          <w:sz w:val="24"/>
          <w:szCs w:val="24"/>
        </w:rPr>
        <w:t>清洁生产措施分析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87</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74434025">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3.8. </w:t>
      </w:r>
      <w:r>
        <w:rPr>
          <w:rFonts w:hint="default" w:ascii="Times New Roman" w:hAnsi="Times New Roman" w:cs="Times New Roman"/>
          <w:sz w:val="24"/>
          <w:szCs w:val="24"/>
        </w:rPr>
        <w:t>非正常工况源强分析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073ACCCA">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_Toc23986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3.9. </w:t>
      </w:r>
      <w:r>
        <w:rPr>
          <w:rFonts w:hint="default" w:ascii="Times New Roman" w:hAnsi="Times New Roman" w:cs="Times New Roman"/>
          <w:sz w:val="24"/>
          <w:szCs w:val="24"/>
        </w:rPr>
        <w:t>污染源强汇总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_Toc23986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0A6FF837">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_Toc25464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3.10. </w:t>
      </w:r>
      <w:r>
        <w:rPr>
          <w:rFonts w:hint="default" w:ascii="Times New Roman" w:hAnsi="Times New Roman" w:cs="Times New Roman"/>
          <w:sz w:val="24"/>
          <w:szCs w:val="24"/>
        </w:rPr>
        <w:t>总量控制指标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_Toc25464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91</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6F829B1">
      <w:pPr>
        <w:pStyle w:val="23"/>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_Toc3956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4 </w:t>
      </w:r>
      <w:r>
        <w:rPr>
          <w:rFonts w:hint="default" w:ascii="Times New Roman" w:hAnsi="Times New Roman" w:cs="Times New Roman"/>
          <w:sz w:val="24"/>
          <w:szCs w:val="24"/>
        </w:rPr>
        <w:t>环境现状调查与评价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_Toc3956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92</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AD78478">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_Toc31691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4.1. </w:t>
      </w:r>
      <w:r>
        <w:rPr>
          <w:rFonts w:hint="default" w:ascii="Times New Roman" w:hAnsi="Times New Roman" w:cs="Times New Roman"/>
          <w:sz w:val="24"/>
          <w:szCs w:val="24"/>
        </w:rPr>
        <w:t>自然环境概况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_Toc31691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92</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10C479A5">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_Toc11604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4.2. </w:t>
      </w:r>
      <w:r>
        <w:rPr>
          <w:rFonts w:hint="default" w:ascii="Times New Roman" w:hAnsi="Times New Roman" w:cs="Times New Roman"/>
          <w:sz w:val="24"/>
          <w:szCs w:val="24"/>
        </w:rPr>
        <w:t>环境空气质量现状监测与评价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_Toc11604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94</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28343A7">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_Toc7868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4.3. </w:t>
      </w:r>
      <w:r>
        <w:rPr>
          <w:rFonts w:hint="default" w:ascii="Times New Roman" w:hAnsi="Times New Roman" w:cs="Times New Roman"/>
          <w:sz w:val="24"/>
          <w:szCs w:val="24"/>
        </w:rPr>
        <w:t>地表水环境质量现状监测与评价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7810A717">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_Toc15208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4.4. </w:t>
      </w:r>
      <w:r>
        <w:rPr>
          <w:rFonts w:hint="default" w:ascii="Times New Roman" w:hAnsi="Times New Roman" w:cs="Times New Roman"/>
          <w:sz w:val="24"/>
          <w:szCs w:val="24"/>
        </w:rPr>
        <w:t>地下水环境质量现状监测与评价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_Toc15208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101</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05BC8869">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_Toc18920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4.5. </w:t>
      </w:r>
      <w:r>
        <w:rPr>
          <w:rFonts w:hint="default" w:ascii="Times New Roman" w:hAnsi="Times New Roman" w:cs="Times New Roman"/>
          <w:sz w:val="24"/>
          <w:szCs w:val="24"/>
        </w:rPr>
        <w:t>声环境质量现状监测与评价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_Toc18920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108</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9D3602A">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4.6. </w:t>
      </w:r>
      <w:r>
        <w:rPr>
          <w:rFonts w:hint="default" w:ascii="Times New Roman" w:hAnsi="Times New Roman" w:cs="Times New Roman"/>
          <w:sz w:val="24"/>
          <w:szCs w:val="24"/>
        </w:rPr>
        <w:t>土壤环境质量现状监测与评价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109</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03F1EBFD">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_Toc28957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4.7. </w:t>
      </w:r>
      <w:r>
        <w:rPr>
          <w:rFonts w:hint="default" w:ascii="Times New Roman" w:hAnsi="Times New Roman" w:cs="Times New Roman"/>
          <w:sz w:val="24"/>
          <w:szCs w:val="24"/>
        </w:rPr>
        <w:t>环境质量现状评价小结</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113</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8E792FB">
      <w:pPr>
        <w:pStyle w:val="23"/>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_Toc12185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5. </w:t>
      </w:r>
      <w:r>
        <w:rPr>
          <w:rFonts w:hint="default" w:ascii="Times New Roman" w:hAnsi="Times New Roman" w:cs="Times New Roman"/>
          <w:sz w:val="24"/>
          <w:szCs w:val="24"/>
        </w:rPr>
        <w:t>环境影响预测与评价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_Toc12185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115</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56B2A1F">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_Toc6812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 施工期环境影响分析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_Toc6812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115</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3DD24B44">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_Toc17306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 营运期水环境影响预测与评价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_Toc17306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115</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BA7E8DC">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_Toc12861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5.3 </w:t>
      </w:r>
      <w:r>
        <w:rPr>
          <w:rFonts w:hint="default" w:ascii="Times New Roman" w:hAnsi="Times New Roman" w:cs="Times New Roman"/>
          <w:sz w:val="24"/>
          <w:szCs w:val="24"/>
        </w:rPr>
        <w:t>运营期环境空气影响预测与评价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_Toc12861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123</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1AE3D85D">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_Toc29294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 声环境影响预测与评价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_Toc29294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135</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0860286">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_Toc29380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5.5 </w:t>
      </w:r>
      <w:r>
        <w:rPr>
          <w:rFonts w:hint="default" w:ascii="Times New Roman" w:hAnsi="Times New Roman" w:cs="Times New Roman"/>
          <w:sz w:val="24"/>
          <w:szCs w:val="24"/>
        </w:rPr>
        <w:t>地下水环境影响分析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_Toc29380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139</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4D77DA03">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_Toc16245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 土壤环境影响预测与评价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_Toc16245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152</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614FE0C">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_Toc32501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 营运期固体废物影响分析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_Toc32501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160</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4F31062">
      <w:pPr>
        <w:pStyle w:val="23"/>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_Toc25513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6 </w:t>
      </w:r>
      <w:r>
        <w:rPr>
          <w:rFonts w:hint="default" w:ascii="Times New Roman" w:hAnsi="Times New Roman" w:cs="Times New Roman"/>
          <w:sz w:val="24"/>
          <w:szCs w:val="24"/>
        </w:rPr>
        <w:t>环境影响保护措施及可行性论证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_Toc25513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159A3A86">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_Toc20515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6.1 </w:t>
      </w:r>
      <w:r>
        <w:rPr>
          <w:rFonts w:hint="default" w:ascii="Times New Roman" w:hAnsi="Times New Roman" w:cs="Times New Roman"/>
          <w:sz w:val="24"/>
          <w:szCs w:val="24"/>
        </w:rPr>
        <w:t>施工期环境保护措施及其可行性论证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_Toc20515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563868C">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_Toc28259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6.2 </w:t>
      </w:r>
      <w:r>
        <w:rPr>
          <w:rFonts w:hint="default" w:ascii="Times New Roman" w:hAnsi="Times New Roman" w:cs="Times New Roman"/>
          <w:sz w:val="24"/>
          <w:szCs w:val="24"/>
        </w:rPr>
        <w:t>废气污染防治措施及可行性分析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_Toc28259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0BF588A1">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_Toc3658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6.3 </w:t>
      </w:r>
      <w:r>
        <w:rPr>
          <w:rFonts w:hint="default" w:ascii="Times New Roman" w:hAnsi="Times New Roman" w:cs="Times New Roman"/>
          <w:sz w:val="24"/>
          <w:szCs w:val="24"/>
        </w:rPr>
        <w:t>废水污染防治措施及可行性分析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_Toc3658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4C08C6ED">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_Toc3473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6.4 </w:t>
      </w:r>
      <w:r>
        <w:rPr>
          <w:rFonts w:hint="default" w:ascii="Times New Roman" w:hAnsi="Times New Roman" w:cs="Times New Roman"/>
          <w:sz w:val="24"/>
          <w:szCs w:val="24"/>
        </w:rPr>
        <w:t>噪声防治措施及可行性分析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_Toc3473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179</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319FEB61">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_Toc17914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6.5 </w:t>
      </w:r>
      <w:r>
        <w:rPr>
          <w:rFonts w:hint="default" w:ascii="Times New Roman" w:hAnsi="Times New Roman" w:cs="Times New Roman"/>
          <w:sz w:val="24"/>
          <w:szCs w:val="24"/>
        </w:rPr>
        <w:t>固废防治措施及可行性分析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_Toc17914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180</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407A6A2E">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_Toc16499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6.6 </w:t>
      </w:r>
      <w:r>
        <w:rPr>
          <w:rFonts w:hint="default" w:ascii="Times New Roman" w:hAnsi="Times New Roman" w:cs="Times New Roman"/>
          <w:sz w:val="24"/>
          <w:szCs w:val="24"/>
        </w:rPr>
        <w:t>地下水污染防治措施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_Toc16499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185</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3D10A54">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_Toc21148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6.7 </w:t>
      </w:r>
      <w:r>
        <w:rPr>
          <w:rFonts w:hint="default" w:ascii="Times New Roman" w:hAnsi="Times New Roman" w:cs="Times New Roman"/>
          <w:sz w:val="24"/>
          <w:szCs w:val="24"/>
        </w:rPr>
        <w:t>土壤污染防治措施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_Toc21148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188</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4DDF221D">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_Toc4432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6.8 </w:t>
      </w:r>
      <w:r>
        <w:rPr>
          <w:rFonts w:hint="default" w:ascii="Times New Roman" w:hAnsi="Times New Roman" w:cs="Times New Roman"/>
          <w:sz w:val="24"/>
          <w:szCs w:val="24"/>
        </w:rPr>
        <w:t>环保投资</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_Toc4432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189</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769E62ED">
      <w:pPr>
        <w:pStyle w:val="23"/>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_Toc18392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7 </w:t>
      </w:r>
      <w:r>
        <w:rPr>
          <w:rFonts w:hint="default" w:ascii="Times New Roman" w:hAnsi="Times New Roman" w:cs="Times New Roman"/>
          <w:sz w:val="24"/>
          <w:szCs w:val="24"/>
        </w:rPr>
        <w:t>环境风险评价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_Toc18392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193</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F605EFD">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_Toc5572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7.1 </w:t>
      </w:r>
      <w:r>
        <w:rPr>
          <w:rFonts w:hint="default" w:ascii="Times New Roman" w:hAnsi="Times New Roman" w:cs="Times New Roman"/>
          <w:sz w:val="24"/>
          <w:szCs w:val="24"/>
        </w:rPr>
        <w:t>评价依据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_Toc5572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193</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12EC5A24">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_Toc15137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7.2 </w:t>
      </w:r>
      <w:r>
        <w:rPr>
          <w:rFonts w:hint="default" w:ascii="Times New Roman" w:hAnsi="Times New Roman" w:cs="Times New Roman"/>
          <w:sz w:val="24"/>
          <w:szCs w:val="24"/>
        </w:rPr>
        <w:t>环境敏感目标概况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_Toc15137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195</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1663FCD4">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_Toc12954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7.3 </w:t>
      </w:r>
      <w:r>
        <w:rPr>
          <w:rFonts w:hint="default" w:ascii="Times New Roman" w:hAnsi="Times New Roman" w:cs="Times New Roman"/>
          <w:sz w:val="24"/>
          <w:szCs w:val="24"/>
        </w:rPr>
        <w:t>环境风险识别</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_Toc12954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0C5EB2F6">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_Toc5812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7.4 </w:t>
      </w:r>
      <w:r>
        <w:rPr>
          <w:rFonts w:hint="default" w:ascii="Times New Roman" w:hAnsi="Times New Roman" w:cs="Times New Roman"/>
          <w:sz w:val="24"/>
          <w:szCs w:val="24"/>
        </w:rPr>
        <w:t>环境风险分析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_Toc5812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197</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0315CCD4">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_Toc18248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7.5 </w:t>
      </w:r>
      <w:r>
        <w:rPr>
          <w:rFonts w:hint="default" w:ascii="Times New Roman" w:hAnsi="Times New Roman" w:cs="Times New Roman"/>
          <w:sz w:val="24"/>
          <w:szCs w:val="24"/>
        </w:rPr>
        <w:t>环境风险防范措施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_Toc18248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198</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1E93B169">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_Toc10642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7.6 </w:t>
      </w:r>
      <w:r>
        <w:rPr>
          <w:rFonts w:hint="default" w:ascii="Times New Roman" w:hAnsi="Times New Roman" w:cs="Times New Roman"/>
          <w:sz w:val="24"/>
          <w:szCs w:val="24"/>
        </w:rPr>
        <w:t>环境风险管理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_Toc10642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203</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00957E8B">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_Toc18063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7.7 </w:t>
      </w:r>
      <w:r>
        <w:rPr>
          <w:rFonts w:hint="default" w:ascii="Times New Roman" w:hAnsi="Times New Roman" w:cs="Times New Roman"/>
          <w:sz w:val="24"/>
          <w:szCs w:val="24"/>
        </w:rPr>
        <w:t>应急预案</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_Toc18063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204</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47577B95">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7.8 </w:t>
      </w:r>
      <w:r>
        <w:rPr>
          <w:rFonts w:hint="default" w:ascii="Times New Roman" w:hAnsi="Times New Roman" w:cs="Times New Roman"/>
          <w:sz w:val="24"/>
          <w:szCs w:val="24"/>
        </w:rPr>
        <w:t>环境风险分析结论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205</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34D8BF25">
      <w:pPr>
        <w:pStyle w:val="23"/>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_Toc11464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8 </w:t>
      </w:r>
      <w:r>
        <w:rPr>
          <w:rFonts w:hint="default" w:ascii="Times New Roman" w:hAnsi="Times New Roman" w:cs="Times New Roman"/>
          <w:sz w:val="24"/>
          <w:szCs w:val="24"/>
        </w:rPr>
        <w:t>环境经济损益分析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_Toc11464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207</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F780410">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_Toc28708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8.1 </w:t>
      </w:r>
      <w:r>
        <w:rPr>
          <w:rFonts w:hint="default" w:ascii="Times New Roman" w:hAnsi="Times New Roman" w:cs="Times New Roman"/>
          <w:sz w:val="24"/>
          <w:szCs w:val="24"/>
        </w:rPr>
        <w:t>环保投资估算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_Toc28708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207</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4A7D0441">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8.2 </w:t>
      </w:r>
      <w:r>
        <w:rPr>
          <w:rFonts w:hint="default" w:ascii="Times New Roman" w:hAnsi="Times New Roman" w:cs="Times New Roman"/>
          <w:sz w:val="24"/>
          <w:szCs w:val="24"/>
        </w:rPr>
        <w:t>环境影响损益分析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207</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7EBD50F8">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_Toc17449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8.3 </w:t>
      </w:r>
      <w:r>
        <w:rPr>
          <w:rFonts w:hint="default" w:ascii="Times New Roman" w:hAnsi="Times New Roman" w:cs="Times New Roman"/>
          <w:sz w:val="24"/>
          <w:szCs w:val="24"/>
        </w:rPr>
        <w:t>经济与社会效益分析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_Toc17449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209</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04E260B">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_Toc27578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8.4 </w:t>
      </w:r>
      <w:r>
        <w:rPr>
          <w:rFonts w:hint="default" w:ascii="Times New Roman" w:hAnsi="Times New Roman" w:cs="Times New Roman"/>
          <w:sz w:val="24"/>
          <w:szCs w:val="24"/>
        </w:rPr>
        <w:t>环保投资经济损益分析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_Toc27578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209</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20EF4B0">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_Toc8764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8.5 </w:t>
      </w:r>
      <w:r>
        <w:rPr>
          <w:rFonts w:hint="default" w:ascii="Times New Roman" w:hAnsi="Times New Roman" w:cs="Times New Roman"/>
          <w:sz w:val="24"/>
          <w:szCs w:val="24"/>
        </w:rPr>
        <w:t>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_Toc8764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209</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4EED58DD">
      <w:pPr>
        <w:pStyle w:val="23"/>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_Toc9541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9 </w:t>
      </w:r>
      <w:r>
        <w:rPr>
          <w:rFonts w:hint="default" w:ascii="Times New Roman" w:hAnsi="Times New Roman" w:cs="Times New Roman"/>
          <w:sz w:val="24"/>
          <w:szCs w:val="24"/>
        </w:rPr>
        <w:t>环境管理与监测计划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_Toc9541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210</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3AC4AC29">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_Toc24045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9.1 </w:t>
      </w:r>
      <w:r>
        <w:rPr>
          <w:rFonts w:hint="default" w:ascii="Times New Roman" w:hAnsi="Times New Roman" w:cs="Times New Roman"/>
          <w:sz w:val="24"/>
          <w:szCs w:val="24"/>
        </w:rPr>
        <w:t>环境管理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_Toc24045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210</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7CE29A50">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_Toc3673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9.2 </w:t>
      </w:r>
      <w:r>
        <w:rPr>
          <w:rFonts w:hint="default" w:ascii="Times New Roman" w:hAnsi="Times New Roman" w:cs="Times New Roman"/>
          <w:sz w:val="24"/>
          <w:szCs w:val="24"/>
        </w:rPr>
        <w:t>污染物排放清单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_Toc3673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260F23D">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_Toc20187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9.3 </w:t>
      </w:r>
      <w:r>
        <w:rPr>
          <w:rFonts w:hint="default" w:ascii="Times New Roman" w:hAnsi="Times New Roman" w:cs="Times New Roman"/>
          <w:sz w:val="24"/>
          <w:szCs w:val="24"/>
        </w:rPr>
        <w:t>环境监测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_Toc20187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220</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44F79F2A">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_Toc13620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9.4 </w:t>
      </w:r>
      <w:r>
        <w:rPr>
          <w:rFonts w:hint="default" w:ascii="Times New Roman" w:hAnsi="Times New Roman" w:cs="Times New Roman"/>
          <w:sz w:val="24"/>
          <w:szCs w:val="24"/>
        </w:rPr>
        <w:t>与排污许可证制度衔接的要求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_Toc13620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223</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78DFE2FA">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_Toc29437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9.5 </w:t>
      </w:r>
      <w:r>
        <w:rPr>
          <w:rFonts w:hint="default" w:ascii="Times New Roman" w:hAnsi="Times New Roman" w:cs="Times New Roman"/>
          <w:sz w:val="24"/>
          <w:szCs w:val="24"/>
        </w:rPr>
        <w:t>“三同时”环保设施竣工验收内容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_Toc29437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223</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F4C56B9">
      <w:pPr>
        <w:pStyle w:val="23"/>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10 </w:t>
      </w:r>
      <w:r>
        <w:rPr>
          <w:rFonts w:hint="default" w:ascii="Times New Roman" w:hAnsi="Times New Roman" w:cs="Times New Roman"/>
          <w:sz w:val="24"/>
          <w:szCs w:val="24"/>
        </w:rPr>
        <w:t>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_Toc28124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5F263210">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10.1 </w:t>
      </w:r>
      <w:r>
        <w:rPr>
          <w:rFonts w:hint="default" w:ascii="Times New Roman" w:hAnsi="Times New Roman" w:cs="Times New Roman"/>
          <w:sz w:val="24"/>
          <w:szCs w:val="24"/>
        </w:rPr>
        <w:t>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A04E211">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_Toc16130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10.2 </w:t>
      </w:r>
      <w:r>
        <w:rPr>
          <w:rFonts w:hint="default" w:ascii="Times New Roman" w:hAnsi="Times New Roman" w:cs="Times New Roman"/>
          <w:sz w:val="24"/>
          <w:szCs w:val="24"/>
        </w:rPr>
        <w:t>环境质量现状评价结论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_Toc16130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226</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4980B89E">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10.3 </w:t>
      </w:r>
      <w:r>
        <w:rPr>
          <w:rFonts w:hint="default" w:ascii="Times New Roman" w:hAnsi="Times New Roman" w:cs="Times New Roman"/>
          <w:sz w:val="24"/>
          <w:szCs w:val="24"/>
        </w:rPr>
        <w:t>污染物排放情况及环境保护措施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227</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615C9ED3">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_Toc10985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10.4 </w:t>
      </w:r>
      <w:r>
        <w:rPr>
          <w:rFonts w:hint="default" w:ascii="Times New Roman" w:hAnsi="Times New Roman" w:cs="Times New Roman"/>
          <w:sz w:val="24"/>
          <w:szCs w:val="24"/>
        </w:rPr>
        <w:t>环境影响预测分析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_Toc10985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230</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7A31E4E6">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_Toc12422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10.5 </w:t>
      </w:r>
      <w:r>
        <w:rPr>
          <w:rFonts w:hint="default" w:ascii="Times New Roman" w:hAnsi="Times New Roman" w:cs="Times New Roman"/>
          <w:sz w:val="24"/>
          <w:szCs w:val="24"/>
        </w:rPr>
        <w:t>产业政策与规划相符性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_Toc12422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232</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937ABD9">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_Toc23714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10.6 </w:t>
      </w:r>
      <w:r>
        <w:rPr>
          <w:rFonts w:hint="default" w:ascii="Times New Roman" w:hAnsi="Times New Roman" w:cs="Times New Roman"/>
          <w:sz w:val="24"/>
          <w:szCs w:val="24"/>
        </w:rPr>
        <w:t>总量控制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_Toc23714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232</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7F26D5C8">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10.7 </w:t>
      </w:r>
      <w:r>
        <w:rPr>
          <w:rFonts w:hint="default" w:ascii="Times New Roman" w:hAnsi="Times New Roman" w:cs="Times New Roman"/>
          <w:sz w:val="24"/>
          <w:szCs w:val="24"/>
        </w:rPr>
        <w:t>环境风险</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232</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03F27BC4">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_Toc17443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10.8 </w:t>
      </w:r>
      <w:r>
        <w:rPr>
          <w:rFonts w:hint="default" w:ascii="Times New Roman" w:hAnsi="Times New Roman" w:cs="Times New Roman"/>
          <w:sz w:val="24"/>
          <w:szCs w:val="24"/>
        </w:rPr>
        <w:t>公众意见采纳情况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_Toc17443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232</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658A717">
      <w:pPr>
        <w:pStyle w:val="25"/>
        <w:tabs>
          <w:tab w:val="right" w:leader="dot" w:pos="8306"/>
        </w:tabs>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_Toc16214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10.9 </w:t>
      </w:r>
      <w:r>
        <w:rPr>
          <w:rFonts w:hint="default" w:ascii="Times New Roman" w:hAnsi="Times New Roman" w:cs="Times New Roman"/>
          <w:sz w:val="24"/>
          <w:szCs w:val="24"/>
        </w:rPr>
        <w:t>综合结论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_Toc16214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233</w:t>
      </w:r>
      <w:r>
        <w:rPr>
          <w:rFonts w:hint="default" w:ascii="Times New Roman" w:hAnsi="Times New Roman" w:cs="Times New Roman"/>
          <w:sz w:val="24"/>
          <w:szCs w:val="24"/>
        </w:rPr>
        <w:fldChar w:fldCharType="end"/>
      </w:r>
      <w:r>
        <w:rPr>
          <w:rFonts w:hint="default" w:ascii="Times New Roman" w:hAnsi="Times New Roman" w:eastAsia="宋体" w:cs="Times New Roman"/>
          <w:sz w:val="24"/>
          <w:szCs w:val="24"/>
        </w:rPr>
        <w:fldChar w:fldCharType="end"/>
      </w:r>
    </w:p>
    <w:p w14:paraId="2504AA67">
      <w:pPr>
        <w:spacing w:line="360" w:lineRule="auto"/>
        <w:rPr>
          <w:rFonts w:ascii="Times New Roman" w:hAnsi="Times New Roman" w:cs="Times New Roman"/>
          <w:sz w:val="24"/>
        </w:rPr>
      </w:pP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rPr>
        <w:t xml:space="preserve">    </w:t>
      </w:r>
      <w:r>
        <w:rPr>
          <w:rFonts w:ascii="Times New Roman" w:hAnsi="Times New Roman" w:eastAsia="宋体" w:cs="Times New Roman"/>
          <w:b/>
          <w:bCs/>
          <w:sz w:val="24"/>
        </w:rPr>
        <w:t>附图：</w:t>
      </w:r>
    </w:p>
    <w:p w14:paraId="1AD9B4FE">
      <w:pPr>
        <w:spacing w:line="360" w:lineRule="auto"/>
        <w:ind w:firstLine="480" w:firstLineChars="200"/>
        <w:rPr>
          <w:rFonts w:ascii="Times New Roman" w:hAnsi="Times New Roman" w:cs="Times New Roman"/>
          <w:sz w:val="24"/>
        </w:rPr>
      </w:pPr>
      <w:r>
        <w:rPr>
          <w:rFonts w:ascii="Times New Roman" w:hAnsi="Times New Roman" w:cs="Times New Roman"/>
          <w:sz w:val="24"/>
        </w:rPr>
        <w:t>附图1</w:t>
      </w:r>
      <w:r>
        <w:rPr>
          <w:rFonts w:hint="eastAsia" w:ascii="Times New Roman" w:hAnsi="Times New Roman" w:cs="Times New Roman"/>
          <w:sz w:val="24"/>
        </w:rPr>
        <w:t xml:space="preserve">  </w:t>
      </w:r>
      <w:r>
        <w:rPr>
          <w:rFonts w:ascii="Times New Roman" w:hAnsi="Times New Roman" w:cs="Times New Roman"/>
          <w:sz w:val="24"/>
        </w:rPr>
        <w:t>本项目地理位置图</w:t>
      </w:r>
    </w:p>
    <w:p w14:paraId="3392A5D1">
      <w:pPr>
        <w:spacing w:line="360" w:lineRule="auto"/>
        <w:ind w:firstLine="480" w:firstLineChars="200"/>
        <w:rPr>
          <w:rFonts w:ascii="Times New Roman" w:hAnsi="Times New Roman" w:cs="Times New Roman"/>
          <w:sz w:val="24"/>
        </w:rPr>
      </w:pPr>
      <w:r>
        <w:rPr>
          <w:rFonts w:ascii="Times New Roman" w:hAnsi="Times New Roman" w:cs="Times New Roman"/>
          <w:sz w:val="24"/>
        </w:rPr>
        <w:t>附图2</w:t>
      </w:r>
      <w:r>
        <w:rPr>
          <w:rFonts w:hint="eastAsia" w:ascii="Times New Roman" w:hAnsi="Times New Roman" w:cs="Times New Roman"/>
          <w:sz w:val="24"/>
        </w:rPr>
        <w:t xml:space="preserve">  </w:t>
      </w:r>
      <w:r>
        <w:rPr>
          <w:rFonts w:ascii="Times New Roman" w:hAnsi="Times New Roman" w:cs="Times New Roman"/>
          <w:sz w:val="24"/>
        </w:rPr>
        <w:t>本项目厂区四至图</w:t>
      </w:r>
    </w:p>
    <w:p w14:paraId="52AB2CD1">
      <w:pPr>
        <w:spacing w:line="360" w:lineRule="auto"/>
        <w:ind w:firstLine="480" w:firstLineChars="200"/>
        <w:rPr>
          <w:rFonts w:ascii="Times New Roman" w:hAnsi="Times New Roman" w:cs="Times New Roman"/>
          <w:sz w:val="24"/>
        </w:rPr>
      </w:pPr>
      <w:r>
        <w:rPr>
          <w:rFonts w:ascii="Times New Roman" w:hAnsi="Times New Roman" w:cs="Times New Roman"/>
          <w:sz w:val="24"/>
        </w:rPr>
        <w:t>附图3</w:t>
      </w:r>
      <w:r>
        <w:rPr>
          <w:rFonts w:hint="eastAsia" w:ascii="Times New Roman" w:hAnsi="Times New Roman" w:cs="Times New Roman"/>
          <w:sz w:val="24"/>
        </w:rPr>
        <w:t xml:space="preserve">  </w:t>
      </w:r>
      <w:r>
        <w:rPr>
          <w:rFonts w:ascii="Times New Roman" w:hAnsi="Times New Roman" w:cs="Times New Roman"/>
          <w:sz w:val="24"/>
        </w:rPr>
        <w:t>本项目周边环境示意图</w:t>
      </w:r>
    </w:p>
    <w:p w14:paraId="0B6A7FF6">
      <w:pPr>
        <w:spacing w:line="360" w:lineRule="auto"/>
        <w:ind w:firstLine="480" w:firstLineChars="200"/>
        <w:rPr>
          <w:rFonts w:ascii="Times New Roman" w:hAnsi="Times New Roman" w:cs="Times New Roman"/>
          <w:sz w:val="24"/>
        </w:rPr>
      </w:pPr>
      <w:r>
        <w:rPr>
          <w:rFonts w:ascii="Times New Roman" w:hAnsi="Times New Roman" w:cs="Times New Roman"/>
          <w:sz w:val="24"/>
        </w:rPr>
        <w:t>附图4</w:t>
      </w:r>
      <w:r>
        <w:rPr>
          <w:rFonts w:hint="eastAsia" w:ascii="Times New Roman" w:hAnsi="Times New Roman" w:cs="Times New Roman"/>
          <w:sz w:val="24"/>
        </w:rPr>
        <w:t xml:space="preserve">  </w:t>
      </w:r>
      <w:r>
        <w:rPr>
          <w:rFonts w:ascii="Times New Roman" w:hAnsi="Times New Roman" w:cs="Times New Roman"/>
          <w:sz w:val="24"/>
        </w:rPr>
        <w:t>本项目平面布局图（1F）</w:t>
      </w:r>
    </w:p>
    <w:p w14:paraId="2E7D82D0">
      <w:pPr>
        <w:spacing w:line="360" w:lineRule="auto"/>
        <w:ind w:firstLine="480" w:firstLineChars="200"/>
        <w:rPr>
          <w:rFonts w:ascii="Times New Roman" w:hAnsi="Times New Roman" w:cs="Times New Roman"/>
          <w:sz w:val="24"/>
        </w:rPr>
      </w:pPr>
      <w:r>
        <w:rPr>
          <w:rFonts w:ascii="Times New Roman" w:hAnsi="Times New Roman" w:cs="Times New Roman"/>
          <w:sz w:val="24"/>
        </w:rPr>
        <w:t>附图5</w:t>
      </w:r>
      <w:r>
        <w:rPr>
          <w:rFonts w:hint="eastAsia" w:ascii="Times New Roman" w:hAnsi="Times New Roman" w:cs="Times New Roman"/>
          <w:sz w:val="24"/>
        </w:rPr>
        <w:t xml:space="preserve">  </w:t>
      </w:r>
      <w:r>
        <w:rPr>
          <w:rFonts w:ascii="Times New Roman" w:hAnsi="Times New Roman" w:cs="Times New Roman"/>
          <w:sz w:val="24"/>
        </w:rPr>
        <w:t>本项目平面布局图（2F）</w:t>
      </w:r>
    </w:p>
    <w:p w14:paraId="000BCF89">
      <w:pPr>
        <w:spacing w:line="360" w:lineRule="auto"/>
        <w:ind w:firstLine="480" w:firstLineChars="200"/>
        <w:rPr>
          <w:rFonts w:ascii="Times New Roman" w:hAnsi="Times New Roman" w:cs="Times New Roman"/>
          <w:sz w:val="24"/>
        </w:rPr>
      </w:pPr>
      <w:r>
        <w:rPr>
          <w:rFonts w:ascii="Times New Roman" w:hAnsi="Times New Roman" w:cs="Times New Roman"/>
          <w:sz w:val="24"/>
        </w:rPr>
        <w:t>附图6</w:t>
      </w:r>
      <w:r>
        <w:rPr>
          <w:rFonts w:hint="eastAsia" w:ascii="Times New Roman" w:hAnsi="Times New Roman" w:cs="Times New Roman"/>
          <w:sz w:val="24"/>
        </w:rPr>
        <w:t xml:space="preserve">  </w:t>
      </w:r>
      <w:r>
        <w:rPr>
          <w:rFonts w:ascii="Times New Roman" w:hAnsi="Times New Roman" w:cs="Times New Roman"/>
          <w:sz w:val="24"/>
        </w:rPr>
        <w:t>本项目地下水监测点位示意图</w:t>
      </w:r>
    </w:p>
    <w:p w14:paraId="54C64965">
      <w:pPr>
        <w:spacing w:line="360" w:lineRule="auto"/>
        <w:ind w:firstLine="480" w:firstLineChars="200"/>
        <w:rPr>
          <w:rFonts w:ascii="Times New Roman" w:hAnsi="Times New Roman" w:cs="Times New Roman"/>
          <w:sz w:val="24"/>
        </w:rPr>
      </w:pPr>
      <w:r>
        <w:rPr>
          <w:rFonts w:ascii="Times New Roman" w:hAnsi="Times New Roman" w:cs="Times New Roman"/>
          <w:sz w:val="24"/>
        </w:rPr>
        <w:t>附图7</w:t>
      </w:r>
      <w:r>
        <w:rPr>
          <w:rFonts w:hint="eastAsia" w:ascii="Times New Roman" w:hAnsi="Times New Roman" w:cs="Times New Roman"/>
          <w:sz w:val="24"/>
        </w:rPr>
        <w:t xml:space="preserve">  </w:t>
      </w:r>
      <w:r>
        <w:rPr>
          <w:rFonts w:ascii="Times New Roman" w:hAnsi="Times New Roman" w:cs="Times New Roman"/>
          <w:sz w:val="24"/>
        </w:rPr>
        <w:t>本项目环境空气质量监测点位示意图</w:t>
      </w:r>
    </w:p>
    <w:p w14:paraId="2B6500E8">
      <w:pPr>
        <w:spacing w:line="360" w:lineRule="auto"/>
        <w:ind w:firstLine="480" w:firstLineChars="200"/>
        <w:rPr>
          <w:rFonts w:ascii="Times New Roman" w:hAnsi="Times New Roman" w:cs="Times New Roman"/>
          <w:sz w:val="24"/>
        </w:rPr>
      </w:pPr>
      <w:r>
        <w:rPr>
          <w:rFonts w:ascii="Times New Roman" w:hAnsi="Times New Roman" w:cs="Times New Roman"/>
          <w:sz w:val="24"/>
        </w:rPr>
        <w:t>附图8</w:t>
      </w:r>
      <w:r>
        <w:rPr>
          <w:rFonts w:hint="eastAsia" w:ascii="Times New Roman" w:hAnsi="Times New Roman" w:cs="Times New Roman"/>
          <w:sz w:val="24"/>
        </w:rPr>
        <w:t xml:space="preserve">  </w:t>
      </w:r>
      <w:r>
        <w:rPr>
          <w:rFonts w:ascii="Times New Roman" w:hAnsi="Times New Roman" w:cs="Times New Roman"/>
          <w:sz w:val="24"/>
        </w:rPr>
        <w:t>本项目土壤、噪声监测点位示意图</w:t>
      </w:r>
    </w:p>
    <w:p w14:paraId="2E1BFD5C">
      <w:pPr>
        <w:spacing w:line="360" w:lineRule="auto"/>
        <w:ind w:firstLine="480" w:firstLineChars="200"/>
        <w:rPr>
          <w:rFonts w:ascii="Times New Roman" w:hAnsi="Times New Roman" w:cs="Times New Roman"/>
          <w:sz w:val="24"/>
        </w:rPr>
      </w:pPr>
      <w:r>
        <w:rPr>
          <w:rFonts w:ascii="Times New Roman" w:hAnsi="Times New Roman" w:cs="Times New Roman"/>
          <w:sz w:val="24"/>
        </w:rPr>
        <w:t>附图9</w:t>
      </w:r>
      <w:r>
        <w:rPr>
          <w:rFonts w:hint="eastAsia" w:ascii="Times New Roman" w:hAnsi="Times New Roman" w:cs="Times New Roman"/>
          <w:sz w:val="24"/>
        </w:rPr>
        <w:t xml:space="preserve">  </w:t>
      </w:r>
      <w:r>
        <w:rPr>
          <w:rFonts w:ascii="Times New Roman" w:hAnsi="Times New Roman" w:cs="Times New Roman"/>
          <w:sz w:val="24"/>
        </w:rPr>
        <w:t>本项目大气、环境风险评价范围图</w:t>
      </w:r>
    </w:p>
    <w:p w14:paraId="228F6526">
      <w:pPr>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附图10</w:t>
      </w:r>
      <w:r>
        <w:rPr>
          <w:rFonts w:hint="eastAsia" w:ascii="Times New Roman" w:hAnsi="Times New Roman" w:cs="Times New Roman"/>
          <w:sz w:val="24"/>
        </w:rPr>
        <w:t xml:space="preserve">  </w:t>
      </w:r>
      <w:r>
        <w:rPr>
          <w:rFonts w:ascii="Times New Roman" w:hAnsi="Times New Roman" w:cs="Times New Roman"/>
          <w:sz w:val="24"/>
        </w:rPr>
        <w:t>本项目地下水评价范围图</w:t>
      </w:r>
    </w:p>
    <w:p w14:paraId="542D38C5">
      <w:pPr>
        <w:spacing w:line="360" w:lineRule="auto"/>
        <w:ind w:firstLine="480" w:firstLineChars="200"/>
        <w:rPr>
          <w:rFonts w:ascii="Times New Roman" w:hAnsi="Times New Roman" w:cs="Times New Roman"/>
          <w:sz w:val="24"/>
        </w:rPr>
      </w:pPr>
      <w:r>
        <w:rPr>
          <w:rFonts w:ascii="Times New Roman" w:hAnsi="Times New Roman" w:cs="Times New Roman"/>
          <w:sz w:val="24"/>
        </w:rPr>
        <w:t>附图11</w:t>
      </w:r>
      <w:r>
        <w:rPr>
          <w:rFonts w:hint="eastAsia" w:ascii="Times New Roman" w:hAnsi="Times New Roman" w:cs="Times New Roman"/>
          <w:sz w:val="24"/>
        </w:rPr>
        <w:t xml:space="preserve">  </w:t>
      </w:r>
      <w:r>
        <w:rPr>
          <w:rFonts w:ascii="Times New Roman" w:hAnsi="Times New Roman" w:cs="Times New Roman"/>
          <w:sz w:val="24"/>
        </w:rPr>
        <w:t>本项目土壤评价范围图</w:t>
      </w:r>
    </w:p>
    <w:p w14:paraId="31040F34">
      <w:pPr>
        <w:spacing w:line="360" w:lineRule="auto"/>
        <w:ind w:firstLine="480" w:firstLineChars="200"/>
        <w:rPr>
          <w:rFonts w:ascii="Times New Roman" w:hAnsi="Times New Roman" w:cs="Times New Roman"/>
          <w:sz w:val="24"/>
        </w:rPr>
      </w:pPr>
      <w:r>
        <w:rPr>
          <w:rFonts w:ascii="Times New Roman" w:hAnsi="Times New Roman" w:cs="Times New Roman"/>
          <w:sz w:val="24"/>
        </w:rPr>
        <w:t>附图12</w:t>
      </w:r>
      <w:r>
        <w:rPr>
          <w:rFonts w:hint="eastAsia" w:ascii="Times New Roman" w:hAnsi="Times New Roman" w:cs="Times New Roman"/>
          <w:sz w:val="24"/>
        </w:rPr>
        <w:t xml:space="preserve">  </w:t>
      </w:r>
      <w:r>
        <w:rPr>
          <w:rFonts w:ascii="Times New Roman" w:hAnsi="Times New Roman" w:cs="Times New Roman"/>
          <w:sz w:val="24"/>
        </w:rPr>
        <w:t>本项目在产业集聚区发展定位图中位置</w:t>
      </w:r>
    </w:p>
    <w:p w14:paraId="6306118F">
      <w:pPr>
        <w:spacing w:line="360" w:lineRule="auto"/>
        <w:ind w:firstLine="480" w:firstLineChars="200"/>
        <w:rPr>
          <w:rFonts w:ascii="Times New Roman" w:hAnsi="Times New Roman" w:cs="Times New Roman"/>
          <w:sz w:val="24"/>
        </w:rPr>
      </w:pPr>
      <w:r>
        <w:rPr>
          <w:rFonts w:ascii="Times New Roman" w:hAnsi="Times New Roman" w:cs="Times New Roman"/>
          <w:sz w:val="24"/>
        </w:rPr>
        <w:t>附图13</w:t>
      </w:r>
      <w:r>
        <w:rPr>
          <w:rFonts w:hint="eastAsia" w:ascii="Times New Roman" w:hAnsi="Times New Roman" w:cs="Times New Roman"/>
          <w:sz w:val="24"/>
        </w:rPr>
        <w:t xml:space="preserve">  </w:t>
      </w:r>
      <w:r>
        <w:rPr>
          <w:rFonts w:ascii="Times New Roman" w:hAnsi="Times New Roman" w:eastAsia="宋体" w:cs="Times New Roman"/>
          <w:sz w:val="24"/>
        </w:rPr>
        <w:t>项目在</w:t>
      </w:r>
      <w:r>
        <w:rPr>
          <w:rFonts w:hint="eastAsia" w:ascii="Times New Roman" w:hAnsi="Times New Roman" w:eastAsia="宋体" w:cs="Times New Roman"/>
          <w:sz w:val="24"/>
          <w:lang w:val="en-US" w:eastAsia="zh-CN"/>
        </w:rPr>
        <w:t>河南省</w:t>
      </w:r>
      <w:r>
        <w:rPr>
          <w:rFonts w:ascii="Times New Roman" w:hAnsi="Times New Roman" w:eastAsia="宋体" w:cs="Times New Roman"/>
          <w:sz w:val="24"/>
        </w:rPr>
        <w:t>生态环境管控单元分布图上的位置</w:t>
      </w:r>
    </w:p>
    <w:p w14:paraId="2A5EFB0F">
      <w:pPr>
        <w:spacing w:line="360" w:lineRule="auto"/>
        <w:ind w:firstLine="480" w:firstLineChars="200"/>
        <w:rPr>
          <w:rFonts w:ascii="Times New Roman" w:hAnsi="Times New Roman" w:cs="Times New Roman"/>
          <w:sz w:val="24"/>
        </w:rPr>
      </w:pPr>
      <w:r>
        <w:rPr>
          <w:rFonts w:ascii="Times New Roman" w:hAnsi="Times New Roman" w:cs="Times New Roman"/>
          <w:sz w:val="24"/>
        </w:rPr>
        <w:t>附图14</w:t>
      </w:r>
      <w:r>
        <w:rPr>
          <w:rFonts w:hint="eastAsia" w:ascii="Times New Roman" w:hAnsi="Times New Roman" w:cs="Times New Roman"/>
          <w:sz w:val="24"/>
        </w:rPr>
        <w:t xml:space="preserve">  </w:t>
      </w:r>
      <w:r>
        <w:rPr>
          <w:rFonts w:ascii="Times New Roman" w:hAnsi="Times New Roman" w:eastAsia="宋体" w:cs="Times New Roman"/>
          <w:sz w:val="24"/>
        </w:rPr>
        <w:t>项目</w:t>
      </w:r>
      <w:r>
        <w:rPr>
          <w:rFonts w:ascii="Times New Roman" w:hAnsi="Times New Roman" w:cs="Times New Roman"/>
          <w:sz w:val="24"/>
        </w:rPr>
        <w:t>与清丰县饮用水源关系图</w:t>
      </w:r>
    </w:p>
    <w:p w14:paraId="32BEDB96">
      <w:pPr>
        <w:spacing w:line="360" w:lineRule="auto"/>
        <w:ind w:firstLine="480" w:firstLineChars="200"/>
        <w:rPr>
          <w:rFonts w:ascii="Times New Roman" w:hAnsi="Times New Roman" w:cs="Times New Roman"/>
          <w:sz w:val="24"/>
          <w:szCs w:val="32"/>
        </w:rPr>
      </w:pPr>
      <w:r>
        <w:rPr>
          <w:rFonts w:ascii="Times New Roman" w:hAnsi="Times New Roman" w:cs="Times New Roman"/>
          <w:sz w:val="24"/>
          <w:szCs w:val="32"/>
        </w:rPr>
        <w:t xml:space="preserve">附图15  </w:t>
      </w:r>
      <w:r>
        <w:rPr>
          <w:rFonts w:hint="eastAsia" w:ascii="Times New Roman" w:hAnsi="Times New Roman" w:cs="Times New Roman"/>
          <w:sz w:val="24"/>
          <w:szCs w:val="32"/>
          <w:lang w:eastAsia="zh-CN"/>
        </w:rPr>
        <w:t>本项目</w:t>
      </w:r>
      <w:r>
        <w:rPr>
          <w:rFonts w:ascii="Times New Roman" w:hAnsi="Times New Roman" w:cs="Times New Roman"/>
          <w:sz w:val="24"/>
          <w:szCs w:val="32"/>
        </w:rPr>
        <w:t>地表水监测点位示意图</w:t>
      </w:r>
    </w:p>
    <w:p w14:paraId="465C7E3A">
      <w:pPr>
        <w:spacing w:line="360" w:lineRule="auto"/>
        <w:ind w:firstLine="482" w:firstLineChars="200"/>
        <w:rPr>
          <w:b/>
          <w:bCs/>
          <w:sz w:val="24"/>
          <w:szCs w:val="32"/>
        </w:rPr>
      </w:pPr>
      <w:r>
        <w:rPr>
          <w:rFonts w:hint="eastAsia"/>
          <w:b/>
          <w:bCs/>
          <w:sz w:val="24"/>
          <w:szCs w:val="32"/>
        </w:rPr>
        <w:t>附件：</w:t>
      </w:r>
    </w:p>
    <w:p w14:paraId="4020DA3F">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附件1  委托书</w:t>
      </w:r>
    </w:p>
    <w:p w14:paraId="63B304B1">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附件2  河南省企业投资项目备案证明</w:t>
      </w:r>
    </w:p>
    <w:p w14:paraId="711EC65B">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附件3  清丰县先进制造业开发区管理委员会关于本项目的入园证明</w:t>
      </w:r>
    </w:p>
    <w:p w14:paraId="2670E662">
      <w:pPr>
        <w:spacing w:line="360" w:lineRule="auto"/>
        <w:ind w:firstLine="480" w:firstLineChars="200"/>
        <w:rPr>
          <w:rFonts w:hint="default" w:ascii="Times New Roman" w:hAnsi="Times New Roman" w:cs="Times New Roman" w:eastAsiaTheme="minorEastAsia"/>
          <w:sz w:val="24"/>
          <w:lang w:val="en-US"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4  租赁合同</w:t>
      </w:r>
    </w:p>
    <w:p w14:paraId="286F885D">
      <w:pPr>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附件</w:t>
      </w:r>
      <w:r>
        <w:rPr>
          <w:rFonts w:hint="eastAsia" w:ascii="Times New Roman" w:hAnsi="Times New Roman" w:cs="Times New Roman"/>
          <w:sz w:val="24"/>
          <w:lang w:val="en-US" w:eastAsia="zh-CN"/>
        </w:rPr>
        <w:t>5</w:t>
      </w:r>
      <w:r>
        <w:rPr>
          <w:rFonts w:hint="eastAsia" w:ascii="Times New Roman" w:hAnsi="Times New Roman" w:cs="Times New Roman"/>
          <w:sz w:val="24"/>
        </w:rPr>
        <w:t xml:space="preserve">  检测报告</w:t>
      </w:r>
    </w:p>
    <w:p w14:paraId="2B32816D">
      <w:pPr>
        <w:spacing w:line="360" w:lineRule="auto"/>
        <w:ind w:firstLine="480" w:firstLineChars="200"/>
        <w:rPr>
          <w:rFonts w:hint="default" w:ascii="Times New Roman" w:hAnsi="Times New Roman" w:cs="Times New Roman" w:eastAsiaTheme="minorEastAsia"/>
          <w:sz w:val="24"/>
          <w:lang w:val="en-US"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6  承诺书</w:t>
      </w:r>
    </w:p>
    <w:p w14:paraId="71CCB773">
      <w:pPr>
        <w:spacing w:line="360" w:lineRule="auto"/>
        <w:ind w:firstLine="480" w:firstLineChars="200"/>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附件7  专家意见</w:t>
      </w:r>
    </w:p>
    <w:p w14:paraId="31436E7D">
      <w:pPr>
        <w:pStyle w:val="17"/>
        <w:spacing w:line="360" w:lineRule="auto"/>
        <w:ind w:firstLine="0"/>
        <w:rPr>
          <w:b/>
          <w:bCs/>
          <w:sz w:val="24"/>
          <w:szCs w:val="24"/>
        </w:rPr>
        <w:sectPr>
          <w:footerReference r:id="rId4" w:type="default"/>
          <w:pgSz w:w="11906" w:h="16838"/>
          <w:pgMar w:top="1440" w:right="1800" w:bottom="1440" w:left="1800" w:header="851" w:footer="992" w:gutter="0"/>
          <w:pgNumType w:fmt="upperRoman" w:start="1"/>
          <w:cols w:space="425" w:num="1"/>
          <w:docGrid w:type="lines" w:linePitch="312" w:charSpace="0"/>
        </w:sectPr>
      </w:pPr>
      <w:r>
        <w:rPr>
          <w:b/>
          <w:bCs/>
          <w:sz w:val="24"/>
          <w:szCs w:val="24"/>
        </w:rPr>
        <w:t>建设项目环境影响报告书审批基础信息表</w:t>
      </w:r>
    </w:p>
    <w:p w14:paraId="2752A253">
      <w:pPr>
        <w:sectPr>
          <w:pgSz w:w="11906" w:h="16838"/>
          <w:pgMar w:top="1440" w:right="1800" w:bottom="1440" w:left="1800" w:header="851" w:footer="992" w:gutter="0"/>
          <w:pgNumType w:fmt="upperRoman" w:start="1"/>
          <w:cols w:space="425" w:num="1"/>
          <w:docGrid w:type="lines" w:linePitch="312" w:charSpace="0"/>
        </w:sectPr>
      </w:pPr>
    </w:p>
    <w:p w14:paraId="35BE7A6F">
      <w:pPr>
        <w:spacing w:line="360" w:lineRule="auto"/>
      </w:pPr>
    </w:p>
    <w:p w14:paraId="5C1827F7">
      <w:pPr>
        <w:pStyle w:val="2"/>
        <w:numPr>
          <w:ilvl w:val="0"/>
          <w:numId w:val="4"/>
        </w:numPr>
        <w:tabs>
          <w:tab w:val="clear" w:pos="0"/>
        </w:tabs>
      </w:pPr>
      <w:bookmarkStart w:id="0" w:name="_Toc26452"/>
      <w:r>
        <w:rPr>
          <w:rFonts w:hint="eastAsia"/>
        </w:rPr>
        <w:t>概述</w:t>
      </w:r>
      <w:bookmarkEnd w:id="0"/>
    </w:p>
    <w:p w14:paraId="39C3AEA0">
      <w:pPr>
        <w:pStyle w:val="3"/>
      </w:pPr>
      <w:bookmarkStart w:id="1" w:name="_Toc26133"/>
      <w:bookmarkStart w:id="2" w:name="_Toc21294"/>
      <w:r>
        <w:t>项目由来</w:t>
      </w:r>
      <w:bookmarkEnd w:id="1"/>
      <w:bookmarkEnd w:id="2"/>
    </w:p>
    <w:p w14:paraId="1F97E0F4">
      <w:pPr>
        <w:spacing w:line="360" w:lineRule="auto"/>
        <w:ind w:firstLine="480" w:firstLineChars="200"/>
        <w:rPr>
          <w:rFonts w:hint="eastAsia" w:ascii="Times New Roman" w:hAnsi="Times New Roman" w:eastAsia="宋体" w:cs="Times New Roman"/>
          <w:bCs/>
          <w:kern w:val="0"/>
          <w:sz w:val="24"/>
          <w:lang w:eastAsia="zh-CN"/>
        </w:rPr>
      </w:pPr>
      <w:r>
        <w:rPr>
          <w:rFonts w:hint="eastAsia" w:ascii="Times New Roman" w:hAnsi="Times New Roman" w:eastAsia="宋体" w:cs="Times New Roman"/>
          <w:bCs/>
          <w:kern w:val="0"/>
          <w:sz w:val="24"/>
        </w:rPr>
        <w:t>汉玉伟木（清丰县）家居有限公司拟在濮阳市清丰县产业集聚区人民路南侧、建设路东侧6号投资4000万元建设年产1万套实木复合门、4万平方米全屋定制项目。</w:t>
      </w:r>
      <w:r>
        <w:rPr>
          <w:rFonts w:hint="eastAsia" w:ascii="Times New Roman" w:hAnsi="Times New Roman" w:eastAsia="宋体" w:cs="Times New Roman"/>
          <w:sz w:val="24"/>
        </w:rPr>
        <w:t>本项目租赁一栋已建成厂房，</w:t>
      </w:r>
      <w:r>
        <w:rPr>
          <w:rFonts w:hint="eastAsia" w:ascii="Times New Roman" w:hAnsi="Times New Roman" w:eastAsia="宋体" w:cs="Times New Roman"/>
          <w:bCs/>
          <w:kern w:val="0"/>
          <w:sz w:val="24"/>
        </w:rPr>
        <w:t>占地8000平方米，建筑面积16000平方米。</w:t>
      </w:r>
    </w:p>
    <w:p w14:paraId="43BE2451">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根据《中华人民共和国环境保护法》、《中华人民共和国环境影响评价法》、《建设项目环境保护管理条例》（中华人民共和国国务院第682号令）</w:t>
      </w:r>
      <w:r>
        <w:rPr>
          <w:rFonts w:hint="eastAsia" w:ascii="Times New Roman" w:hAnsi="Times New Roman" w:eastAsia="宋体" w:cs="Times New Roman"/>
          <w:sz w:val="24"/>
        </w:rPr>
        <w:t>，</w:t>
      </w:r>
      <w:r>
        <w:rPr>
          <w:rFonts w:hint="eastAsia" w:ascii="Times New Roman" w:hAnsi="Times New Roman" w:eastAsia="宋体" w:cs="Times New Roman"/>
          <w:bCs/>
          <w:kern w:val="0"/>
          <w:sz w:val="24"/>
        </w:rPr>
        <w:t>汉玉伟木（清丰县）家居有限公司</w:t>
      </w:r>
      <w:r>
        <w:rPr>
          <w:rFonts w:ascii="Times New Roman" w:hAnsi="Times New Roman" w:eastAsia="宋体" w:cs="Times New Roman"/>
          <w:sz w:val="24"/>
        </w:rPr>
        <w:t>须执行环境影响评价制度</w:t>
      </w:r>
      <w:r>
        <w:rPr>
          <w:rFonts w:hint="eastAsia" w:ascii="Times New Roman" w:hAnsi="Times New Roman" w:eastAsia="宋体" w:cs="Times New Roman"/>
          <w:sz w:val="24"/>
        </w:rPr>
        <w:t>。</w:t>
      </w:r>
      <w:r>
        <w:rPr>
          <w:rFonts w:hint="eastAsia" w:ascii="Times New Roman" w:hAnsi="Times New Roman" w:eastAsia="宋体" w:cs="Times New Roman"/>
          <w:color w:val="000000" w:themeColor="text1"/>
          <w:sz w:val="24"/>
          <w14:textFill>
            <w14:solidFill>
              <w14:schemeClr w14:val="tx1"/>
            </w14:solidFill>
          </w14:textFill>
        </w:rPr>
        <w:t>本项目主要从实木复合门及全屋定制的生产。查询</w:t>
      </w:r>
      <w:r>
        <w:rPr>
          <w:rFonts w:ascii="Times New Roman" w:hAnsi="Times New Roman" w:eastAsia="宋体" w:cs="Times New Roman"/>
          <w:kern w:val="0"/>
          <w:sz w:val="24"/>
        </w:rPr>
        <w:t>《国民经济行业分类》（GB/T 4754-2017）及2019年修改清单</w:t>
      </w:r>
      <w:r>
        <w:rPr>
          <w:rFonts w:hint="eastAsia" w:ascii="Times New Roman" w:hAnsi="Times New Roman" w:eastAsia="宋体" w:cs="Times New Roman"/>
          <w:color w:val="000000" w:themeColor="text1"/>
          <w:sz w:val="24"/>
          <w14:textFill>
            <w14:solidFill>
              <w14:schemeClr w14:val="tx1"/>
            </w14:solidFill>
          </w14:textFill>
        </w:rPr>
        <w:t>，本项目属于“21 家具制造业”的“C2110木质家具制造”；查询《建设项目环境影响评价分类管理名录（2021年版）》</w:t>
      </w:r>
      <w:r>
        <w:rPr>
          <w:rFonts w:hint="eastAsia" w:ascii="Times New Roman" w:hAnsi="Times New Roman" w:eastAsia="宋体" w:cs="Times New Roman"/>
          <w:color w:val="auto"/>
          <w:sz w:val="24"/>
        </w:rPr>
        <w:t>，项目属于“十八、家具制造业 21 木质家具制造 211*</w:t>
      </w:r>
      <w:r>
        <w:rPr>
          <w:rFonts w:hint="eastAsia"/>
          <w:color w:val="auto"/>
          <w:sz w:val="24"/>
        </w:rPr>
        <w:t>中年用溶剂型涂料（含稀释剂）</w:t>
      </w:r>
      <w:r>
        <w:rPr>
          <w:rFonts w:ascii="Times New Roman" w:hAnsi="Times New Roman" w:cs="Times New Roman"/>
          <w:color w:val="auto"/>
          <w:sz w:val="24"/>
        </w:rPr>
        <w:t>10吨</w:t>
      </w:r>
      <w:r>
        <w:rPr>
          <w:rFonts w:hint="eastAsia"/>
          <w:color w:val="auto"/>
          <w:sz w:val="24"/>
        </w:rPr>
        <w:t>及以上的</w:t>
      </w:r>
      <w:r>
        <w:rPr>
          <w:rFonts w:hint="eastAsia" w:ascii="Times New Roman" w:hAnsi="Times New Roman" w:eastAsia="宋体" w:cs="Times New Roman"/>
          <w:color w:val="auto"/>
          <w:sz w:val="24"/>
        </w:rPr>
        <w:t>”，应编制报告书。</w:t>
      </w:r>
      <w:r>
        <w:rPr>
          <w:rFonts w:ascii="Times New Roman" w:hAnsi="Times New Roman" w:eastAsia="宋体" w:cs="Times New Roman"/>
          <w:color w:val="auto"/>
          <w:sz w:val="24"/>
        </w:rPr>
        <w:t>为此，</w:t>
      </w:r>
      <w:r>
        <w:rPr>
          <w:rFonts w:hint="eastAsia" w:ascii="Times New Roman" w:hAnsi="Times New Roman" w:eastAsia="宋体" w:cs="Times New Roman"/>
          <w:bCs/>
          <w:color w:val="auto"/>
          <w:kern w:val="0"/>
          <w:sz w:val="24"/>
        </w:rPr>
        <w:t>汉玉伟木（清丰县）家居有限公司</w:t>
      </w:r>
      <w:r>
        <w:rPr>
          <w:rFonts w:ascii="Times New Roman" w:hAnsi="Times New Roman" w:eastAsia="宋体" w:cs="Times New Roman"/>
          <w:color w:val="auto"/>
          <w:sz w:val="24"/>
        </w:rPr>
        <w:t>于20</w:t>
      </w:r>
      <w:r>
        <w:rPr>
          <w:rFonts w:hint="eastAsia" w:ascii="Times New Roman" w:hAnsi="Times New Roman" w:eastAsia="宋体" w:cs="Times New Roman"/>
          <w:color w:val="auto"/>
          <w:sz w:val="24"/>
        </w:rPr>
        <w:t>23</w:t>
      </w:r>
      <w:r>
        <w:rPr>
          <w:rFonts w:ascii="Times New Roman" w:hAnsi="Times New Roman" w:eastAsia="宋体" w:cs="Times New Roman"/>
          <w:color w:val="auto"/>
          <w:sz w:val="24"/>
        </w:rPr>
        <w:t>年</w:t>
      </w: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月委托</w:t>
      </w:r>
      <w:r>
        <w:rPr>
          <w:rFonts w:hint="eastAsia" w:ascii="Times New Roman" w:hAnsi="Times New Roman" w:eastAsia="宋体" w:cs="Times New Roman"/>
          <w:color w:val="auto"/>
          <w:sz w:val="24"/>
          <w:lang w:eastAsia="zh-CN"/>
        </w:rPr>
        <w:t>河南晟达安环低碳科技有限公司</w:t>
      </w:r>
      <w:r>
        <w:rPr>
          <w:rFonts w:ascii="Times New Roman" w:hAnsi="Times New Roman" w:eastAsia="宋体" w:cs="Times New Roman"/>
          <w:color w:val="auto"/>
          <w:sz w:val="24"/>
        </w:rPr>
        <w:t>承担该项目的环境影响评价工作。我单位接受委托后，立即组织项目组对评价区域及项</w:t>
      </w:r>
      <w:r>
        <w:rPr>
          <w:rFonts w:ascii="Times New Roman" w:hAnsi="Times New Roman" w:eastAsia="宋体" w:cs="Times New Roman"/>
          <w:sz w:val="24"/>
        </w:rPr>
        <w:t>目厂址进行了踏勘及调查，在认真调查研究及收集有关数据、资料的基础上，根据环境影响评价技术导则及其他技术规范，编制完成《汉玉伟木（清丰县）家居有限公司年产1万套实木复合门、4万平方米全屋定制项目环境影响报告书》。</w:t>
      </w:r>
    </w:p>
    <w:p w14:paraId="6443189C">
      <w:pPr>
        <w:pStyle w:val="3"/>
      </w:pPr>
      <w:bookmarkStart w:id="3" w:name="_Toc25850"/>
      <w:bookmarkStart w:id="4" w:name="_Toc17391"/>
      <w:r>
        <w:t>建设项目特点</w:t>
      </w:r>
      <w:bookmarkEnd w:id="3"/>
      <w:bookmarkEnd w:id="4"/>
    </w:p>
    <w:p w14:paraId="6940F876">
      <w:pPr>
        <w:pStyle w:val="4"/>
        <w:numPr>
          <w:ilvl w:val="2"/>
          <w:numId w:val="5"/>
        </w:numPr>
        <w:tabs>
          <w:tab w:val="clear" w:pos="0"/>
        </w:tabs>
      </w:pPr>
      <w:r>
        <w:t>工程特点</w:t>
      </w:r>
    </w:p>
    <w:p w14:paraId="67444403">
      <w:pPr>
        <w:widowControl/>
        <w:spacing w:line="360" w:lineRule="auto"/>
        <w:ind w:firstLine="480" w:firstLineChars="200"/>
        <w:jc w:val="left"/>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项目主要</w:t>
      </w:r>
      <w:r>
        <w:rPr>
          <w:rFonts w:hint="eastAsia" w:ascii="Times New Roman" w:hAnsi="Times New Roman" w:eastAsia="宋体" w:cs="Times New Roman"/>
          <w:bCs/>
          <w:color w:val="000000" w:themeColor="text1"/>
          <w:kern w:val="0"/>
          <w:sz w:val="24"/>
          <w14:textFill>
            <w14:solidFill>
              <w14:schemeClr w14:val="tx1"/>
            </w14:solidFill>
          </w14:textFill>
        </w:rPr>
        <w:t>生产实木复合门、全屋定制家具</w:t>
      </w:r>
      <w:r>
        <w:rPr>
          <w:rFonts w:ascii="Times New Roman" w:hAnsi="Times New Roman" w:eastAsia="宋体" w:cs="Times New Roman"/>
          <w:color w:val="000000" w:themeColor="text1"/>
          <w:kern w:val="0"/>
          <w:sz w:val="24"/>
          <w14:textFill>
            <w14:solidFill>
              <w14:schemeClr w14:val="tx1"/>
            </w14:solidFill>
          </w14:textFill>
        </w:rPr>
        <w:t>，项目工程特点如下：</w:t>
      </w:r>
    </w:p>
    <w:p w14:paraId="7F3CDF1B">
      <w:pPr>
        <w:numPr>
          <w:ilvl w:val="0"/>
          <w:numId w:val="6"/>
        </w:numPr>
        <w:spacing w:line="360" w:lineRule="auto"/>
        <w:ind w:firstLine="480"/>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建设项目占地面积：</w:t>
      </w:r>
      <w:r>
        <w:rPr>
          <w:rFonts w:hint="eastAsia" w:ascii="Times New Roman" w:hAnsi="Times New Roman" w:eastAsia="宋体" w:cs="Times New Roman"/>
          <w:bCs/>
          <w:color w:val="000000" w:themeColor="text1"/>
          <w:kern w:val="0"/>
          <w:sz w:val="24"/>
          <w14:textFill>
            <w14:solidFill>
              <w14:schemeClr w14:val="tx1"/>
            </w14:solidFill>
          </w14:textFill>
        </w:rPr>
        <w:t>8000m</w:t>
      </w:r>
      <w:r>
        <w:rPr>
          <w:rFonts w:ascii="Times New Roman" w:hAnsi="Times New Roman" w:eastAsia="宋体" w:cs="Times New Roman"/>
          <w:bCs/>
          <w:color w:val="000000" w:themeColor="text1"/>
          <w:kern w:val="0"/>
          <w:sz w:val="24"/>
          <w:vertAlign w:val="superscript"/>
          <w14:textFill>
            <w14:solidFill>
              <w14:schemeClr w14:val="tx1"/>
            </w14:solidFill>
          </w14:textFill>
        </w:rPr>
        <w:t>2</w:t>
      </w:r>
      <w:r>
        <w:rPr>
          <w:rFonts w:ascii="Times New Roman" w:hAnsi="Times New Roman" w:eastAsia="宋体" w:cs="Times New Roman"/>
          <w:bCs/>
          <w:color w:val="000000" w:themeColor="text1"/>
          <w:kern w:val="0"/>
          <w:sz w:val="24"/>
          <w14:textFill>
            <w14:solidFill>
              <w14:schemeClr w14:val="tx1"/>
            </w14:solidFill>
          </w14:textFill>
        </w:rPr>
        <w:t>，建筑面积：</w:t>
      </w:r>
      <w:r>
        <w:rPr>
          <w:rFonts w:hint="eastAsia" w:ascii="Times New Roman" w:hAnsi="Times New Roman" w:eastAsia="宋体" w:cs="Times New Roman"/>
          <w:bCs/>
          <w:color w:val="000000" w:themeColor="text1"/>
          <w:kern w:val="0"/>
          <w:sz w:val="24"/>
          <w14:textFill>
            <w14:solidFill>
              <w14:schemeClr w14:val="tx1"/>
            </w14:solidFill>
          </w14:textFill>
        </w:rPr>
        <w:t>16000</w:t>
      </w:r>
      <w:r>
        <w:rPr>
          <w:rFonts w:ascii="Times New Roman" w:hAnsi="Times New Roman" w:eastAsia="宋体" w:cs="Times New Roman"/>
          <w:bCs/>
          <w:color w:val="000000" w:themeColor="text1"/>
          <w:kern w:val="0"/>
          <w:sz w:val="24"/>
          <w14:textFill>
            <w14:solidFill>
              <w14:schemeClr w14:val="tx1"/>
            </w14:solidFill>
          </w14:textFill>
        </w:rPr>
        <w:t>m</w:t>
      </w:r>
      <w:r>
        <w:rPr>
          <w:rFonts w:ascii="Times New Roman" w:hAnsi="Times New Roman" w:eastAsia="宋体" w:cs="Times New Roman"/>
          <w:bCs/>
          <w:color w:val="000000" w:themeColor="text1"/>
          <w:kern w:val="0"/>
          <w:sz w:val="24"/>
          <w:vertAlign w:val="superscript"/>
          <w14:textFill>
            <w14:solidFill>
              <w14:schemeClr w14:val="tx1"/>
            </w14:solidFill>
          </w14:textFill>
        </w:rPr>
        <w:t>2</w:t>
      </w:r>
      <w:r>
        <w:rPr>
          <w:rFonts w:ascii="Times New Roman" w:hAnsi="Times New Roman" w:eastAsia="宋体" w:cs="Times New Roman"/>
          <w:color w:val="000000" w:themeColor="text1"/>
          <w:kern w:val="0"/>
          <w:sz w:val="24"/>
          <w14:textFill>
            <w14:solidFill>
              <w14:schemeClr w14:val="tx1"/>
            </w14:solidFill>
          </w14:textFill>
        </w:rPr>
        <w:t>，项目总投资</w:t>
      </w:r>
      <w:r>
        <w:rPr>
          <w:rFonts w:hint="eastAsia" w:ascii="Times New Roman" w:hAnsi="Times New Roman" w:eastAsia="宋体" w:cs="Times New Roman"/>
          <w:color w:val="000000" w:themeColor="text1"/>
          <w:kern w:val="0"/>
          <w:sz w:val="24"/>
          <w14:textFill>
            <w14:solidFill>
              <w14:schemeClr w14:val="tx1"/>
            </w14:solidFill>
          </w14:textFill>
        </w:rPr>
        <w:t>40</w:t>
      </w:r>
      <w:r>
        <w:rPr>
          <w:rFonts w:ascii="Times New Roman" w:hAnsi="Times New Roman" w:eastAsia="宋体" w:cs="Times New Roman"/>
          <w:color w:val="000000" w:themeColor="text1"/>
          <w:kern w:val="0"/>
          <w:sz w:val="24"/>
          <w14:textFill>
            <w14:solidFill>
              <w14:schemeClr w14:val="tx1"/>
            </w14:solidFill>
          </w14:textFill>
        </w:rPr>
        <w:t>00万元，其中环保投资</w:t>
      </w:r>
      <w:r>
        <w:rPr>
          <w:rFonts w:hint="eastAsia" w:ascii="Times New Roman" w:hAnsi="Times New Roman" w:eastAsia="宋体" w:cs="Times New Roman"/>
          <w:color w:val="000000" w:themeColor="text1"/>
          <w:kern w:val="0"/>
          <w:sz w:val="24"/>
          <w14:textFill>
            <w14:solidFill>
              <w14:schemeClr w14:val="tx1"/>
            </w14:solidFill>
          </w14:textFill>
        </w:rPr>
        <w:t>193</w:t>
      </w:r>
      <w:r>
        <w:rPr>
          <w:rFonts w:ascii="Times New Roman" w:hAnsi="Times New Roman" w:eastAsia="宋体" w:cs="Times New Roman"/>
          <w:color w:val="000000" w:themeColor="text1"/>
          <w:kern w:val="0"/>
          <w:sz w:val="24"/>
          <w14:textFill>
            <w14:solidFill>
              <w14:schemeClr w14:val="tx1"/>
            </w14:solidFill>
          </w14:textFill>
        </w:rPr>
        <w:t>万元。</w:t>
      </w:r>
    </w:p>
    <w:p w14:paraId="1DA3AAA4">
      <w:pPr>
        <w:numPr>
          <w:ilvl w:val="0"/>
          <w:numId w:val="6"/>
        </w:numPr>
        <w:spacing w:line="360" w:lineRule="auto"/>
        <w:ind w:firstLine="480"/>
        <w:rPr>
          <w:rFonts w:ascii="Times New Roman" w:hAnsi="Times New Roman" w:eastAsia="宋体" w:cs="Times New Roman"/>
          <w:bCs/>
          <w:color w:val="000000" w:themeColor="text1"/>
          <w:kern w:val="0"/>
          <w:sz w:val="24"/>
          <w14:textFill>
            <w14:solidFill>
              <w14:schemeClr w14:val="tx1"/>
            </w14:solidFill>
          </w14:textFill>
        </w:rPr>
      </w:pPr>
      <w:r>
        <w:rPr>
          <w:rFonts w:hint="eastAsia" w:ascii="Times New Roman" w:hAnsi="Times New Roman" w:eastAsia="宋体" w:cs="Times New Roman"/>
          <w:bCs/>
          <w:color w:val="000000" w:themeColor="text1"/>
          <w:kern w:val="0"/>
          <w:sz w:val="24"/>
          <w14:textFill>
            <w14:solidFill>
              <w14:schemeClr w14:val="tx1"/>
            </w14:solidFill>
          </w14:textFill>
        </w:rPr>
        <w:t>本项目主要生产实木复合门、全屋定制家具，查询</w:t>
      </w:r>
      <w:r>
        <w:rPr>
          <w:rFonts w:ascii="Times New Roman" w:hAnsi="Times New Roman" w:eastAsia="宋体" w:cs="Times New Roman"/>
          <w:bCs/>
          <w:color w:val="000000" w:themeColor="text1"/>
          <w:kern w:val="0"/>
          <w:sz w:val="24"/>
          <w14:textFill>
            <w14:solidFill>
              <w14:schemeClr w14:val="tx1"/>
            </w14:solidFill>
          </w14:textFill>
        </w:rPr>
        <w:t>《国民经济行业分类与代码》（GB/</w:t>
      </w:r>
      <w:r>
        <w:rPr>
          <w:rFonts w:hint="eastAsia" w:ascii="Times New Roman" w:hAnsi="Times New Roman" w:eastAsia="宋体" w:cs="Times New Roman"/>
          <w:bCs/>
          <w:color w:val="000000" w:themeColor="text1"/>
          <w:kern w:val="0"/>
          <w:sz w:val="24"/>
          <w14:textFill>
            <w14:solidFill>
              <w14:schemeClr w14:val="tx1"/>
            </w14:solidFill>
          </w14:textFill>
        </w:rPr>
        <w:t>T</w:t>
      </w:r>
      <w:r>
        <w:rPr>
          <w:rFonts w:ascii="Times New Roman" w:hAnsi="Times New Roman" w:eastAsia="宋体" w:cs="Times New Roman"/>
          <w:bCs/>
          <w:color w:val="000000" w:themeColor="text1"/>
          <w:kern w:val="0"/>
          <w:sz w:val="24"/>
          <w14:textFill>
            <w14:solidFill>
              <w14:schemeClr w14:val="tx1"/>
            </w14:solidFill>
          </w14:textFill>
        </w:rPr>
        <w:t>4754-2017），本项目属于</w:t>
      </w:r>
      <w:r>
        <w:rPr>
          <w:rFonts w:hint="eastAsia" w:ascii="宋体" w:hAnsi="宋体" w:eastAsia="宋体" w:cs="宋体"/>
          <w:bCs/>
          <w:color w:val="000000" w:themeColor="text1"/>
          <w:kern w:val="0"/>
          <w:sz w:val="24"/>
          <w14:textFill>
            <w14:solidFill>
              <w14:schemeClr w14:val="tx1"/>
            </w14:solidFill>
          </w14:textFill>
        </w:rPr>
        <w:t>“</w:t>
      </w:r>
      <w:r>
        <w:rPr>
          <w:rFonts w:ascii="Times New Roman" w:hAnsi="Times New Roman" w:eastAsia="宋体" w:cs="Times New Roman"/>
          <w:bCs/>
          <w:color w:val="000000" w:themeColor="text1"/>
          <w:kern w:val="0"/>
          <w:sz w:val="24"/>
          <w14:textFill>
            <w14:solidFill>
              <w14:schemeClr w14:val="tx1"/>
            </w14:solidFill>
          </w14:textFill>
        </w:rPr>
        <w:t>第</w:t>
      </w:r>
      <w:r>
        <w:rPr>
          <w:rFonts w:ascii="Times New Roman" w:hAnsi="Times New Roman" w:eastAsia="宋体" w:cs="Times New Roman"/>
          <w:color w:val="000000" w:themeColor="text1"/>
          <w:kern w:val="0"/>
          <w:sz w:val="24"/>
          <w14:textFill>
            <w14:solidFill>
              <w14:schemeClr w14:val="tx1"/>
            </w14:solidFill>
          </w14:textFill>
        </w:rPr>
        <w:t>C大类（制造业）——第</w:t>
      </w:r>
      <w:r>
        <w:rPr>
          <w:rFonts w:hint="eastAsia" w:ascii="Times New Roman" w:hAnsi="Times New Roman" w:eastAsia="宋体" w:cs="Times New Roman"/>
          <w:color w:val="000000" w:themeColor="text1"/>
          <w:kern w:val="0"/>
          <w:sz w:val="24"/>
          <w14:textFill>
            <w14:solidFill>
              <w14:schemeClr w14:val="tx1"/>
            </w14:solidFill>
          </w14:textFill>
        </w:rPr>
        <w:t>21</w:t>
      </w:r>
      <w:r>
        <w:rPr>
          <w:rFonts w:ascii="Times New Roman" w:hAnsi="Times New Roman" w:eastAsia="宋体" w:cs="Times New Roman"/>
          <w:color w:val="000000" w:themeColor="text1"/>
          <w:kern w:val="0"/>
          <w:sz w:val="24"/>
          <w14:textFill>
            <w14:solidFill>
              <w14:schemeClr w14:val="tx1"/>
            </w14:solidFill>
          </w14:textFill>
        </w:rPr>
        <w:t>小类（</w:t>
      </w:r>
      <w:r>
        <w:rPr>
          <w:rFonts w:hint="eastAsia" w:ascii="Times New Roman" w:hAnsi="Times New Roman" w:eastAsia="宋体" w:cs="Times New Roman"/>
          <w:color w:val="000000" w:themeColor="text1"/>
          <w:kern w:val="0"/>
          <w:sz w:val="24"/>
          <w14:textFill>
            <w14:solidFill>
              <w14:schemeClr w14:val="tx1"/>
            </w14:solidFill>
          </w14:textFill>
        </w:rPr>
        <w:t>家具制造业</w:t>
      </w:r>
      <w:r>
        <w:rPr>
          <w:rFonts w:ascii="Times New Roman" w:hAnsi="Times New Roman" w:eastAsia="宋体" w:cs="Times New Roman"/>
          <w:color w:val="000000" w:themeColor="text1"/>
          <w:kern w:val="0"/>
          <w:sz w:val="24"/>
          <w14:textFill>
            <w14:solidFill>
              <w14:schemeClr w14:val="tx1"/>
            </w14:solidFill>
          </w14:textFill>
        </w:rPr>
        <w:t>）—</w:t>
      </w:r>
      <w:r>
        <w:rPr>
          <w:rFonts w:hint="eastAsia" w:ascii="Times New Roman" w:hAnsi="Times New Roman" w:eastAsia="宋体" w:cs="Times New Roman"/>
          <w:color w:val="000000" w:themeColor="text1"/>
          <w:kern w:val="0"/>
          <w:sz w:val="24"/>
          <w14:textFill>
            <w14:solidFill>
              <w14:schemeClr w14:val="tx1"/>
            </w14:solidFill>
          </w14:textFill>
        </w:rPr>
        <w:t>木质家具制造</w:t>
      </w:r>
      <w:r>
        <w:rPr>
          <w:rFonts w:ascii="Times New Roman" w:hAnsi="Times New Roman" w:eastAsia="宋体" w:cs="Times New Roman"/>
          <w:color w:val="000000" w:themeColor="text1"/>
          <w:kern w:val="0"/>
          <w:sz w:val="24"/>
          <w14:textFill>
            <w14:solidFill>
              <w14:schemeClr w14:val="tx1"/>
            </w14:solidFill>
          </w14:textFill>
        </w:rPr>
        <w:t>，行业代码：C</w:t>
      </w:r>
      <w:r>
        <w:rPr>
          <w:rFonts w:hint="eastAsia" w:ascii="Times New Roman" w:hAnsi="Times New Roman" w:eastAsia="宋体" w:cs="Times New Roman"/>
          <w:color w:val="000000" w:themeColor="text1"/>
          <w:kern w:val="0"/>
          <w:sz w:val="24"/>
          <w14:textFill>
            <w14:solidFill>
              <w14:schemeClr w14:val="tx1"/>
            </w14:solidFill>
          </w14:textFill>
        </w:rPr>
        <w:t>2110</w:t>
      </w:r>
      <w:r>
        <w:rPr>
          <w:rFonts w:hint="eastAsia" w:ascii="宋体" w:hAnsi="宋体" w:eastAsia="宋体" w:cs="宋体"/>
          <w:color w:val="000000" w:themeColor="text1"/>
          <w:kern w:val="0"/>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w:t>
      </w:r>
    </w:p>
    <w:p w14:paraId="01C70AD3">
      <w:pPr>
        <w:numPr>
          <w:ilvl w:val="0"/>
          <w:numId w:val="6"/>
        </w:numPr>
        <w:spacing w:line="360" w:lineRule="auto"/>
        <w:ind w:firstLine="480"/>
        <w:rPr>
          <w:rFonts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本项目拟投资4000万元，租赁生产车间一栋（2F）。</w:t>
      </w:r>
    </w:p>
    <w:p w14:paraId="4CD1A68E">
      <w:pPr>
        <w:numPr>
          <w:ilvl w:val="0"/>
          <w:numId w:val="6"/>
        </w:numPr>
        <w:spacing w:line="360" w:lineRule="auto"/>
        <w:ind w:firstLine="480"/>
        <w:rPr>
          <w:rFonts w:ascii="Times New Roman" w:hAnsi="Times New Roman" w:eastAsia="宋体" w:cs="Times New Roman"/>
          <w:bCs/>
          <w:kern w:val="0"/>
          <w:sz w:val="24"/>
        </w:rPr>
      </w:pPr>
      <w:r>
        <w:rPr>
          <w:rFonts w:hint="eastAsia" w:ascii="Times New Roman" w:hAnsi="Times New Roman" w:eastAsia="宋体" w:cs="Times New Roman"/>
          <w:bCs/>
          <w:kern w:val="0"/>
          <w:sz w:val="24"/>
        </w:rPr>
        <w:t>本</w:t>
      </w:r>
      <w:r>
        <w:rPr>
          <w:rFonts w:ascii="Times New Roman" w:hAnsi="Times New Roman" w:eastAsia="宋体" w:cs="Times New Roman"/>
          <w:bCs/>
          <w:kern w:val="0"/>
          <w:sz w:val="24"/>
        </w:rPr>
        <w:t>项目</w:t>
      </w:r>
      <w:r>
        <w:rPr>
          <w:rFonts w:hint="eastAsia" w:ascii="Times New Roman" w:hAnsi="Times New Roman" w:eastAsia="宋体" w:cs="Times New Roman"/>
          <w:bCs/>
          <w:kern w:val="0"/>
          <w:sz w:val="24"/>
        </w:rPr>
        <w:t>木材</w:t>
      </w:r>
      <w:r>
        <w:rPr>
          <w:rFonts w:ascii="Times New Roman" w:hAnsi="Times New Roman" w:eastAsia="宋体" w:cs="Times New Roman"/>
          <w:bCs/>
          <w:kern w:val="0"/>
          <w:sz w:val="24"/>
        </w:rPr>
        <w:t>加工产生的粉尘经中央除尘系统收集处理后经15m高排气筒排放</w:t>
      </w:r>
      <w:r>
        <w:rPr>
          <w:rFonts w:hint="eastAsia" w:ascii="Times New Roman" w:hAnsi="Times New Roman" w:eastAsia="宋体" w:cs="Times New Roman"/>
          <w:bCs/>
          <w:kern w:val="0"/>
          <w:sz w:val="24"/>
        </w:rPr>
        <w:t>（DA001）</w:t>
      </w:r>
      <w:r>
        <w:rPr>
          <w:rFonts w:ascii="Times New Roman" w:hAnsi="Times New Roman" w:eastAsia="宋体" w:cs="Times New Roman"/>
          <w:bCs/>
          <w:kern w:val="0"/>
          <w:sz w:val="24"/>
        </w:rPr>
        <w:t>；</w:t>
      </w:r>
      <w:r>
        <w:rPr>
          <w:rFonts w:hint="eastAsia" w:ascii="Times New Roman" w:hAnsi="Times New Roman" w:eastAsia="宋体" w:cs="Times New Roman"/>
          <w:bCs/>
          <w:kern w:val="0"/>
          <w:sz w:val="24"/>
        </w:rPr>
        <w:t>修正油磨粉尘经负压收集脉冲布袋除尘器</w:t>
      </w:r>
      <w:r>
        <w:rPr>
          <w:rFonts w:hint="eastAsia" w:ascii="Times New Roman" w:hAnsi="Times New Roman" w:eastAsia="宋体" w:cs="Times New Roman"/>
          <w:bCs/>
          <w:kern w:val="0"/>
          <w:sz w:val="24"/>
          <w:lang w:val="en-US" w:eastAsia="zh-CN"/>
        </w:rPr>
        <w:t>处理后排放</w:t>
      </w:r>
      <w:r>
        <w:rPr>
          <w:rFonts w:hint="eastAsia" w:ascii="Times New Roman" w:hAnsi="Times New Roman" w:eastAsia="宋体" w:cs="Times New Roman"/>
          <w:bCs/>
          <w:kern w:val="0"/>
          <w:sz w:val="24"/>
        </w:rPr>
        <w:t>；</w:t>
      </w:r>
      <w:r>
        <w:rPr>
          <w:rFonts w:hint="eastAsia" w:ascii="Times New Roman" w:hAnsi="Times New Roman" w:eastAsia="宋体" w:cs="Times New Roman"/>
          <w:bCs/>
          <w:kern w:val="0"/>
          <w:sz w:val="24"/>
          <w:lang w:val="en-US" w:eastAsia="zh-CN"/>
        </w:rPr>
        <w:t>喷</w:t>
      </w:r>
      <w:r>
        <w:rPr>
          <w:rFonts w:hint="eastAsia" w:ascii="Times New Roman" w:hAnsi="Times New Roman" w:eastAsia="宋体" w:cs="Times New Roman"/>
          <w:bCs/>
          <w:kern w:val="0"/>
          <w:sz w:val="24"/>
        </w:rPr>
        <w:t>漆房（含调漆、晾干）废气</w:t>
      </w:r>
      <w:r>
        <w:rPr>
          <w:rFonts w:hint="eastAsia" w:ascii="Times New Roman" w:hAnsi="Times New Roman" w:eastAsia="宋体" w:cs="Times New Roman"/>
          <w:bCs/>
          <w:kern w:val="0"/>
          <w:sz w:val="24"/>
          <w:lang w:val="en-US" w:eastAsia="zh-CN"/>
        </w:rPr>
        <w:t>经</w:t>
      </w:r>
      <w:r>
        <w:rPr>
          <w:rFonts w:hint="eastAsia" w:ascii="Times New Roman" w:hAnsi="Times New Roman" w:eastAsia="宋体" w:cs="Times New Roman"/>
          <w:bCs/>
          <w:kern w:val="0"/>
          <w:sz w:val="24"/>
        </w:rPr>
        <w:t>水幕帘+漆雾过滤器+活性炭吸附—脱附催化燃烧+15m排气筒（DA00</w:t>
      </w:r>
      <w:r>
        <w:rPr>
          <w:rFonts w:hint="eastAsia" w:ascii="Times New Roman" w:hAnsi="Times New Roman" w:eastAsia="宋体" w:cs="Times New Roman"/>
          <w:bCs/>
          <w:kern w:val="0"/>
          <w:sz w:val="24"/>
          <w:lang w:val="en-US" w:eastAsia="zh-CN"/>
        </w:rPr>
        <w:t>2</w:t>
      </w:r>
      <w:r>
        <w:rPr>
          <w:rFonts w:hint="eastAsia" w:ascii="Times New Roman" w:hAnsi="Times New Roman" w:eastAsia="宋体" w:cs="Times New Roman"/>
          <w:bCs/>
          <w:kern w:val="0"/>
          <w:sz w:val="24"/>
        </w:rPr>
        <w:t>）</w:t>
      </w:r>
      <w:r>
        <w:rPr>
          <w:rFonts w:hint="eastAsia" w:ascii="Times New Roman" w:hAnsi="Times New Roman" w:eastAsia="宋体" w:cs="Times New Roman"/>
          <w:bCs/>
          <w:kern w:val="0"/>
          <w:sz w:val="24"/>
          <w:lang w:eastAsia="zh-CN"/>
        </w:rPr>
        <w:t>，</w:t>
      </w:r>
      <w:r>
        <w:rPr>
          <w:rFonts w:hint="eastAsia" w:ascii="Times New Roman" w:hAnsi="Times New Roman" w:eastAsia="宋体" w:cs="Times New Roman"/>
          <w:bCs/>
          <w:kern w:val="0"/>
          <w:sz w:val="24"/>
        </w:rPr>
        <w:t>拼板冷压、封边、热压、擦色</w:t>
      </w:r>
      <w:r>
        <w:rPr>
          <w:rFonts w:hint="eastAsia" w:ascii="Times New Roman" w:hAnsi="Times New Roman" w:eastAsia="宋体" w:cs="Times New Roman"/>
          <w:bCs/>
          <w:kern w:val="0"/>
          <w:sz w:val="24"/>
          <w:lang w:val="en-US" w:eastAsia="zh-CN"/>
        </w:rPr>
        <w:t>废气引入喷漆房配套</w:t>
      </w:r>
      <w:r>
        <w:rPr>
          <w:rFonts w:hint="eastAsia" w:ascii="Times New Roman" w:hAnsi="Times New Roman" w:eastAsia="宋体" w:cs="Times New Roman"/>
          <w:bCs/>
          <w:kern w:val="0"/>
          <w:sz w:val="24"/>
        </w:rPr>
        <w:t>活性炭吸附—脱附催化燃烧+15m排气筒</w:t>
      </w:r>
      <w:r>
        <w:rPr>
          <w:rFonts w:ascii="Times New Roman" w:hAnsi="Times New Roman" w:eastAsia="宋体" w:cs="Times New Roman"/>
          <w:bCs/>
          <w:kern w:val="0"/>
          <w:sz w:val="24"/>
        </w:rPr>
        <w:t>。</w:t>
      </w:r>
    </w:p>
    <w:p w14:paraId="713F3640">
      <w:pPr>
        <w:spacing w:line="360" w:lineRule="auto"/>
        <w:ind w:firstLine="480" w:firstLineChars="200"/>
        <w:rPr>
          <w:rFonts w:ascii="Times New Roman" w:hAnsi="Times New Roman" w:eastAsia="宋体" w:cs="Times New Roman"/>
          <w:color w:val="0000FF"/>
          <w:sz w:val="24"/>
          <w:u w:val="single"/>
        </w:rPr>
      </w:pPr>
      <w:r>
        <w:rPr>
          <w:rFonts w:hint="eastAsia" w:ascii="Times New Roman" w:hAnsi="Times New Roman" w:eastAsia="宋体" w:cs="Times New Roman"/>
          <w:bCs/>
          <w:kern w:val="0"/>
          <w:sz w:val="24"/>
        </w:rPr>
        <w:t>（5）生活污水经化粪池处理、水帘废水经厂内污水处理站处理后一并通过厂区废水总排口接管进入清丰中州水务有限公司第二污水处理厂，尾水排入潴龙河。</w:t>
      </w:r>
    </w:p>
    <w:p w14:paraId="705C58B9">
      <w:pPr>
        <w:spacing w:line="360" w:lineRule="auto"/>
        <w:ind w:firstLine="480" w:firstLineChars="200"/>
        <w:rPr>
          <w:rFonts w:ascii="Times New Roman" w:hAnsi="Times New Roman" w:eastAsia="宋体" w:cs="Times New Roman"/>
          <w:bCs/>
          <w:color w:val="0000FF"/>
          <w:kern w:val="0"/>
          <w:sz w:val="24"/>
          <w:highlight w:val="yellow"/>
          <w:u w:val="single"/>
        </w:rPr>
      </w:pPr>
      <w:r>
        <w:rPr>
          <w:rFonts w:hint="eastAsia" w:ascii="Times New Roman" w:hAnsi="Times New Roman" w:eastAsia="宋体" w:cs="Times New Roman"/>
          <w:bCs/>
          <w:kern w:val="0"/>
          <w:sz w:val="24"/>
        </w:rPr>
        <w:t>（6）本项目固废分为生活垃圾、一般工业固废和危险废物。生活垃圾定期交由环卫部门统一处理；</w:t>
      </w:r>
      <w:r>
        <w:rPr>
          <w:rFonts w:ascii="Times New Roman" w:hAnsi="Times New Roman" w:eastAsia="宋体" w:cs="Times New Roman"/>
          <w:bCs/>
          <w:kern w:val="0"/>
          <w:sz w:val="24"/>
        </w:rPr>
        <w:t>木材加工过程中产生的木屑、废边角废料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废包装材料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除尘器收集的粉尘</w:t>
      </w:r>
      <w:r>
        <w:rPr>
          <w:rFonts w:hint="eastAsia" w:ascii="Times New Roman" w:hAnsi="Times New Roman" w:eastAsia="宋体" w:cs="Times New Roman"/>
          <w:bCs/>
          <w:kern w:val="0"/>
          <w:sz w:val="24"/>
        </w:rPr>
        <w:t>收集后外售；废破损包装桶（废油漆桶、废胶桶、稀释剂桶）、水帘漆渣、油磨漆渣、污水处理过程产生的絮状沉淀物、废活性炭、喷枪清洗废水、废催化剂、废机油、过滤棉分别交由相应资质单位处理。</w:t>
      </w:r>
    </w:p>
    <w:p w14:paraId="10B010CF">
      <w:pPr>
        <w:pStyle w:val="4"/>
        <w:numPr>
          <w:ilvl w:val="2"/>
          <w:numId w:val="5"/>
        </w:numPr>
        <w:tabs>
          <w:tab w:val="clear" w:pos="0"/>
        </w:tabs>
      </w:pPr>
      <w:r>
        <w:t>环境特点</w:t>
      </w:r>
    </w:p>
    <w:p w14:paraId="7D4EA3EE">
      <w:pPr>
        <w:numPr>
          <w:ilvl w:val="0"/>
          <w:numId w:val="7"/>
        </w:numPr>
        <w:spacing w:line="360" w:lineRule="auto"/>
        <w:ind w:firstLine="512" w:firstLineChars="200"/>
        <w:rPr>
          <w:rFonts w:ascii="Times New Roman" w:hAnsi="Times New Roman" w:eastAsia="宋体" w:cs="Times New Roman"/>
          <w:bCs/>
          <w:sz w:val="24"/>
          <w:szCs w:val="22"/>
        </w:rPr>
      </w:pPr>
      <w:r>
        <w:rPr>
          <w:rFonts w:ascii="Times New Roman" w:hAnsi="Times New Roman" w:eastAsia="宋体" w:cs="Times New Roman"/>
          <w:spacing w:val="8"/>
          <w:kern w:val="0"/>
          <w:sz w:val="24"/>
          <w:szCs w:val="22"/>
        </w:rPr>
        <w:t>本项目位于</w:t>
      </w:r>
      <w:r>
        <w:rPr>
          <w:rFonts w:hint="eastAsia" w:ascii="Times New Roman" w:hAnsi="Times New Roman" w:eastAsia="宋体" w:cs="Times New Roman"/>
          <w:bCs/>
          <w:kern w:val="0"/>
          <w:sz w:val="24"/>
        </w:rPr>
        <w:t>濮阳市清丰县产业集聚区人民路南侧、建设路东侧6号（</w:t>
      </w:r>
      <w:r>
        <w:rPr>
          <w:rFonts w:ascii="Times New Roman" w:hAnsi="Times New Roman" w:eastAsia="宋体" w:cs="Times New Roman"/>
          <w:bCs/>
          <w:kern w:val="0"/>
          <w:sz w:val="24"/>
        </w:rPr>
        <w:t>中心坐标</w:t>
      </w:r>
      <w:r>
        <w:rPr>
          <w:rFonts w:ascii="Times New Roman" w:hAnsi="Times New Roman" w:eastAsia="宋体" w:cs="Times New Roman"/>
          <w:bCs/>
          <w:color w:val="auto"/>
          <w:kern w:val="0"/>
          <w:sz w:val="24"/>
        </w:rPr>
        <w:t>为东经115.133010</w:t>
      </w:r>
      <w:r>
        <w:rPr>
          <w:rFonts w:hint="eastAsia" w:ascii="Times New Roman" w:hAnsi="Times New Roman" w:eastAsia="宋体" w:cs="Times New Roman"/>
          <w:bCs/>
          <w:color w:val="auto"/>
          <w:kern w:val="0"/>
          <w:sz w:val="24"/>
          <w:highlight w:val="none"/>
        </w:rPr>
        <w:t>°</w:t>
      </w:r>
      <w:r>
        <w:rPr>
          <w:rFonts w:hint="eastAsia" w:ascii="Times New Roman" w:hAnsi="Times New Roman" w:eastAsia="宋体" w:cs="Times New Roman"/>
          <w:bCs/>
          <w:color w:val="auto"/>
          <w:kern w:val="0"/>
          <w:sz w:val="24"/>
          <w:lang w:eastAsia="zh-CN"/>
        </w:rPr>
        <w:t>，</w:t>
      </w:r>
      <w:r>
        <w:rPr>
          <w:rFonts w:ascii="Times New Roman" w:hAnsi="Times New Roman" w:eastAsia="宋体" w:cs="Times New Roman"/>
          <w:bCs/>
          <w:color w:val="auto"/>
          <w:kern w:val="0"/>
          <w:sz w:val="24"/>
        </w:rPr>
        <w:t>北纬35.8769</w:t>
      </w:r>
      <w:r>
        <w:rPr>
          <w:rFonts w:ascii="Times New Roman" w:hAnsi="Times New Roman" w:eastAsia="宋体" w:cs="Times New Roman"/>
          <w:bCs/>
          <w:color w:val="auto"/>
          <w:kern w:val="0"/>
          <w:sz w:val="24"/>
          <w:highlight w:val="none"/>
        </w:rPr>
        <w:t>45</w:t>
      </w:r>
      <w:r>
        <w:rPr>
          <w:rFonts w:hint="eastAsia" w:ascii="Times New Roman" w:hAnsi="Times New Roman" w:eastAsia="宋体" w:cs="Times New Roman"/>
          <w:bCs/>
          <w:color w:val="auto"/>
          <w:kern w:val="0"/>
          <w:sz w:val="24"/>
          <w:highlight w:val="none"/>
        </w:rPr>
        <w:t>°）</w:t>
      </w:r>
      <w:r>
        <w:rPr>
          <w:rFonts w:hint="eastAsia" w:ascii="Times New Roman" w:hAnsi="Times New Roman" w:eastAsia="宋体" w:cs="Times New Roman"/>
          <w:bCs/>
          <w:kern w:val="0"/>
          <w:sz w:val="24"/>
        </w:rPr>
        <w:t>。</w:t>
      </w:r>
      <w:r>
        <w:rPr>
          <w:rFonts w:ascii="Times New Roman" w:hAnsi="Times New Roman" w:eastAsia="宋体" w:cs="Times New Roman"/>
          <w:bCs/>
          <w:sz w:val="24"/>
        </w:rPr>
        <w:t>厂区</w:t>
      </w:r>
      <w:r>
        <w:rPr>
          <w:rFonts w:ascii="Times New Roman" w:hAnsi="Times New Roman" w:cs="Times New Roman"/>
          <w:bCs/>
          <w:sz w:val="24"/>
        </w:rPr>
        <w:t>东侧为</w:t>
      </w:r>
      <w:r>
        <w:rPr>
          <w:rFonts w:hint="eastAsia" w:ascii="Times New Roman" w:hAnsi="Times New Roman" w:cs="Times New Roman"/>
          <w:bCs/>
          <w:sz w:val="24"/>
        </w:rPr>
        <w:t>建设路</w:t>
      </w:r>
      <w:r>
        <w:rPr>
          <w:rFonts w:ascii="Times New Roman" w:hAnsi="Times New Roman" w:cs="Times New Roman"/>
          <w:bCs/>
          <w:sz w:val="24"/>
        </w:rPr>
        <w:t>，南侧为</w:t>
      </w:r>
      <w:r>
        <w:rPr>
          <w:rFonts w:hint="eastAsia" w:ascii="Times New Roman" w:hAnsi="Times New Roman" w:cs="Times New Roman"/>
          <w:bCs/>
          <w:sz w:val="24"/>
        </w:rPr>
        <w:t>空地</w:t>
      </w:r>
      <w:r>
        <w:rPr>
          <w:rFonts w:ascii="Times New Roman" w:hAnsi="Times New Roman" w:cs="Times New Roman"/>
          <w:bCs/>
          <w:sz w:val="24"/>
        </w:rPr>
        <w:t>，西侧为</w:t>
      </w:r>
      <w:r>
        <w:rPr>
          <w:rFonts w:hint="eastAsia" w:ascii="Times New Roman" w:hAnsi="Times New Roman" w:cs="Times New Roman"/>
          <w:bCs/>
          <w:sz w:val="24"/>
        </w:rPr>
        <w:t>河南好风景家具有限公司</w:t>
      </w:r>
      <w:r>
        <w:rPr>
          <w:rFonts w:ascii="Times New Roman" w:hAnsi="Times New Roman" w:cs="Times New Roman"/>
          <w:bCs/>
          <w:sz w:val="24"/>
        </w:rPr>
        <w:t>，北侧为</w:t>
      </w:r>
      <w:r>
        <w:rPr>
          <w:rFonts w:hint="eastAsia" w:ascii="Times New Roman" w:hAnsi="Times New Roman" w:cs="Times New Roman"/>
          <w:bCs/>
          <w:sz w:val="24"/>
        </w:rPr>
        <w:t>伯艺精木家具有限公司</w:t>
      </w:r>
      <w:r>
        <w:rPr>
          <w:rFonts w:ascii="Times New Roman" w:hAnsi="Times New Roman" w:cs="Times New Roman"/>
          <w:bCs/>
          <w:sz w:val="24"/>
        </w:rPr>
        <w:t>。</w:t>
      </w:r>
      <w:r>
        <w:rPr>
          <w:rFonts w:ascii="Times New Roman" w:hAnsi="Times New Roman" w:eastAsia="宋体" w:cs="Times New Roman"/>
          <w:bCs/>
          <w:sz w:val="24"/>
        </w:rPr>
        <w:t>最近环境保护目标为</w:t>
      </w:r>
      <w:r>
        <w:rPr>
          <w:rFonts w:hint="eastAsia" w:ascii="Times New Roman" w:hAnsi="Times New Roman" w:cs="Times New Roman"/>
          <w:bCs/>
          <w:sz w:val="24"/>
        </w:rPr>
        <w:t>本项目</w:t>
      </w:r>
      <w:r>
        <w:rPr>
          <w:rFonts w:ascii="Times New Roman" w:hAnsi="Times New Roman" w:cs="Times New Roman"/>
          <w:bCs/>
          <w:sz w:val="24"/>
        </w:rPr>
        <w:t>东</w:t>
      </w:r>
      <w:r>
        <w:rPr>
          <w:rFonts w:hint="eastAsia" w:ascii="Times New Roman" w:hAnsi="Times New Roman" w:cs="Times New Roman"/>
          <w:bCs/>
          <w:sz w:val="24"/>
        </w:rPr>
        <w:t>北</w:t>
      </w:r>
      <w:r>
        <w:rPr>
          <w:rFonts w:ascii="Times New Roman" w:hAnsi="Times New Roman" w:cs="Times New Roman"/>
          <w:bCs/>
          <w:sz w:val="24"/>
        </w:rPr>
        <w:t>侧</w:t>
      </w:r>
      <w:r>
        <w:rPr>
          <w:rFonts w:hint="eastAsia" w:ascii="Times New Roman" w:hAnsi="Times New Roman" w:cs="Times New Roman"/>
          <w:bCs/>
          <w:sz w:val="24"/>
        </w:rPr>
        <w:t>197</w:t>
      </w:r>
      <w:r>
        <w:rPr>
          <w:rFonts w:ascii="Times New Roman" w:hAnsi="Times New Roman" w:eastAsia="宋体" w:cs="Times New Roman"/>
          <w:bCs/>
          <w:sz w:val="24"/>
        </w:rPr>
        <w:t>m处的</w:t>
      </w:r>
      <w:r>
        <w:rPr>
          <w:rFonts w:hint="eastAsia" w:ascii="Times New Roman" w:hAnsi="Times New Roman" w:cs="Times New Roman"/>
          <w:bCs/>
          <w:sz w:val="24"/>
        </w:rPr>
        <w:t>骆家村</w:t>
      </w:r>
      <w:r>
        <w:rPr>
          <w:rFonts w:hint="eastAsia" w:ascii="Times New Roman" w:hAnsi="Times New Roman" w:eastAsia="宋体" w:cs="Times New Roman"/>
          <w:bCs/>
          <w:sz w:val="24"/>
        </w:rPr>
        <w:t>。</w:t>
      </w:r>
      <w:r>
        <w:rPr>
          <w:rFonts w:ascii="Times New Roman" w:hAnsi="Times New Roman" w:eastAsia="宋体" w:cs="Times New Roman"/>
          <w:bCs/>
          <w:sz w:val="24"/>
        </w:rPr>
        <w:t>周边主要水体为</w:t>
      </w:r>
      <w:r>
        <w:rPr>
          <w:rFonts w:hint="eastAsia" w:ascii="Times New Roman" w:hAnsi="Times New Roman" w:eastAsia="宋体" w:cs="Times New Roman"/>
          <w:bCs/>
          <w:sz w:val="24"/>
        </w:rPr>
        <w:t>东南</w:t>
      </w:r>
      <w:r>
        <w:rPr>
          <w:rFonts w:ascii="Times New Roman" w:hAnsi="Times New Roman" w:eastAsia="宋体" w:cs="Times New Roman"/>
          <w:bCs/>
          <w:sz w:val="24"/>
        </w:rPr>
        <w:t>侧</w:t>
      </w:r>
      <w:r>
        <w:rPr>
          <w:rFonts w:hint="eastAsia" w:ascii="Times New Roman" w:hAnsi="Times New Roman" w:eastAsia="宋体" w:cs="Times New Roman"/>
          <w:bCs/>
          <w:sz w:val="24"/>
        </w:rPr>
        <w:t>河流（潴龙河）</w:t>
      </w:r>
      <w:r>
        <w:rPr>
          <w:rFonts w:ascii="Times New Roman" w:hAnsi="Times New Roman" w:eastAsia="宋体" w:cs="Times New Roman"/>
          <w:bCs/>
          <w:sz w:val="24"/>
        </w:rPr>
        <w:t>。</w:t>
      </w:r>
    </w:p>
    <w:p w14:paraId="6C306C3D">
      <w:pPr>
        <w:numPr>
          <w:ilvl w:val="0"/>
          <w:numId w:val="7"/>
        </w:numPr>
        <w:spacing w:line="360" w:lineRule="auto"/>
        <w:ind w:firstLine="480" w:firstLineChars="200"/>
        <w:rPr>
          <w:rFonts w:ascii="Times New Roman" w:hAnsi="Times New Roman" w:eastAsia="宋体" w:cs="Times New Roman"/>
          <w:bCs/>
          <w:sz w:val="24"/>
          <w:szCs w:val="22"/>
        </w:rPr>
      </w:pPr>
      <w:r>
        <w:rPr>
          <w:rFonts w:ascii="Times New Roman" w:hAnsi="Times New Roman" w:eastAsia="宋体" w:cs="Times New Roman"/>
          <w:bCs/>
          <w:sz w:val="24"/>
          <w:szCs w:val="22"/>
        </w:rPr>
        <w:t>项目所在地大气功能区划为二类区。</w:t>
      </w:r>
    </w:p>
    <w:p w14:paraId="417EECC4">
      <w:pPr>
        <w:numPr>
          <w:ilvl w:val="0"/>
          <w:numId w:val="7"/>
        </w:numPr>
        <w:spacing w:line="360" w:lineRule="auto"/>
        <w:ind w:firstLine="480" w:firstLineChars="200"/>
        <w:rPr>
          <w:rFonts w:ascii="Times New Roman" w:hAnsi="Times New Roman" w:eastAsia="宋体" w:cs="Times New Roman"/>
          <w:bCs/>
          <w:sz w:val="24"/>
          <w:szCs w:val="22"/>
        </w:rPr>
      </w:pPr>
      <w:r>
        <w:rPr>
          <w:rFonts w:ascii="Times New Roman" w:hAnsi="Times New Roman" w:eastAsia="宋体" w:cs="Times New Roman"/>
          <w:bCs/>
          <w:sz w:val="24"/>
          <w:szCs w:val="22"/>
        </w:rPr>
        <w:t>本项目拟建地位于</w:t>
      </w:r>
      <w:r>
        <w:rPr>
          <w:rFonts w:hint="eastAsia" w:ascii="Times New Roman" w:hAnsi="Times New Roman" w:eastAsia="宋体" w:cs="Times New Roman"/>
          <w:bCs/>
          <w:kern w:val="0"/>
          <w:sz w:val="24"/>
        </w:rPr>
        <w:t>濮阳市清丰县河南省濮阳市清丰县产业集聚区人民路南侧、建设路东侧6号</w:t>
      </w:r>
      <w:r>
        <w:rPr>
          <w:rFonts w:ascii="Times New Roman" w:hAnsi="Times New Roman" w:eastAsia="宋体" w:cs="Times New Roman"/>
          <w:bCs/>
          <w:sz w:val="24"/>
        </w:rPr>
        <w:t>；</w:t>
      </w:r>
      <w:r>
        <w:rPr>
          <w:rFonts w:ascii="Times New Roman" w:hAnsi="Times New Roman" w:eastAsia="宋体" w:cs="Times New Roman"/>
          <w:bCs/>
          <w:sz w:val="24"/>
          <w:szCs w:val="22"/>
        </w:rPr>
        <w:t>根据</w:t>
      </w:r>
      <w:r>
        <w:rPr>
          <w:rFonts w:ascii="Times New Roman" w:hAnsi="Times New Roman" w:eastAsia="宋体" w:cs="Times New Roman"/>
          <w:sz w:val="24"/>
          <w:shd w:val="clear" w:color="auto" w:fill="FFFFFF"/>
        </w:rPr>
        <w:t>《</w:t>
      </w:r>
      <w:r>
        <w:rPr>
          <w:rFonts w:hint="eastAsia" w:eastAsia="宋体" w:cs="Times New Roman"/>
          <w:sz w:val="24"/>
          <w:shd w:val="clear" w:color="auto" w:fill="FFFFFF"/>
        </w:rPr>
        <w:t>河南</w:t>
      </w:r>
      <w:r>
        <w:rPr>
          <w:rFonts w:ascii="Times New Roman" w:hAnsi="Times New Roman" w:eastAsia="宋体" w:cs="Times New Roman"/>
          <w:sz w:val="24"/>
          <w:shd w:val="clear" w:color="auto" w:fill="FFFFFF"/>
        </w:rPr>
        <w:t>省</w:t>
      </w:r>
      <w:r>
        <w:rPr>
          <w:rFonts w:hint="eastAsia" w:eastAsia="宋体" w:cs="Times New Roman"/>
          <w:sz w:val="24"/>
          <w:shd w:val="clear" w:color="auto" w:fill="FFFFFF"/>
        </w:rPr>
        <w:t>人民政府关于实施</w:t>
      </w:r>
      <w:r>
        <w:rPr>
          <w:rFonts w:hint="eastAsia" w:ascii="宋体" w:hAnsi="宋体" w:eastAsia="宋体" w:cs="宋体"/>
          <w:sz w:val="24"/>
          <w:shd w:val="clear" w:color="auto" w:fill="FFFFFF"/>
        </w:rPr>
        <w:t>“三线一单”</w:t>
      </w:r>
      <w:r>
        <w:rPr>
          <w:rFonts w:ascii="Times New Roman" w:hAnsi="Times New Roman" w:eastAsia="宋体" w:cs="Times New Roman"/>
          <w:sz w:val="24"/>
          <w:shd w:val="clear" w:color="auto" w:fill="FFFFFF"/>
        </w:rPr>
        <w:t>生态环境分区管控</w:t>
      </w:r>
      <w:r>
        <w:rPr>
          <w:rFonts w:hint="eastAsia" w:eastAsia="宋体" w:cs="Times New Roman"/>
          <w:sz w:val="24"/>
          <w:shd w:val="clear" w:color="auto" w:fill="FFFFFF"/>
        </w:rPr>
        <w:t>的意见</w:t>
      </w:r>
      <w:r>
        <w:rPr>
          <w:rFonts w:ascii="Times New Roman" w:hAnsi="Times New Roman" w:eastAsia="宋体" w:cs="Times New Roman"/>
          <w:sz w:val="24"/>
          <w:shd w:val="clear" w:color="auto" w:fill="FFFFFF"/>
        </w:rPr>
        <w:t>》（豫政〔2020〕37号）</w:t>
      </w:r>
      <w:r>
        <w:rPr>
          <w:rFonts w:ascii="Times New Roman" w:hAnsi="Times New Roman" w:eastAsia="宋体" w:cs="Times New Roman"/>
          <w:bCs/>
          <w:sz w:val="24"/>
          <w:szCs w:val="22"/>
        </w:rPr>
        <w:t>，拟建项目所在地</w:t>
      </w:r>
      <w:r>
        <w:rPr>
          <w:rFonts w:ascii="Times New Roman" w:hAnsi="Times New Roman" w:eastAsia="宋体" w:cs="Times New Roman"/>
          <w:sz w:val="24"/>
          <w:shd w:val="clear" w:color="auto" w:fill="FFFFFF"/>
        </w:rPr>
        <w:t>属于重点管控单元</w:t>
      </w:r>
      <w:r>
        <w:rPr>
          <w:rFonts w:hint="eastAsia" w:ascii="Times New Roman" w:hAnsi="Times New Roman" w:eastAsia="宋体" w:cs="Times New Roman"/>
          <w:bCs/>
          <w:sz w:val="24"/>
          <w:szCs w:val="22"/>
        </w:rPr>
        <w:t>；</w:t>
      </w:r>
      <w:r>
        <w:rPr>
          <w:rFonts w:hint="default" w:ascii="Times New Roman" w:hAnsi="Times New Roman" w:eastAsia="宋体" w:cs="Times New Roman"/>
          <w:b w:val="0"/>
          <w:bCs w:val="0"/>
          <w:sz w:val="24"/>
          <w:szCs w:val="24"/>
          <w:u w:val="none"/>
          <w:lang w:val="en-US" w:eastAsia="zh-CN"/>
        </w:rPr>
        <w:t>根据《濮阳市“三线一单”生态环境分区管控实施方案》（濮政</w:t>
      </w:r>
      <w:r>
        <w:rPr>
          <w:rFonts w:hint="default" w:ascii="Times New Roman" w:hAnsi="Times New Roman" w:cs="Times New Roman"/>
          <w:kern w:val="0"/>
          <w:sz w:val="24"/>
          <w:szCs w:val="24"/>
        </w:rPr>
        <w:t>〔20</w:t>
      </w:r>
      <w:r>
        <w:rPr>
          <w:rFonts w:hint="eastAsia" w:ascii="Times New Roman" w:hAnsi="Times New Roman" w:cs="Times New Roman"/>
          <w:kern w:val="0"/>
          <w:sz w:val="24"/>
          <w:szCs w:val="24"/>
          <w:lang w:val="en-US" w:eastAsia="zh-CN"/>
        </w:rPr>
        <w:t>21</w:t>
      </w:r>
      <w:r>
        <w:rPr>
          <w:rFonts w:hint="default" w:ascii="Times New Roman" w:hAnsi="Times New Roman" w:cs="Times New Roman"/>
          <w:kern w:val="0"/>
          <w:sz w:val="24"/>
          <w:szCs w:val="24"/>
        </w:rPr>
        <w:t>〕</w:t>
      </w:r>
      <w:r>
        <w:rPr>
          <w:rFonts w:hint="default" w:ascii="Times New Roman" w:hAnsi="Times New Roman" w:eastAsia="宋体" w:cs="Times New Roman"/>
          <w:b w:val="0"/>
          <w:bCs w:val="0"/>
          <w:sz w:val="24"/>
          <w:szCs w:val="24"/>
          <w:u w:val="none"/>
          <w:lang w:val="en-US" w:eastAsia="zh-CN"/>
        </w:rPr>
        <w:t>21号文）</w:t>
      </w:r>
      <w:r>
        <w:rPr>
          <w:rFonts w:hint="eastAsia" w:ascii="Times New Roman" w:hAnsi="Times New Roman" w:eastAsia="宋体" w:cs="Times New Roman"/>
          <w:b w:val="0"/>
          <w:bCs w:val="0"/>
          <w:sz w:val="24"/>
          <w:szCs w:val="24"/>
          <w:u w:val="none"/>
          <w:lang w:val="en-US" w:eastAsia="zh-CN"/>
        </w:rPr>
        <w:t>、濮阳市生态环境局关于发布“三线一单”生态环境分区管控。</w:t>
      </w:r>
    </w:p>
    <w:p w14:paraId="44979A79">
      <w:pPr>
        <w:pStyle w:val="3"/>
      </w:pPr>
      <w:bookmarkStart w:id="5" w:name="_Toc5938"/>
      <w:bookmarkStart w:id="6" w:name="_Toc605"/>
      <w:r>
        <w:t>环境影响评价的工作过程</w:t>
      </w:r>
      <w:bookmarkEnd w:id="5"/>
      <w:bookmarkEnd w:id="6"/>
    </w:p>
    <w:p w14:paraId="56511A20">
      <w:pPr>
        <w:snapToGrid w:val="0"/>
        <w:spacing w:line="360" w:lineRule="auto"/>
        <w:ind w:firstLine="480" w:firstLineChars="200"/>
        <w:jc w:val="left"/>
        <w:rPr>
          <w:rFonts w:ascii="Times New Roman" w:hAnsi="Times New Roman" w:eastAsia="宋体" w:cs="Times New Roman"/>
          <w:sz w:val="24"/>
          <w:lang w:bidi="ar"/>
        </w:rPr>
      </w:pPr>
      <w:r>
        <w:rPr>
          <w:rFonts w:hint="eastAsia" w:ascii="Times New Roman" w:hAnsi="Times New Roman" w:eastAsia="宋体" w:cs="Times New Roman"/>
          <w:sz w:val="24"/>
          <w:lang w:bidi="ar"/>
        </w:rPr>
        <w:t>1、</w:t>
      </w:r>
      <w:r>
        <w:rPr>
          <w:rFonts w:ascii="Times New Roman" w:hAnsi="Times New Roman" w:eastAsia="宋体" w:cs="Times New Roman"/>
          <w:sz w:val="24"/>
          <w:lang w:bidi="ar"/>
        </w:rPr>
        <w:t>20</w:t>
      </w:r>
      <w:r>
        <w:rPr>
          <w:rFonts w:hint="eastAsia" w:ascii="Times New Roman" w:hAnsi="Times New Roman" w:eastAsia="宋体" w:cs="Times New Roman"/>
          <w:sz w:val="24"/>
          <w:lang w:bidi="ar"/>
        </w:rPr>
        <w:t>23</w:t>
      </w:r>
      <w:r>
        <w:rPr>
          <w:rFonts w:ascii="Times New Roman" w:hAnsi="Times New Roman" w:eastAsia="宋体" w:cs="Times New Roman"/>
          <w:sz w:val="24"/>
          <w:lang w:bidi="ar"/>
        </w:rPr>
        <w:t>年</w:t>
      </w:r>
      <w:r>
        <w:rPr>
          <w:rFonts w:hint="eastAsia" w:ascii="Times New Roman" w:hAnsi="Times New Roman" w:eastAsia="宋体" w:cs="Times New Roman"/>
          <w:sz w:val="24"/>
          <w:lang w:bidi="ar"/>
        </w:rPr>
        <w:t>3</w:t>
      </w:r>
      <w:r>
        <w:rPr>
          <w:rFonts w:ascii="Times New Roman" w:hAnsi="Times New Roman" w:eastAsia="宋体" w:cs="Times New Roman"/>
          <w:sz w:val="24"/>
          <w:lang w:bidi="ar"/>
        </w:rPr>
        <w:t>月，接受建设单位的委托，项目启动，环评单位对拟建厂址及周围环境情况进行了实地踏勘，并收集了相关资料；</w:t>
      </w:r>
    </w:p>
    <w:p w14:paraId="34A36DE2">
      <w:pPr>
        <w:snapToGrid w:val="0"/>
        <w:spacing w:line="360" w:lineRule="auto"/>
        <w:ind w:firstLine="480" w:firstLineChars="200"/>
        <w:jc w:val="left"/>
        <w:rPr>
          <w:rFonts w:ascii="Times New Roman" w:hAnsi="Times New Roman" w:eastAsia="宋体" w:cs="Times New Roman"/>
          <w:sz w:val="24"/>
          <w:lang w:bidi="ar"/>
        </w:rPr>
      </w:pPr>
      <w:r>
        <w:rPr>
          <w:rFonts w:hint="eastAsia" w:ascii="Times New Roman" w:hAnsi="Times New Roman" w:eastAsia="宋体" w:cs="Times New Roman"/>
          <w:sz w:val="24"/>
          <w:lang w:bidi="ar"/>
        </w:rPr>
        <w:t>2、</w:t>
      </w:r>
      <w:r>
        <w:rPr>
          <w:rFonts w:ascii="Times New Roman" w:hAnsi="Times New Roman" w:eastAsia="宋体" w:cs="Times New Roman"/>
          <w:sz w:val="24"/>
          <w:lang w:bidi="ar"/>
        </w:rPr>
        <w:t>环评单位进行初步工程分析，并开展项目周围环境状况调查等；</w:t>
      </w:r>
    </w:p>
    <w:p w14:paraId="3B47B1B9">
      <w:pPr>
        <w:snapToGrid w:val="0"/>
        <w:spacing w:line="360" w:lineRule="auto"/>
        <w:ind w:firstLine="480" w:firstLineChars="200"/>
        <w:jc w:val="left"/>
        <w:rPr>
          <w:rFonts w:ascii="Times New Roman" w:hAnsi="Times New Roman" w:eastAsia="宋体" w:cs="Times New Roman"/>
          <w:sz w:val="24"/>
          <w:lang w:bidi="ar"/>
        </w:rPr>
      </w:pPr>
      <w:r>
        <w:rPr>
          <w:rFonts w:hint="eastAsia" w:ascii="Times New Roman" w:hAnsi="Times New Roman" w:eastAsia="宋体" w:cs="Times New Roman"/>
          <w:sz w:val="24"/>
          <w:lang w:bidi="ar"/>
        </w:rPr>
        <w:t>3、</w:t>
      </w:r>
      <w:r>
        <w:rPr>
          <w:rFonts w:ascii="Times New Roman" w:hAnsi="Times New Roman" w:eastAsia="宋体" w:cs="Times New Roman"/>
          <w:sz w:val="24"/>
          <w:lang w:bidi="ar"/>
        </w:rPr>
        <w:t>环评单位依照前期工作的成果，明确评价等级、范围、标准以及环境保护目标，制定工作方案；</w:t>
      </w:r>
    </w:p>
    <w:p w14:paraId="1593190A">
      <w:pPr>
        <w:snapToGrid w:val="0"/>
        <w:spacing w:line="360" w:lineRule="auto"/>
        <w:ind w:firstLine="480" w:firstLineChars="200"/>
        <w:jc w:val="left"/>
        <w:rPr>
          <w:rFonts w:ascii="Times New Roman" w:hAnsi="Times New Roman" w:eastAsia="宋体" w:cs="Times New Roman"/>
          <w:sz w:val="24"/>
          <w:lang w:bidi="ar"/>
        </w:rPr>
      </w:pPr>
      <w:r>
        <w:rPr>
          <w:rFonts w:hint="eastAsia" w:ascii="Times New Roman" w:hAnsi="Times New Roman" w:eastAsia="宋体" w:cs="Times New Roman"/>
          <w:sz w:val="24"/>
          <w:lang w:bidi="ar"/>
        </w:rPr>
        <w:t>4、</w:t>
      </w:r>
      <w:r>
        <w:rPr>
          <w:rFonts w:ascii="Times New Roman" w:hAnsi="Times New Roman" w:eastAsia="宋体" w:cs="Times New Roman"/>
          <w:sz w:val="24"/>
          <w:lang w:bidi="ar"/>
        </w:rPr>
        <w:t>20</w:t>
      </w:r>
      <w:r>
        <w:rPr>
          <w:rFonts w:hint="eastAsia" w:ascii="Times New Roman" w:hAnsi="Times New Roman" w:eastAsia="宋体" w:cs="Times New Roman"/>
          <w:sz w:val="24"/>
          <w:lang w:bidi="ar"/>
        </w:rPr>
        <w:t>23</w:t>
      </w:r>
      <w:r>
        <w:rPr>
          <w:rFonts w:ascii="Times New Roman" w:hAnsi="Times New Roman" w:eastAsia="宋体" w:cs="Times New Roman"/>
          <w:sz w:val="24"/>
          <w:lang w:bidi="ar"/>
        </w:rPr>
        <w:t>年</w:t>
      </w:r>
      <w:r>
        <w:rPr>
          <w:rFonts w:hint="eastAsia" w:ascii="Times New Roman" w:hAnsi="Times New Roman" w:eastAsia="宋体" w:cs="Times New Roman"/>
          <w:sz w:val="24"/>
          <w:lang w:bidi="ar"/>
        </w:rPr>
        <w:t>3</w:t>
      </w:r>
      <w:r>
        <w:rPr>
          <w:rFonts w:ascii="Times New Roman" w:hAnsi="Times New Roman" w:eastAsia="宋体" w:cs="Times New Roman"/>
          <w:sz w:val="24"/>
          <w:lang w:bidi="ar"/>
        </w:rPr>
        <w:t>月，光远检测有限公司对项目所在区域的大气环境、地表水环境、地下水环境、声环境</w:t>
      </w:r>
      <w:r>
        <w:rPr>
          <w:rFonts w:hint="eastAsia" w:ascii="Times New Roman" w:hAnsi="Times New Roman" w:eastAsia="宋体" w:cs="Times New Roman"/>
          <w:sz w:val="24"/>
          <w:lang w:bidi="ar"/>
        </w:rPr>
        <w:t>、土壤环境</w:t>
      </w:r>
      <w:r>
        <w:rPr>
          <w:rFonts w:ascii="Times New Roman" w:hAnsi="Times New Roman" w:eastAsia="宋体" w:cs="Times New Roman"/>
          <w:sz w:val="24"/>
          <w:lang w:bidi="ar"/>
        </w:rPr>
        <w:t>进行环境质量现状本底监测；</w:t>
      </w:r>
    </w:p>
    <w:p w14:paraId="683E484F">
      <w:pPr>
        <w:snapToGrid w:val="0"/>
        <w:spacing w:line="360" w:lineRule="auto"/>
        <w:ind w:firstLine="480" w:firstLineChars="200"/>
        <w:jc w:val="left"/>
        <w:rPr>
          <w:rFonts w:ascii="Times New Roman" w:hAnsi="Times New Roman" w:eastAsia="宋体" w:cs="Times New Roman"/>
          <w:sz w:val="24"/>
          <w:lang w:bidi="ar"/>
        </w:rPr>
      </w:pPr>
      <w:r>
        <w:rPr>
          <w:rFonts w:hint="eastAsia" w:ascii="Times New Roman" w:hAnsi="Times New Roman" w:eastAsia="宋体" w:cs="Times New Roman"/>
          <w:sz w:val="24"/>
          <w:lang w:bidi="ar"/>
        </w:rPr>
        <w:t>5、</w:t>
      </w:r>
      <w:r>
        <w:rPr>
          <w:rFonts w:ascii="Times New Roman" w:hAnsi="Times New Roman" w:eastAsia="宋体" w:cs="Times New Roman"/>
          <w:sz w:val="24"/>
          <w:lang w:bidi="ar"/>
        </w:rPr>
        <w:t>环评单位进行详细工程分析以及各要素、各专题分析与评价；</w:t>
      </w:r>
    </w:p>
    <w:p w14:paraId="434DC18D">
      <w:pPr>
        <w:snapToGrid w:val="0"/>
        <w:spacing w:line="360" w:lineRule="auto"/>
        <w:ind w:firstLine="480" w:firstLineChars="200"/>
        <w:jc w:val="left"/>
        <w:rPr>
          <w:rFonts w:ascii="Times New Roman" w:hAnsi="Times New Roman" w:eastAsia="宋体" w:cs="Times New Roman"/>
          <w:sz w:val="24"/>
          <w:lang w:bidi="ar"/>
        </w:rPr>
      </w:pPr>
      <w:r>
        <w:rPr>
          <w:rFonts w:hint="eastAsia" w:ascii="Times New Roman" w:hAnsi="Times New Roman" w:eastAsia="宋体" w:cs="Times New Roman"/>
          <w:sz w:val="24"/>
          <w:lang w:bidi="ar"/>
        </w:rPr>
        <w:t>6、</w:t>
      </w:r>
      <w:r>
        <w:rPr>
          <w:rFonts w:ascii="Times New Roman" w:hAnsi="Times New Roman" w:eastAsia="宋体" w:cs="Times New Roman"/>
          <w:sz w:val="24"/>
          <w:lang w:bidi="ar"/>
        </w:rPr>
        <w:t>环评单位针对建设单位提出的环保措施进行论证，得出初步评价结论；</w:t>
      </w:r>
    </w:p>
    <w:p w14:paraId="6DDB3B78">
      <w:pPr>
        <w:snapToGrid w:val="0"/>
        <w:spacing w:line="360" w:lineRule="auto"/>
        <w:ind w:firstLine="480" w:firstLineChars="200"/>
        <w:jc w:val="left"/>
        <w:rPr>
          <w:rFonts w:ascii="Times New Roman" w:hAnsi="Times New Roman" w:eastAsia="宋体" w:cs="Times New Roman"/>
          <w:sz w:val="24"/>
          <w:lang w:bidi="ar"/>
        </w:rPr>
      </w:pPr>
      <w:r>
        <w:rPr>
          <w:rFonts w:hint="eastAsia" w:ascii="Times New Roman" w:hAnsi="Times New Roman" w:eastAsia="宋体" w:cs="Times New Roman"/>
          <w:sz w:val="24"/>
          <w:lang w:bidi="ar"/>
        </w:rPr>
        <w:t>7、</w:t>
      </w:r>
      <w:r>
        <w:rPr>
          <w:rFonts w:ascii="Times New Roman" w:hAnsi="Times New Roman" w:eastAsia="宋体" w:cs="Times New Roman"/>
          <w:color w:val="auto"/>
          <w:sz w:val="24"/>
          <w:lang w:bidi="ar"/>
        </w:rPr>
        <w:t>20</w:t>
      </w:r>
      <w:r>
        <w:rPr>
          <w:rFonts w:hint="eastAsia" w:ascii="Times New Roman" w:hAnsi="Times New Roman" w:eastAsia="宋体" w:cs="Times New Roman"/>
          <w:color w:val="auto"/>
          <w:sz w:val="24"/>
          <w:lang w:bidi="ar"/>
        </w:rPr>
        <w:t>23</w:t>
      </w:r>
      <w:r>
        <w:rPr>
          <w:rFonts w:ascii="Times New Roman" w:hAnsi="Times New Roman" w:eastAsia="宋体" w:cs="Times New Roman"/>
          <w:color w:val="auto"/>
          <w:sz w:val="24"/>
          <w:lang w:bidi="ar"/>
        </w:rPr>
        <w:t>年</w:t>
      </w:r>
      <w:r>
        <w:rPr>
          <w:rFonts w:hint="eastAsia" w:ascii="Times New Roman" w:hAnsi="Times New Roman" w:eastAsia="宋体" w:cs="Times New Roman"/>
          <w:color w:val="auto"/>
          <w:sz w:val="24"/>
          <w:lang w:bidi="ar"/>
        </w:rPr>
        <w:t>3</w:t>
      </w:r>
      <w:r>
        <w:rPr>
          <w:rFonts w:ascii="Times New Roman" w:hAnsi="Times New Roman" w:eastAsia="宋体" w:cs="Times New Roman"/>
          <w:color w:val="auto"/>
          <w:sz w:val="24"/>
          <w:lang w:bidi="ar"/>
        </w:rPr>
        <w:t>月</w:t>
      </w:r>
      <w:r>
        <w:rPr>
          <w:rFonts w:hint="eastAsia" w:ascii="Times New Roman" w:hAnsi="Times New Roman" w:eastAsia="宋体" w:cs="Times New Roman"/>
          <w:color w:val="auto"/>
          <w:sz w:val="24"/>
          <w:lang w:bidi="ar"/>
        </w:rPr>
        <w:t>底</w:t>
      </w:r>
      <w:r>
        <w:rPr>
          <w:rFonts w:ascii="Times New Roman" w:hAnsi="Times New Roman" w:eastAsia="宋体" w:cs="Times New Roman"/>
          <w:color w:val="auto"/>
          <w:sz w:val="24"/>
          <w:lang w:bidi="ar"/>
        </w:rPr>
        <w:t>，环评单</w:t>
      </w:r>
      <w:r>
        <w:rPr>
          <w:rFonts w:ascii="Times New Roman" w:hAnsi="Times New Roman" w:eastAsia="宋体" w:cs="Times New Roman"/>
          <w:sz w:val="24"/>
          <w:lang w:bidi="ar"/>
        </w:rPr>
        <w:t>位完成环境影响报告书（征求意见稿）；</w:t>
      </w:r>
    </w:p>
    <w:p w14:paraId="13BA4A85">
      <w:pPr>
        <w:tabs>
          <w:tab w:val="left" w:pos="1050"/>
        </w:tabs>
        <w:snapToGrid w:val="0"/>
        <w:spacing w:line="360" w:lineRule="auto"/>
        <w:ind w:firstLine="480" w:firstLineChars="200"/>
        <w:textAlignment w:val="baseline"/>
        <w:rPr>
          <w:rFonts w:ascii="Times New Roman" w:hAnsi="Times New Roman" w:cs="Times New Roman"/>
          <w:sz w:val="24"/>
        </w:rPr>
      </w:pPr>
      <w:r>
        <w:rPr>
          <w:rFonts w:hint="eastAsia" w:ascii="Times New Roman" w:hAnsi="Times New Roman" w:cs="Times New Roman"/>
          <w:sz w:val="24"/>
        </w:rPr>
        <w:t>8、</w:t>
      </w:r>
      <w:r>
        <w:rPr>
          <w:rFonts w:ascii="Times New Roman" w:hAnsi="Times New Roman" w:cs="Times New Roman"/>
          <w:sz w:val="24"/>
        </w:rPr>
        <w:t>202</w:t>
      </w:r>
      <w:r>
        <w:rPr>
          <w:rFonts w:hint="eastAsia" w:ascii="Times New Roman" w:hAnsi="Times New Roman" w:cs="Times New Roman"/>
          <w:sz w:val="24"/>
        </w:rPr>
        <w:t>3</w:t>
      </w:r>
      <w:r>
        <w:rPr>
          <w:rFonts w:ascii="Times New Roman" w:hAnsi="Times New Roman" w:cs="Times New Roman"/>
          <w:sz w:val="24"/>
        </w:rPr>
        <w:t>年</w:t>
      </w:r>
      <w:r>
        <w:rPr>
          <w:rFonts w:hint="eastAsia" w:ascii="Times New Roman" w:hAnsi="Times New Roman" w:cs="Times New Roman"/>
          <w:sz w:val="24"/>
        </w:rPr>
        <w:t>3</w:t>
      </w:r>
      <w:r>
        <w:rPr>
          <w:rFonts w:ascii="Times New Roman" w:hAnsi="Times New Roman" w:cs="Times New Roman"/>
          <w:sz w:val="24"/>
        </w:rPr>
        <w:t>月30日，汉玉伟木（清丰县）家居有限公司在生态环境公示网对本项目进行环境影响报告书（征求意见稿）和公众参与调查表进行了公示，并于202</w:t>
      </w:r>
      <w:r>
        <w:rPr>
          <w:rFonts w:hint="eastAsia" w:ascii="Times New Roman" w:hAnsi="Times New Roman" w:cs="Times New Roman"/>
          <w:sz w:val="24"/>
        </w:rPr>
        <w:t>3</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w:t>
      </w:r>
      <w:r>
        <w:rPr>
          <w:rFonts w:hint="eastAsia" w:ascii="Times New Roman" w:hAnsi="Times New Roman" w:cs="Times New Roman"/>
          <w:sz w:val="24"/>
        </w:rPr>
        <w:t>3</w:t>
      </w:r>
      <w:r>
        <w:rPr>
          <w:rFonts w:ascii="Times New Roman" w:hAnsi="Times New Roman" w:cs="Times New Roman"/>
          <w:sz w:val="24"/>
        </w:rPr>
        <w:t>日和202</w:t>
      </w:r>
      <w:r>
        <w:rPr>
          <w:rFonts w:hint="eastAsia" w:ascii="Times New Roman" w:hAnsi="Times New Roman" w:cs="Times New Roman"/>
          <w:sz w:val="24"/>
        </w:rPr>
        <w:t>3</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w:t>
      </w:r>
      <w:r>
        <w:rPr>
          <w:rFonts w:hint="eastAsia" w:ascii="Times New Roman" w:hAnsi="Times New Roman" w:cs="Times New Roman"/>
          <w:sz w:val="24"/>
        </w:rPr>
        <w:t>5</w:t>
      </w:r>
      <w:r>
        <w:rPr>
          <w:rFonts w:ascii="Times New Roman" w:hAnsi="Times New Roman" w:cs="Times New Roman"/>
          <w:sz w:val="24"/>
        </w:rPr>
        <w:t>日在河南日报分别进行了两次登报公示。</w:t>
      </w:r>
    </w:p>
    <w:p w14:paraId="44D0FD35">
      <w:pPr>
        <w:snapToGrid w:val="0"/>
        <w:spacing w:line="360" w:lineRule="auto"/>
        <w:ind w:firstLine="480" w:firstLineChars="200"/>
        <w:jc w:val="left"/>
        <w:rPr>
          <w:rFonts w:ascii="Times New Roman" w:hAnsi="Times New Roman" w:eastAsia="宋体" w:cs="Times New Roman"/>
          <w:sz w:val="24"/>
          <w:lang w:bidi="ar"/>
        </w:rPr>
      </w:pPr>
      <w:r>
        <w:rPr>
          <w:rFonts w:ascii="Times New Roman" w:hAnsi="Times New Roman" w:eastAsia="宋体" w:cs="Times New Roman"/>
          <w:sz w:val="24"/>
          <w:lang w:bidi="ar"/>
        </w:rPr>
        <w:t>环境影响评价工作程序见图1.3-1。</w:t>
      </w:r>
    </w:p>
    <w:p w14:paraId="66A693A8">
      <w:pPr>
        <w:spacing w:line="360" w:lineRule="auto"/>
        <w:jc w:val="center"/>
        <w:rPr>
          <w:rFonts w:ascii="Times New Roman" w:hAnsi="Times New Roman" w:eastAsia="宋体" w:cs="Times New Roman"/>
          <w:sz w:val="22"/>
          <w:szCs w:val="22"/>
          <w:lang w:bidi="ar"/>
        </w:rPr>
      </w:pPr>
    </w:p>
    <w:p w14:paraId="78A74B4A">
      <w:pPr>
        <w:spacing w:line="360" w:lineRule="auto"/>
        <w:jc w:val="center"/>
        <w:rPr>
          <w:rFonts w:ascii="Times New Roman" w:hAnsi="Times New Roman" w:eastAsia="宋体" w:cs="Times New Roman"/>
          <w:b/>
          <w:bCs/>
          <w:szCs w:val="21"/>
          <w:lang w:bidi="ar"/>
        </w:rPr>
      </w:pPr>
    </w:p>
    <w:p w14:paraId="4890238D">
      <w:pPr>
        <w:pStyle w:val="17"/>
        <w:rPr>
          <w:rFonts w:ascii="Times New Roman" w:hAnsi="Times New Roman" w:eastAsia="宋体" w:cs="Times New Roman"/>
          <w:b/>
          <w:bCs/>
          <w:szCs w:val="21"/>
          <w:lang w:bidi="ar"/>
        </w:rPr>
      </w:pPr>
    </w:p>
    <w:p w14:paraId="6096095F">
      <w:pPr>
        <w:rPr>
          <w:rFonts w:ascii="Times New Roman" w:hAnsi="Times New Roman" w:eastAsia="宋体" w:cs="Times New Roman"/>
          <w:b/>
          <w:bCs/>
          <w:szCs w:val="21"/>
          <w:lang w:bidi="ar"/>
        </w:rPr>
      </w:pPr>
    </w:p>
    <w:p w14:paraId="25F2679D">
      <w:pPr>
        <w:pStyle w:val="17"/>
      </w:pPr>
    </w:p>
    <w:p w14:paraId="36509FB7">
      <w:pPr>
        <w:spacing w:line="360" w:lineRule="auto"/>
        <w:jc w:val="center"/>
        <w:rPr>
          <w:rFonts w:ascii="Times New Roman" w:hAnsi="Times New Roman" w:eastAsia="宋体" w:cs="Times New Roman"/>
          <w:b/>
          <w:bCs/>
          <w:szCs w:val="21"/>
          <w:lang w:bidi="ar"/>
        </w:rPr>
      </w:pPr>
    </w:p>
    <w:p w14:paraId="5B359C82">
      <w:pPr>
        <w:spacing w:line="360" w:lineRule="auto"/>
        <w:jc w:val="center"/>
        <w:rPr>
          <w:rFonts w:ascii="Times New Roman" w:hAnsi="Times New Roman" w:eastAsia="宋体" w:cs="Times New Roman"/>
          <w:b/>
          <w:bCs/>
          <w:szCs w:val="21"/>
          <w:lang w:bidi="ar"/>
        </w:rPr>
      </w:pPr>
    </w:p>
    <w:p w14:paraId="6841F4C6">
      <w:pPr>
        <w:pStyle w:val="17"/>
        <w:rPr>
          <w:rFonts w:ascii="Times New Roman" w:hAnsi="Times New Roman" w:eastAsia="宋体" w:cs="Times New Roman"/>
          <w:b/>
          <w:bCs/>
          <w:szCs w:val="21"/>
          <w:lang w:bidi="ar"/>
        </w:rPr>
      </w:pPr>
    </w:p>
    <w:p w14:paraId="3082E52C"/>
    <w:p w14:paraId="6B41ED97"/>
    <w:p w14:paraId="6FC8B0EC"/>
    <w:p w14:paraId="045DF5E2"/>
    <w:p w14:paraId="39724F93">
      <w:pPr>
        <w:pStyle w:val="17"/>
      </w:pPr>
    </w:p>
    <w:p w14:paraId="66A5C5EF"/>
    <w:p w14:paraId="430299F2"/>
    <w:p w14:paraId="42038A65"/>
    <w:p w14:paraId="73EF1AA0"/>
    <w:p w14:paraId="23A302BF"/>
    <w:p w14:paraId="1E958535"/>
    <w:p w14:paraId="03808E05"/>
    <w:p w14:paraId="77E468AB"/>
    <w:p w14:paraId="21C2CB41"/>
    <w:p w14:paraId="7FF490CD"/>
    <w:p w14:paraId="3C45E125">
      <w:pPr>
        <w:spacing w:line="360" w:lineRule="auto"/>
        <w:jc w:val="center"/>
        <w:rPr>
          <w:rFonts w:ascii="Times New Roman" w:hAnsi="Times New Roman" w:eastAsia="宋体" w:cs="Times New Roman"/>
          <w:b/>
          <w:bCs/>
          <w:szCs w:val="21"/>
          <w:lang w:bidi="ar"/>
        </w:rPr>
      </w:pPr>
      <w:r>
        <w:rPr>
          <w:sz w:val="24"/>
        </w:rPr>
        <mc:AlternateContent>
          <mc:Choice Requires="wpg">
            <w:drawing>
              <wp:anchor distT="0" distB="0" distL="114300" distR="114300" simplePos="0" relativeHeight="251662336" behindDoc="0" locked="0" layoutInCell="1" allowOverlap="1">
                <wp:simplePos x="0" y="0"/>
                <wp:positionH relativeFrom="column">
                  <wp:posOffset>76835</wp:posOffset>
                </wp:positionH>
                <wp:positionV relativeFrom="paragraph">
                  <wp:posOffset>100330</wp:posOffset>
                </wp:positionV>
                <wp:extent cx="5026660" cy="6887210"/>
                <wp:effectExtent l="4445" t="4445" r="17145" b="23495"/>
                <wp:wrapNone/>
                <wp:docPr id="270" name="组合 270"/>
                <wp:cNvGraphicFramePr/>
                <a:graphic xmlns:a="http://schemas.openxmlformats.org/drawingml/2006/main">
                  <a:graphicData uri="http://schemas.microsoft.com/office/word/2010/wordprocessingGroup">
                    <wpg:wgp>
                      <wpg:cNvGrpSpPr/>
                      <wpg:grpSpPr>
                        <a:xfrm>
                          <a:off x="0" y="0"/>
                          <a:ext cx="5026660" cy="6887210"/>
                          <a:chOff x="1967" y="1920"/>
                          <a:chExt cx="7916" cy="10528"/>
                        </a:xfrm>
                      </wpg:grpSpPr>
                      <wps:wsp>
                        <wps:cNvPr id="211" name="矩形 211"/>
                        <wps:cNvSpPr/>
                        <wps:spPr>
                          <a:xfrm>
                            <a:off x="1967" y="1920"/>
                            <a:ext cx="7916" cy="10528"/>
                          </a:xfrm>
                          <a:prstGeom prst="rect">
                            <a:avLst/>
                          </a:prstGeom>
                          <a:solidFill>
                            <a:srgbClr val="FFFFFF">
                              <a:alpha val="0"/>
                            </a:srgbClr>
                          </a:solidFill>
                          <a:ln w="9525" cap="rnd" cmpd="sng">
                            <a:solidFill>
                              <a:srgbClr val="000000"/>
                            </a:solidFill>
                            <a:prstDash val="sysDot"/>
                            <a:miter/>
                            <a:headEnd type="none" w="med" len="med"/>
                            <a:tailEnd type="none" w="med" len="med"/>
                          </a:ln>
                        </wps:spPr>
                        <wps:bodyPr upright="1"/>
                      </wps:wsp>
                      <wps:wsp>
                        <wps:cNvPr id="212" name="直接连接符 212"/>
                        <wps:cNvCnPr/>
                        <wps:spPr>
                          <a:xfrm>
                            <a:off x="6068" y="2684"/>
                            <a:ext cx="0" cy="496"/>
                          </a:xfrm>
                          <a:prstGeom prst="line">
                            <a:avLst/>
                          </a:prstGeom>
                          <a:ln w="9525" cap="flat" cmpd="sng">
                            <a:solidFill>
                              <a:srgbClr val="000000"/>
                            </a:solidFill>
                            <a:prstDash val="solid"/>
                            <a:headEnd type="none" w="med" len="med"/>
                            <a:tailEnd type="stealth" w="med" len="med"/>
                          </a:ln>
                        </wps:spPr>
                        <wps:bodyPr/>
                      </wps:wsp>
                      <wps:wsp>
                        <wps:cNvPr id="214" name="直接连接符 214"/>
                        <wps:cNvCnPr/>
                        <wps:spPr>
                          <a:xfrm>
                            <a:off x="4463" y="7220"/>
                            <a:ext cx="3279" cy="0"/>
                          </a:xfrm>
                          <a:prstGeom prst="line">
                            <a:avLst/>
                          </a:prstGeom>
                          <a:ln w="9525" cap="flat" cmpd="sng">
                            <a:solidFill>
                              <a:srgbClr val="000000"/>
                            </a:solidFill>
                            <a:prstDash val="solid"/>
                            <a:headEnd type="none" w="med" len="med"/>
                            <a:tailEnd type="none" w="med" len="med"/>
                          </a:ln>
                        </wps:spPr>
                        <wps:bodyPr/>
                      </wps:wsp>
                      <wps:wsp>
                        <wps:cNvPr id="215" name="文本框 215"/>
                        <wps:cNvSpPr txBox="1"/>
                        <wps:spPr>
                          <a:xfrm>
                            <a:off x="4314" y="8854"/>
                            <a:ext cx="3554" cy="654"/>
                          </a:xfrm>
                          <a:prstGeom prst="rect">
                            <a:avLst/>
                          </a:prstGeom>
                          <a:noFill/>
                          <a:ln w="9525" cap="flat" cmpd="sng">
                            <a:solidFill>
                              <a:srgbClr val="000000"/>
                            </a:solidFill>
                            <a:prstDash val="solid"/>
                            <a:miter/>
                            <a:headEnd type="none" w="med" len="med"/>
                            <a:tailEnd type="none" w="med" len="med"/>
                          </a:ln>
                        </wps:spPr>
                        <wps:txbx>
                          <w:txbxContent>
                            <w:p w14:paraId="3419820A">
                              <w:pPr>
                                <w:snapToGrid w:val="0"/>
                                <w:jc w:val="left"/>
                                <w:rPr>
                                  <w:rFonts w:ascii="Times New Roman" w:hAnsi="Times New Roman" w:cs="Times New Roman"/>
                                  <w:szCs w:val="21"/>
                                </w:rPr>
                              </w:pPr>
                              <w:r>
                                <w:rPr>
                                  <w:rFonts w:ascii="Times New Roman" w:hAnsi="Times New Roman" w:cs="Times New Roman"/>
                                  <w:szCs w:val="21"/>
                                </w:rPr>
                                <w:t>1各环境要素环境影响预测与评价</w:t>
                              </w:r>
                            </w:p>
                            <w:p w14:paraId="6EE02175">
                              <w:pPr>
                                <w:snapToGrid w:val="0"/>
                                <w:jc w:val="left"/>
                                <w:rPr>
                                  <w:rFonts w:ascii="Times New Roman" w:hAnsi="Times New Roman" w:cs="Times New Roman"/>
                                  <w:szCs w:val="21"/>
                                </w:rPr>
                              </w:pPr>
                              <w:r>
                                <w:rPr>
                                  <w:rFonts w:ascii="Times New Roman" w:hAnsi="Times New Roman" w:cs="Times New Roman"/>
                                  <w:szCs w:val="21"/>
                                </w:rPr>
                                <w:t>2各专题环境影响分析与评价</w:t>
                              </w:r>
                            </w:p>
                          </w:txbxContent>
                        </wps:txbx>
                        <wps:bodyPr lIns="18000" tIns="18000" rIns="18000" bIns="54000" upright="1"/>
                      </wps:wsp>
                      <wps:wsp>
                        <wps:cNvPr id="216" name="文本框 216"/>
                        <wps:cNvSpPr txBox="1"/>
                        <wps:spPr>
                          <a:xfrm>
                            <a:off x="3795" y="2279"/>
                            <a:ext cx="4522" cy="405"/>
                          </a:xfrm>
                          <a:prstGeom prst="rect">
                            <a:avLst/>
                          </a:prstGeom>
                          <a:noFill/>
                          <a:ln w="9525" cap="flat" cmpd="sng">
                            <a:solidFill>
                              <a:srgbClr val="000000"/>
                            </a:solidFill>
                            <a:prstDash val="solid"/>
                            <a:miter/>
                            <a:headEnd type="none" w="med" len="med"/>
                            <a:tailEnd type="none" w="med" len="med"/>
                          </a:ln>
                        </wps:spPr>
                        <wps:txbx>
                          <w:txbxContent>
                            <w:p w14:paraId="51ED5430">
                              <w:pPr>
                                <w:jc w:val="center"/>
                                <w:rPr>
                                  <w:szCs w:val="21"/>
                                </w:rPr>
                              </w:pPr>
                              <w:r>
                                <w:rPr>
                                  <w:rFonts w:hint="eastAsia" w:hAnsi="宋体"/>
                                  <w:szCs w:val="21"/>
                                </w:rPr>
                                <w:t>依据相关规定确定环境影响评价文件类型</w:t>
                              </w:r>
                            </w:p>
                            <w:p w14:paraId="64597DE7">
                              <w:pPr>
                                <w:rPr>
                                  <w:szCs w:val="21"/>
                                </w:rPr>
                              </w:pPr>
                            </w:p>
                            <w:p w14:paraId="4A1D85AE">
                              <w:pPr>
                                <w:rPr>
                                  <w:szCs w:val="21"/>
                                </w:rPr>
                              </w:pPr>
                            </w:p>
                            <w:p w14:paraId="05007CEA">
                              <w:pPr>
                                <w:ind w:firstLine="105" w:firstLineChars="50"/>
                                <w:rPr>
                                  <w:szCs w:val="21"/>
                                </w:rPr>
                              </w:pPr>
                              <w:r>
                                <w:rPr>
                                  <w:rFonts w:hint="eastAsia"/>
                                  <w:szCs w:val="21"/>
                                </w:rPr>
                                <w:t>国</w:t>
                              </w:r>
                            </w:p>
                            <w:p w14:paraId="008E7275">
                              <w:pPr>
                                <w:rPr>
                                  <w:szCs w:val="21"/>
                                </w:rPr>
                              </w:pPr>
                            </w:p>
                            <w:p w14:paraId="0076945E">
                              <w:pPr>
                                <w:rPr>
                                  <w:szCs w:val="21"/>
                                </w:rPr>
                              </w:pPr>
                            </w:p>
                            <w:p w14:paraId="6A0CF66C">
                              <w:pPr>
                                <w:ind w:firstLine="105" w:firstLineChars="50"/>
                                <w:rPr>
                                  <w:szCs w:val="21"/>
                                </w:rPr>
                              </w:pPr>
                              <w:r>
                                <w:rPr>
                                  <w:rFonts w:hint="eastAsia"/>
                                  <w:szCs w:val="21"/>
                                </w:rPr>
                                <w:t>道</w:t>
                              </w:r>
                            </w:p>
                            <w:p w14:paraId="2456A47F">
                              <w:pPr>
                                <w:jc w:val="center"/>
                                <w:rPr>
                                  <w:szCs w:val="21"/>
                                </w:rPr>
                              </w:pPr>
                              <w:r>
                                <w:rPr>
                                  <w:rFonts w:hAnsi="宋体"/>
                                  <w:szCs w:val="21"/>
                                </w:rPr>
                                <w:t>评价委托</w:t>
                              </w:r>
                            </w:p>
                          </w:txbxContent>
                        </wps:txbx>
                        <wps:bodyPr lIns="91440" tIns="0" rIns="91440" bIns="54000" upright="1"/>
                      </wps:wsp>
                      <wps:wsp>
                        <wps:cNvPr id="217" name="直接连接符 217"/>
                        <wps:cNvCnPr/>
                        <wps:spPr>
                          <a:xfrm>
                            <a:off x="4469" y="7224"/>
                            <a:ext cx="0" cy="224"/>
                          </a:xfrm>
                          <a:prstGeom prst="line">
                            <a:avLst/>
                          </a:prstGeom>
                          <a:ln w="9525" cap="flat" cmpd="sng">
                            <a:solidFill>
                              <a:srgbClr val="000000"/>
                            </a:solidFill>
                            <a:prstDash val="solid"/>
                            <a:headEnd type="none" w="med" len="med"/>
                            <a:tailEnd type="none" w="med" len="med"/>
                          </a:ln>
                        </wps:spPr>
                        <wps:bodyPr/>
                      </wps:wsp>
                      <wps:wsp>
                        <wps:cNvPr id="218" name="文本框 218"/>
                        <wps:cNvSpPr txBox="1"/>
                        <wps:spPr>
                          <a:xfrm>
                            <a:off x="3615" y="7460"/>
                            <a:ext cx="1590" cy="674"/>
                          </a:xfrm>
                          <a:prstGeom prst="rect">
                            <a:avLst/>
                          </a:prstGeom>
                          <a:noFill/>
                          <a:ln w="9525" cap="flat" cmpd="sng">
                            <a:solidFill>
                              <a:srgbClr val="000000"/>
                            </a:solidFill>
                            <a:prstDash val="solid"/>
                            <a:miter/>
                            <a:headEnd type="none" w="med" len="med"/>
                            <a:tailEnd type="none" w="med" len="med"/>
                          </a:ln>
                        </wps:spPr>
                        <wps:txbx>
                          <w:txbxContent>
                            <w:p w14:paraId="145BC7C6">
                              <w:pPr>
                                <w:snapToGrid w:val="0"/>
                                <w:rPr>
                                  <w:rFonts w:hAnsi="宋体"/>
                                  <w:szCs w:val="21"/>
                                </w:rPr>
                              </w:pPr>
                              <w:r>
                                <w:rPr>
                                  <w:rFonts w:hAnsi="宋体"/>
                                  <w:szCs w:val="21"/>
                                </w:rPr>
                                <w:t>环境</w:t>
                              </w:r>
                              <w:r>
                                <w:rPr>
                                  <w:rFonts w:hint="eastAsia" w:hAnsi="宋体"/>
                                  <w:szCs w:val="21"/>
                                </w:rPr>
                                <w:t>现状</w:t>
                              </w:r>
                              <w:r>
                                <w:rPr>
                                  <w:rFonts w:hAnsi="宋体"/>
                                  <w:szCs w:val="21"/>
                                </w:rPr>
                                <w:t>调查</w:t>
                              </w:r>
                            </w:p>
                            <w:p w14:paraId="58A56528">
                              <w:pPr>
                                <w:snapToGrid w:val="0"/>
                                <w:jc w:val="center"/>
                                <w:rPr>
                                  <w:szCs w:val="21"/>
                                </w:rPr>
                              </w:pPr>
                              <w:r>
                                <w:rPr>
                                  <w:rFonts w:hAnsi="宋体"/>
                                  <w:szCs w:val="21"/>
                                </w:rPr>
                                <w:t>监测与评价</w:t>
                              </w:r>
                            </w:p>
                          </w:txbxContent>
                        </wps:txbx>
                        <wps:bodyPr lIns="91440" tIns="50165" rIns="91440" bIns="46355" upright="1"/>
                      </wps:wsp>
                      <wps:wsp>
                        <wps:cNvPr id="219" name="文本框 219"/>
                        <wps:cNvSpPr txBox="1"/>
                        <wps:spPr>
                          <a:xfrm>
                            <a:off x="7153" y="7450"/>
                            <a:ext cx="1164" cy="675"/>
                          </a:xfrm>
                          <a:prstGeom prst="rect">
                            <a:avLst/>
                          </a:prstGeom>
                          <a:noFill/>
                          <a:ln w="9525" cap="flat" cmpd="sng">
                            <a:solidFill>
                              <a:srgbClr val="000000"/>
                            </a:solidFill>
                            <a:prstDash val="solid"/>
                            <a:miter/>
                            <a:headEnd type="none" w="med" len="med"/>
                            <a:tailEnd type="none" w="med" len="med"/>
                          </a:ln>
                        </wps:spPr>
                        <wps:txbx>
                          <w:txbxContent>
                            <w:p w14:paraId="7ECF717D">
                              <w:pPr>
                                <w:snapToGrid w:val="0"/>
                                <w:rPr>
                                  <w:szCs w:val="21"/>
                                </w:rPr>
                              </w:pPr>
                              <w:r>
                                <w:rPr>
                                  <w:rFonts w:hAnsi="宋体"/>
                                  <w:szCs w:val="21"/>
                                </w:rPr>
                                <w:t>建设项目</w:t>
                              </w:r>
                            </w:p>
                            <w:p w14:paraId="2A30654F">
                              <w:pPr>
                                <w:snapToGrid w:val="0"/>
                                <w:rPr>
                                  <w:szCs w:val="21"/>
                                </w:rPr>
                              </w:pPr>
                              <w:r>
                                <w:rPr>
                                  <w:rFonts w:hAnsi="宋体"/>
                                  <w:szCs w:val="21"/>
                                </w:rPr>
                                <w:t>工程分析</w:t>
                              </w:r>
                            </w:p>
                          </w:txbxContent>
                        </wps:txbx>
                        <wps:bodyPr lIns="91440" tIns="45085" rIns="91440" bIns="45085" upright="1"/>
                      </wps:wsp>
                      <wps:wsp>
                        <wps:cNvPr id="220" name="直接连接符 220"/>
                        <wps:cNvCnPr/>
                        <wps:spPr>
                          <a:xfrm flipV="1">
                            <a:off x="4463" y="8365"/>
                            <a:ext cx="3296" cy="2"/>
                          </a:xfrm>
                          <a:prstGeom prst="line">
                            <a:avLst/>
                          </a:prstGeom>
                          <a:ln w="9525" cap="flat" cmpd="sng">
                            <a:solidFill>
                              <a:srgbClr val="000000"/>
                            </a:solidFill>
                            <a:prstDash val="solid"/>
                            <a:headEnd type="none" w="med" len="med"/>
                            <a:tailEnd type="none" w="med" len="med"/>
                          </a:ln>
                        </wps:spPr>
                        <wps:bodyPr/>
                      </wps:wsp>
                      <wps:wsp>
                        <wps:cNvPr id="221" name="文本框 221"/>
                        <wps:cNvSpPr txBox="1"/>
                        <wps:spPr>
                          <a:xfrm>
                            <a:off x="3945" y="10004"/>
                            <a:ext cx="4245" cy="1059"/>
                          </a:xfrm>
                          <a:prstGeom prst="rect">
                            <a:avLst/>
                          </a:prstGeom>
                          <a:noFill/>
                          <a:ln w="9525" cap="flat" cmpd="sng">
                            <a:solidFill>
                              <a:srgbClr val="000000"/>
                            </a:solidFill>
                            <a:prstDash val="solid"/>
                            <a:miter/>
                            <a:headEnd type="none" w="med" len="med"/>
                            <a:tailEnd type="none" w="med" len="med"/>
                          </a:ln>
                        </wps:spPr>
                        <wps:txbx>
                          <w:txbxContent>
                            <w:p w14:paraId="71A06129">
                              <w:pPr>
                                <w:snapToGrid w:val="0"/>
                                <w:rPr>
                                  <w:rFonts w:ascii="Times New Roman" w:hAnsi="Times New Roman" w:cs="Times New Roman"/>
                                  <w:szCs w:val="21"/>
                                </w:rPr>
                              </w:pPr>
                              <w:r>
                                <w:rPr>
                                  <w:rFonts w:ascii="Times New Roman" w:hAnsi="Times New Roman" w:cs="Times New Roman"/>
                                  <w:szCs w:val="21"/>
                                </w:rPr>
                                <w:t>1 提出环境保护措施，进行经济技术论证</w:t>
                              </w:r>
                            </w:p>
                            <w:p w14:paraId="4C5EFABE">
                              <w:pPr>
                                <w:snapToGrid w:val="0"/>
                                <w:rPr>
                                  <w:rFonts w:ascii="Times New Roman" w:hAnsi="Times New Roman" w:cs="Times New Roman"/>
                                  <w:szCs w:val="21"/>
                                </w:rPr>
                              </w:pPr>
                              <w:r>
                                <w:rPr>
                                  <w:rFonts w:ascii="Times New Roman" w:hAnsi="Times New Roman" w:cs="Times New Roman"/>
                                  <w:szCs w:val="21"/>
                                </w:rPr>
                                <w:t>2 给出污染物排放清单</w:t>
                              </w:r>
                            </w:p>
                            <w:p w14:paraId="69104457">
                              <w:pPr>
                                <w:snapToGrid w:val="0"/>
                                <w:rPr>
                                  <w:rFonts w:ascii="Times New Roman" w:hAnsi="Times New Roman" w:cs="Times New Roman"/>
                                  <w:szCs w:val="21"/>
                                </w:rPr>
                              </w:pPr>
                              <w:r>
                                <w:rPr>
                                  <w:rFonts w:ascii="Times New Roman" w:hAnsi="Times New Roman" w:cs="Times New Roman"/>
                                  <w:szCs w:val="21"/>
                                </w:rPr>
                                <w:t>3 给出建设项目环境可行性的结论</w:t>
                              </w:r>
                            </w:p>
                            <w:p w14:paraId="4117068A">
                              <w:pPr>
                                <w:jc w:val="center"/>
                                <w:rPr>
                                  <w:szCs w:val="21"/>
                                </w:rPr>
                              </w:pPr>
                              <w:r>
                                <w:rPr>
                                  <w:szCs w:val="21"/>
                                </w:rPr>
                                <w:t xml:space="preserve"> </w:t>
                              </w:r>
                            </w:p>
                          </w:txbxContent>
                        </wps:txbx>
                        <wps:bodyPr lIns="18000" tIns="54000" rIns="18000" bIns="54000" upright="1"/>
                      </wps:wsp>
                      <wps:wsp>
                        <wps:cNvPr id="222" name="文本框 222"/>
                        <wps:cNvSpPr txBox="1"/>
                        <wps:spPr>
                          <a:xfrm>
                            <a:off x="4702" y="11559"/>
                            <a:ext cx="2693" cy="427"/>
                          </a:xfrm>
                          <a:prstGeom prst="rect">
                            <a:avLst/>
                          </a:prstGeom>
                          <a:noFill/>
                          <a:ln w="9525" cap="flat" cmpd="sng">
                            <a:solidFill>
                              <a:srgbClr val="000000"/>
                            </a:solidFill>
                            <a:prstDash val="solid"/>
                            <a:miter/>
                            <a:headEnd type="none" w="med" len="med"/>
                            <a:tailEnd type="none" w="med" len="med"/>
                          </a:ln>
                        </wps:spPr>
                        <wps:txbx>
                          <w:txbxContent>
                            <w:p w14:paraId="537BB3EE">
                              <w:pPr>
                                <w:snapToGrid w:val="0"/>
                                <w:jc w:val="center"/>
                                <w:rPr>
                                  <w:szCs w:val="21"/>
                                </w:rPr>
                              </w:pPr>
                              <w:r>
                                <w:rPr>
                                  <w:rFonts w:hAnsi="宋体"/>
                                  <w:szCs w:val="21"/>
                                </w:rPr>
                                <w:t>编制环境影响评价文件</w:t>
                              </w:r>
                            </w:p>
                          </w:txbxContent>
                        </wps:txbx>
                        <wps:bodyPr lIns="12700" tIns="54000" rIns="12700" bIns="54000" upright="1"/>
                      </wps:wsp>
                      <wps:wsp>
                        <wps:cNvPr id="223" name="直接连接符 223"/>
                        <wps:cNvCnPr/>
                        <wps:spPr>
                          <a:xfrm>
                            <a:off x="1975" y="6915"/>
                            <a:ext cx="7908" cy="0"/>
                          </a:xfrm>
                          <a:prstGeom prst="line">
                            <a:avLst/>
                          </a:prstGeom>
                          <a:ln w="9525" cap="rnd" cmpd="sng">
                            <a:solidFill>
                              <a:srgbClr val="000000"/>
                            </a:solidFill>
                            <a:prstDash val="sysDot"/>
                            <a:headEnd type="none" w="med" len="med"/>
                            <a:tailEnd type="none" w="med" len="med"/>
                          </a:ln>
                        </wps:spPr>
                        <wps:bodyPr/>
                      </wps:wsp>
                      <wps:wsp>
                        <wps:cNvPr id="224" name="直接连接符 224"/>
                        <wps:cNvCnPr/>
                        <wps:spPr>
                          <a:xfrm>
                            <a:off x="1975" y="9736"/>
                            <a:ext cx="7908" cy="0"/>
                          </a:xfrm>
                          <a:prstGeom prst="line">
                            <a:avLst/>
                          </a:prstGeom>
                          <a:ln w="9525" cap="rnd" cmpd="sng">
                            <a:solidFill>
                              <a:srgbClr val="000000"/>
                            </a:solidFill>
                            <a:prstDash val="sysDot"/>
                            <a:headEnd type="none" w="med" len="med"/>
                            <a:tailEnd type="none" w="med" len="med"/>
                          </a:ln>
                        </wps:spPr>
                        <wps:bodyPr/>
                      </wps:wsp>
                      <wps:wsp>
                        <wps:cNvPr id="225" name="文本框 225"/>
                        <wps:cNvSpPr txBox="1"/>
                        <wps:spPr>
                          <a:xfrm>
                            <a:off x="2082" y="3601"/>
                            <a:ext cx="464" cy="1310"/>
                          </a:xfrm>
                          <a:prstGeom prst="rect">
                            <a:avLst/>
                          </a:prstGeom>
                          <a:solidFill>
                            <a:srgbClr val="FFFFFF">
                              <a:alpha val="0"/>
                            </a:srgbClr>
                          </a:solidFill>
                          <a:ln>
                            <a:noFill/>
                          </a:ln>
                        </wps:spPr>
                        <wps:txbx>
                          <w:txbxContent>
                            <w:p w14:paraId="4E84D329">
                              <w:pPr>
                                <w:rPr>
                                  <w:spacing w:val="30"/>
                                  <w:szCs w:val="21"/>
                                </w:rPr>
                              </w:pPr>
                              <w:r>
                                <w:rPr>
                                  <w:rFonts w:hAnsi="宋体"/>
                                  <w:spacing w:val="30"/>
                                  <w:szCs w:val="21"/>
                                </w:rPr>
                                <w:t>第一阶段</w:t>
                              </w:r>
                            </w:p>
                          </w:txbxContent>
                        </wps:txbx>
                        <wps:bodyPr vert="eaVert" lIns="0" tIns="45720" rIns="54000" bIns="45720" upright="1"/>
                      </wps:wsp>
                      <wps:wsp>
                        <wps:cNvPr id="226" name="文本框 226"/>
                        <wps:cNvSpPr txBox="1"/>
                        <wps:spPr>
                          <a:xfrm>
                            <a:off x="2091" y="7785"/>
                            <a:ext cx="464" cy="1310"/>
                          </a:xfrm>
                          <a:prstGeom prst="rect">
                            <a:avLst/>
                          </a:prstGeom>
                          <a:solidFill>
                            <a:srgbClr val="FFFFFF">
                              <a:alpha val="0"/>
                            </a:srgbClr>
                          </a:solidFill>
                          <a:ln>
                            <a:noFill/>
                          </a:ln>
                        </wps:spPr>
                        <wps:txbx>
                          <w:txbxContent>
                            <w:p w14:paraId="4D66AD29">
                              <w:pPr>
                                <w:rPr>
                                  <w:spacing w:val="30"/>
                                  <w:szCs w:val="21"/>
                                </w:rPr>
                              </w:pPr>
                              <w:r>
                                <w:rPr>
                                  <w:rFonts w:hAnsi="宋体"/>
                                  <w:spacing w:val="30"/>
                                  <w:szCs w:val="21"/>
                                </w:rPr>
                                <w:t>第二阶段</w:t>
                              </w:r>
                            </w:p>
                          </w:txbxContent>
                        </wps:txbx>
                        <wps:bodyPr vert="eaVert" lIns="0" tIns="45720" rIns="54000" bIns="45720" upright="1"/>
                      </wps:wsp>
                      <wps:wsp>
                        <wps:cNvPr id="227" name="文本框 227"/>
                        <wps:cNvSpPr txBox="1"/>
                        <wps:spPr>
                          <a:xfrm>
                            <a:off x="2091" y="10442"/>
                            <a:ext cx="464" cy="1310"/>
                          </a:xfrm>
                          <a:prstGeom prst="rect">
                            <a:avLst/>
                          </a:prstGeom>
                          <a:solidFill>
                            <a:srgbClr val="FFFFFF">
                              <a:alpha val="0"/>
                            </a:srgbClr>
                          </a:solidFill>
                          <a:ln>
                            <a:noFill/>
                          </a:ln>
                        </wps:spPr>
                        <wps:txbx>
                          <w:txbxContent>
                            <w:p w14:paraId="4637981C">
                              <w:pPr>
                                <w:rPr>
                                  <w:spacing w:val="30"/>
                                  <w:szCs w:val="21"/>
                                </w:rPr>
                              </w:pPr>
                              <w:r>
                                <w:rPr>
                                  <w:rFonts w:hAnsi="宋体"/>
                                  <w:spacing w:val="30"/>
                                  <w:szCs w:val="21"/>
                                </w:rPr>
                                <w:t>第三阶段</w:t>
                              </w:r>
                            </w:p>
                          </w:txbxContent>
                        </wps:txbx>
                        <wps:bodyPr vert="eaVert" lIns="0" tIns="45720" rIns="54000" bIns="45720" upright="1"/>
                      </wps:wsp>
                      <wps:wsp>
                        <wps:cNvPr id="228" name="直接连接符 228"/>
                        <wps:cNvCnPr/>
                        <wps:spPr>
                          <a:xfrm>
                            <a:off x="7747" y="7224"/>
                            <a:ext cx="0" cy="224"/>
                          </a:xfrm>
                          <a:prstGeom prst="line">
                            <a:avLst/>
                          </a:prstGeom>
                          <a:ln w="9525" cap="flat" cmpd="sng">
                            <a:solidFill>
                              <a:srgbClr val="000000"/>
                            </a:solidFill>
                            <a:prstDash val="solid"/>
                            <a:headEnd type="none" w="med" len="med"/>
                            <a:tailEnd type="none" w="med" len="med"/>
                          </a:ln>
                        </wps:spPr>
                        <wps:bodyPr/>
                      </wps:wsp>
                      <wps:wsp>
                        <wps:cNvPr id="229" name="直接连接符 229"/>
                        <wps:cNvCnPr/>
                        <wps:spPr>
                          <a:xfrm>
                            <a:off x="4469" y="8134"/>
                            <a:ext cx="0" cy="224"/>
                          </a:xfrm>
                          <a:prstGeom prst="line">
                            <a:avLst/>
                          </a:prstGeom>
                          <a:ln w="9525" cap="flat" cmpd="sng">
                            <a:solidFill>
                              <a:srgbClr val="000000"/>
                            </a:solidFill>
                            <a:prstDash val="solid"/>
                            <a:headEnd type="none" w="med" len="med"/>
                            <a:tailEnd type="none" w="med" len="med"/>
                          </a:ln>
                        </wps:spPr>
                        <wps:bodyPr/>
                      </wps:wsp>
                      <wps:wsp>
                        <wps:cNvPr id="230" name="直接连接符 230"/>
                        <wps:cNvCnPr/>
                        <wps:spPr>
                          <a:xfrm>
                            <a:off x="7747" y="8134"/>
                            <a:ext cx="0" cy="224"/>
                          </a:xfrm>
                          <a:prstGeom prst="line">
                            <a:avLst/>
                          </a:prstGeom>
                          <a:ln w="9525" cap="flat" cmpd="sng">
                            <a:solidFill>
                              <a:srgbClr val="000000"/>
                            </a:solidFill>
                            <a:prstDash val="solid"/>
                            <a:headEnd type="none" w="med" len="med"/>
                            <a:tailEnd type="none" w="med" len="med"/>
                          </a:ln>
                        </wps:spPr>
                        <wps:bodyPr/>
                      </wps:wsp>
                      <wps:wsp>
                        <wps:cNvPr id="231" name="文本框 231"/>
                        <wps:cNvSpPr txBox="1"/>
                        <wps:spPr>
                          <a:xfrm>
                            <a:off x="3795" y="3180"/>
                            <a:ext cx="4522" cy="1000"/>
                          </a:xfrm>
                          <a:prstGeom prst="rect">
                            <a:avLst/>
                          </a:prstGeom>
                          <a:noFill/>
                          <a:ln w="9525" cap="flat" cmpd="sng">
                            <a:solidFill>
                              <a:srgbClr val="000000"/>
                            </a:solidFill>
                            <a:prstDash val="solid"/>
                            <a:miter/>
                            <a:headEnd type="none" w="med" len="med"/>
                            <a:tailEnd type="none" w="med" len="med"/>
                          </a:ln>
                        </wps:spPr>
                        <wps:txbx>
                          <w:txbxContent>
                            <w:p w14:paraId="04E71AC9">
                              <w:pPr>
                                <w:adjustRightInd w:val="0"/>
                                <w:snapToGrid w:val="0"/>
                                <w:rPr>
                                  <w:rFonts w:ascii="Times New Roman" w:hAnsi="Times New Roman" w:cs="Times New Roman"/>
                                  <w:szCs w:val="21"/>
                                </w:rPr>
                              </w:pPr>
                              <w:r>
                                <w:rPr>
                                  <w:rFonts w:ascii="Times New Roman" w:hAnsi="Times New Roman" w:cs="Times New Roman"/>
                                  <w:szCs w:val="21"/>
                                </w:rPr>
                                <w:t>1 研究相关技术文件和其他有关文件</w:t>
                              </w:r>
                            </w:p>
                            <w:p w14:paraId="3A25B350">
                              <w:pPr>
                                <w:adjustRightInd w:val="0"/>
                                <w:snapToGrid w:val="0"/>
                                <w:rPr>
                                  <w:rFonts w:ascii="Times New Roman" w:hAnsi="Times New Roman" w:cs="Times New Roman"/>
                                  <w:szCs w:val="21"/>
                                </w:rPr>
                              </w:pPr>
                              <w:r>
                                <w:rPr>
                                  <w:rFonts w:ascii="Times New Roman" w:hAnsi="Times New Roman" w:cs="Times New Roman"/>
                                  <w:szCs w:val="21"/>
                                </w:rPr>
                                <w:t>2 进行初步工程分析</w:t>
                              </w:r>
                            </w:p>
                            <w:p w14:paraId="0D46BD13">
                              <w:pPr>
                                <w:adjustRightInd w:val="0"/>
                                <w:snapToGrid w:val="0"/>
                                <w:rPr>
                                  <w:rFonts w:ascii="Times New Roman" w:hAnsi="Times New Roman" w:cs="Times New Roman"/>
                                  <w:szCs w:val="21"/>
                                </w:rPr>
                              </w:pPr>
                              <w:r>
                                <w:rPr>
                                  <w:rFonts w:ascii="Times New Roman" w:hAnsi="Times New Roman" w:cs="Times New Roman"/>
                                  <w:szCs w:val="21"/>
                                </w:rPr>
                                <w:t>3 开着初步的环境现状调查</w:t>
                              </w:r>
                            </w:p>
                          </w:txbxContent>
                        </wps:txbx>
                        <wps:bodyPr lIns="91440" tIns="46800" rIns="91440" bIns="46800" upright="1"/>
                      </wps:wsp>
                      <wps:wsp>
                        <wps:cNvPr id="232" name="直接连接符 232"/>
                        <wps:cNvCnPr/>
                        <wps:spPr>
                          <a:xfrm>
                            <a:off x="6068" y="4180"/>
                            <a:ext cx="0" cy="496"/>
                          </a:xfrm>
                          <a:prstGeom prst="line">
                            <a:avLst/>
                          </a:prstGeom>
                          <a:ln w="9525" cap="flat" cmpd="sng">
                            <a:solidFill>
                              <a:srgbClr val="000000"/>
                            </a:solidFill>
                            <a:prstDash val="solid"/>
                            <a:headEnd type="none" w="med" len="med"/>
                            <a:tailEnd type="stealth" w="med" len="med"/>
                          </a:ln>
                        </wps:spPr>
                        <wps:bodyPr/>
                      </wps:wsp>
                      <wps:wsp>
                        <wps:cNvPr id="233" name="文本框 233"/>
                        <wps:cNvSpPr txBox="1"/>
                        <wps:spPr>
                          <a:xfrm>
                            <a:off x="4170" y="4676"/>
                            <a:ext cx="3833" cy="1125"/>
                          </a:xfrm>
                          <a:prstGeom prst="rect">
                            <a:avLst/>
                          </a:prstGeom>
                          <a:noFill/>
                          <a:ln w="9525" cap="flat" cmpd="sng">
                            <a:solidFill>
                              <a:srgbClr val="000000"/>
                            </a:solidFill>
                            <a:prstDash val="solid"/>
                            <a:miter/>
                            <a:headEnd type="none" w="med" len="med"/>
                            <a:tailEnd type="none" w="med" len="med"/>
                          </a:ln>
                        </wps:spPr>
                        <wps:txbx>
                          <w:txbxContent>
                            <w:p w14:paraId="45069CEC">
                              <w:pPr>
                                <w:jc w:val="left"/>
                                <w:rPr>
                                  <w:rFonts w:ascii="Times New Roman" w:hAnsi="Times New Roman" w:cs="Times New Roman"/>
                                  <w:szCs w:val="21"/>
                                </w:rPr>
                              </w:pPr>
                              <w:r>
                                <w:rPr>
                                  <w:rFonts w:ascii="Times New Roman" w:hAnsi="Times New Roman" w:cs="Times New Roman"/>
                                  <w:szCs w:val="21"/>
                                </w:rPr>
                                <w:t>1环境影响识别和评价因子筛选</w:t>
                              </w:r>
                            </w:p>
                            <w:p w14:paraId="6655A6E0">
                              <w:pPr>
                                <w:snapToGrid w:val="0"/>
                                <w:jc w:val="left"/>
                                <w:rPr>
                                  <w:rFonts w:ascii="Times New Roman" w:hAnsi="Times New Roman" w:cs="Times New Roman"/>
                                  <w:szCs w:val="21"/>
                                </w:rPr>
                              </w:pPr>
                              <w:r>
                                <w:rPr>
                                  <w:rFonts w:ascii="Times New Roman" w:hAnsi="Times New Roman" w:cs="Times New Roman"/>
                                  <w:szCs w:val="21"/>
                                </w:rPr>
                                <w:t>2明确评价重点和环境保护目标</w:t>
                              </w:r>
                            </w:p>
                            <w:p w14:paraId="5FEA3D44">
                              <w:pPr>
                                <w:snapToGrid w:val="0"/>
                                <w:rPr>
                                  <w:rFonts w:ascii="Times New Roman" w:hAnsi="Times New Roman" w:cs="Times New Roman"/>
                                  <w:szCs w:val="21"/>
                                </w:rPr>
                              </w:pPr>
                              <w:r>
                                <w:rPr>
                                  <w:rFonts w:ascii="Times New Roman" w:hAnsi="Times New Roman" w:cs="Times New Roman"/>
                                  <w:szCs w:val="21"/>
                                </w:rPr>
                                <w:t>3确定工作等级、评价范围和评价标准</w:t>
                              </w:r>
                            </w:p>
                          </w:txbxContent>
                        </wps:txbx>
                        <wps:bodyPr lIns="91440" tIns="54000" rIns="91440" bIns="54000" upright="1"/>
                      </wps:wsp>
                      <wps:wsp>
                        <wps:cNvPr id="234" name="直接连接符 234"/>
                        <wps:cNvCnPr/>
                        <wps:spPr>
                          <a:xfrm>
                            <a:off x="6068" y="5801"/>
                            <a:ext cx="0" cy="496"/>
                          </a:xfrm>
                          <a:prstGeom prst="line">
                            <a:avLst/>
                          </a:prstGeom>
                          <a:ln w="9525" cap="flat" cmpd="sng">
                            <a:solidFill>
                              <a:srgbClr val="000000"/>
                            </a:solidFill>
                            <a:prstDash val="solid"/>
                            <a:headEnd type="none" w="med" len="med"/>
                            <a:tailEnd type="stealth" w="med" len="med"/>
                          </a:ln>
                        </wps:spPr>
                        <wps:bodyPr/>
                      </wps:wsp>
                      <wps:wsp>
                        <wps:cNvPr id="235" name="文本框 235"/>
                        <wps:cNvSpPr txBox="1"/>
                        <wps:spPr>
                          <a:xfrm>
                            <a:off x="4943" y="6297"/>
                            <a:ext cx="2210" cy="427"/>
                          </a:xfrm>
                          <a:prstGeom prst="rect">
                            <a:avLst/>
                          </a:prstGeom>
                          <a:noFill/>
                          <a:ln w="9525" cap="flat" cmpd="sng">
                            <a:solidFill>
                              <a:srgbClr val="000000"/>
                            </a:solidFill>
                            <a:prstDash val="solid"/>
                            <a:miter/>
                            <a:headEnd type="none" w="med" len="med"/>
                            <a:tailEnd type="none" w="med" len="med"/>
                          </a:ln>
                        </wps:spPr>
                        <wps:txbx>
                          <w:txbxContent>
                            <w:p w14:paraId="1E38444E">
                              <w:pPr>
                                <w:snapToGrid w:val="0"/>
                                <w:jc w:val="center"/>
                                <w:rPr>
                                  <w:szCs w:val="21"/>
                                </w:rPr>
                              </w:pPr>
                              <w:r>
                                <w:rPr>
                                  <w:rFonts w:hAnsi="宋体"/>
                                  <w:szCs w:val="21"/>
                                </w:rPr>
                                <w:t>制定工作方案</w:t>
                              </w:r>
                            </w:p>
                          </w:txbxContent>
                        </wps:txbx>
                        <wps:bodyPr lIns="91440" tIns="54000" rIns="91440" bIns="54000" upright="1"/>
                      </wps:wsp>
                      <wps:wsp>
                        <wps:cNvPr id="236" name="直接连接符 236"/>
                        <wps:cNvCnPr/>
                        <wps:spPr>
                          <a:xfrm>
                            <a:off x="6068" y="6724"/>
                            <a:ext cx="0" cy="496"/>
                          </a:xfrm>
                          <a:prstGeom prst="line">
                            <a:avLst/>
                          </a:prstGeom>
                          <a:ln w="9525" cap="flat" cmpd="sng">
                            <a:solidFill>
                              <a:srgbClr val="000000"/>
                            </a:solidFill>
                            <a:prstDash val="solid"/>
                            <a:headEnd type="none" w="med" len="med"/>
                            <a:tailEnd type="stealth" w="med" len="med"/>
                          </a:ln>
                        </wps:spPr>
                        <wps:bodyPr/>
                      </wps:wsp>
                      <wps:wsp>
                        <wps:cNvPr id="237" name="直接连接符 237"/>
                        <wps:cNvCnPr/>
                        <wps:spPr>
                          <a:xfrm>
                            <a:off x="6068" y="8358"/>
                            <a:ext cx="0" cy="496"/>
                          </a:xfrm>
                          <a:prstGeom prst="line">
                            <a:avLst/>
                          </a:prstGeom>
                          <a:ln w="9525" cap="flat" cmpd="sng">
                            <a:solidFill>
                              <a:srgbClr val="000000"/>
                            </a:solidFill>
                            <a:prstDash val="solid"/>
                            <a:headEnd type="none" w="med" len="med"/>
                            <a:tailEnd type="stealth" w="med" len="med"/>
                          </a:ln>
                        </wps:spPr>
                        <wps:bodyPr/>
                      </wps:wsp>
                      <wps:wsp>
                        <wps:cNvPr id="238" name="直接连接符 238"/>
                        <wps:cNvCnPr/>
                        <wps:spPr>
                          <a:xfrm>
                            <a:off x="6045" y="9508"/>
                            <a:ext cx="0" cy="496"/>
                          </a:xfrm>
                          <a:prstGeom prst="line">
                            <a:avLst/>
                          </a:prstGeom>
                          <a:ln w="9525" cap="flat" cmpd="sng">
                            <a:solidFill>
                              <a:srgbClr val="000000"/>
                            </a:solidFill>
                            <a:prstDash val="solid"/>
                            <a:headEnd type="none" w="med" len="med"/>
                            <a:tailEnd type="stealth" w="med" len="med"/>
                          </a:ln>
                        </wps:spPr>
                        <wps:bodyPr/>
                      </wps:wsp>
                      <wps:wsp>
                        <wps:cNvPr id="239" name="直接连接符 239"/>
                        <wps:cNvCnPr/>
                        <wps:spPr>
                          <a:xfrm>
                            <a:off x="6045" y="11063"/>
                            <a:ext cx="0" cy="496"/>
                          </a:xfrm>
                          <a:prstGeom prst="line">
                            <a:avLst/>
                          </a:prstGeom>
                          <a:ln w="9525" cap="flat" cmpd="sng">
                            <a:solidFill>
                              <a:srgbClr val="000000"/>
                            </a:solidFill>
                            <a:prstDash val="solid"/>
                            <a:headEnd type="none" w="med" len="med"/>
                            <a:tailEnd type="stealth" w="med" len="med"/>
                          </a:ln>
                        </wps:spPr>
                        <wps:bodyPr/>
                      </wps:wsp>
                    </wpg:wgp>
                  </a:graphicData>
                </a:graphic>
              </wp:anchor>
            </w:drawing>
          </mc:Choice>
          <mc:Fallback>
            <w:pict>
              <v:group id="_x0000_s1026" o:spid="_x0000_s1026" o:spt="203" style="position:absolute;left:0pt;margin-left:6.05pt;margin-top:7.9pt;height:542.3pt;width:395.8pt;z-index:251662336;mso-width-relative:page;mso-height-relative:page;" coordorigin="1967,1920" coordsize="7916,10528" o:gfxdata="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">
                <o:lock v:ext="edit" aspectratio="f"/>
                <v:rect id="_x0000_s1026" o:spid="_x0000_s1026" o:spt="1" style="position:absolute;left:1967;top:1920;height:10528;width:7916;" fillcolor="#FFFFFF" filled="t" stroked="t" coordsize="21600,21600" o:gfxdata="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jp128AAAA&#10;3AAAAA8AAAAAAAAAAQAgAAAAIgAAAGRycy9kb3ducmV2LnhtbFBLAQIUABQAAAAIAIdO4kAzLwWe&#10;OwAAADkAAAAQAAAAAAAAAAEAIAAAAAsBAABkcnMvc2hhcGV4bWwueG1sUEsFBgAAAAAGAAYAWwEA&#10;ALUDAAAAAA==&#10;">
                  <v:fill on="t" opacity="0f" focussize="0,0"/>
                  <v:stroke color="#000000" joinstyle="miter" dashstyle="1 1" endcap="round"/>
                  <v:imagedata o:title=""/>
                  <o:lock v:ext="edit" aspectratio="f"/>
                </v:rect>
                <v:line id="_x0000_s1026" o:spid="_x0000_s1026" o:spt="20" style="position:absolute;left:6068;top:2684;height:496;width:0;" filled="f" stroked="t" coordsize="21600,21600" o:gfxdata="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vI4r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_x0000_s1026" o:spid="_x0000_s1026" o:spt="20" style="position:absolute;left:4463;top:7220;height:0;width:3279;" filled="f" stroked="t" coordsize="21600,21600" o:gfxdata="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poh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202" type="#_x0000_t202" style="position:absolute;left:4314;top:8854;height:654;width:3554;" filled="f" stroked="t" coordsize="21600,21600" o:gfxdata="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zl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5mm,0.5mm,0.5mm,1.5mm">
                    <w:txbxContent>
                      <w:p w14:paraId="3419820A">
                        <w:pPr>
                          <w:snapToGrid w:val="0"/>
                          <w:jc w:val="left"/>
                          <w:rPr>
                            <w:rFonts w:ascii="Times New Roman" w:hAnsi="Times New Roman" w:cs="Times New Roman"/>
                            <w:szCs w:val="21"/>
                          </w:rPr>
                        </w:pPr>
                        <w:r>
                          <w:rPr>
                            <w:rFonts w:ascii="Times New Roman" w:hAnsi="Times New Roman" w:cs="Times New Roman"/>
                            <w:szCs w:val="21"/>
                          </w:rPr>
                          <w:t>1各环境要素环境影响预测与评价</w:t>
                        </w:r>
                      </w:p>
                      <w:p w14:paraId="6EE02175">
                        <w:pPr>
                          <w:snapToGrid w:val="0"/>
                          <w:jc w:val="left"/>
                          <w:rPr>
                            <w:rFonts w:ascii="Times New Roman" w:hAnsi="Times New Roman" w:cs="Times New Roman"/>
                            <w:szCs w:val="21"/>
                          </w:rPr>
                        </w:pPr>
                        <w:r>
                          <w:rPr>
                            <w:rFonts w:ascii="Times New Roman" w:hAnsi="Times New Roman" w:cs="Times New Roman"/>
                            <w:szCs w:val="21"/>
                          </w:rPr>
                          <w:t>2各专题环境影响分析与评价</w:t>
                        </w:r>
                      </w:p>
                    </w:txbxContent>
                  </v:textbox>
                </v:shape>
                <v:shape id="_x0000_s1026" o:spid="_x0000_s1026" o:spt="202" type="#_x0000_t202" style="position:absolute;left:3795;top:2279;height:405;width:4522;" filled="f" stroked="t" coordsize="21600,21600" o:gfxdata="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4mV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0mm,2.54mm,1.5mm">
                    <w:txbxContent>
                      <w:p w14:paraId="51ED5430">
                        <w:pPr>
                          <w:jc w:val="center"/>
                          <w:rPr>
                            <w:szCs w:val="21"/>
                          </w:rPr>
                        </w:pPr>
                        <w:r>
                          <w:rPr>
                            <w:rFonts w:hint="eastAsia" w:hAnsi="宋体"/>
                            <w:szCs w:val="21"/>
                          </w:rPr>
                          <w:t>依据相关规定确定环境影响评价文件类型</w:t>
                        </w:r>
                      </w:p>
                      <w:p w14:paraId="64597DE7">
                        <w:pPr>
                          <w:rPr>
                            <w:szCs w:val="21"/>
                          </w:rPr>
                        </w:pPr>
                      </w:p>
                      <w:p w14:paraId="4A1D85AE">
                        <w:pPr>
                          <w:rPr>
                            <w:szCs w:val="21"/>
                          </w:rPr>
                        </w:pPr>
                      </w:p>
                      <w:p w14:paraId="05007CEA">
                        <w:pPr>
                          <w:ind w:firstLine="105" w:firstLineChars="50"/>
                          <w:rPr>
                            <w:szCs w:val="21"/>
                          </w:rPr>
                        </w:pPr>
                        <w:r>
                          <w:rPr>
                            <w:rFonts w:hint="eastAsia"/>
                            <w:szCs w:val="21"/>
                          </w:rPr>
                          <w:t>国</w:t>
                        </w:r>
                      </w:p>
                      <w:p w14:paraId="008E7275">
                        <w:pPr>
                          <w:rPr>
                            <w:szCs w:val="21"/>
                          </w:rPr>
                        </w:pPr>
                      </w:p>
                      <w:p w14:paraId="0076945E">
                        <w:pPr>
                          <w:rPr>
                            <w:szCs w:val="21"/>
                          </w:rPr>
                        </w:pPr>
                      </w:p>
                      <w:p w14:paraId="6A0CF66C">
                        <w:pPr>
                          <w:ind w:firstLine="105" w:firstLineChars="50"/>
                          <w:rPr>
                            <w:szCs w:val="21"/>
                          </w:rPr>
                        </w:pPr>
                        <w:r>
                          <w:rPr>
                            <w:rFonts w:hint="eastAsia"/>
                            <w:szCs w:val="21"/>
                          </w:rPr>
                          <w:t>道</w:t>
                        </w:r>
                      </w:p>
                      <w:p w14:paraId="2456A47F">
                        <w:pPr>
                          <w:jc w:val="center"/>
                          <w:rPr>
                            <w:szCs w:val="21"/>
                          </w:rPr>
                        </w:pPr>
                        <w:r>
                          <w:rPr>
                            <w:rFonts w:hAnsi="宋体"/>
                            <w:szCs w:val="21"/>
                          </w:rPr>
                          <w:t>评价委托</w:t>
                        </w:r>
                      </w:p>
                    </w:txbxContent>
                  </v:textbox>
                </v:shape>
                <v:line id="_x0000_s1026" o:spid="_x0000_s1026" o:spt="20" style="position:absolute;left:4469;top:7224;height:224;width:0;" filled="f" stroked="t" coordsize="21600,21600" o:gfxdata="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2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202" type="#_x0000_t202" style="position:absolute;left:3615;top:7460;height:674;width:1590;" filled="f" stroked="t" coordsize="21600,21600" o:gfxdata="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CgP+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2.54mm,3.95pt,2.54mm,3.65pt">
                    <w:txbxContent>
                      <w:p w14:paraId="145BC7C6">
                        <w:pPr>
                          <w:snapToGrid w:val="0"/>
                          <w:rPr>
                            <w:rFonts w:hAnsi="宋体"/>
                            <w:szCs w:val="21"/>
                          </w:rPr>
                        </w:pPr>
                        <w:r>
                          <w:rPr>
                            <w:rFonts w:hAnsi="宋体"/>
                            <w:szCs w:val="21"/>
                          </w:rPr>
                          <w:t>环境</w:t>
                        </w:r>
                        <w:r>
                          <w:rPr>
                            <w:rFonts w:hint="eastAsia" w:hAnsi="宋体"/>
                            <w:szCs w:val="21"/>
                          </w:rPr>
                          <w:t>现状</w:t>
                        </w:r>
                        <w:r>
                          <w:rPr>
                            <w:rFonts w:hAnsi="宋体"/>
                            <w:szCs w:val="21"/>
                          </w:rPr>
                          <w:t>调查</w:t>
                        </w:r>
                      </w:p>
                      <w:p w14:paraId="58A56528">
                        <w:pPr>
                          <w:snapToGrid w:val="0"/>
                          <w:jc w:val="center"/>
                          <w:rPr>
                            <w:szCs w:val="21"/>
                          </w:rPr>
                        </w:pPr>
                        <w:r>
                          <w:rPr>
                            <w:rFonts w:hAnsi="宋体"/>
                            <w:szCs w:val="21"/>
                          </w:rPr>
                          <w:t>监测与评价</w:t>
                        </w:r>
                      </w:p>
                    </w:txbxContent>
                  </v:textbox>
                </v:shape>
                <v:shape id="_x0000_s1026" o:spid="_x0000_s1026" o:spt="202" type="#_x0000_t202" style="position:absolute;left:7153;top:7450;height:675;width:1164;" filled="f" stroked="t" coordsize="21600,21600" o:gfxdata="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Owt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3.55pt,2.54mm,3.55pt">
                    <w:txbxContent>
                      <w:p w14:paraId="7ECF717D">
                        <w:pPr>
                          <w:snapToGrid w:val="0"/>
                          <w:rPr>
                            <w:szCs w:val="21"/>
                          </w:rPr>
                        </w:pPr>
                        <w:r>
                          <w:rPr>
                            <w:rFonts w:hAnsi="宋体"/>
                            <w:szCs w:val="21"/>
                          </w:rPr>
                          <w:t>建设项目</w:t>
                        </w:r>
                      </w:p>
                      <w:p w14:paraId="2A30654F">
                        <w:pPr>
                          <w:snapToGrid w:val="0"/>
                          <w:rPr>
                            <w:szCs w:val="21"/>
                          </w:rPr>
                        </w:pPr>
                        <w:r>
                          <w:rPr>
                            <w:rFonts w:hAnsi="宋体"/>
                            <w:szCs w:val="21"/>
                          </w:rPr>
                          <w:t>工程分析</w:t>
                        </w:r>
                      </w:p>
                    </w:txbxContent>
                  </v:textbox>
                </v:shape>
                <v:line id="_x0000_s1026" o:spid="_x0000_s1026" o:spt="20" style="position:absolute;left:4463;top:8365;flip:y;height:2;width:3296;" filled="f" stroked="t" coordsize="21600,21600" o:gfxdata="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TUGq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202" type="#_x0000_t202" style="position:absolute;left:3945;top:10004;height:1059;width:4245;" filled="f" stroked="t" coordsize="21600,21600" o:gfxdata="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Arw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5mm,1.5mm,0.5mm,1.5mm">
                    <w:txbxContent>
                      <w:p w14:paraId="71A06129">
                        <w:pPr>
                          <w:snapToGrid w:val="0"/>
                          <w:rPr>
                            <w:rFonts w:ascii="Times New Roman" w:hAnsi="Times New Roman" w:cs="Times New Roman"/>
                            <w:szCs w:val="21"/>
                          </w:rPr>
                        </w:pPr>
                        <w:r>
                          <w:rPr>
                            <w:rFonts w:ascii="Times New Roman" w:hAnsi="Times New Roman" w:cs="Times New Roman"/>
                            <w:szCs w:val="21"/>
                          </w:rPr>
                          <w:t>1 提出环境保护措施，进行经济技术论证</w:t>
                        </w:r>
                      </w:p>
                      <w:p w14:paraId="4C5EFABE">
                        <w:pPr>
                          <w:snapToGrid w:val="0"/>
                          <w:rPr>
                            <w:rFonts w:ascii="Times New Roman" w:hAnsi="Times New Roman" w:cs="Times New Roman"/>
                            <w:szCs w:val="21"/>
                          </w:rPr>
                        </w:pPr>
                        <w:r>
                          <w:rPr>
                            <w:rFonts w:ascii="Times New Roman" w:hAnsi="Times New Roman" w:cs="Times New Roman"/>
                            <w:szCs w:val="21"/>
                          </w:rPr>
                          <w:t>2 给出污染物排放清单</w:t>
                        </w:r>
                      </w:p>
                      <w:p w14:paraId="69104457">
                        <w:pPr>
                          <w:snapToGrid w:val="0"/>
                          <w:rPr>
                            <w:rFonts w:ascii="Times New Roman" w:hAnsi="Times New Roman" w:cs="Times New Roman"/>
                            <w:szCs w:val="21"/>
                          </w:rPr>
                        </w:pPr>
                        <w:r>
                          <w:rPr>
                            <w:rFonts w:ascii="Times New Roman" w:hAnsi="Times New Roman" w:cs="Times New Roman"/>
                            <w:szCs w:val="21"/>
                          </w:rPr>
                          <w:t>3 给出建设项目环境可行性的结论</w:t>
                        </w:r>
                      </w:p>
                      <w:p w14:paraId="4117068A">
                        <w:pPr>
                          <w:jc w:val="center"/>
                          <w:rPr>
                            <w:szCs w:val="21"/>
                          </w:rPr>
                        </w:pPr>
                        <w:r>
                          <w:rPr>
                            <w:szCs w:val="21"/>
                          </w:rPr>
                          <w:t xml:space="preserve"> </w:t>
                        </w:r>
                      </w:p>
                    </w:txbxContent>
                  </v:textbox>
                </v:shape>
                <v:shape id="_x0000_s1026" o:spid="_x0000_s1026" o:spt="202" type="#_x0000_t202" style="position:absolute;left:4702;top:11559;height:427;width:2693;" filled="f" stroked="t" coordsize="21600,21600" o:gfxdata="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T+O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1pt,1.5mm,1pt,1.5mm">
                    <w:txbxContent>
                      <w:p w14:paraId="537BB3EE">
                        <w:pPr>
                          <w:snapToGrid w:val="0"/>
                          <w:jc w:val="center"/>
                          <w:rPr>
                            <w:szCs w:val="21"/>
                          </w:rPr>
                        </w:pPr>
                        <w:r>
                          <w:rPr>
                            <w:rFonts w:hAnsi="宋体"/>
                            <w:szCs w:val="21"/>
                          </w:rPr>
                          <w:t>编制环境影响评价文件</w:t>
                        </w:r>
                      </w:p>
                    </w:txbxContent>
                  </v:textbox>
                </v:shape>
                <v:line id="_x0000_s1026" o:spid="_x0000_s1026" o:spt="20" style="position:absolute;left:1975;top:6915;height:0;width:7908;" filled="f" stroked="t" coordsize="21600,21600" o:gfxdata="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ZQR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_x0000_s1026" o:spid="_x0000_s1026" o:spt="20" style="position:absolute;left:1975;top:9736;height:0;width:7908;" filled="f" stroked="t" coordsize="21600,21600" o:gfxdata="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nAxl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shape id="_x0000_s1026" o:spid="_x0000_s1026" o:spt="202" type="#_x0000_t202" style="position:absolute;left:2082;top:3601;height:1310;width:464;" fillcolor="#FFFFFF" filled="t" stroked="f" coordsize="21600,21600" o:gfxdata="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Hwkr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1.27mm,1.5mm,1.27mm" style="layout-flow:vertical-ideographic;">
                    <w:txbxContent>
                      <w:p w14:paraId="4E84D329">
                        <w:pPr>
                          <w:rPr>
                            <w:spacing w:val="30"/>
                            <w:szCs w:val="21"/>
                          </w:rPr>
                        </w:pPr>
                        <w:r>
                          <w:rPr>
                            <w:rFonts w:hAnsi="宋体"/>
                            <w:spacing w:val="30"/>
                            <w:szCs w:val="21"/>
                          </w:rPr>
                          <w:t>第一阶段</w:t>
                        </w:r>
                      </w:p>
                    </w:txbxContent>
                  </v:textbox>
                </v:shape>
                <v:shape id="_x0000_s1026" o:spid="_x0000_s1026" o:spt="202" type="#_x0000_t202" style="position:absolute;left:2091;top:7785;height:1310;width:464;" fillcolor="#FFFFFF" filled="t" stroked="f" coordsize="21600,21600" o:gfxdata="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Nu5b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1.27mm,1.5mm,1.27mm" style="layout-flow:vertical-ideographic;">
                    <w:txbxContent>
                      <w:p w14:paraId="4D66AD29">
                        <w:pPr>
                          <w:rPr>
                            <w:spacing w:val="30"/>
                            <w:szCs w:val="21"/>
                          </w:rPr>
                        </w:pPr>
                        <w:r>
                          <w:rPr>
                            <w:rFonts w:hAnsi="宋体"/>
                            <w:spacing w:val="30"/>
                            <w:szCs w:val="21"/>
                          </w:rPr>
                          <w:t>第二阶段</w:t>
                        </w:r>
                      </w:p>
                    </w:txbxContent>
                  </v:textbox>
                </v:shape>
                <v:shape id="_x0000_s1026" o:spid="_x0000_s1026" o:spt="202" type="#_x0000_t202" style="position:absolute;left:2091;top:10442;height:1310;width:464;" fillcolor="#FFFFFF" filled="t" stroked="f" coordsize="21600,21600" o:gfxdata="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Lfr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1.27mm,1.5mm,1.27mm" style="layout-flow:vertical-ideographic;">
                    <w:txbxContent>
                      <w:p w14:paraId="4637981C">
                        <w:pPr>
                          <w:rPr>
                            <w:spacing w:val="30"/>
                            <w:szCs w:val="21"/>
                          </w:rPr>
                        </w:pPr>
                        <w:r>
                          <w:rPr>
                            <w:rFonts w:hAnsi="宋体"/>
                            <w:spacing w:val="30"/>
                            <w:szCs w:val="21"/>
                          </w:rPr>
                          <w:t>第三阶段</w:t>
                        </w:r>
                      </w:p>
                    </w:txbxContent>
                  </v:textbox>
                </v:shape>
                <v:line id="_x0000_s1026" o:spid="_x0000_s1026" o:spt="20" style="position:absolute;left:7747;top:7224;height:224;width:0;" filled="f" stroked="t" coordsize="21600,21600" o:gfxdata="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G6g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4469;top:8134;height:224;width:0;"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747;top:8134;height:224;width:0;" filled="f" stroked="t" coordsize="21600,21600" o:gfxdata="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0Mu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202" type="#_x0000_t202" style="position:absolute;left:3795;top:3180;height:1000;width:4522;" filled="f" stroked="t" coordsize="21600,21600" o:gfxdata="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a22k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2.54mm,1.3mm,2.54mm,1.3mm">
                    <w:txbxContent>
                      <w:p w14:paraId="04E71AC9">
                        <w:pPr>
                          <w:adjustRightInd w:val="0"/>
                          <w:snapToGrid w:val="0"/>
                          <w:rPr>
                            <w:rFonts w:ascii="Times New Roman" w:hAnsi="Times New Roman" w:cs="Times New Roman"/>
                            <w:szCs w:val="21"/>
                          </w:rPr>
                        </w:pPr>
                        <w:r>
                          <w:rPr>
                            <w:rFonts w:ascii="Times New Roman" w:hAnsi="Times New Roman" w:cs="Times New Roman"/>
                            <w:szCs w:val="21"/>
                          </w:rPr>
                          <w:t>1 研究相关技术文件和其他有关文件</w:t>
                        </w:r>
                      </w:p>
                      <w:p w14:paraId="3A25B350">
                        <w:pPr>
                          <w:adjustRightInd w:val="0"/>
                          <w:snapToGrid w:val="0"/>
                          <w:rPr>
                            <w:rFonts w:ascii="Times New Roman" w:hAnsi="Times New Roman" w:cs="Times New Roman"/>
                            <w:szCs w:val="21"/>
                          </w:rPr>
                        </w:pPr>
                        <w:r>
                          <w:rPr>
                            <w:rFonts w:ascii="Times New Roman" w:hAnsi="Times New Roman" w:cs="Times New Roman"/>
                            <w:szCs w:val="21"/>
                          </w:rPr>
                          <w:t>2 进行初步工程分析</w:t>
                        </w:r>
                      </w:p>
                      <w:p w14:paraId="0D46BD13">
                        <w:pPr>
                          <w:adjustRightInd w:val="0"/>
                          <w:snapToGrid w:val="0"/>
                          <w:rPr>
                            <w:rFonts w:ascii="Times New Roman" w:hAnsi="Times New Roman" w:cs="Times New Roman"/>
                            <w:szCs w:val="21"/>
                          </w:rPr>
                        </w:pPr>
                        <w:r>
                          <w:rPr>
                            <w:rFonts w:ascii="Times New Roman" w:hAnsi="Times New Roman" w:cs="Times New Roman"/>
                            <w:szCs w:val="21"/>
                          </w:rPr>
                          <w:t>3 开着初步的环境现状调查</w:t>
                        </w:r>
                      </w:p>
                    </w:txbxContent>
                  </v:textbox>
                </v:shape>
                <v:line id="_x0000_s1026" o:spid="_x0000_s1026" o:spt="20" style="position:absolute;left:6068;top:4180;height:496;width:0;" filled="f" stroked="t" coordsize="21600,21600" o:gfxdata="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6Ugr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_x0000_s1026" o:spid="_x0000_s1026" o:spt="202" type="#_x0000_t202" style="position:absolute;left:4170;top:4676;height:1125;width:3833;" filled="f" stroked="t" coordsize="21600,21600" o:gfxdata="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Let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2.54mm,1.5mm,2.54mm,1.5mm">
                    <w:txbxContent>
                      <w:p w14:paraId="45069CEC">
                        <w:pPr>
                          <w:jc w:val="left"/>
                          <w:rPr>
                            <w:rFonts w:ascii="Times New Roman" w:hAnsi="Times New Roman" w:cs="Times New Roman"/>
                            <w:szCs w:val="21"/>
                          </w:rPr>
                        </w:pPr>
                        <w:r>
                          <w:rPr>
                            <w:rFonts w:ascii="Times New Roman" w:hAnsi="Times New Roman" w:cs="Times New Roman"/>
                            <w:szCs w:val="21"/>
                          </w:rPr>
                          <w:t>1环境影响识别和评价因子筛选</w:t>
                        </w:r>
                      </w:p>
                      <w:p w14:paraId="6655A6E0">
                        <w:pPr>
                          <w:snapToGrid w:val="0"/>
                          <w:jc w:val="left"/>
                          <w:rPr>
                            <w:rFonts w:ascii="Times New Roman" w:hAnsi="Times New Roman" w:cs="Times New Roman"/>
                            <w:szCs w:val="21"/>
                          </w:rPr>
                        </w:pPr>
                        <w:r>
                          <w:rPr>
                            <w:rFonts w:ascii="Times New Roman" w:hAnsi="Times New Roman" w:cs="Times New Roman"/>
                            <w:szCs w:val="21"/>
                          </w:rPr>
                          <w:t>2明确评价重点和环境保护目标</w:t>
                        </w:r>
                      </w:p>
                      <w:p w14:paraId="5FEA3D44">
                        <w:pPr>
                          <w:snapToGrid w:val="0"/>
                          <w:rPr>
                            <w:rFonts w:ascii="Times New Roman" w:hAnsi="Times New Roman" w:cs="Times New Roman"/>
                            <w:szCs w:val="21"/>
                          </w:rPr>
                        </w:pPr>
                        <w:r>
                          <w:rPr>
                            <w:rFonts w:ascii="Times New Roman" w:hAnsi="Times New Roman" w:cs="Times New Roman"/>
                            <w:szCs w:val="21"/>
                          </w:rPr>
                          <w:t>3确定工作等级、评价范围和评价标准</w:t>
                        </w:r>
                      </w:p>
                    </w:txbxContent>
                  </v:textbox>
                </v:shape>
                <v:line id="_x0000_s1026" o:spid="_x0000_s1026" o:spt="20" style="position:absolute;left:6068;top:5801;height:496;width:0;" filled="f" stroked="t" coordsize="21600,21600" o:gfxdata="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qW2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shape id="_x0000_s1026" o:spid="_x0000_s1026" o:spt="202" type="#_x0000_t202" style="position:absolute;left:4943;top:6297;height:427;width:2210;" filled="f" stroked="t" coordsize="21600,21600" o:gfxdata="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Nb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1.5mm,2.54mm,1.5mm">
                    <w:txbxContent>
                      <w:p w14:paraId="1E38444E">
                        <w:pPr>
                          <w:snapToGrid w:val="0"/>
                          <w:jc w:val="center"/>
                          <w:rPr>
                            <w:szCs w:val="21"/>
                          </w:rPr>
                        </w:pPr>
                        <w:r>
                          <w:rPr>
                            <w:rFonts w:hAnsi="宋体"/>
                            <w:szCs w:val="21"/>
                          </w:rPr>
                          <w:t>制定工作方案</w:t>
                        </w:r>
                      </w:p>
                    </w:txbxContent>
                  </v:textbox>
                </v:shape>
                <v:line id="_x0000_s1026" o:spid="_x0000_s1026" o:spt="20" style="position:absolute;left:6068;top:6724;height:496;width:0;" filled="f" stroked="t" coordsize="21600,21600" o:gfxdata="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WSgb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_x0000_s1026" o:spid="_x0000_s1026" o:spt="20" style="position:absolute;left:6068;top:8358;height:496;width:0;" filled="f" stroked="t" coordsize="21600,21600" o:gfxdata="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JNxq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_x0000_s1026" o:spid="_x0000_s1026" o:spt="20" style="position:absolute;left:6045;top:9508;height:496;width:0;" filled="f" stroked="t" coordsize="21600,21600" o:gfxdata="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pajaLgAAADcAAAA&#10;DwAAAAAAAAABACAAAAAiAAAAZHJzL2Rvd25yZXYueG1sUEsBAhQAFAAAAAgAh07iQDMvBZ47AAAA&#10;OQAAABAAAAAAAAAAAQAgAAAABwEAAGRycy9zaGFwZXhtbC54bWxQSwUGAAAAAAYABgBbAQAAsQMA&#10;AAAA&#10;">
                  <v:fill on="f" focussize="0,0"/>
                  <v:stroke color="#000000" joinstyle="round" endarrow="classic"/>
                  <v:imagedata o:title=""/>
                  <o:lock v:ext="edit" aspectratio="f"/>
                </v:line>
                <v:line id="_x0000_s1026" o:spid="_x0000_s1026" o:spt="20" style="position:absolute;left:6045;top:11063;height:496;width:0;" filled="f" stroked="t" coordsize="21600,21600" o:gfxdata="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aBvO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group>
            </w:pict>
          </mc:Fallback>
        </mc:AlternateContent>
      </w:r>
    </w:p>
    <w:p w14:paraId="5A435204">
      <w:pPr>
        <w:spacing w:line="360" w:lineRule="auto"/>
        <w:jc w:val="center"/>
        <w:rPr>
          <w:rFonts w:ascii="Times New Roman" w:hAnsi="Times New Roman" w:eastAsia="宋体" w:cs="Times New Roman"/>
          <w:b/>
          <w:bCs/>
          <w:szCs w:val="21"/>
          <w:lang w:bidi="ar"/>
        </w:rPr>
      </w:pPr>
    </w:p>
    <w:p w14:paraId="402779E6">
      <w:pPr>
        <w:spacing w:line="360" w:lineRule="auto"/>
        <w:jc w:val="center"/>
        <w:rPr>
          <w:rFonts w:ascii="Times New Roman" w:hAnsi="Times New Roman" w:eastAsia="宋体" w:cs="Times New Roman"/>
          <w:b/>
          <w:bCs/>
          <w:szCs w:val="21"/>
          <w:lang w:bidi="ar"/>
        </w:rPr>
      </w:pPr>
    </w:p>
    <w:p w14:paraId="0AA4C6D9">
      <w:pPr>
        <w:spacing w:line="360" w:lineRule="auto"/>
        <w:jc w:val="center"/>
        <w:rPr>
          <w:rFonts w:ascii="Times New Roman" w:hAnsi="Times New Roman" w:eastAsia="宋体" w:cs="Times New Roman"/>
          <w:b/>
          <w:bCs/>
          <w:szCs w:val="21"/>
          <w:lang w:bidi="ar"/>
        </w:rPr>
      </w:pPr>
    </w:p>
    <w:p w14:paraId="3A9392D9">
      <w:pPr>
        <w:spacing w:line="360" w:lineRule="auto"/>
        <w:jc w:val="center"/>
        <w:rPr>
          <w:rFonts w:ascii="Times New Roman" w:hAnsi="Times New Roman" w:eastAsia="宋体" w:cs="Times New Roman"/>
          <w:b/>
          <w:bCs/>
          <w:szCs w:val="21"/>
          <w:lang w:bidi="ar"/>
        </w:rPr>
      </w:pPr>
    </w:p>
    <w:p w14:paraId="67D8AE75">
      <w:pPr>
        <w:spacing w:line="360" w:lineRule="auto"/>
        <w:jc w:val="center"/>
        <w:rPr>
          <w:rFonts w:ascii="Times New Roman" w:hAnsi="Times New Roman" w:eastAsia="宋体" w:cs="Times New Roman"/>
          <w:b/>
          <w:bCs/>
          <w:szCs w:val="21"/>
          <w:lang w:bidi="ar"/>
        </w:rPr>
      </w:pPr>
    </w:p>
    <w:p w14:paraId="4822309E">
      <w:pPr>
        <w:spacing w:line="360" w:lineRule="auto"/>
        <w:jc w:val="center"/>
        <w:rPr>
          <w:rFonts w:ascii="Times New Roman" w:hAnsi="Times New Roman" w:eastAsia="宋体" w:cs="Times New Roman"/>
          <w:b/>
          <w:bCs/>
          <w:szCs w:val="21"/>
          <w:lang w:bidi="ar"/>
        </w:rPr>
      </w:pPr>
    </w:p>
    <w:p w14:paraId="70B0BBF4">
      <w:pPr>
        <w:spacing w:line="360" w:lineRule="auto"/>
        <w:jc w:val="center"/>
        <w:rPr>
          <w:rFonts w:ascii="Times New Roman" w:hAnsi="Times New Roman" w:eastAsia="宋体" w:cs="Times New Roman"/>
          <w:b/>
          <w:bCs/>
          <w:szCs w:val="21"/>
          <w:lang w:bidi="ar"/>
        </w:rPr>
      </w:pPr>
    </w:p>
    <w:p w14:paraId="58DAA034">
      <w:pPr>
        <w:spacing w:line="360" w:lineRule="auto"/>
        <w:jc w:val="center"/>
        <w:rPr>
          <w:rFonts w:ascii="Times New Roman" w:hAnsi="Times New Roman" w:eastAsia="宋体" w:cs="Times New Roman"/>
          <w:b/>
          <w:bCs/>
          <w:szCs w:val="21"/>
          <w:lang w:bidi="ar"/>
        </w:rPr>
      </w:pPr>
    </w:p>
    <w:p w14:paraId="23FC5757">
      <w:pPr>
        <w:spacing w:line="360" w:lineRule="auto"/>
        <w:jc w:val="center"/>
        <w:rPr>
          <w:rFonts w:ascii="Times New Roman" w:hAnsi="Times New Roman" w:eastAsia="宋体" w:cs="Times New Roman"/>
          <w:b/>
          <w:bCs/>
          <w:szCs w:val="21"/>
          <w:lang w:bidi="ar"/>
        </w:rPr>
      </w:pPr>
    </w:p>
    <w:p w14:paraId="795AFA92">
      <w:pPr>
        <w:spacing w:line="360" w:lineRule="auto"/>
        <w:jc w:val="center"/>
        <w:rPr>
          <w:rFonts w:ascii="Times New Roman" w:hAnsi="Times New Roman" w:eastAsia="宋体" w:cs="Times New Roman"/>
          <w:b/>
          <w:bCs/>
          <w:szCs w:val="21"/>
          <w:lang w:bidi="ar"/>
        </w:rPr>
      </w:pPr>
    </w:p>
    <w:p w14:paraId="0F0DBCAF">
      <w:pPr>
        <w:spacing w:line="360" w:lineRule="auto"/>
        <w:jc w:val="center"/>
        <w:rPr>
          <w:rFonts w:ascii="Times New Roman" w:hAnsi="Times New Roman" w:eastAsia="宋体" w:cs="Times New Roman"/>
          <w:b/>
          <w:bCs/>
          <w:szCs w:val="21"/>
          <w:lang w:bidi="ar"/>
        </w:rPr>
      </w:pPr>
    </w:p>
    <w:p w14:paraId="7FD86B08">
      <w:pPr>
        <w:spacing w:line="360" w:lineRule="auto"/>
        <w:jc w:val="center"/>
        <w:rPr>
          <w:rFonts w:ascii="Times New Roman" w:hAnsi="Times New Roman" w:eastAsia="宋体" w:cs="Times New Roman"/>
          <w:b/>
          <w:bCs/>
          <w:szCs w:val="21"/>
          <w:lang w:bidi="ar"/>
        </w:rPr>
      </w:pPr>
    </w:p>
    <w:p w14:paraId="2D83EE24">
      <w:pPr>
        <w:spacing w:line="360" w:lineRule="auto"/>
        <w:jc w:val="center"/>
        <w:rPr>
          <w:rFonts w:ascii="Times New Roman" w:hAnsi="Times New Roman" w:eastAsia="宋体" w:cs="Times New Roman"/>
          <w:b/>
          <w:bCs/>
          <w:szCs w:val="21"/>
          <w:lang w:bidi="ar"/>
        </w:rPr>
      </w:pPr>
    </w:p>
    <w:p w14:paraId="4BE9324B">
      <w:pPr>
        <w:spacing w:line="360" w:lineRule="auto"/>
        <w:jc w:val="center"/>
        <w:rPr>
          <w:rFonts w:ascii="Times New Roman" w:hAnsi="Times New Roman" w:eastAsia="宋体" w:cs="Times New Roman"/>
          <w:b/>
          <w:bCs/>
          <w:szCs w:val="21"/>
          <w:lang w:bidi="ar"/>
        </w:rPr>
      </w:pPr>
    </w:p>
    <w:p w14:paraId="3D03AAEB">
      <w:pPr>
        <w:spacing w:line="360" w:lineRule="auto"/>
        <w:jc w:val="center"/>
        <w:rPr>
          <w:rFonts w:ascii="Times New Roman" w:hAnsi="Times New Roman" w:eastAsia="宋体" w:cs="Times New Roman"/>
          <w:b/>
          <w:bCs/>
          <w:szCs w:val="21"/>
          <w:lang w:bidi="ar"/>
        </w:rPr>
      </w:pPr>
    </w:p>
    <w:p w14:paraId="161B6D47">
      <w:pPr>
        <w:spacing w:line="360" w:lineRule="auto"/>
        <w:jc w:val="center"/>
        <w:rPr>
          <w:rFonts w:ascii="Times New Roman" w:hAnsi="Times New Roman" w:eastAsia="宋体" w:cs="Times New Roman"/>
          <w:b/>
          <w:bCs/>
          <w:szCs w:val="21"/>
          <w:lang w:bidi="ar"/>
        </w:rPr>
      </w:pPr>
    </w:p>
    <w:p w14:paraId="191F9243">
      <w:pPr>
        <w:spacing w:line="360" w:lineRule="auto"/>
        <w:jc w:val="center"/>
        <w:rPr>
          <w:rFonts w:ascii="Times New Roman" w:hAnsi="Times New Roman" w:eastAsia="宋体" w:cs="Times New Roman"/>
          <w:b/>
          <w:bCs/>
          <w:szCs w:val="21"/>
          <w:lang w:bidi="ar"/>
        </w:rPr>
      </w:pPr>
    </w:p>
    <w:p w14:paraId="24700FC2">
      <w:pPr>
        <w:spacing w:line="360" w:lineRule="auto"/>
        <w:jc w:val="center"/>
        <w:rPr>
          <w:rFonts w:ascii="Times New Roman" w:hAnsi="Times New Roman" w:eastAsia="宋体" w:cs="Times New Roman"/>
          <w:b/>
          <w:bCs/>
          <w:szCs w:val="21"/>
          <w:lang w:bidi="ar"/>
        </w:rPr>
      </w:pPr>
    </w:p>
    <w:p w14:paraId="0CEAD99E">
      <w:pPr>
        <w:spacing w:line="360" w:lineRule="auto"/>
        <w:jc w:val="center"/>
        <w:rPr>
          <w:rFonts w:ascii="Times New Roman" w:hAnsi="Times New Roman" w:eastAsia="宋体" w:cs="Times New Roman"/>
          <w:b/>
          <w:bCs/>
          <w:szCs w:val="21"/>
          <w:lang w:bidi="ar"/>
        </w:rPr>
      </w:pPr>
    </w:p>
    <w:p w14:paraId="38CBACE6">
      <w:pPr>
        <w:spacing w:line="360" w:lineRule="auto"/>
        <w:jc w:val="center"/>
        <w:rPr>
          <w:rFonts w:ascii="Times New Roman" w:hAnsi="Times New Roman" w:eastAsia="宋体" w:cs="Times New Roman"/>
          <w:b/>
          <w:bCs/>
          <w:szCs w:val="21"/>
          <w:lang w:bidi="ar"/>
        </w:rPr>
      </w:pPr>
    </w:p>
    <w:p w14:paraId="117E701A">
      <w:pPr>
        <w:spacing w:line="360" w:lineRule="auto"/>
        <w:jc w:val="center"/>
        <w:rPr>
          <w:rFonts w:ascii="Times New Roman" w:hAnsi="Times New Roman" w:eastAsia="宋体" w:cs="Times New Roman"/>
          <w:b/>
          <w:bCs/>
          <w:szCs w:val="21"/>
          <w:lang w:bidi="ar"/>
        </w:rPr>
      </w:pPr>
    </w:p>
    <w:p w14:paraId="0F842722">
      <w:pPr>
        <w:spacing w:line="360" w:lineRule="auto"/>
        <w:jc w:val="center"/>
        <w:rPr>
          <w:rFonts w:ascii="Times New Roman" w:hAnsi="Times New Roman" w:eastAsia="宋体" w:cs="Times New Roman"/>
          <w:b/>
          <w:bCs/>
          <w:szCs w:val="21"/>
          <w:lang w:bidi="ar"/>
        </w:rPr>
      </w:pPr>
    </w:p>
    <w:p w14:paraId="0BDAAC46">
      <w:pPr>
        <w:spacing w:line="360" w:lineRule="auto"/>
        <w:jc w:val="center"/>
        <w:rPr>
          <w:rFonts w:ascii="Times New Roman" w:hAnsi="Times New Roman" w:eastAsia="宋体" w:cs="Times New Roman"/>
          <w:b/>
          <w:bCs/>
          <w:szCs w:val="21"/>
          <w:lang w:bidi="ar"/>
        </w:rPr>
      </w:pPr>
    </w:p>
    <w:p w14:paraId="799A03D3">
      <w:pPr>
        <w:spacing w:line="360" w:lineRule="auto"/>
        <w:jc w:val="center"/>
        <w:rPr>
          <w:rFonts w:ascii="Times New Roman" w:hAnsi="Times New Roman" w:eastAsia="宋体" w:cs="Times New Roman"/>
          <w:b/>
          <w:bCs/>
          <w:szCs w:val="21"/>
          <w:lang w:bidi="ar"/>
        </w:rPr>
      </w:pPr>
    </w:p>
    <w:p w14:paraId="1BC59F4A">
      <w:pPr>
        <w:spacing w:line="360" w:lineRule="auto"/>
        <w:jc w:val="center"/>
        <w:rPr>
          <w:rFonts w:ascii="Times New Roman" w:hAnsi="Times New Roman" w:eastAsia="宋体" w:cs="Times New Roman"/>
          <w:b/>
          <w:bCs/>
          <w:szCs w:val="21"/>
          <w:lang w:bidi="ar"/>
        </w:rPr>
      </w:pPr>
    </w:p>
    <w:p w14:paraId="7D6E714D">
      <w:pPr>
        <w:spacing w:line="360" w:lineRule="auto"/>
        <w:jc w:val="center"/>
        <w:rPr>
          <w:rFonts w:ascii="Times New Roman" w:hAnsi="Times New Roman" w:eastAsia="宋体" w:cs="Times New Roman"/>
          <w:b/>
          <w:bCs/>
          <w:sz w:val="24"/>
          <w:lang w:bidi="ar"/>
        </w:rPr>
      </w:pPr>
      <w:r>
        <w:rPr>
          <w:rFonts w:ascii="Times New Roman" w:hAnsi="Times New Roman" w:eastAsia="宋体" w:cs="Times New Roman"/>
          <w:b/>
          <w:bCs/>
          <w:sz w:val="24"/>
          <w:lang w:bidi="ar"/>
        </w:rPr>
        <w:t>图1.3-1  本项目环境影响评价工作程序</w:t>
      </w:r>
    </w:p>
    <w:p w14:paraId="175B5BA7">
      <w:pPr>
        <w:pStyle w:val="3"/>
      </w:pPr>
      <w:bookmarkStart w:id="7" w:name="_Toc9843"/>
      <w:bookmarkStart w:id="8" w:name="_Toc9604"/>
      <w:r>
        <w:t>相关情况的判定分析</w:t>
      </w:r>
      <w:bookmarkEnd w:id="7"/>
      <w:bookmarkEnd w:id="8"/>
    </w:p>
    <w:p w14:paraId="774EDAE1">
      <w:pPr>
        <w:pStyle w:val="4"/>
        <w:numPr>
          <w:ilvl w:val="2"/>
          <w:numId w:val="8"/>
        </w:numPr>
        <w:tabs>
          <w:tab w:val="clear" w:pos="0"/>
        </w:tabs>
        <w:adjustRightInd w:val="0"/>
        <w:snapToGrid w:val="0"/>
      </w:pPr>
      <w:r>
        <w:t>产业政策及相关文件判定情况</w:t>
      </w:r>
    </w:p>
    <w:p w14:paraId="5A203301">
      <w:pPr>
        <w:adjustRightInd w:val="0"/>
        <w:snapToGrid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kern w:val="0"/>
          <w:sz w:val="24"/>
        </w:rPr>
        <w:t>本</w:t>
      </w:r>
      <w:r>
        <w:rPr>
          <w:rFonts w:ascii="Times New Roman" w:hAnsi="Times New Roman" w:eastAsia="宋体" w:cs="Times New Roman"/>
          <w:color w:val="000000" w:themeColor="text1"/>
          <w:kern w:val="0"/>
          <w:sz w:val="24"/>
          <w14:textFill>
            <w14:solidFill>
              <w14:schemeClr w14:val="tx1"/>
            </w14:solidFill>
          </w14:textFill>
        </w:rPr>
        <w:t>项目主要</w:t>
      </w:r>
      <w:r>
        <w:rPr>
          <w:rFonts w:hint="eastAsia" w:ascii="Times New Roman" w:hAnsi="Times New Roman" w:eastAsia="宋体" w:cs="Times New Roman"/>
          <w:color w:val="000000" w:themeColor="text1"/>
          <w:kern w:val="0"/>
          <w:sz w:val="24"/>
          <w14:textFill>
            <w14:solidFill>
              <w14:schemeClr w14:val="tx1"/>
            </w14:solidFill>
          </w14:textFill>
        </w:rPr>
        <w:t>生产</w:t>
      </w:r>
      <w:r>
        <w:rPr>
          <w:rFonts w:hint="eastAsia" w:ascii="Times New Roman" w:hAnsi="Times New Roman" w:eastAsia="宋体" w:cs="Times New Roman"/>
          <w:bCs/>
          <w:color w:val="000000" w:themeColor="text1"/>
          <w:kern w:val="0"/>
          <w:sz w:val="24"/>
          <w14:textFill>
            <w14:solidFill>
              <w14:schemeClr w14:val="tx1"/>
            </w14:solidFill>
          </w14:textFill>
        </w:rPr>
        <w:t>实木复合门、全屋定制家具</w:t>
      </w:r>
      <w:r>
        <w:rPr>
          <w:rFonts w:ascii="Times New Roman" w:hAnsi="Times New Roman" w:eastAsia="宋体" w:cs="Times New Roman"/>
          <w:color w:val="000000" w:themeColor="text1"/>
          <w:kern w:val="0"/>
          <w:sz w:val="24"/>
          <w14:textFill>
            <w14:solidFill>
              <w14:schemeClr w14:val="tx1"/>
            </w14:solidFill>
          </w14:textFill>
        </w:rPr>
        <w:t>，</w:t>
      </w:r>
      <w:r>
        <w:rPr>
          <w:rFonts w:hint="eastAsia" w:ascii="Times New Roman" w:hAnsi="Times New Roman" w:eastAsia="宋体" w:cs="Times New Roman"/>
          <w:color w:val="000000" w:themeColor="text1"/>
          <w:kern w:val="0"/>
          <w:sz w:val="24"/>
          <w14:textFill>
            <w14:solidFill>
              <w14:schemeClr w14:val="tx1"/>
            </w14:solidFill>
          </w14:textFill>
        </w:rPr>
        <w:t>不</w:t>
      </w:r>
      <w:r>
        <w:rPr>
          <w:rFonts w:ascii="Times New Roman" w:hAnsi="Times New Roman" w:eastAsia="宋体" w:cs="Times New Roman"/>
          <w:color w:val="000000" w:themeColor="text1"/>
          <w:kern w:val="0"/>
          <w:sz w:val="24"/>
          <w14:textFill>
            <w14:solidFill>
              <w14:schemeClr w14:val="tx1"/>
            </w14:solidFill>
          </w14:textFill>
        </w:rPr>
        <w:t>属于《产业结构调整指导目录（20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24</w:t>
      </w:r>
      <w:r>
        <w:rPr>
          <w:rFonts w:ascii="Times New Roman" w:hAnsi="Times New Roman" w:eastAsia="宋体" w:cs="Times New Roman"/>
          <w:color w:val="000000" w:themeColor="text1"/>
          <w:kern w:val="0"/>
          <w:sz w:val="24"/>
          <w14:textFill>
            <w14:solidFill>
              <w14:schemeClr w14:val="tx1"/>
            </w14:solidFill>
          </w14:textFill>
        </w:rPr>
        <w:t>年本）》中</w:t>
      </w:r>
      <w:r>
        <w:rPr>
          <w:rFonts w:hint="eastAsia" w:ascii="Times New Roman" w:hAnsi="Times New Roman" w:eastAsia="宋体" w:cs="Times New Roman"/>
          <w:color w:val="000000" w:themeColor="text1"/>
          <w:kern w:val="0"/>
          <w:sz w:val="24"/>
          <w14:textFill>
            <w14:solidFill>
              <w14:schemeClr w14:val="tx1"/>
            </w14:solidFill>
          </w14:textFill>
        </w:rPr>
        <w:t>的限制类和淘汰类</w:t>
      </w:r>
      <w:r>
        <w:rPr>
          <w:rFonts w:ascii="Times New Roman" w:hAnsi="Times New Roman" w:eastAsia="宋体" w:cs="Times New Roman"/>
          <w:color w:val="000000" w:themeColor="text1"/>
          <w:kern w:val="0"/>
          <w:sz w:val="24"/>
          <w14:textFill>
            <w14:solidFill>
              <w14:schemeClr w14:val="tx1"/>
            </w14:solidFill>
          </w14:textFill>
        </w:rPr>
        <w:t>项目</w:t>
      </w:r>
      <w:r>
        <w:rPr>
          <w:rFonts w:hint="eastAsia" w:ascii="Times New Roman" w:hAnsi="Times New Roman" w:eastAsia="宋体" w:cs="Times New Roman"/>
          <w:color w:val="000000" w:themeColor="text1"/>
          <w:kern w:val="0"/>
          <w:sz w:val="24"/>
          <w14:textFill>
            <w14:solidFill>
              <w14:schemeClr w14:val="tx1"/>
            </w14:solidFill>
          </w14:textFill>
        </w:rPr>
        <w:t>；不属于《市场准入负面清单（2022年版）》中的禁止和许可事项；本项目已获得</w:t>
      </w:r>
      <w:r>
        <w:rPr>
          <w:rFonts w:hint="eastAsia" w:cs="Times New Roman"/>
          <w:color w:val="000000" w:themeColor="text1"/>
          <w:kern w:val="0"/>
          <w:sz w:val="24"/>
          <w14:textFill>
            <w14:solidFill>
              <w14:schemeClr w14:val="tx1"/>
            </w14:solidFill>
          </w14:textFill>
        </w:rPr>
        <w:t>清丰县先进制造业开发区</w:t>
      </w:r>
      <w:r>
        <w:rPr>
          <w:rFonts w:hint="eastAsia" w:cs="Times New Roman"/>
          <w:kern w:val="0"/>
          <w:sz w:val="24"/>
        </w:rPr>
        <w:t>管理委员会</w:t>
      </w:r>
      <w:r>
        <w:rPr>
          <w:rFonts w:hint="eastAsia" w:ascii="Times New Roman" w:hAnsi="Times New Roman" w:eastAsia="宋体" w:cs="Times New Roman"/>
          <w:kern w:val="0"/>
          <w:sz w:val="24"/>
        </w:rPr>
        <w:t>备案（项目代码</w:t>
      </w:r>
      <w:r>
        <w:rPr>
          <w:rFonts w:ascii="Times New Roman" w:hAnsi="Times New Roman" w:eastAsia="宋体" w:cs="Times New Roman"/>
          <w:kern w:val="0"/>
          <w:sz w:val="24"/>
        </w:rPr>
        <w:t>：2303-410922-04-01-310605）。</w:t>
      </w:r>
      <w:r>
        <w:rPr>
          <w:rFonts w:ascii="Times New Roman" w:hAnsi="Times New Roman" w:eastAsia="宋体" w:cs="Times New Roman"/>
          <w:sz w:val="24"/>
        </w:rPr>
        <w:t>因此，本项目的建设符合国家的产业政策。</w:t>
      </w:r>
    </w:p>
    <w:p w14:paraId="5B1668FC">
      <w:pPr>
        <w:pStyle w:val="4"/>
        <w:numPr>
          <w:ilvl w:val="2"/>
          <w:numId w:val="8"/>
        </w:numPr>
        <w:tabs>
          <w:tab w:val="clear" w:pos="0"/>
        </w:tabs>
        <w:adjustRightInd w:val="0"/>
        <w:snapToGrid w:val="0"/>
      </w:pPr>
      <w:r>
        <w:t>相关规划判定情况</w:t>
      </w:r>
    </w:p>
    <w:p w14:paraId="52E2D481">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lang w:bidi="ar"/>
        </w:rPr>
      </w:pPr>
      <w:r>
        <w:rPr>
          <w:rFonts w:ascii="Times New Roman" w:hAnsi="Times New Roman" w:cs="Times New Roman"/>
          <w:color w:val="auto"/>
          <w:sz w:val="24"/>
        </w:rPr>
        <w:t>本项目位于</w:t>
      </w:r>
      <w:r>
        <w:rPr>
          <w:rFonts w:hint="eastAsia" w:ascii="Times New Roman" w:hAnsi="Times New Roman" w:cs="Times New Roman"/>
          <w:color w:val="auto"/>
          <w:sz w:val="24"/>
        </w:rPr>
        <w:t>清丰县产业集聚区</w:t>
      </w:r>
      <w:r>
        <w:rPr>
          <w:rFonts w:ascii="Times New Roman" w:hAnsi="Times New Roman" w:cs="Times New Roman"/>
          <w:color w:val="auto"/>
          <w:sz w:val="24"/>
        </w:rPr>
        <w:t>，</w:t>
      </w:r>
      <w:r>
        <w:rPr>
          <w:rFonts w:ascii="Times New Roman" w:hAnsi="Times New Roman" w:eastAsia="宋体" w:cs="Times New Roman"/>
          <w:color w:val="auto"/>
          <w:sz w:val="24"/>
          <w:lang w:bidi="ar"/>
        </w:rPr>
        <w:t>项目所在区域</w:t>
      </w:r>
      <w:r>
        <w:rPr>
          <w:rFonts w:hint="eastAsia" w:ascii="Times New Roman" w:hAnsi="Times New Roman" w:eastAsia="宋体" w:cs="Times New Roman"/>
          <w:color w:val="auto"/>
          <w:sz w:val="24"/>
          <w:lang w:bidi="ar"/>
        </w:rPr>
        <w:t>符合《河南省“十四五”生态环境保护和生态经济发展规划》（豫政〔2021〕44号）、《清丰县产业集聚区发展规划（2013-2020）》</w:t>
      </w:r>
      <w:r>
        <w:rPr>
          <w:rFonts w:ascii="Times New Roman" w:hAnsi="Times New Roman" w:eastAsia="宋体" w:cs="Times New Roman"/>
          <w:color w:val="auto"/>
          <w:sz w:val="24"/>
          <w:lang w:bidi="ar"/>
        </w:rPr>
        <w:t>中的相关要求；</w:t>
      </w:r>
      <w:r>
        <w:rPr>
          <w:rFonts w:ascii="Times New Roman" w:hAnsi="Times New Roman" w:cs="Times New Roman"/>
          <w:color w:val="auto"/>
          <w:sz w:val="24"/>
        </w:rPr>
        <w:t>项目选址不涉及自然保护区、风景名胜区、森林公园、饮用水源保护区等，不在生态保护红线范围</w:t>
      </w:r>
      <w:r>
        <w:rPr>
          <w:rFonts w:ascii="Times New Roman" w:hAnsi="Times New Roman" w:eastAsia="宋体" w:cs="Times New Roman"/>
          <w:color w:val="auto"/>
          <w:sz w:val="24"/>
          <w:lang w:bidi="ar"/>
        </w:rPr>
        <w:t>。</w:t>
      </w:r>
    </w:p>
    <w:p w14:paraId="4A4CABA9">
      <w:pPr>
        <w:pStyle w:val="3"/>
        <w:pageBreakBefore w:val="0"/>
        <w:widowControl w:val="0"/>
        <w:kinsoku/>
        <w:wordWrap/>
        <w:overflowPunct/>
        <w:topLinePunct w:val="0"/>
        <w:autoSpaceDE/>
        <w:autoSpaceDN/>
        <w:bidi w:val="0"/>
        <w:adjustRightInd w:val="0"/>
        <w:snapToGrid w:val="0"/>
        <w:textAlignment w:val="auto"/>
      </w:pPr>
      <w:bookmarkStart w:id="9" w:name="_Toc14376"/>
      <w:bookmarkStart w:id="10" w:name="_Toc9759"/>
      <w:r>
        <w:t>关注的环境问题及环境影响</w:t>
      </w:r>
      <w:bookmarkEnd w:id="9"/>
      <w:bookmarkEnd w:id="10"/>
    </w:p>
    <w:p w14:paraId="55C88882">
      <w:pPr>
        <w:numPr>
          <w:ilvl w:val="0"/>
          <w:numId w:val="9"/>
        </w:numPr>
        <w:autoSpaceDE w:val="0"/>
        <w:autoSpaceDN w:val="0"/>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废水</w:t>
      </w:r>
    </w:p>
    <w:p w14:paraId="33DE5ACC">
      <w:pPr>
        <w:adjustRightInd w:val="0"/>
        <w:snapToGrid w:val="0"/>
        <w:spacing w:line="360" w:lineRule="auto"/>
        <w:ind w:firstLine="480" w:firstLineChars="200"/>
        <w:rPr>
          <w:rFonts w:ascii="Times New Roman" w:hAnsi="Times New Roman" w:eastAsia="宋体" w:cs="Times New Roman"/>
          <w:color w:val="0000FF"/>
          <w:sz w:val="24"/>
          <w:u w:val="single"/>
        </w:rPr>
      </w:pPr>
      <w:r>
        <w:rPr>
          <w:rFonts w:ascii="Times New Roman" w:hAnsi="Times New Roman" w:eastAsia="宋体" w:cs="Times New Roman"/>
          <w:sz w:val="24"/>
          <w:lang w:bidi="ar"/>
        </w:rPr>
        <w:t>项目产生</w:t>
      </w:r>
      <w:r>
        <w:rPr>
          <w:rFonts w:hint="eastAsia" w:ascii="Times New Roman" w:hAnsi="Times New Roman" w:eastAsia="宋体" w:cs="Times New Roman"/>
          <w:sz w:val="24"/>
          <w:lang w:bidi="ar"/>
        </w:rPr>
        <w:t>的</w:t>
      </w:r>
      <w:r>
        <w:rPr>
          <w:rFonts w:ascii="Times New Roman" w:hAnsi="Times New Roman" w:eastAsia="宋体" w:cs="Times New Roman"/>
          <w:sz w:val="24"/>
          <w:lang w:bidi="ar"/>
        </w:rPr>
        <w:t>废水采用分类收集、分</w:t>
      </w:r>
      <w:r>
        <w:rPr>
          <w:rFonts w:hint="eastAsia" w:ascii="Times New Roman" w:hAnsi="Times New Roman" w:eastAsia="宋体" w:cs="Times New Roman"/>
          <w:sz w:val="24"/>
          <w:lang w:bidi="ar"/>
        </w:rPr>
        <w:t>质</w:t>
      </w:r>
      <w:r>
        <w:rPr>
          <w:rFonts w:ascii="Times New Roman" w:hAnsi="Times New Roman" w:eastAsia="宋体" w:cs="Times New Roman"/>
          <w:sz w:val="24"/>
          <w:lang w:bidi="ar"/>
        </w:rPr>
        <w:t>处理。</w:t>
      </w:r>
      <w:r>
        <w:rPr>
          <w:rFonts w:hint="eastAsia" w:ascii="Times New Roman" w:hAnsi="Times New Roman" w:eastAsia="宋体" w:cs="Times New Roman"/>
          <w:bCs/>
          <w:kern w:val="0"/>
          <w:sz w:val="24"/>
        </w:rPr>
        <w:t>生活污水经化粪池处理、水帘废水经厂内污水处理站处理后一并通过厂区废水总排口接管进入清丰中州水务有限公司第二污水处理厂，尾水排入潴龙河。</w:t>
      </w:r>
    </w:p>
    <w:p w14:paraId="1244FA85">
      <w:pPr>
        <w:numPr>
          <w:ilvl w:val="0"/>
          <w:numId w:val="9"/>
        </w:numPr>
        <w:autoSpaceDE w:val="0"/>
        <w:autoSpaceDN w:val="0"/>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废气</w:t>
      </w:r>
    </w:p>
    <w:p w14:paraId="3DB453C9">
      <w:pPr>
        <w:numPr>
          <w:ilvl w:val="0"/>
          <w:numId w:val="0"/>
        </w:num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本</w:t>
      </w:r>
      <w:r>
        <w:rPr>
          <w:rFonts w:ascii="Times New Roman" w:hAnsi="Times New Roman" w:eastAsia="宋体" w:cs="Times New Roman"/>
          <w:bCs/>
          <w:kern w:val="0"/>
          <w:sz w:val="24"/>
        </w:rPr>
        <w:t>项目</w:t>
      </w:r>
      <w:r>
        <w:rPr>
          <w:rFonts w:hint="eastAsia" w:ascii="Times New Roman" w:hAnsi="Times New Roman" w:eastAsia="宋体" w:cs="Times New Roman"/>
          <w:bCs/>
          <w:kern w:val="0"/>
          <w:sz w:val="24"/>
        </w:rPr>
        <w:t>木材</w:t>
      </w:r>
      <w:r>
        <w:rPr>
          <w:rFonts w:ascii="Times New Roman" w:hAnsi="Times New Roman" w:eastAsia="宋体" w:cs="Times New Roman"/>
          <w:bCs/>
          <w:kern w:val="0"/>
          <w:sz w:val="24"/>
        </w:rPr>
        <w:t>加工产生的粉尘经中央除尘系统收集处理后经15m高排气筒排放</w:t>
      </w:r>
      <w:r>
        <w:rPr>
          <w:rFonts w:hint="eastAsia" w:ascii="Times New Roman" w:hAnsi="Times New Roman" w:eastAsia="宋体" w:cs="Times New Roman"/>
          <w:bCs/>
          <w:kern w:val="0"/>
          <w:sz w:val="24"/>
        </w:rPr>
        <w:t>（DA001）</w:t>
      </w:r>
      <w:r>
        <w:rPr>
          <w:rFonts w:ascii="Times New Roman" w:hAnsi="Times New Roman" w:eastAsia="宋体" w:cs="Times New Roman"/>
          <w:bCs/>
          <w:kern w:val="0"/>
          <w:sz w:val="24"/>
        </w:rPr>
        <w:t>；</w:t>
      </w:r>
      <w:r>
        <w:rPr>
          <w:rFonts w:hint="eastAsia" w:ascii="Times New Roman" w:hAnsi="Times New Roman" w:eastAsia="宋体" w:cs="Times New Roman"/>
          <w:bCs/>
          <w:kern w:val="0"/>
          <w:sz w:val="24"/>
        </w:rPr>
        <w:t>修正油磨粉尘经负压收集脉冲布袋除尘器</w:t>
      </w:r>
      <w:r>
        <w:rPr>
          <w:rFonts w:hint="eastAsia" w:ascii="Times New Roman" w:hAnsi="Times New Roman" w:eastAsia="宋体" w:cs="Times New Roman"/>
          <w:bCs/>
          <w:kern w:val="0"/>
          <w:sz w:val="24"/>
          <w:lang w:val="en-US" w:eastAsia="zh-CN"/>
        </w:rPr>
        <w:t>处理后排放</w:t>
      </w:r>
      <w:r>
        <w:rPr>
          <w:rFonts w:hint="eastAsia" w:ascii="Times New Roman" w:hAnsi="Times New Roman" w:eastAsia="宋体" w:cs="Times New Roman"/>
          <w:bCs/>
          <w:kern w:val="0"/>
          <w:sz w:val="24"/>
        </w:rPr>
        <w:t>；</w:t>
      </w:r>
      <w:r>
        <w:rPr>
          <w:rFonts w:hint="eastAsia" w:ascii="Times New Roman" w:hAnsi="Times New Roman" w:eastAsia="宋体" w:cs="Times New Roman"/>
          <w:bCs/>
          <w:kern w:val="0"/>
          <w:sz w:val="24"/>
          <w:lang w:val="en-US" w:eastAsia="zh-CN"/>
        </w:rPr>
        <w:t>喷</w:t>
      </w:r>
      <w:r>
        <w:rPr>
          <w:rFonts w:hint="eastAsia" w:ascii="Times New Roman" w:hAnsi="Times New Roman" w:eastAsia="宋体" w:cs="Times New Roman"/>
          <w:bCs/>
          <w:kern w:val="0"/>
          <w:sz w:val="24"/>
        </w:rPr>
        <w:t>漆房（含调漆、晾干）废气</w:t>
      </w:r>
      <w:r>
        <w:rPr>
          <w:rFonts w:hint="eastAsia" w:ascii="Times New Roman" w:hAnsi="Times New Roman" w:eastAsia="宋体" w:cs="Times New Roman"/>
          <w:bCs/>
          <w:kern w:val="0"/>
          <w:sz w:val="24"/>
          <w:lang w:val="en-US" w:eastAsia="zh-CN"/>
        </w:rPr>
        <w:t>经</w:t>
      </w:r>
      <w:r>
        <w:rPr>
          <w:rFonts w:hint="eastAsia" w:ascii="Times New Roman" w:hAnsi="Times New Roman" w:eastAsia="宋体" w:cs="Times New Roman"/>
          <w:bCs/>
          <w:kern w:val="0"/>
          <w:sz w:val="24"/>
        </w:rPr>
        <w:t>水幕帘+漆雾过滤器+活性炭吸附—脱附催化燃烧+15m排气筒（DA00</w:t>
      </w:r>
      <w:r>
        <w:rPr>
          <w:rFonts w:hint="eastAsia" w:ascii="Times New Roman" w:hAnsi="Times New Roman" w:eastAsia="宋体" w:cs="Times New Roman"/>
          <w:bCs/>
          <w:kern w:val="0"/>
          <w:sz w:val="24"/>
          <w:lang w:val="en-US" w:eastAsia="zh-CN"/>
        </w:rPr>
        <w:t>2</w:t>
      </w:r>
      <w:r>
        <w:rPr>
          <w:rFonts w:hint="eastAsia" w:ascii="Times New Roman" w:hAnsi="Times New Roman" w:eastAsia="宋体" w:cs="Times New Roman"/>
          <w:bCs/>
          <w:kern w:val="0"/>
          <w:sz w:val="24"/>
        </w:rPr>
        <w:t>）</w:t>
      </w:r>
      <w:r>
        <w:rPr>
          <w:rFonts w:hint="eastAsia" w:ascii="Times New Roman" w:hAnsi="Times New Roman" w:eastAsia="宋体" w:cs="Times New Roman"/>
          <w:bCs/>
          <w:kern w:val="0"/>
          <w:sz w:val="24"/>
          <w:lang w:eastAsia="zh-CN"/>
        </w:rPr>
        <w:t>，</w:t>
      </w:r>
      <w:r>
        <w:rPr>
          <w:rFonts w:hint="eastAsia" w:ascii="Times New Roman" w:hAnsi="Times New Roman" w:eastAsia="宋体" w:cs="Times New Roman"/>
          <w:bCs/>
          <w:kern w:val="0"/>
          <w:sz w:val="24"/>
        </w:rPr>
        <w:t>拼板冷压、封边、热压、擦色</w:t>
      </w:r>
      <w:r>
        <w:rPr>
          <w:rFonts w:hint="eastAsia" w:ascii="Times New Roman" w:hAnsi="Times New Roman" w:eastAsia="宋体" w:cs="Times New Roman"/>
          <w:bCs/>
          <w:kern w:val="0"/>
          <w:sz w:val="24"/>
          <w:lang w:val="en-US" w:eastAsia="zh-CN"/>
        </w:rPr>
        <w:t>废气引入喷漆房配套</w:t>
      </w:r>
      <w:r>
        <w:rPr>
          <w:rFonts w:hint="eastAsia" w:ascii="Times New Roman" w:hAnsi="Times New Roman" w:eastAsia="宋体" w:cs="Times New Roman"/>
          <w:bCs/>
          <w:kern w:val="0"/>
          <w:sz w:val="24"/>
        </w:rPr>
        <w:t>活性炭吸附—脱附催化燃烧+15m排气筒</w:t>
      </w:r>
      <w:r>
        <w:rPr>
          <w:rFonts w:ascii="Times New Roman" w:hAnsi="Times New Roman" w:eastAsia="宋体" w:cs="Times New Roman"/>
          <w:bCs/>
          <w:kern w:val="0"/>
          <w:sz w:val="24"/>
        </w:rPr>
        <w:t>。</w:t>
      </w:r>
    </w:p>
    <w:p w14:paraId="43456453">
      <w:pPr>
        <w:numPr>
          <w:ilvl w:val="0"/>
          <w:numId w:val="9"/>
        </w:numPr>
        <w:autoSpaceDE w:val="0"/>
        <w:autoSpaceDN w:val="0"/>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噪声</w:t>
      </w:r>
    </w:p>
    <w:p w14:paraId="27AC0A7D">
      <w:pPr>
        <w:autoSpaceDE w:val="0"/>
        <w:autoSpaceDN w:val="0"/>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bCs/>
          <w:kern w:val="0"/>
          <w:sz w:val="24"/>
        </w:rPr>
        <w:t>本项目营运期噪声主要</w:t>
      </w:r>
      <w:r>
        <w:rPr>
          <w:rFonts w:ascii="Times New Roman" w:hAnsi="Times New Roman" w:eastAsia="宋体" w:cs="Times New Roman"/>
          <w:kern w:val="0"/>
          <w:sz w:val="24"/>
        </w:rPr>
        <w:t>来自</w:t>
      </w:r>
      <w:r>
        <w:rPr>
          <w:rFonts w:hint="eastAsia" w:ascii="Times New Roman" w:hAnsi="Times New Roman" w:eastAsia="宋体" w:cs="Times New Roman"/>
          <w:kern w:val="0"/>
          <w:sz w:val="24"/>
        </w:rPr>
        <w:t>精密推台锯、砂光机、封边机、空压机、木线机、排钻、侧孔机、立铣机、打砂机</w:t>
      </w:r>
      <w:r>
        <w:rPr>
          <w:rFonts w:ascii="Times New Roman" w:hAnsi="Times New Roman" w:eastAsia="宋体" w:cs="Times New Roman"/>
          <w:kern w:val="0"/>
          <w:sz w:val="24"/>
        </w:rPr>
        <w:t>等。</w:t>
      </w:r>
    </w:p>
    <w:p w14:paraId="5A5690B4">
      <w:pPr>
        <w:numPr>
          <w:ilvl w:val="0"/>
          <w:numId w:val="9"/>
        </w:numPr>
        <w:autoSpaceDE w:val="0"/>
        <w:autoSpaceDN w:val="0"/>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固体废物</w:t>
      </w:r>
    </w:p>
    <w:p w14:paraId="12B80294">
      <w:pPr>
        <w:adjustRightInd w:val="0"/>
        <w:snapToGrid w:val="0"/>
        <w:spacing w:line="360" w:lineRule="auto"/>
        <w:ind w:firstLine="480" w:firstLineChars="200"/>
        <w:rPr>
          <w:rFonts w:ascii="Times New Roman" w:hAnsi="Times New Roman" w:eastAsia="宋体" w:cs="Times New Roman"/>
          <w:bCs/>
          <w:color w:val="0000FF"/>
          <w:kern w:val="0"/>
          <w:sz w:val="24"/>
          <w:highlight w:val="yellow"/>
          <w:u w:val="single"/>
        </w:rPr>
      </w:pPr>
      <w:r>
        <w:rPr>
          <w:rFonts w:hint="eastAsia" w:ascii="Times New Roman" w:hAnsi="Times New Roman" w:eastAsia="宋体" w:cs="Times New Roman"/>
          <w:bCs/>
          <w:kern w:val="0"/>
          <w:sz w:val="24"/>
        </w:rPr>
        <w:t>本项目固废分为生活垃圾、一般工业固废和危险废物。生活垃圾定期交由环卫部门统一处理；</w:t>
      </w:r>
      <w:r>
        <w:rPr>
          <w:rFonts w:ascii="Times New Roman" w:hAnsi="Times New Roman" w:eastAsia="宋体" w:cs="Times New Roman"/>
          <w:bCs/>
          <w:kern w:val="0"/>
          <w:sz w:val="24"/>
        </w:rPr>
        <w:t>木材加工过程中产生的木屑、废边角废料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废包装材料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除尘器收集的粉尘</w:t>
      </w:r>
      <w:r>
        <w:rPr>
          <w:rFonts w:hint="eastAsia" w:ascii="Times New Roman" w:hAnsi="Times New Roman" w:eastAsia="宋体" w:cs="Times New Roman"/>
          <w:bCs/>
          <w:kern w:val="0"/>
          <w:sz w:val="24"/>
        </w:rPr>
        <w:t>收集后外售；废破损包装桶（废油漆桶、废胶桶、稀释剂桶）、水帘漆渣、油磨漆渣、污水处理过程产生的絮状沉淀物、废活性炭、喷枪清洗废水、废催化剂、废机油、过滤棉分别交由相应资质单位处理。</w:t>
      </w:r>
    </w:p>
    <w:p w14:paraId="35BA60FD">
      <w:pPr>
        <w:numPr>
          <w:ilvl w:val="0"/>
          <w:numId w:val="9"/>
        </w:numPr>
        <w:tabs>
          <w:tab w:val="left" w:pos="312"/>
        </w:tabs>
        <w:autoSpaceDE w:val="0"/>
        <w:autoSpaceDN w:val="0"/>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地下水和土壤</w:t>
      </w:r>
    </w:p>
    <w:p w14:paraId="764843A5">
      <w:pPr>
        <w:adjustRightInd w:val="0"/>
        <w:snapToGrid w:val="0"/>
        <w:spacing w:line="360" w:lineRule="auto"/>
        <w:ind w:firstLine="480" w:firstLineChars="200"/>
        <w:rPr>
          <w:rFonts w:ascii="Times New Roman" w:hAnsi="Times New Roman" w:eastAsia="宋体" w:cs="Times New Roman"/>
          <w:bCs/>
          <w:kern w:val="0"/>
          <w:sz w:val="24"/>
          <w:lang w:bidi="ar"/>
        </w:rPr>
      </w:pPr>
      <w:r>
        <w:rPr>
          <w:rFonts w:ascii="Times New Roman" w:hAnsi="Times New Roman" w:eastAsia="宋体" w:cs="Times New Roman"/>
          <w:bCs/>
          <w:kern w:val="0"/>
          <w:sz w:val="24"/>
          <w:lang w:bidi="ar"/>
        </w:rPr>
        <w:t>本项目</w:t>
      </w:r>
      <w:r>
        <w:rPr>
          <w:rFonts w:hint="eastAsia" w:ascii="Times New Roman" w:hAnsi="Times New Roman" w:eastAsia="宋体" w:cs="Times New Roman"/>
          <w:sz w:val="24"/>
        </w:rPr>
        <w:t>厂区内的污水收集管网</w:t>
      </w:r>
      <w:r>
        <w:rPr>
          <w:rFonts w:ascii="Times New Roman" w:hAnsi="Times New Roman" w:eastAsia="宋体" w:cs="Times New Roman"/>
          <w:bCs/>
          <w:kern w:val="0"/>
          <w:sz w:val="24"/>
          <w:lang w:bidi="ar"/>
        </w:rPr>
        <w:t>按要求采取了防渗措施</w:t>
      </w:r>
      <w:r>
        <w:rPr>
          <w:rFonts w:hint="eastAsia" w:ascii="Times New Roman" w:hAnsi="Times New Roman" w:eastAsia="宋体" w:cs="Times New Roman"/>
          <w:bCs/>
          <w:kern w:val="0"/>
          <w:sz w:val="24"/>
          <w:lang w:eastAsia="zh-CN" w:bidi="ar"/>
        </w:rPr>
        <w:t>，</w:t>
      </w:r>
      <w:r>
        <w:rPr>
          <w:rFonts w:ascii="Times New Roman" w:hAnsi="Times New Roman" w:eastAsia="宋体" w:cs="Times New Roman"/>
          <w:bCs/>
          <w:kern w:val="0"/>
          <w:sz w:val="24"/>
          <w:lang w:bidi="ar"/>
        </w:rPr>
        <w:t>长期使用后防渗设施老化、破裂或在非正常情况下，遭受浸泡，将可能对地下水和土壤造成污染。</w:t>
      </w:r>
    </w:p>
    <w:p w14:paraId="2BEF9F3B">
      <w:pPr>
        <w:pStyle w:val="3"/>
        <w:adjustRightInd w:val="0"/>
        <w:snapToGrid w:val="0"/>
      </w:pPr>
      <w:bookmarkStart w:id="11" w:name="_Toc320"/>
      <w:bookmarkStart w:id="12" w:name="_Toc1440"/>
      <w:r>
        <w:t>环境影响评价的主要结论</w:t>
      </w:r>
      <w:bookmarkEnd w:id="11"/>
      <w:bookmarkEnd w:id="12"/>
    </w:p>
    <w:p w14:paraId="19EEEC80">
      <w:pPr>
        <w:adjustRightInd w:val="0"/>
        <w:snapToGrid w:val="0"/>
        <w:spacing w:line="360" w:lineRule="auto"/>
        <w:ind w:firstLine="480" w:firstLineChars="200"/>
        <w:rPr>
          <w:rFonts w:ascii="Times New Roman" w:hAnsi="Times New Roman" w:eastAsia="宋体" w:cs="Times New Roman"/>
          <w:sz w:val="24"/>
          <w:lang w:bidi="ar"/>
        </w:rPr>
      </w:pPr>
      <w:r>
        <w:rPr>
          <w:rFonts w:ascii="Times New Roman" w:hAnsi="Times New Roman" w:eastAsia="宋体" w:cs="Times New Roman"/>
          <w:sz w:val="24"/>
          <w:lang w:bidi="ar"/>
        </w:rPr>
        <w:t>项目的建设符合国家及</w:t>
      </w:r>
      <w:r>
        <w:rPr>
          <w:rFonts w:hint="eastAsia" w:ascii="Times New Roman" w:hAnsi="Times New Roman" w:eastAsia="宋体" w:cs="Times New Roman"/>
          <w:sz w:val="24"/>
          <w:lang w:bidi="ar"/>
        </w:rPr>
        <w:t>河南</w:t>
      </w:r>
      <w:r>
        <w:rPr>
          <w:rFonts w:ascii="Times New Roman" w:hAnsi="Times New Roman" w:eastAsia="宋体" w:cs="Times New Roman"/>
          <w:sz w:val="24"/>
          <w:lang w:bidi="ar"/>
        </w:rPr>
        <w:t>省有关法规、产业政策，选址符合当地城市发展规划、区域发展规划、土地利用规划、环境保护规划，选址条件基本可行。在贯彻落实有关环保法律、法规和落实本评价提出的各项环境保护措施的前提下，确保各种治理设施正常运转和废气、废水、噪声等污染物达标排放，固废得到综合利用处置，贯彻执行国家规定的</w:t>
      </w:r>
      <w:r>
        <w:rPr>
          <w:rFonts w:hint="eastAsia" w:ascii="宋体" w:hAnsi="宋体" w:eastAsia="宋体" w:cs="宋体"/>
          <w:sz w:val="24"/>
          <w:lang w:bidi="ar"/>
        </w:rPr>
        <w:t>“清洁生产、达标排放、总量控制”</w:t>
      </w:r>
      <w:r>
        <w:rPr>
          <w:rFonts w:ascii="Times New Roman" w:hAnsi="Times New Roman" w:eastAsia="宋体" w:cs="Times New Roman"/>
          <w:sz w:val="24"/>
          <w:lang w:bidi="ar"/>
        </w:rPr>
        <w:t>的原则，落实环境风险防范措施后，从环境保护角度出发，本项目建设是可行的。</w:t>
      </w:r>
    </w:p>
    <w:p w14:paraId="309A916D">
      <w:pPr>
        <w:spacing w:line="360" w:lineRule="auto"/>
      </w:pPr>
    </w:p>
    <w:p w14:paraId="62F15A6C">
      <w:pPr>
        <w:spacing w:line="360" w:lineRule="auto"/>
      </w:pPr>
    </w:p>
    <w:p w14:paraId="1FF9798B">
      <w:pPr>
        <w:spacing w:line="360" w:lineRule="auto"/>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pPr>
    </w:p>
    <w:p w14:paraId="36BA99B4">
      <w:pPr>
        <w:spacing w:line="360" w:lineRule="auto"/>
      </w:pPr>
    </w:p>
    <w:p w14:paraId="56E2C47E">
      <w:pPr>
        <w:pStyle w:val="2"/>
        <w:numPr>
          <w:ilvl w:val="0"/>
          <w:numId w:val="8"/>
        </w:numPr>
        <w:tabs>
          <w:tab w:val="clear" w:pos="0"/>
        </w:tabs>
      </w:pPr>
      <w:bookmarkStart w:id="13" w:name="_Toc4735"/>
      <w:r>
        <w:rPr>
          <w:rFonts w:hint="eastAsia"/>
        </w:rPr>
        <w:t>总则</w:t>
      </w:r>
      <w:bookmarkEnd w:id="13"/>
    </w:p>
    <w:p w14:paraId="2578D785">
      <w:pPr>
        <w:spacing w:line="360" w:lineRule="auto"/>
      </w:pPr>
    </w:p>
    <w:p w14:paraId="6CCA2E62">
      <w:pPr>
        <w:pStyle w:val="3"/>
        <w:numPr>
          <w:ilvl w:val="1"/>
          <w:numId w:val="10"/>
        </w:numPr>
      </w:pPr>
      <w:bookmarkStart w:id="14" w:name="_Toc12193"/>
      <w:bookmarkStart w:id="15" w:name="_Toc15290"/>
      <w:r>
        <w:rPr>
          <w:rFonts w:hint="eastAsia"/>
        </w:rPr>
        <w:t>编制依据</w:t>
      </w:r>
      <w:bookmarkEnd w:id="14"/>
      <w:bookmarkEnd w:id="15"/>
    </w:p>
    <w:p w14:paraId="13EA9F5D">
      <w:pPr>
        <w:pStyle w:val="4"/>
        <w:numPr>
          <w:ilvl w:val="2"/>
          <w:numId w:val="11"/>
        </w:numPr>
        <w:tabs>
          <w:tab w:val="clear" w:pos="0"/>
        </w:tabs>
      </w:pPr>
      <w:r>
        <w:t>国家相关法律、法规及政策</w:t>
      </w:r>
    </w:p>
    <w:p w14:paraId="5749A943">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《中华人民共和国环境保护法》（2014年4月24日修订通过，2015年1月1日实施）；</w:t>
      </w:r>
    </w:p>
    <w:p w14:paraId="5EA272D4">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《中华人民共和国水法》（2016年7月</w:t>
      </w:r>
      <w:r>
        <w:rPr>
          <w:rFonts w:hint="eastAsia" w:ascii="Times New Roman" w:hAnsi="Times New Roman" w:cs="Times New Roman"/>
          <w:kern w:val="0"/>
          <w:sz w:val="24"/>
          <w:szCs w:val="20"/>
        </w:rPr>
        <w:t>2日</w:t>
      </w:r>
      <w:r>
        <w:rPr>
          <w:rFonts w:ascii="Times New Roman" w:hAnsi="Times New Roman" w:cs="Times New Roman"/>
          <w:kern w:val="0"/>
          <w:sz w:val="24"/>
          <w:szCs w:val="20"/>
        </w:rPr>
        <w:t>修订）；</w:t>
      </w:r>
    </w:p>
    <w:p w14:paraId="0285B475">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《中华人民共和国水污染防治法》（</w:t>
      </w:r>
      <w:r>
        <w:rPr>
          <w:rFonts w:ascii="Times New Roman" w:hAnsi="Times New Roman" w:cs="Times New Roman"/>
          <w:kern w:val="0"/>
          <w:sz w:val="24"/>
          <w:szCs w:val="20"/>
          <w:lang w:val="zh-CN"/>
        </w:rPr>
        <w:t>2017年6月27日修订，2018年1月1日起施行</w:t>
      </w:r>
      <w:r>
        <w:rPr>
          <w:rFonts w:ascii="Times New Roman" w:hAnsi="Times New Roman" w:cs="Times New Roman"/>
          <w:kern w:val="0"/>
          <w:sz w:val="24"/>
          <w:szCs w:val="20"/>
        </w:rPr>
        <w:t>）；</w:t>
      </w:r>
    </w:p>
    <w:p w14:paraId="7441D9E1">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《中华人民共和国大气污染防治法》（2018年10月26日修正）；</w:t>
      </w:r>
    </w:p>
    <w:p w14:paraId="70EA3FA1">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《中华人民共和国噪声污染防治法》（20</w:t>
      </w:r>
      <w:r>
        <w:rPr>
          <w:rFonts w:hint="eastAsia" w:ascii="Times New Roman" w:hAnsi="Times New Roman" w:cs="Times New Roman"/>
          <w:kern w:val="0"/>
          <w:sz w:val="24"/>
          <w:szCs w:val="20"/>
        </w:rPr>
        <w:t>21</w:t>
      </w:r>
      <w:r>
        <w:rPr>
          <w:rFonts w:ascii="Times New Roman" w:hAnsi="Times New Roman" w:cs="Times New Roman"/>
          <w:kern w:val="0"/>
          <w:sz w:val="24"/>
          <w:szCs w:val="20"/>
        </w:rPr>
        <w:t>年12月2</w:t>
      </w:r>
      <w:r>
        <w:rPr>
          <w:rFonts w:hint="eastAsia" w:ascii="Times New Roman" w:hAnsi="Times New Roman" w:cs="Times New Roman"/>
          <w:kern w:val="0"/>
          <w:sz w:val="24"/>
          <w:szCs w:val="20"/>
        </w:rPr>
        <w:t>4</w:t>
      </w:r>
      <w:r>
        <w:rPr>
          <w:rFonts w:ascii="Times New Roman" w:hAnsi="Times New Roman" w:cs="Times New Roman"/>
          <w:kern w:val="0"/>
          <w:sz w:val="24"/>
          <w:szCs w:val="20"/>
        </w:rPr>
        <w:t>日</w:t>
      </w:r>
      <w:r>
        <w:rPr>
          <w:rFonts w:hint="eastAsia" w:ascii="Times New Roman" w:hAnsi="Times New Roman" w:cs="Times New Roman"/>
          <w:kern w:val="0"/>
          <w:sz w:val="24"/>
          <w:szCs w:val="20"/>
        </w:rPr>
        <w:t>修订</w:t>
      </w:r>
      <w:r>
        <w:rPr>
          <w:rFonts w:ascii="Times New Roman" w:hAnsi="Times New Roman" w:cs="Times New Roman"/>
          <w:kern w:val="0"/>
          <w:sz w:val="24"/>
          <w:szCs w:val="20"/>
        </w:rPr>
        <w:t>）；</w:t>
      </w:r>
    </w:p>
    <w:p w14:paraId="1C5A8CC8">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《中华人民共和国固体废物污染环境防治法》（2020年4月29日修订通过，自2020年9月1日起施行）；</w:t>
      </w:r>
    </w:p>
    <w:p w14:paraId="1B736402">
      <w:pPr>
        <w:numPr>
          <w:ilvl w:val="0"/>
          <w:numId w:val="12"/>
        </w:numPr>
        <w:spacing w:line="360" w:lineRule="auto"/>
        <w:ind w:left="0" w:firstLine="480" w:firstLineChars="200"/>
        <w:rPr>
          <w:rFonts w:ascii="Times New Roman" w:hAnsi="Times New Roman" w:cs="Times New Roman"/>
          <w:kern w:val="0"/>
          <w:sz w:val="24"/>
          <w:szCs w:val="20"/>
        </w:rPr>
      </w:pPr>
      <w:r>
        <w:rPr>
          <w:rFonts w:hint="eastAsia" w:ascii="Times New Roman" w:hAnsi="Times New Roman" w:cs="Times New Roman"/>
          <w:kern w:val="0"/>
          <w:sz w:val="24"/>
          <w:szCs w:val="20"/>
        </w:rPr>
        <w:t>《中华人民共和国土壤污染防治法》（2019年1月1日施行）；</w:t>
      </w:r>
    </w:p>
    <w:p w14:paraId="58A77350">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《中华人民共和国水土保持法》（2011年3月）；</w:t>
      </w:r>
    </w:p>
    <w:p w14:paraId="5BC642A6">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《中华人民共和国清洁生产促进法》（2012年7月1日起施行）；</w:t>
      </w:r>
    </w:p>
    <w:p w14:paraId="3195F909">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rPr>
        <w:t>《中华人民共和国环境影响评价法》（2018年12月29日修订并施行）</w:t>
      </w:r>
      <w:r>
        <w:rPr>
          <w:rFonts w:ascii="Times New Roman" w:hAnsi="Times New Roman" w:cs="Times New Roman"/>
          <w:kern w:val="0"/>
          <w:sz w:val="24"/>
          <w:szCs w:val="20"/>
        </w:rPr>
        <w:t>；</w:t>
      </w:r>
    </w:p>
    <w:p w14:paraId="5DD152E4">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w:t>
      </w:r>
      <w:r>
        <w:rPr>
          <w:rFonts w:hint="eastAsia" w:ascii="Times New Roman" w:hAnsi="Times New Roman" w:cs="Times New Roman"/>
          <w:kern w:val="0"/>
          <w:sz w:val="24"/>
          <w:szCs w:val="20"/>
        </w:rPr>
        <w:t>地下水管理条例</w:t>
      </w:r>
      <w:r>
        <w:rPr>
          <w:rFonts w:ascii="Times New Roman" w:hAnsi="Times New Roman" w:cs="Times New Roman"/>
          <w:kern w:val="0"/>
          <w:sz w:val="24"/>
          <w:szCs w:val="20"/>
        </w:rPr>
        <w:t>》</w:t>
      </w:r>
      <w:r>
        <w:rPr>
          <w:rFonts w:hint="eastAsia" w:ascii="Times New Roman" w:hAnsi="Times New Roman" w:cs="Times New Roman"/>
          <w:kern w:val="0"/>
          <w:sz w:val="24"/>
          <w:szCs w:val="20"/>
        </w:rPr>
        <w:t>（</w:t>
      </w:r>
      <w:r>
        <w:rPr>
          <w:rFonts w:ascii="Times New Roman" w:hAnsi="Times New Roman" w:cs="Times New Roman"/>
          <w:kern w:val="0"/>
          <w:sz w:val="24"/>
          <w:szCs w:val="20"/>
        </w:rPr>
        <w:t>20</w:t>
      </w:r>
      <w:r>
        <w:rPr>
          <w:rFonts w:hint="eastAsia" w:ascii="Times New Roman" w:hAnsi="Times New Roman" w:cs="Times New Roman"/>
          <w:kern w:val="0"/>
          <w:sz w:val="24"/>
          <w:szCs w:val="20"/>
        </w:rPr>
        <w:t>21</w:t>
      </w:r>
      <w:r>
        <w:rPr>
          <w:rFonts w:ascii="Times New Roman" w:hAnsi="Times New Roman" w:cs="Times New Roman"/>
          <w:kern w:val="0"/>
          <w:sz w:val="24"/>
          <w:szCs w:val="20"/>
        </w:rPr>
        <w:t>年1</w:t>
      </w:r>
      <w:r>
        <w:rPr>
          <w:rFonts w:hint="eastAsia" w:ascii="Times New Roman" w:hAnsi="Times New Roman" w:cs="Times New Roman"/>
          <w:kern w:val="0"/>
          <w:sz w:val="24"/>
          <w:szCs w:val="20"/>
        </w:rPr>
        <w:t>2</w:t>
      </w:r>
      <w:r>
        <w:rPr>
          <w:rFonts w:ascii="Times New Roman" w:hAnsi="Times New Roman" w:cs="Times New Roman"/>
          <w:kern w:val="0"/>
          <w:sz w:val="24"/>
          <w:szCs w:val="20"/>
        </w:rPr>
        <w:t>月</w:t>
      </w:r>
      <w:r>
        <w:rPr>
          <w:rFonts w:hint="eastAsia" w:ascii="Times New Roman" w:hAnsi="Times New Roman" w:cs="Times New Roman"/>
          <w:kern w:val="0"/>
          <w:sz w:val="24"/>
          <w:szCs w:val="20"/>
        </w:rPr>
        <w:t>1</w:t>
      </w:r>
      <w:r>
        <w:rPr>
          <w:rFonts w:ascii="Times New Roman" w:hAnsi="Times New Roman" w:cs="Times New Roman"/>
          <w:kern w:val="0"/>
          <w:sz w:val="24"/>
          <w:szCs w:val="20"/>
        </w:rPr>
        <w:t>日施行</w:t>
      </w:r>
      <w:r>
        <w:rPr>
          <w:rFonts w:hint="eastAsia" w:ascii="Times New Roman" w:hAnsi="Times New Roman" w:cs="Times New Roman"/>
          <w:kern w:val="0"/>
          <w:sz w:val="24"/>
          <w:szCs w:val="20"/>
        </w:rPr>
        <w:t>）；</w:t>
      </w:r>
    </w:p>
    <w:p w14:paraId="2DB86EAD">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《建设项目环境保护管理条例》（2017年6月21日国务院第177次常务会议通过，自2017年10月1日起施行）；</w:t>
      </w:r>
    </w:p>
    <w:p w14:paraId="3E4EC4B1">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《环境影响评价公众参与办法》（生态环境部令第4号，2019年1月1日实施）；</w:t>
      </w:r>
    </w:p>
    <w:p w14:paraId="17F707C9">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《建设项目环境影响评价分类管理名录》（2021年版）；</w:t>
      </w:r>
    </w:p>
    <w:p w14:paraId="5BDC0610">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《国家危险废物名录》（2021年版）；</w:t>
      </w:r>
    </w:p>
    <w:p w14:paraId="1413A29C">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w:t>
      </w:r>
      <w:r>
        <w:fldChar w:fldCharType="begin"/>
      </w:r>
      <w:r>
        <w:instrText xml:space="preserve"> HYPERLINK "http://m.114.xixik.com/hangyefenlei/" \o "国民经济行业分类" </w:instrText>
      </w:r>
      <w:r>
        <w:fldChar w:fldCharType="separate"/>
      </w:r>
      <w:r>
        <w:rPr>
          <w:rFonts w:ascii="Times New Roman" w:hAnsi="Times New Roman" w:cs="Times New Roman"/>
          <w:kern w:val="0"/>
          <w:sz w:val="24"/>
          <w:szCs w:val="20"/>
        </w:rPr>
        <w:t>国民经济行业分类与代码》</w:t>
      </w:r>
      <w:r>
        <w:rPr>
          <w:rFonts w:hint="eastAsia" w:ascii="Times New Roman" w:hAnsi="Times New Roman" w:cs="Times New Roman"/>
          <w:kern w:val="0"/>
          <w:sz w:val="24"/>
          <w:szCs w:val="20"/>
        </w:rPr>
        <w:t>（</w:t>
      </w:r>
      <w:r>
        <w:rPr>
          <w:rFonts w:ascii="Times New Roman" w:hAnsi="Times New Roman" w:cs="Times New Roman"/>
          <w:kern w:val="0"/>
          <w:sz w:val="24"/>
          <w:szCs w:val="20"/>
        </w:rPr>
        <w:t>GB/T 4754-2017</w:t>
      </w:r>
      <w:r>
        <w:rPr>
          <w:rFonts w:hint="eastAsia" w:ascii="Times New Roman" w:hAnsi="Times New Roman" w:cs="Times New Roman"/>
          <w:kern w:val="0"/>
          <w:sz w:val="24"/>
          <w:szCs w:val="20"/>
        </w:rPr>
        <w:t>）</w:t>
      </w:r>
      <w:r>
        <w:rPr>
          <w:rFonts w:ascii="Times New Roman" w:hAnsi="Times New Roman" w:cs="Times New Roman"/>
          <w:kern w:val="0"/>
          <w:sz w:val="24"/>
          <w:szCs w:val="20"/>
        </w:rPr>
        <w:t>（第1号修改单修订）</w:t>
      </w:r>
      <w:r>
        <w:rPr>
          <w:rFonts w:ascii="Times New Roman" w:hAnsi="Times New Roman" w:cs="Times New Roman"/>
          <w:kern w:val="0"/>
          <w:sz w:val="24"/>
          <w:szCs w:val="20"/>
        </w:rPr>
        <w:fldChar w:fldCharType="end"/>
      </w:r>
      <w:r>
        <w:rPr>
          <w:rFonts w:ascii="Times New Roman" w:hAnsi="Times New Roman" w:cs="Times New Roman"/>
          <w:kern w:val="0"/>
          <w:sz w:val="24"/>
          <w:szCs w:val="20"/>
        </w:rPr>
        <w:t>；</w:t>
      </w:r>
      <w:r>
        <w:rPr>
          <w:rFonts w:hint="eastAsia" w:ascii="Times New Roman" w:hAnsi="Times New Roman" w:cs="Times New Roman"/>
          <w:kern w:val="0"/>
          <w:sz w:val="24"/>
          <w:szCs w:val="20"/>
        </w:rPr>
        <w:t>（国统字</w:t>
      </w:r>
      <w:r>
        <w:rPr>
          <w:rFonts w:ascii="Times New Roman" w:hAnsi="Times New Roman" w:cs="Times New Roman"/>
          <w:kern w:val="0"/>
          <w:sz w:val="24"/>
          <w:szCs w:val="20"/>
        </w:rPr>
        <w:t>〔201</w:t>
      </w:r>
      <w:r>
        <w:rPr>
          <w:rFonts w:hint="eastAsia" w:ascii="Times New Roman" w:hAnsi="Times New Roman" w:cs="Times New Roman"/>
          <w:kern w:val="0"/>
          <w:sz w:val="24"/>
          <w:szCs w:val="20"/>
        </w:rPr>
        <w:t>9</w:t>
      </w:r>
      <w:r>
        <w:rPr>
          <w:rFonts w:ascii="Times New Roman" w:hAnsi="Times New Roman" w:cs="Times New Roman"/>
          <w:kern w:val="0"/>
          <w:sz w:val="24"/>
          <w:szCs w:val="20"/>
        </w:rPr>
        <w:t>〕</w:t>
      </w:r>
      <w:r>
        <w:rPr>
          <w:rFonts w:hint="eastAsia" w:ascii="Times New Roman" w:hAnsi="Times New Roman" w:cs="Times New Roman"/>
          <w:kern w:val="0"/>
          <w:sz w:val="24"/>
          <w:szCs w:val="20"/>
        </w:rPr>
        <w:t>66号）；</w:t>
      </w:r>
    </w:p>
    <w:p w14:paraId="711205DE">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《危险废物转移管理办法》（</w:t>
      </w:r>
      <w:r>
        <w:rPr>
          <w:rFonts w:hint="eastAsia" w:ascii="Times New Roman" w:hAnsi="Times New Roman" w:cs="Times New Roman"/>
          <w:kern w:val="0"/>
          <w:sz w:val="24"/>
          <w:szCs w:val="20"/>
        </w:rPr>
        <w:t>2022</w:t>
      </w:r>
      <w:r>
        <w:rPr>
          <w:rFonts w:ascii="Times New Roman" w:hAnsi="Times New Roman" w:cs="Times New Roman"/>
          <w:kern w:val="0"/>
          <w:sz w:val="24"/>
          <w:szCs w:val="20"/>
        </w:rPr>
        <w:t>年</w:t>
      </w:r>
      <w:r>
        <w:rPr>
          <w:rFonts w:hint="eastAsia" w:ascii="Times New Roman" w:hAnsi="Times New Roman" w:cs="Times New Roman"/>
          <w:kern w:val="0"/>
          <w:sz w:val="24"/>
          <w:szCs w:val="20"/>
        </w:rPr>
        <w:t>1</w:t>
      </w:r>
      <w:r>
        <w:rPr>
          <w:rFonts w:ascii="Times New Roman" w:hAnsi="Times New Roman" w:cs="Times New Roman"/>
          <w:kern w:val="0"/>
          <w:sz w:val="24"/>
          <w:szCs w:val="20"/>
        </w:rPr>
        <w:t>月1日起施行）；</w:t>
      </w:r>
    </w:p>
    <w:p w14:paraId="713D9047">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rPr>
        <w:t>《产业结构调整指导目录（20</w:t>
      </w:r>
      <w:r>
        <w:rPr>
          <w:rFonts w:hint="eastAsia" w:ascii="Times New Roman" w:hAnsi="Times New Roman" w:cs="Times New Roman"/>
          <w:kern w:val="0"/>
          <w:sz w:val="24"/>
          <w:lang w:val="en-US" w:eastAsia="zh-CN"/>
        </w:rPr>
        <w:t>24</w:t>
      </w:r>
      <w:r>
        <w:rPr>
          <w:rFonts w:ascii="Times New Roman" w:hAnsi="Times New Roman" w:cs="Times New Roman"/>
          <w:kern w:val="0"/>
          <w:sz w:val="24"/>
        </w:rPr>
        <w:t>年本）》；</w:t>
      </w:r>
    </w:p>
    <w:p w14:paraId="4EA152A9">
      <w:pPr>
        <w:numPr>
          <w:ilvl w:val="0"/>
          <w:numId w:val="12"/>
        </w:numPr>
        <w:spacing w:line="360" w:lineRule="auto"/>
        <w:ind w:left="0" w:firstLine="480" w:firstLineChars="200"/>
        <w:rPr>
          <w:rFonts w:ascii="Times New Roman" w:hAnsi="Times New Roman" w:cs="Times New Roman"/>
          <w:kern w:val="0"/>
          <w:sz w:val="24"/>
        </w:rPr>
      </w:pPr>
      <w:r>
        <w:rPr>
          <w:rFonts w:hint="eastAsia" w:ascii="Times New Roman" w:hAnsi="Times New Roman" w:cs="Times New Roman"/>
          <w:kern w:val="0"/>
          <w:sz w:val="24"/>
        </w:rPr>
        <w:t>《市场准入负面清单》（2022年版）；</w:t>
      </w:r>
    </w:p>
    <w:p w14:paraId="3E39C9DC">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《关于切实加强风险防范严格环境影响评价管理的通知》（环发〔201</w:t>
      </w:r>
      <w:r>
        <w:rPr>
          <w:rFonts w:hint="eastAsia" w:ascii="Times New Roman" w:hAnsi="Times New Roman" w:cs="Times New Roman"/>
          <w:kern w:val="0"/>
          <w:sz w:val="24"/>
          <w:szCs w:val="20"/>
        </w:rPr>
        <w:t>2</w:t>
      </w:r>
      <w:r>
        <w:rPr>
          <w:rFonts w:ascii="Times New Roman" w:hAnsi="Times New Roman" w:cs="Times New Roman"/>
          <w:kern w:val="0"/>
          <w:sz w:val="24"/>
          <w:szCs w:val="20"/>
        </w:rPr>
        <w:t>〕98号）；</w:t>
      </w:r>
    </w:p>
    <w:p w14:paraId="7AE72CDF">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w:t>
      </w:r>
      <w:r>
        <w:rPr>
          <w:rFonts w:ascii="Times New Roman" w:hAnsi="Times New Roman" w:cs="Times New Roman"/>
          <w:bCs/>
          <w:kern w:val="0"/>
          <w:sz w:val="24"/>
          <w:szCs w:val="20"/>
        </w:rPr>
        <w:t>关于进一步加强环境影响评价管理防范环境风险的通知</w:t>
      </w:r>
      <w:r>
        <w:rPr>
          <w:rFonts w:ascii="Times New Roman" w:hAnsi="Times New Roman" w:cs="Times New Roman"/>
          <w:kern w:val="0"/>
          <w:sz w:val="24"/>
          <w:szCs w:val="20"/>
        </w:rPr>
        <w:t>》</w:t>
      </w:r>
      <w:r>
        <w:rPr>
          <w:rFonts w:ascii="Times New Roman" w:hAnsi="Times New Roman" w:cs="Times New Roman"/>
          <w:bCs/>
          <w:kern w:val="0"/>
          <w:sz w:val="24"/>
          <w:szCs w:val="20"/>
        </w:rPr>
        <w:t>（环发</w:t>
      </w:r>
      <w:r>
        <w:rPr>
          <w:rFonts w:ascii="Times New Roman" w:hAnsi="Times New Roman" w:cs="Times New Roman"/>
          <w:kern w:val="0"/>
          <w:sz w:val="24"/>
          <w:szCs w:val="20"/>
        </w:rPr>
        <w:t>〔201</w:t>
      </w:r>
      <w:r>
        <w:rPr>
          <w:rFonts w:hint="eastAsia" w:ascii="Times New Roman" w:hAnsi="Times New Roman" w:cs="Times New Roman"/>
          <w:kern w:val="0"/>
          <w:sz w:val="24"/>
          <w:szCs w:val="20"/>
        </w:rPr>
        <w:t>2</w:t>
      </w:r>
      <w:r>
        <w:rPr>
          <w:rFonts w:ascii="Times New Roman" w:hAnsi="Times New Roman" w:cs="Times New Roman"/>
          <w:kern w:val="0"/>
          <w:sz w:val="24"/>
          <w:szCs w:val="20"/>
        </w:rPr>
        <w:t>〕</w:t>
      </w:r>
      <w:r>
        <w:rPr>
          <w:rFonts w:ascii="Times New Roman" w:hAnsi="Times New Roman" w:cs="Times New Roman"/>
          <w:bCs/>
          <w:kern w:val="0"/>
          <w:sz w:val="24"/>
          <w:szCs w:val="20"/>
        </w:rPr>
        <w:t>77号）；</w:t>
      </w:r>
    </w:p>
    <w:p w14:paraId="3B749F02">
      <w:pPr>
        <w:numPr>
          <w:ilvl w:val="0"/>
          <w:numId w:val="12"/>
        </w:numPr>
        <w:spacing w:line="360" w:lineRule="auto"/>
        <w:ind w:left="0" w:firstLine="480" w:firstLineChars="200"/>
        <w:rPr>
          <w:rFonts w:ascii="Times New Roman" w:hAnsi="Times New Roman" w:cs="Times New Roman"/>
          <w:kern w:val="0"/>
          <w:sz w:val="24"/>
        </w:rPr>
      </w:pPr>
      <w:r>
        <w:rPr>
          <w:rFonts w:ascii="Times New Roman" w:hAnsi="Times New Roman" w:cs="Times New Roman"/>
          <w:kern w:val="0"/>
          <w:sz w:val="24"/>
        </w:rPr>
        <w:t>《国务院关于印发水污染防治行动计划的通知》（国发〔2015〕17号）；</w:t>
      </w:r>
    </w:p>
    <w:p w14:paraId="5B045047">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《国务院关于印发大气污染防治行动计划的通知》（国发〔201</w:t>
      </w:r>
      <w:r>
        <w:rPr>
          <w:rFonts w:hint="eastAsia" w:ascii="Times New Roman" w:hAnsi="Times New Roman" w:cs="Times New Roman"/>
          <w:kern w:val="0"/>
          <w:sz w:val="24"/>
          <w:szCs w:val="20"/>
        </w:rPr>
        <w:t>3</w:t>
      </w:r>
      <w:r>
        <w:rPr>
          <w:rFonts w:ascii="Times New Roman" w:hAnsi="Times New Roman" w:cs="Times New Roman"/>
          <w:kern w:val="0"/>
          <w:sz w:val="24"/>
          <w:szCs w:val="20"/>
        </w:rPr>
        <w:t>〕37号）；</w:t>
      </w:r>
    </w:p>
    <w:p w14:paraId="392DD580">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《国务院关于印发土壤污染防治行动计划的通知》（国发〔2016〕31号）；</w:t>
      </w:r>
    </w:p>
    <w:p w14:paraId="2911AEF1">
      <w:pPr>
        <w:numPr>
          <w:ilvl w:val="0"/>
          <w:numId w:val="12"/>
        </w:numPr>
        <w:spacing w:line="360" w:lineRule="auto"/>
        <w:ind w:left="0" w:firstLine="480" w:firstLineChars="200"/>
        <w:rPr>
          <w:rFonts w:ascii="Times New Roman" w:hAnsi="Times New Roman" w:cs="Times New Roman"/>
          <w:kern w:val="0"/>
          <w:sz w:val="24"/>
          <w:szCs w:val="20"/>
        </w:rPr>
      </w:pPr>
      <w:r>
        <w:rPr>
          <w:rFonts w:ascii="Times New Roman" w:hAnsi="Times New Roman" w:cs="Times New Roman"/>
          <w:kern w:val="0"/>
          <w:sz w:val="24"/>
          <w:szCs w:val="20"/>
        </w:rPr>
        <w:t>《关于发布&lt;建设项目危险废物环境影响评价指南&gt;的公告》（环境保护部办公厅2017年9月1日印发）；</w:t>
      </w:r>
    </w:p>
    <w:p w14:paraId="396DDD87">
      <w:pPr>
        <w:numPr>
          <w:ilvl w:val="0"/>
          <w:numId w:val="12"/>
        </w:numPr>
        <w:spacing w:line="360" w:lineRule="auto"/>
        <w:ind w:left="0" w:firstLine="480" w:firstLineChars="200"/>
        <w:rPr>
          <w:rFonts w:ascii="Times New Roman" w:hAnsi="Times New Roman" w:cs="Times New Roman"/>
          <w:kern w:val="0"/>
          <w:sz w:val="24"/>
        </w:rPr>
      </w:pPr>
      <w:r>
        <w:rPr>
          <w:rFonts w:hint="eastAsia" w:ascii="Times New Roman" w:hAnsi="Times New Roman" w:cs="Times New Roman"/>
          <w:kern w:val="0"/>
          <w:sz w:val="24"/>
          <w:szCs w:val="20"/>
        </w:rPr>
        <w:t>《</w:t>
      </w:r>
      <w:r>
        <w:rPr>
          <w:rFonts w:hint="eastAsia" w:ascii="Times New Roman" w:hAnsi="Times New Roman" w:eastAsia="宋体" w:cs="Times New Roman"/>
          <w:kern w:val="0"/>
          <w:sz w:val="24"/>
          <w:szCs w:val="20"/>
        </w:rPr>
        <w:t>关于加强高耗能、高排放建设项目生态环境源头防控的指导意见</w:t>
      </w:r>
      <w:r>
        <w:rPr>
          <w:rFonts w:hint="eastAsia" w:ascii="Times New Roman" w:hAnsi="Times New Roman" w:cs="Times New Roman"/>
          <w:kern w:val="0"/>
          <w:sz w:val="24"/>
          <w:szCs w:val="20"/>
        </w:rPr>
        <w:t>》（</w:t>
      </w:r>
      <w:r>
        <w:rPr>
          <w:rFonts w:hint="eastAsia" w:ascii="Times New Roman" w:hAnsi="Times New Roman" w:eastAsia="宋体" w:cs="Times New Roman"/>
          <w:kern w:val="0"/>
          <w:sz w:val="24"/>
          <w:szCs w:val="20"/>
        </w:rPr>
        <w:t>环</w:t>
      </w:r>
      <w:r>
        <w:rPr>
          <w:rFonts w:ascii="Times New Roman" w:hAnsi="Times New Roman" w:eastAsia="宋体" w:cs="Times New Roman"/>
          <w:kern w:val="0"/>
          <w:sz w:val="24"/>
        </w:rPr>
        <w:t>环评〔2021〕45号</w:t>
      </w:r>
    </w:p>
    <w:p w14:paraId="4B4E67F0">
      <w:pPr>
        <w:numPr>
          <w:ilvl w:val="0"/>
          <w:numId w:val="12"/>
        </w:numPr>
        <w:spacing w:line="360" w:lineRule="auto"/>
        <w:ind w:left="0" w:firstLine="480" w:firstLineChars="200"/>
        <w:rPr>
          <w:rFonts w:ascii="Times New Roman" w:hAnsi="Times New Roman" w:cs="Times New Roman"/>
          <w:color w:val="auto"/>
          <w:sz w:val="24"/>
        </w:rPr>
      </w:pPr>
      <w:r>
        <w:rPr>
          <w:rFonts w:ascii="Times New Roman" w:hAnsi="Times New Roman" w:cs="Times New Roman"/>
          <w:color w:val="auto"/>
          <w:sz w:val="24"/>
        </w:rPr>
        <w:t>关于印发《深入打好重污染天气消除、臭氧污染防治和柴油货车污染治理攻坚战行动方案》的通知（环大气〔2022〕68号）；</w:t>
      </w:r>
    </w:p>
    <w:p w14:paraId="4383A0DB">
      <w:pPr>
        <w:numPr>
          <w:ilvl w:val="0"/>
          <w:numId w:val="12"/>
        </w:numPr>
        <w:spacing w:line="360" w:lineRule="auto"/>
        <w:ind w:left="0" w:firstLine="480" w:firstLineChars="200"/>
        <w:rPr>
          <w:rFonts w:ascii="Times New Roman" w:hAnsi="Times New Roman" w:cs="Times New Roman"/>
          <w:color w:val="auto"/>
          <w:sz w:val="24"/>
        </w:rPr>
      </w:pPr>
      <w:r>
        <w:rPr>
          <w:rFonts w:ascii="Times New Roman" w:hAnsi="Times New Roman" w:cs="Times New Roman"/>
          <w:color w:val="auto"/>
          <w:kern w:val="0"/>
          <w:sz w:val="24"/>
        </w:rPr>
        <w:t>《关于实施“三线一单”生态环境分区管控的指导意见（试行）》（环环评〔2021〕108号）。</w:t>
      </w:r>
    </w:p>
    <w:p w14:paraId="22979268">
      <w:pPr>
        <w:pStyle w:val="4"/>
        <w:numPr>
          <w:ilvl w:val="2"/>
          <w:numId w:val="11"/>
        </w:numPr>
        <w:tabs>
          <w:tab w:val="clear" w:pos="0"/>
        </w:tabs>
        <w:rPr>
          <w:color w:val="auto"/>
        </w:rPr>
      </w:pPr>
      <w:r>
        <w:rPr>
          <w:rFonts w:hint="eastAsia"/>
          <w:color w:val="auto"/>
        </w:rPr>
        <w:t>地方</w:t>
      </w:r>
      <w:r>
        <w:rPr>
          <w:color w:val="auto"/>
        </w:rPr>
        <w:t>相关政策及规划</w:t>
      </w:r>
    </w:p>
    <w:p w14:paraId="16AAF471">
      <w:pPr>
        <w:numPr>
          <w:ilvl w:val="0"/>
          <w:numId w:val="13"/>
        </w:numPr>
        <w:spacing w:line="360" w:lineRule="auto"/>
        <w:ind w:left="0" w:firstLine="480" w:firstLineChars="200"/>
        <w:rPr>
          <w:rFonts w:ascii="Times New Roman" w:hAnsi="Times New Roman" w:eastAsia="宋体" w:cs="Times New Roman"/>
          <w:color w:val="auto"/>
          <w:kern w:val="0"/>
          <w:sz w:val="24"/>
          <w:szCs w:val="20"/>
        </w:rPr>
      </w:pPr>
      <w:r>
        <w:rPr>
          <w:rFonts w:ascii="Times New Roman" w:hAnsi="Times New Roman" w:eastAsia="宋体" w:cs="Times New Roman"/>
          <w:color w:val="auto"/>
          <w:kern w:val="0"/>
          <w:sz w:val="24"/>
          <w:szCs w:val="20"/>
        </w:rPr>
        <w:t>《河南省固体废物污染环境防治条例》（2012年1月1日）；</w:t>
      </w:r>
    </w:p>
    <w:p w14:paraId="2D0D9ADD">
      <w:pPr>
        <w:numPr>
          <w:ilvl w:val="0"/>
          <w:numId w:val="13"/>
        </w:numPr>
        <w:spacing w:line="360" w:lineRule="auto"/>
        <w:ind w:left="0" w:firstLine="480" w:firstLineChars="200"/>
        <w:rPr>
          <w:rFonts w:ascii="Times New Roman" w:hAnsi="Times New Roman" w:eastAsia="宋体" w:cs="Times New Roman"/>
          <w:color w:val="auto"/>
          <w:kern w:val="0"/>
          <w:sz w:val="24"/>
          <w:szCs w:val="20"/>
        </w:rPr>
      </w:pPr>
      <w:r>
        <w:rPr>
          <w:rFonts w:ascii="Times New Roman" w:hAnsi="Times New Roman" w:eastAsia="宋体" w:cs="Times New Roman"/>
          <w:color w:val="auto"/>
          <w:kern w:val="0"/>
          <w:sz w:val="24"/>
          <w:szCs w:val="20"/>
        </w:rPr>
        <w:t>《河南省大气污染防治条例》（2018年3月1日）；</w:t>
      </w:r>
    </w:p>
    <w:p w14:paraId="462BD6A5">
      <w:pPr>
        <w:numPr>
          <w:ilvl w:val="0"/>
          <w:numId w:val="13"/>
        </w:numPr>
        <w:spacing w:line="360" w:lineRule="auto"/>
        <w:ind w:left="0" w:firstLine="480" w:firstLineChars="200"/>
        <w:rPr>
          <w:rFonts w:ascii="Times New Roman" w:hAnsi="Times New Roman" w:eastAsia="宋体" w:cs="Times New Roman"/>
          <w:color w:val="auto"/>
          <w:kern w:val="0"/>
          <w:sz w:val="24"/>
          <w:szCs w:val="20"/>
        </w:rPr>
      </w:pPr>
      <w:r>
        <w:rPr>
          <w:rFonts w:ascii="Times New Roman" w:hAnsi="Times New Roman" w:eastAsia="宋体" w:cs="Times New Roman"/>
          <w:color w:val="auto"/>
          <w:kern w:val="0"/>
          <w:sz w:val="24"/>
          <w:szCs w:val="20"/>
        </w:rPr>
        <w:t>《河南省水污染防治条例》（2019年10月1日）；</w:t>
      </w:r>
    </w:p>
    <w:p w14:paraId="66E7A604">
      <w:pPr>
        <w:numPr>
          <w:ilvl w:val="0"/>
          <w:numId w:val="13"/>
        </w:numPr>
        <w:spacing w:line="360" w:lineRule="auto"/>
        <w:ind w:left="0" w:firstLine="480" w:firstLineChars="200"/>
        <w:rPr>
          <w:rFonts w:ascii="Times New Roman" w:hAnsi="Times New Roman" w:eastAsia="宋体" w:cs="Times New Roman"/>
          <w:color w:val="auto"/>
          <w:kern w:val="0"/>
          <w:sz w:val="24"/>
          <w:szCs w:val="20"/>
        </w:rPr>
      </w:pPr>
      <w:r>
        <w:rPr>
          <w:rFonts w:ascii="Times New Roman" w:hAnsi="Times New Roman" w:eastAsia="宋体" w:cs="Times New Roman"/>
          <w:color w:val="auto"/>
          <w:kern w:val="0"/>
          <w:sz w:val="24"/>
          <w:szCs w:val="20"/>
        </w:rPr>
        <w:t>《河南省减少污染物排放条例》（2014年1月1日）</w:t>
      </w:r>
      <w:r>
        <w:rPr>
          <w:rFonts w:hint="eastAsia" w:ascii="Times New Roman" w:hAnsi="Times New Roman" w:eastAsia="宋体" w:cs="Times New Roman"/>
          <w:color w:val="auto"/>
          <w:kern w:val="0"/>
          <w:sz w:val="24"/>
          <w:szCs w:val="20"/>
        </w:rPr>
        <w:t>；</w:t>
      </w:r>
    </w:p>
    <w:p w14:paraId="33B0AF5E">
      <w:pPr>
        <w:numPr>
          <w:ilvl w:val="0"/>
          <w:numId w:val="13"/>
        </w:numPr>
        <w:spacing w:line="360" w:lineRule="auto"/>
        <w:ind w:left="0" w:firstLine="480" w:firstLineChars="200"/>
        <w:rPr>
          <w:rFonts w:ascii="Times New Roman" w:hAnsi="Times New Roman" w:eastAsia="宋体" w:cs="Times New Roman"/>
          <w:color w:val="auto"/>
          <w:kern w:val="0"/>
          <w:sz w:val="24"/>
          <w:szCs w:val="20"/>
        </w:rPr>
      </w:pPr>
      <w:r>
        <w:rPr>
          <w:rFonts w:ascii="Times New Roman" w:hAnsi="Times New Roman" w:eastAsia="宋体" w:cs="Times New Roman"/>
          <w:color w:val="auto"/>
          <w:kern w:val="0"/>
          <w:sz w:val="24"/>
          <w:szCs w:val="20"/>
        </w:rPr>
        <w:t>《河南省大气污染防治条例》（2018</w:t>
      </w:r>
      <w:r>
        <w:rPr>
          <w:rFonts w:hint="eastAsia" w:ascii="Times New Roman" w:hAnsi="Times New Roman" w:eastAsia="宋体" w:cs="Times New Roman"/>
          <w:color w:val="auto"/>
          <w:kern w:val="0"/>
          <w:sz w:val="24"/>
          <w:szCs w:val="20"/>
        </w:rPr>
        <w:t>年</w:t>
      </w:r>
      <w:r>
        <w:rPr>
          <w:rFonts w:ascii="Times New Roman" w:hAnsi="Times New Roman" w:eastAsia="宋体" w:cs="Times New Roman"/>
          <w:color w:val="auto"/>
          <w:kern w:val="0"/>
          <w:sz w:val="24"/>
          <w:szCs w:val="20"/>
        </w:rPr>
        <w:t>03</w:t>
      </w:r>
      <w:r>
        <w:rPr>
          <w:rFonts w:hint="eastAsia" w:ascii="Times New Roman" w:hAnsi="Times New Roman" w:eastAsia="宋体" w:cs="Times New Roman"/>
          <w:color w:val="auto"/>
          <w:kern w:val="0"/>
          <w:sz w:val="24"/>
          <w:szCs w:val="20"/>
        </w:rPr>
        <w:t>月</w:t>
      </w:r>
      <w:r>
        <w:rPr>
          <w:rFonts w:ascii="Times New Roman" w:hAnsi="Times New Roman" w:eastAsia="宋体" w:cs="Times New Roman"/>
          <w:color w:val="auto"/>
          <w:kern w:val="0"/>
          <w:sz w:val="24"/>
          <w:szCs w:val="20"/>
        </w:rPr>
        <w:t>01</w:t>
      </w:r>
      <w:r>
        <w:rPr>
          <w:rFonts w:hint="eastAsia" w:ascii="Times New Roman" w:hAnsi="Times New Roman" w:eastAsia="宋体" w:cs="Times New Roman"/>
          <w:color w:val="auto"/>
          <w:kern w:val="0"/>
          <w:sz w:val="24"/>
          <w:szCs w:val="20"/>
        </w:rPr>
        <w:t>日</w:t>
      </w:r>
      <w:r>
        <w:rPr>
          <w:rFonts w:ascii="Times New Roman" w:hAnsi="Times New Roman" w:eastAsia="宋体" w:cs="Times New Roman"/>
          <w:color w:val="auto"/>
          <w:kern w:val="0"/>
          <w:sz w:val="24"/>
          <w:szCs w:val="20"/>
        </w:rPr>
        <w:t>施行）；</w:t>
      </w:r>
    </w:p>
    <w:p w14:paraId="5270D5B3">
      <w:pPr>
        <w:numPr>
          <w:ilvl w:val="0"/>
          <w:numId w:val="13"/>
        </w:numPr>
        <w:spacing w:line="360" w:lineRule="auto"/>
        <w:ind w:left="0" w:firstLine="480" w:firstLineChars="200"/>
        <w:rPr>
          <w:rFonts w:ascii="Times New Roman" w:hAnsi="Times New Roman" w:eastAsia="宋体" w:cs="Times New Roman"/>
          <w:color w:val="auto"/>
          <w:kern w:val="0"/>
          <w:sz w:val="24"/>
          <w:szCs w:val="20"/>
        </w:rPr>
      </w:pPr>
      <w:r>
        <w:rPr>
          <w:rFonts w:hint="eastAsia" w:ascii="Times New Roman" w:hAnsi="Times New Roman" w:eastAsia="宋体" w:cs="Times New Roman"/>
          <w:color w:val="auto"/>
          <w:kern w:val="0"/>
          <w:sz w:val="24"/>
          <w:szCs w:val="20"/>
        </w:rPr>
        <w:t>《</w:t>
      </w:r>
      <w:r>
        <w:rPr>
          <w:rFonts w:ascii="Times New Roman" w:hAnsi="Times New Roman" w:eastAsia="宋体" w:cs="Times New Roman"/>
          <w:color w:val="auto"/>
          <w:kern w:val="0"/>
          <w:sz w:val="24"/>
          <w:szCs w:val="20"/>
        </w:rPr>
        <w:t>河南省土壤污染防治条例</w:t>
      </w:r>
      <w:r>
        <w:rPr>
          <w:rFonts w:hint="eastAsia" w:ascii="Times New Roman" w:hAnsi="Times New Roman" w:eastAsia="宋体" w:cs="Times New Roman"/>
          <w:color w:val="auto"/>
          <w:kern w:val="0"/>
          <w:sz w:val="24"/>
          <w:szCs w:val="20"/>
        </w:rPr>
        <w:t>》（2021年10月1日起施行）；</w:t>
      </w:r>
    </w:p>
    <w:p w14:paraId="0E65E7D2">
      <w:pPr>
        <w:numPr>
          <w:ilvl w:val="0"/>
          <w:numId w:val="13"/>
        </w:numPr>
        <w:spacing w:line="360" w:lineRule="auto"/>
        <w:ind w:left="0"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《河南省建设项目环境保护管理条例》（2007</w:t>
      </w:r>
      <w:r>
        <w:rPr>
          <w:rFonts w:hint="eastAsia" w:ascii="Times New Roman" w:hAnsi="Times New Roman" w:eastAsia="宋体" w:cs="Times New Roman"/>
          <w:kern w:val="0"/>
          <w:sz w:val="24"/>
          <w:szCs w:val="20"/>
        </w:rPr>
        <w:t>年</w:t>
      </w:r>
      <w:r>
        <w:rPr>
          <w:rFonts w:ascii="Times New Roman" w:hAnsi="Times New Roman" w:eastAsia="宋体" w:cs="Times New Roman"/>
          <w:kern w:val="0"/>
          <w:sz w:val="24"/>
          <w:szCs w:val="20"/>
        </w:rPr>
        <w:t>05</w:t>
      </w:r>
      <w:r>
        <w:rPr>
          <w:rFonts w:hint="eastAsia" w:ascii="Times New Roman" w:hAnsi="Times New Roman" w:eastAsia="宋体" w:cs="Times New Roman"/>
          <w:kern w:val="0"/>
          <w:sz w:val="24"/>
          <w:szCs w:val="20"/>
        </w:rPr>
        <w:t>月</w:t>
      </w:r>
      <w:r>
        <w:rPr>
          <w:rFonts w:ascii="Times New Roman" w:hAnsi="Times New Roman" w:eastAsia="宋体" w:cs="Times New Roman"/>
          <w:kern w:val="0"/>
          <w:sz w:val="24"/>
          <w:szCs w:val="20"/>
        </w:rPr>
        <w:t>01</w:t>
      </w:r>
      <w:r>
        <w:rPr>
          <w:rFonts w:hint="eastAsia" w:ascii="Times New Roman" w:hAnsi="Times New Roman" w:eastAsia="宋体" w:cs="Times New Roman"/>
          <w:kern w:val="0"/>
          <w:sz w:val="24"/>
          <w:szCs w:val="20"/>
        </w:rPr>
        <w:t>日</w:t>
      </w:r>
      <w:r>
        <w:rPr>
          <w:rFonts w:ascii="Times New Roman" w:hAnsi="Times New Roman" w:eastAsia="宋体" w:cs="Times New Roman"/>
          <w:kern w:val="0"/>
          <w:sz w:val="24"/>
          <w:szCs w:val="20"/>
        </w:rPr>
        <w:t>施行）；</w:t>
      </w:r>
    </w:p>
    <w:p w14:paraId="56205A1A">
      <w:pPr>
        <w:numPr>
          <w:ilvl w:val="0"/>
          <w:numId w:val="13"/>
        </w:numPr>
        <w:spacing w:line="360" w:lineRule="auto"/>
        <w:ind w:left="0"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《河南省乡镇集中式饮用水水源保护区划的通知》（豫政办</w:t>
      </w:r>
      <w:r>
        <w:rPr>
          <w:rFonts w:ascii="Times New Roman" w:hAnsi="Times New Roman" w:cs="Times New Roman"/>
          <w:kern w:val="0"/>
          <w:sz w:val="24"/>
          <w:szCs w:val="20"/>
        </w:rPr>
        <w:t>〔2016〕</w:t>
      </w:r>
      <w:r>
        <w:rPr>
          <w:rFonts w:ascii="Times New Roman" w:hAnsi="Times New Roman" w:eastAsia="宋体" w:cs="Times New Roman"/>
          <w:kern w:val="0"/>
          <w:sz w:val="24"/>
          <w:szCs w:val="20"/>
        </w:rPr>
        <w:t>23号，2016</w:t>
      </w:r>
      <w:r>
        <w:rPr>
          <w:rFonts w:hint="eastAsia" w:ascii="Times New Roman" w:hAnsi="Times New Roman" w:eastAsia="宋体" w:cs="Times New Roman"/>
          <w:kern w:val="0"/>
          <w:sz w:val="24"/>
          <w:szCs w:val="20"/>
        </w:rPr>
        <w:t>年</w:t>
      </w:r>
      <w:r>
        <w:rPr>
          <w:rFonts w:ascii="Times New Roman" w:hAnsi="Times New Roman" w:eastAsia="宋体" w:cs="Times New Roman"/>
          <w:kern w:val="0"/>
          <w:sz w:val="24"/>
          <w:szCs w:val="20"/>
        </w:rPr>
        <w:t>03</w:t>
      </w:r>
      <w:r>
        <w:rPr>
          <w:rFonts w:hint="eastAsia" w:ascii="Times New Roman" w:hAnsi="Times New Roman" w:eastAsia="宋体" w:cs="Times New Roman"/>
          <w:kern w:val="0"/>
          <w:sz w:val="24"/>
          <w:szCs w:val="20"/>
        </w:rPr>
        <w:t>月</w:t>
      </w:r>
      <w:r>
        <w:rPr>
          <w:rFonts w:ascii="Times New Roman" w:hAnsi="Times New Roman" w:eastAsia="宋体" w:cs="Times New Roman"/>
          <w:kern w:val="0"/>
          <w:sz w:val="24"/>
          <w:szCs w:val="20"/>
        </w:rPr>
        <w:t>04</w:t>
      </w:r>
      <w:r>
        <w:rPr>
          <w:rFonts w:hint="eastAsia" w:ascii="Times New Roman" w:hAnsi="Times New Roman" w:eastAsia="宋体" w:cs="Times New Roman"/>
          <w:kern w:val="0"/>
          <w:sz w:val="24"/>
          <w:szCs w:val="20"/>
        </w:rPr>
        <w:t>日实施</w:t>
      </w:r>
      <w:r>
        <w:rPr>
          <w:rFonts w:ascii="Times New Roman" w:hAnsi="Times New Roman" w:eastAsia="宋体" w:cs="Times New Roman"/>
          <w:kern w:val="0"/>
          <w:sz w:val="24"/>
          <w:szCs w:val="20"/>
        </w:rPr>
        <w:t>）；</w:t>
      </w:r>
    </w:p>
    <w:p w14:paraId="382CFB0C">
      <w:pPr>
        <w:numPr>
          <w:ilvl w:val="0"/>
          <w:numId w:val="13"/>
        </w:numPr>
        <w:spacing w:line="360" w:lineRule="auto"/>
        <w:ind w:left="0"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《河南省生态环境厅关于印发河南省工业大气污染防治6个专项方案的通知》（豫环文</w:t>
      </w:r>
      <w:r>
        <w:rPr>
          <w:rFonts w:ascii="Times New Roman" w:hAnsi="Times New Roman" w:cs="Times New Roman"/>
          <w:kern w:val="0"/>
          <w:sz w:val="24"/>
          <w:szCs w:val="20"/>
        </w:rPr>
        <w:t>〔201</w:t>
      </w:r>
      <w:r>
        <w:rPr>
          <w:rFonts w:hint="eastAsia" w:ascii="Times New Roman" w:hAnsi="Times New Roman" w:cs="Times New Roman"/>
          <w:kern w:val="0"/>
          <w:sz w:val="24"/>
          <w:szCs w:val="20"/>
        </w:rPr>
        <w:t>9</w:t>
      </w:r>
      <w:r>
        <w:rPr>
          <w:rFonts w:ascii="Times New Roman" w:hAnsi="Times New Roman" w:cs="Times New Roman"/>
          <w:kern w:val="0"/>
          <w:sz w:val="24"/>
          <w:szCs w:val="20"/>
        </w:rPr>
        <w:t>〕</w:t>
      </w:r>
      <w:r>
        <w:rPr>
          <w:rFonts w:ascii="Times New Roman" w:hAnsi="Times New Roman" w:eastAsia="宋体" w:cs="Times New Roman"/>
          <w:kern w:val="0"/>
          <w:sz w:val="24"/>
          <w:szCs w:val="20"/>
        </w:rPr>
        <w:t>84号）；</w:t>
      </w:r>
    </w:p>
    <w:p w14:paraId="56880249">
      <w:pPr>
        <w:numPr>
          <w:ilvl w:val="0"/>
          <w:numId w:val="13"/>
        </w:numPr>
        <w:spacing w:line="360" w:lineRule="auto"/>
        <w:ind w:left="0"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河南省环境保护厅《关于加强环评管理防范环境风险的通知》（豫环文</w:t>
      </w:r>
      <w:r>
        <w:rPr>
          <w:rFonts w:ascii="Times New Roman" w:hAnsi="Times New Roman" w:cs="Times New Roman"/>
          <w:kern w:val="0"/>
          <w:sz w:val="24"/>
          <w:szCs w:val="20"/>
        </w:rPr>
        <w:t>〔201</w:t>
      </w:r>
      <w:r>
        <w:rPr>
          <w:rFonts w:hint="eastAsia" w:ascii="Times New Roman" w:hAnsi="Times New Roman" w:cs="Times New Roman"/>
          <w:kern w:val="0"/>
          <w:sz w:val="24"/>
          <w:szCs w:val="20"/>
        </w:rPr>
        <w:t>2</w:t>
      </w:r>
      <w:r>
        <w:rPr>
          <w:rFonts w:ascii="Times New Roman" w:hAnsi="Times New Roman" w:cs="Times New Roman"/>
          <w:kern w:val="0"/>
          <w:sz w:val="24"/>
          <w:szCs w:val="20"/>
        </w:rPr>
        <w:t>〕</w:t>
      </w:r>
      <w:r>
        <w:rPr>
          <w:rFonts w:ascii="Times New Roman" w:hAnsi="Times New Roman" w:eastAsia="宋体" w:cs="Times New Roman"/>
          <w:kern w:val="0"/>
          <w:sz w:val="24"/>
          <w:szCs w:val="20"/>
        </w:rPr>
        <w:t>159号）；</w:t>
      </w:r>
    </w:p>
    <w:p w14:paraId="34476ECB">
      <w:pPr>
        <w:numPr>
          <w:ilvl w:val="0"/>
          <w:numId w:val="13"/>
        </w:numPr>
        <w:spacing w:line="360" w:lineRule="auto"/>
        <w:ind w:left="0" w:firstLine="480" w:firstLineChars="200"/>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《河南省生态环境厅关于加强“两高”项目生态环境源头防控的实施意见》（豫环文〔2021〕100号）；</w:t>
      </w:r>
    </w:p>
    <w:p w14:paraId="743B22E5">
      <w:pPr>
        <w:numPr>
          <w:ilvl w:val="0"/>
          <w:numId w:val="13"/>
        </w:numPr>
        <w:spacing w:line="360" w:lineRule="auto"/>
        <w:ind w:left="0" w:firstLine="480" w:firstLineChars="200"/>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《河南省生态环境分区管控总体要求（试行）》（豫环函〔2021〕171号）；</w:t>
      </w:r>
    </w:p>
    <w:p w14:paraId="53E4771B">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13.</w:t>
      </w:r>
      <w:r>
        <w:rPr>
          <w:rFonts w:ascii="Times New Roman" w:hAnsi="Times New Roman" w:cs="Times New Roman"/>
          <w:sz w:val="24"/>
        </w:rPr>
        <w:t>濮阳市生态环境局关于发布“三线一单”生态环境分区管控准入清单的函（濮环函</w:t>
      </w:r>
      <w:bookmarkStart w:id="16" w:name="_Hlk87782528"/>
      <w:r>
        <w:rPr>
          <w:rFonts w:ascii="Times New Roman" w:hAnsi="Times New Roman" w:cs="Times New Roman"/>
          <w:sz w:val="24"/>
        </w:rPr>
        <w:t>〔2021〕17号）</w:t>
      </w:r>
      <w:bookmarkEnd w:id="16"/>
      <w:r>
        <w:rPr>
          <w:rFonts w:ascii="Times New Roman" w:hAnsi="Times New Roman" w:cs="Times New Roman"/>
          <w:sz w:val="24"/>
        </w:rPr>
        <w:t>；</w:t>
      </w:r>
    </w:p>
    <w:p w14:paraId="6DD02998">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15.</w:t>
      </w:r>
      <w:r>
        <w:rPr>
          <w:rFonts w:ascii="Times New Roman" w:hAnsi="Times New Roman" w:cs="Times New Roman"/>
          <w:sz w:val="24"/>
        </w:rPr>
        <w:t>濮阳市人民政府关于印发濮阳市“三线一单”生态环境分区管控实施方案的通知（濮政〔2021〕21号）；</w:t>
      </w:r>
    </w:p>
    <w:p w14:paraId="5822A2DD">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16.</w:t>
      </w:r>
      <w:r>
        <w:rPr>
          <w:rFonts w:ascii="Times New Roman" w:hAnsi="Times New Roman" w:cs="Times New Roman"/>
          <w:sz w:val="24"/>
        </w:rPr>
        <w:t>河南省人民政府办公厅关于印发河南省坚决遏制“两高”项目盲目发展行动方案的通知（豫政办〔2021〕65号）；</w:t>
      </w:r>
    </w:p>
    <w:p w14:paraId="68150A1C">
      <w:pPr>
        <w:adjustRightInd w:val="0"/>
        <w:spacing w:line="360" w:lineRule="auto"/>
        <w:ind w:firstLine="480" w:firstLineChars="200"/>
        <w:rPr>
          <w:rFonts w:ascii="Times New Roman" w:hAnsi="Times New Roman" w:eastAsia="宋体" w:cs="Times New Roman"/>
          <w:spacing w:val="-3"/>
          <w:sz w:val="24"/>
        </w:rPr>
      </w:pPr>
      <w:r>
        <w:rPr>
          <w:rFonts w:hint="eastAsia" w:ascii="Times New Roman" w:hAnsi="Times New Roman" w:cs="Times New Roman"/>
          <w:sz w:val="24"/>
        </w:rPr>
        <w:t>18.</w:t>
      </w:r>
      <w:r>
        <w:rPr>
          <w:rFonts w:ascii="Times New Roman" w:hAnsi="Times New Roman" w:cs="Times New Roman"/>
          <w:sz w:val="24"/>
        </w:rPr>
        <w:t>《河南省2021年工业企业大气污染物全面达标提升行动方案》</w:t>
      </w:r>
      <w:r>
        <w:rPr>
          <w:rFonts w:ascii="Times New Roman" w:hAnsi="Times New Roman" w:cs="Times New Roman"/>
          <w:spacing w:val="-3"/>
          <w:sz w:val="24"/>
        </w:rPr>
        <w:t>（</w:t>
      </w:r>
      <w:r>
        <w:rPr>
          <w:rFonts w:ascii="Times New Roman" w:hAnsi="Times New Roman" w:cs="Times New Roman"/>
          <w:sz w:val="24"/>
        </w:rPr>
        <w:t>豫环文〔2021〕59号</w:t>
      </w:r>
      <w:r>
        <w:rPr>
          <w:rFonts w:ascii="Times New Roman" w:hAnsi="Times New Roman" w:cs="Times New Roman"/>
          <w:spacing w:val="-3"/>
          <w:sz w:val="24"/>
        </w:rPr>
        <w:t>）</w:t>
      </w:r>
      <w:r>
        <w:rPr>
          <w:rFonts w:hint="eastAsia" w:ascii="Times New Roman" w:hAnsi="Times New Roman" w:cs="Times New Roman"/>
          <w:spacing w:val="-3"/>
          <w:sz w:val="24"/>
        </w:rPr>
        <w:t>；</w:t>
      </w:r>
    </w:p>
    <w:p w14:paraId="6452007C">
      <w:pPr>
        <w:adjustRightInd w:val="0"/>
        <w:spacing w:line="360" w:lineRule="auto"/>
        <w:ind w:firstLine="480" w:firstLineChars="200"/>
        <w:rPr>
          <w:sz w:val="24"/>
        </w:rPr>
      </w:pPr>
      <w:r>
        <w:rPr>
          <w:rFonts w:hint="eastAsia" w:ascii="Times New Roman" w:hAnsi="Times New Roman" w:eastAsia="宋体" w:cs="Times New Roman"/>
          <w:sz w:val="24"/>
        </w:rPr>
        <w:t>19.</w:t>
      </w:r>
      <w:r>
        <w:rPr>
          <w:rFonts w:ascii="Times New Roman" w:hAnsi="Times New Roman" w:eastAsia="宋体" w:cs="Times New Roman"/>
          <w:sz w:val="24"/>
        </w:rPr>
        <w:t>河南省人民政府关于印发河南省“十四五”生态环境保护和生态经济发展规划的通知；</w:t>
      </w:r>
    </w:p>
    <w:p w14:paraId="4935298C">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20.《关于全面加强挥发性有机物污染治理的通知》（豫环办〔2022〕24号）；</w:t>
      </w:r>
    </w:p>
    <w:p w14:paraId="0EB25348">
      <w:pPr>
        <w:adjustRightIn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21.《河南省人民政府关于实施“三线一单”生态环境分区管控的意见》（豫政〔2020〕37号）；</w:t>
      </w:r>
    </w:p>
    <w:p w14:paraId="76A49669">
      <w:pPr>
        <w:adjustRightIn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22.河</w:t>
      </w:r>
      <w:r>
        <w:rPr>
          <w:rFonts w:ascii="Times New Roman" w:hAnsi="Times New Roman" w:cs="Times New Roman"/>
          <w:sz w:val="24"/>
        </w:rPr>
        <w:t>南省发展改革委员会关于印发河南省“两高”项目管理目录（2023年修订）的通知</w:t>
      </w:r>
      <w:r>
        <w:rPr>
          <w:rFonts w:hint="eastAsia" w:ascii="Times New Roman" w:hAnsi="Times New Roman" w:cs="Times New Roman"/>
          <w:sz w:val="24"/>
        </w:rPr>
        <w:t>（</w:t>
      </w:r>
      <w:r>
        <w:rPr>
          <w:rFonts w:ascii="Times New Roman" w:hAnsi="Times New Roman" w:cs="Times New Roman"/>
          <w:sz w:val="24"/>
        </w:rPr>
        <w:t>豫发改环资〔2023〕38号</w:t>
      </w:r>
      <w:r>
        <w:rPr>
          <w:rFonts w:hint="eastAsia" w:ascii="Times New Roman" w:hAnsi="Times New Roman" w:cs="Times New Roman"/>
          <w:sz w:val="24"/>
        </w:rPr>
        <w:t>）；</w:t>
      </w:r>
    </w:p>
    <w:p w14:paraId="2762374D">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23.《清丰县人民政府办公室关于划分部分集中式饮用水水源保护区的通知》（清政办〔2019〕24号）；</w:t>
      </w:r>
    </w:p>
    <w:p w14:paraId="2ED69201">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24.濮阳市生态环境保护委员会办公室关于印发《濮阳市2023年蓝天保卫战实施方案》的通知（濮环委办〔2023〕7号）；</w:t>
      </w:r>
    </w:p>
    <w:p w14:paraId="5EDA88FD">
      <w:pPr>
        <w:adjustRightInd w:val="0"/>
        <w:snapToGrid w:val="0"/>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25.濮阳市生态环境保护委员会办公室关于印发《</w:t>
      </w:r>
      <w:r>
        <w:rPr>
          <w:rFonts w:ascii="Times New Roman" w:hAnsi="Times New Roman" w:cs="Times New Roman"/>
          <w:sz w:val="24"/>
        </w:rPr>
        <w:t>濮阳市2023年碧水保卫战实施方案</w:t>
      </w:r>
      <w:r>
        <w:rPr>
          <w:rFonts w:ascii="Times New Roman" w:hAnsi="Times New Roman" w:eastAsia="宋体" w:cs="Times New Roman"/>
          <w:sz w:val="24"/>
        </w:rPr>
        <w:t>》的通知（濮环委办〔2023〕8号）</w:t>
      </w:r>
      <w:r>
        <w:rPr>
          <w:rFonts w:ascii="Times New Roman" w:hAnsi="Times New Roman" w:cs="Times New Roman"/>
          <w:sz w:val="24"/>
        </w:rPr>
        <w:t>；</w:t>
      </w:r>
    </w:p>
    <w:p w14:paraId="1CE4FBEA">
      <w:pPr>
        <w:adjustRightInd w:val="0"/>
        <w:snapToGrid w:val="0"/>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26.濮阳市生态环境保护委员会办公室关于印发《</w:t>
      </w:r>
      <w:r>
        <w:rPr>
          <w:rFonts w:ascii="Times New Roman" w:hAnsi="Times New Roman" w:cs="Times New Roman"/>
          <w:sz w:val="24"/>
        </w:rPr>
        <w:t>濮阳市2023年净土保卫战实施方案</w:t>
      </w:r>
      <w:r>
        <w:rPr>
          <w:rFonts w:ascii="Times New Roman" w:hAnsi="Times New Roman" w:eastAsia="宋体" w:cs="Times New Roman"/>
          <w:sz w:val="24"/>
        </w:rPr>
        <w:t>》的通知（濮环委办〔2023〕13号）</w:t>
      </w:r>
      <w:r>
        <w:rPr>
          <w:rFonts w:ascii="Times New Roman" w:hAnsi="Times New Roman" w:cs="Times New Roman"/>
          <w:sz w:val="24"/>
        </w:rPr>
        <w:t>；</w:t>
      </w:r>
    </w:p>
    <w:p w14:paraId="3E62E817">
      <w:pPr>
        <w:spacing w:line="360" w:lineRule="auto"/>
        <w:ind w:left="239" w:leftChars="114" w:firstLine="307" w:firstLineChars="128"/>
        <w:rPr>
          <w:rFonts w:ascii="Times New Roman" w:hAnsi="Times New Roman" w:cs="Times New Roman"/>
          <w:color w:val="auto"/>
          <w:sz w:val="24"/>
        </w:rPr>
      </w:pPr>
      <w:r>
        <w:rPr>
          <w:rFonts w:ascii="Times New Roman" w:hAnsi="Times New Roman" w:cs="Times New Roman"/>
          <w:sz w:val="24"/>
        </w:rPr>
        <w:t>27.《关于</w:t>
      </w:r>
      <w:r>
        <w:rPr>
          <w:rFonts w:ascii="Times New Roman" w:hAnsi="Times New Roman" w:cs="Times New Roman"/>
          <w:color w:val="auto"/>
          <w:sz w:val="24"/>
        </w:rPr>
        <w:t>全面加强挥发性有机物污染治理的通知》（豫环办〔2022〕24号）</w:t>
      </w:r>
      <w:r>
        <w:rPr>
          <w:rFonts w:hint="eastAsia" w:ascii="Times New Roman" w:hAnsi="Times New Roman" w:cs="Times New Roman"/>
          <w:color w:val="auto"/>
          <w:sz w:val="24"/>
        </w:rPr>
        <w:t>；</w:t>
      </w:r>
    </w:p>
    <w:p w14:paraId="6DFC7B12">
      <w:pPr>
        <w:spacing w:line="360" w:lineRule="auto"/>
        <w:ind w:left="239" w:leftChars="114" w:firstLine="307" w:firstLineChars="128"/>
        <w:rPr>
          <w:rFonts w:ascii="Times New Roman" w:hAnsi="Times New Roman" w:eastAsia="宋体" w:cs="Times New Roman"/>
          <w:color w:val="auto"/>
          <w:sz w:val="24"/>
        </w:rPr>
      </w:pPr>
      <w:r>
        <w:rPr>
          <w:rFonts w:hint="eastAsia" w:ascii="Times New Roman" w:hAnsi="Times New Roman" w:eastAsia="宋体" w:cs="Times New Roman"/>
          <w:color w:val="auto"/>
          <w:sz w:val="24"/>
        </w:rPr>
        <w:t>28.</w:t>
      </w:r>
      <w:r>
        <w:rPr>
          <w:rFonts w:ascii="Times New Roman" w:hAnsi="Times New Roman" w:eastAsia="宋体" w:cs="Times New Roman"/>
          <w:color w:val="auto"/>
          <w:sz w:val="24"/>
        </w:rPr>
        <w:t>《工业涂装工序挥发性有机物污染防治技术规范》（DB41/T 1946—2020）</w:t>
      </w:r>
      <w:r>
        <w:rPr>
          <w:rFonts w:ascii="Times New Roman" w:hAnsi="Times New Roman" w:cs="Times New Roman"/>
          <w:color w:val="auto"/>
          <w:sz w:val="24"/>
        </w:rPr>
        <w:t>。</w:t>
      </w:r>
    </w:p>
    <w:p w14:paraId="429D1D80">
      <w:pPr>
        <w:pStyle w:val="4"/>
        <w:numPr>
          <w:ilvl w:val="2"/>
          <w:numId w:val="11"/>
        </w:numPr>
        <w:tabs>
          <w:tab w:val="clear" w:pos="0"/>
        </w:tabs>
        <w:rPr>
          <w:color w:val="auto"/>
        </w:rPr>
      </w:pPr>
      <w:r>
        <w:rPr>
          <w:rFonts w:hint="eastAsia"/>
          <w:color w:val="auto"/>
        </w:rPr>
        <w:t>技术导则与标准</w:t>
      </w:r>
    </w:p>
    <w:p w14:paraId="0219629E">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kern w:val="0"/>
          <w:sz w:val="24"/>
        </w:rPr>
        <w:t>《建设项目环境影响评价技术导则 总纲》（HJ2.1-2016）；</w:t>
      </w:r>
    </w:p>
    <w:p w14:paraId="3ADB4B31">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kern w:val="0"/>
          <w:sz w:val="24"/>
          <w:szCs w:val="20"/>
        </w:rPr>
        <w:t>《环境影响评价技术导则 大气环境》（HJ</w:t>
      </w:r>
      <w:r>
        <w:rPr>
          <w:rFonts w:hint="eastAsia" w:ascii="Times New Roman" w:hAnsi="Times New Roman" w:cs="Times New Roman"/>
          <w:color w:val="auto"/>
          <w:kern w:val="0"/>
          <w:sz w:val="24"/>
          <w:szCs w:val="20"/>
        </w:rPr>
        <w:t xml:space="preserve"> </w:t>
      </w:r>
      <w:r>
        <w:rPr>
          <w:rFonts w:ascii="Times New Roman" w:hAnsi="Times New Roman" w:cs="Times New Roman"/>
          <w:color w:val="auto"/>
          <w:kern w:val="0"/>
          <w:sz w:val="24"/>
          <w:szCs w:val="20"/>
        </w:rPr>
        <w:t>2.2-2018）</w:t>
      </w:r>
      <w:r>
        <w:rPr>
          <w:rFonts w:ascii="Times New Roman" w:hAnsi="Times New Roman" w:cs="Times New Roman"/>
          <w:color w:val="auto"/>
          <w:kern w:val="0"/>
          <w:sz w:val="24"/>
        </w:rPr>
        <w:t>；</w:t>
      </w:r>
    </w:p>
    <w:p w14:paraId="1CBEE542">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kern w:val="0"/>
          <w:sz w:val="24"/>
          <w:szCs w:val="20"/>
        </w:rPr>
        <w:t>《环境影响评价技术导则 地表水环境》（HJ 2.3-2018）；</w:t>
      </w:r>
    </w:p>
    <w:p w14:paraId="0B6A4122">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kern w:val="0"/>
          <w:sz w:val="24"/>
        </w:rPr>
        <w:t>《环境影响评价技术导则 声环境》（HJ</w:t>
      </w:r>
      <w:r>
        <w:rPr>
          <w:rFonts w:hint="eastAsia" w:ascii="Times New Roman" w:hAnsi="Times New Roman" w:cs="Times New Roman"/>
          <w:color w:val="auto"/>
          <w:kern w:val="0"/>
          <w:sz w:val="24"/>
        </w:rPr>
        <w:t xml:space="preserve"> </w:t>
      </w:r>
      <w:r>
        <w:rPr>
          <w:rFonts w:ascii="Times New Roman" w:hAnsi="Times New Roman" w:cs="Times New Roman"/>
          <w:color w:val="auto"/>
          <w:kern w:val="0"/>
          <w:sz w:val="24"/>
        </w:rPr>
        <w:t>2.4-20</w:t>
      </w:r>
      <w:r>
        <w:rPr>
          <w:rFonts w:hint="eastAsia" w:ascii="Times New Roman" w:hAnsi="Times New Roman" w:cs="Times New Roman"/>
          <w:color w:val="auto"/>
          <w:kern w:val="0"/>
          <w:sz w:val="24"/>
        </w:rPr>
        <w:t>21</w:t>
      </w:r>
      <w:r>
        <w:rPr>
          <w:rFonts w:ascii="Times New Roman" w:hAnsi="Times New Roman" w:cs="Times New Roman"/>
          <w:color w:val="auto"/>
          <w:kern w:val="0"/>
          <w:sz w:val="24"/>
        </w:rPr>
        <w:t>）；</w:t>
      </w:r>
    </w:p>
    <w:p w14:paraId="4E8D99C1">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kern w:val="0"/>
          <w:sz w:val="24"/>
        </w:rPr>
        <w:t>《环境影响评价技术导则 地下水环境》（HJ610-2016）；</w:t>
      </w:r>
    </w:p>
    <w:p w14:paraId="5FE3EDD8">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kern w:val="0"/>
          <w:sz w:val="24"/>
        </w:rPr>
        <w:t>《环境影响评价技术导则 生态环境》（HJ19-20</w:t>
      </w:r>
      <w:r>
        <w:rPr>
          <w:rFonts w:hint="eastAsia" w:ascii="Times New Roman" w:hAnsi="Times New Roman" w:cs="Times New Roman"/>
          <w:color w:val="auto"/>
          <w:kern w:val="0"/>
          <w:sz w:val="24"/>
        </w:rPr>
        <w:t>22</w:t>
      </w:r>
      <w:r>
        <w:rPr>
          <w:rFonts w:ascii="Times New Roman" w:hAnsi="Times New Roman" w:cs="Times New Roman"/>
          <w:color w:val="auto"/>
          <w:kern w:val="0"/>
          <w:sz w:val="24"/>
        </w:rPr>
        <w:t>）；</w:t>
      </w:r>
    </w:p>
    <w:p w14:paraId="3FDEB0E8">
      <w:pPr>
        <w:numPr>
          <w:ilvl w:val="0"/>
          <w:numId w:val="14"/>
        </w:numPr>
        <w:spacing w:line="360" w:lineRule="auto"/>
        <w:ind w:left="0" w:firstLine="426"/>
        <w:rPr>
          <w:rFonts w:ascii="Times New Roman" w:hAnsi="Times New Roman" w:cs="Times New Roman"/>
          <w:color w:val="auto"/>
          <w:kern w:val="0"/>
          <w:sz w:val="24"/>
        </w:rPr>
      </w:pPr>
      <w:r>
        <w:rPr>
          <w:rFonts w:ascii="Times New Roman" w:hAnsi="Times New Roman" w:cs="Times New Roman"/>
          <w:color w:val="auto"/>
          <w:kern w:val="0"/>
          <w:sz w:val="24"/>
        </w:rPr>
        <w:t>《环境影响评价技术导则 土壤环境（试行）》（HJ 964-2018）；</w:t>
      </w:r>
    </w:p>
    <w:p w14:paraId="262DB346">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kern w:val="0"/>
          <w:sz w:val="24"/>
          <w:szCs w:val="20"/>
        </w:rPr>
        <w:t>《建设项目环境风险评价技术导则》（HJ 169-2018）</w:t>
      </w:r>
      <w:r>
        <w:rPr>
          <w:rFonts w:ascii="Times New Roman" w:hAnsi="Times New Roman" w:cs="Times New Roman"/>
          <w:color w:val="auto"/>
          <w:kern w:val="0"/>
          <w:sz w:val="24"/>
        </w:rPr>
        <w:t>；</w:t>
      </w:r>
    </w:p>
    <w:p w14:paraId="5E0CF719">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kern w:val="0"/>
          <w:sz w:val="24"/>
        </w:rPr>
        <w:t>《建设项目危险废物环境影响评价指南》（公告 2017年 第43号）；</w:t>
      </w:r>
    </w:p>
    <w:p w14:paraId="32F609D6">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kern w:val="0"/>
          <w:sz w:val="24"/>
        </w:rPr>
        <w:t>《污染源源强核算技术指南  准则》（HJ884-2018）；</w:t>
      </w:r>
    </w:p>
    <w:p w14:paraId="27029643">
      <w:pPr>
        <w:numPr>
          <w:ilvl w:val="0"/>
          <w:numId w:val="14"/>
        </w:numPr>
        <w:spacing w:line="360" w:lineRule="auto"/>
        <w:ind w:left="0" w:firstLine="42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《土壤环境质量农用地土壤污染风险管控标准（试行）》（GB15618-2018）；</w:t>
      </w:r>
    </w:p>
    <w:p w14:paraId="6C56A77F">
      <w:pPr>
        <w:numPr>
          <w:ilvl w:val="0"/>
          <w:numId w:val="14"/>
        </w:numPr>
        <w:spacing w:line="360" w:lineRule="auto"/>
        <w:ind w:left="0" w:firstLine="42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《土壤环境质量建设用地土壤污染风险管控标准（试行）》（GB36600-2018）；</w:t>
      </w:r>
    </w:p>
    <w:p w14:paraId="2B1DDAE0">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kern w:val="0"/>
          <w:sz w:val="24"/>
        </w:rPr>
        <w:t>《家具制造工业污染防治可行技术指南》（HJ1180-2021）</w:t>
      </w:r>
      <w:r>
        <w:rPr>
          <w:rFonts w:hint="eastAsia" w:ascii="Times New Roman" w:hAnsi="Times New Roman" w:cs="Times New Roman"/>
          <w:color w:val="auto"/>
          <w:kern w:val="0"/>
          <w:sz w:val="24"/>
        </w:rPr>
        <w:t>；</w:t>
      </w:r>
    </w:p>
    <w:p w14:paraId="63659149">
      <w:pPr>
        <w:numPr>
          <w:ilvl w:val="0"/>
          <w:numId w:val="14"/>
        </w:numPr>
        <w:spacing w:line="360" w:lineRule="auto"/>
        <w:ind w:left="0" w:firstLine="420"/>
        <w:rPr>
          <w:rFonts w:ascii="Times New Roman" w:hAnsi="Times New Roman" w:cs="Times New Roman"/>
          <w:color w:val="auto"/>
          <w:kern w:val="0"/>
          <w:sz w:val="24"/>
        </w:rPr>
      </w:pPr>
      <w:r>
        <w:rPr>
          <w:rFonts w:ascii="Times New Roman" w:hAnsi="Times New Roman" w:cs="Times New Roman"/>
          <w:color w:val="auto"/>
          <w:sz w:val="24"/>
        </w:rPr>
        <w:t xml:space="preserve">《排污许可证申请与核发技术规范 </w:t>
      </w:r>
      <w:r>
        <w:rPr>
          <w:rFonts w:hint="eastAsia" w:ascii="Times New Roman" w:hAnsi="Times New Roman" w:cs="Times New Roman"/>
          <w:color w:val="auto"/>
          <w:sz w:val="24"/>
        </w:rPr>
        <w:t>家具制造工业</w:t>
      </w:r>
      <w:r>
        <w:rPr>
          <w:rFonts w:ascii="Times New Roman" w:hAnsi="Times New Roman" w:cs="Times New Roman"/>
          <w:color w:val="auto"/>
          <w:sz w:val="24"/>
        </w:rPr>
        <w:t>》（HJ</w:t>
      </w:r>
      <w:r>
        <w:rPr>
          <w:rFonts w:hint="eastAsia" w:ascii="Times New Roman" w:hAnsi="Times New Roman" w:cs="Times New Roman"/>
          <w:color w:val="auto"/>
          <w:sz w:val="24"/>
        </w:rPr>
        <w:t>1027</w:t>
      </w:r>
      <w:r>
        <w:rPr>
          <w:rFonts w:ascii="Times New Roman" w:hAnsi="Times New Roman" w:cs="Times New Roman"/>
          <w:color w:val="auto"/>
          <w:sz w:val="24"/>
        </w:rPr>
        <w:t>-201</w:t>
      </w:r>
      <w:r>
        <w:rPr>
          <w:rFonts w:hint="eastAsia" w:ascii="Times New Roman" w:hAnsi="Times New Roman" w:cs="Times New Roman"/>
          <w:color w:val="auto"/>
          <w:sz w:val="24"/>
        </w:rPr>
        <w:t>9</w:t>
      </w:r>
      <w:r>
        <w:rPr>
          <w:rFonts w:ascii="Times New Roman" w:hAnsi="Times New Roman" w:cs="Times New Roman"/>
          <w:color w:val="auto"/>
          <w:sz w:val="24"/>
        </w:rPr>
        <w:t>）</w:t>
      </w:r>
      <w:r>
        <w:rPr>
          <w:rFonts w:ascii="Times New Roman" w:hAnsi="Times New Roman" w:cs="Times New Roman"/>
          <w:color w:val="auto"/>
          <w:kern w:val="0"/>
          <w:sz w:val="24"/>
        </w:rPr>
        <w:t>；</w:t>
      </w:r>
    </w:p>
    <w:p w14:paraId="3A9CEC09">
      <w:pPr>
        <w:numPr>
          <w:ilvl w:val="0"/>
          <w:numId w:val="14"/>
        </w:numPr>
        <w:spacing w:line="360" w:lineRule="auto"/>
        <w:ind w:left="0" w:firstLine="420"/>
        <w:rPr>
          <w:rFonts w:ascii="Times New Roman" w:hAnsi="Times New Roman" w:cs="Times New Roman"/>
          <w:kern w:val="0"/>
          <w:sz w:val="24"/>
        </w:rPr>
      </w:pPr>
      <w:r>
        <w:rPr>
          <w:rFonts w:ascii="Times New Roman" w:hAnsi="Times New Roman" w:cs="Times New Roman"/>
          <w:kern w:val="0"/>
          <w:sz w:val="24"/>
        </w:rPr>
        <w:t>《固体废物鉴别标准 通则》（GB34330-2017）；</w:t>
      </w:r>
    </w:p>
    <w:p w14:paraId="0007ED0A">
      <w:pPr>
        <w:numPr>
          <w:ilvl w:val="0"/>
          <w:numId w:val="14"/>
        </w:numPr>
        <w:spacing w:line="360" w:lineRule="auto"/>
        <w:ind w:left="0" w:firstLine="420"/>
        <w:rPr>
          <w:rFonts w:ascii="Times New Roman" w:hAnsi="Times New Roman" w:cs="Times New Roman"/>
          <w:kern w:val="0"/>
          <w:sz w:val="24"/>
        </w:rPr>
      </w:pPr>
      <w:r>
        <w:rPr>
          <w:rFonts w:ascii="Times New Roman" w:hAnsi="Times New Roman" w:cs="Times New Roman"/>
          <w:kern w:val="0"/>
          <w:sz w:val="24"/>
        </w:rPr>
        <w:t>《一般工业固体废物贮存</w:t>
      </w:r>
      <w:r>
        <w:rPr>
          <w:rFonts w:hint="eastAsia" w:ascii="Times New Roman" w:hAnsi="Times New Roman" w:cs="Times New Roman"/>
          <w:kern w:val="0"/>
          <w:sz w:val="24"/>
        </w:rPr>
        <w:t>和填埋污染控制标准</w:t>
      </w:r>
      <w:r>
        <w:rPr>
          <w:rFonts w:ascii="Times New Roman" w:hAnsi="Times New Roman" w:cs="Times New Roman"/>
          <w:kern w:val="0"/>
          <w:sz w:val="24"/>
        </w:rPr>
        <w:t>》（GB18599-20</w:t>
      </w:r>
      <w:r>
        <w:rPr>
          <w:rFonts w:hint="eastAsia" w:ascii="Times New Roman" w:hAnsi="Times New Roman" w:cs="Times New Roman"/>
          <w:kern w:val="0"/>
          <w:sz w:val="24"/>
        </w:rPr>
        <w:t>20</w:t>
      </w:r>
      <w:r>
        <w:rPr>
          <w:rFonts w:ascii="Times New Roman" w:hAnsi="Times New Roman" w:cs="Times New Roman"/>
          <w:kern w:val="0"/>
          <w:sz w:val="24"/>
        </w:rPr>
        <w:t>）；</w:t>
      </w:r>
    </w:p>
    <w:p w14:paraId="0B67F00D">
      <w:pPr>
        <w:numPr>
          <w:ilvl w:val="0"/>
          <w:numId w:val="14"/>
        </w:numPr>
        <w:spacing w:line="360" w:lineRule="auto"/>
        <w:ind w:left="0" w:firstLine="420"/>
      </w:pPr>
      <w:r>
        <w:rPr>
          <w:rFonts w:ascii="Times New Roman" w:hAnsi="Times New Roman" w:cs="Times New Roman"/>
          <w:kern w:val="0"/>
          <w:sz w:val="24"/>
        </w:rPr>
        <w:t>《危险废物贮存污染控制标准》（GB18597-20</w:t>
      </w:r>
      <w:r>
        <w:rPr>
          <w:rFonts w:hint="eastAsia" w:ascii="Times New Roman" w:hAnsi="Times New Roman" w:cs="Times New Roman"/>
          <w:kern w:val="0"/>
          <w:sz w:val="24"/>
        </w:rPr>
        <w:t>23</w:t>
      </w:r>
      <w:r>
        <w:rPr>
          <w:rFonts w:ascii="Times New Roman" w:hAnsi="Times New Roman" w:cs="Times New Roman"/>
          <w:kern w:val="0"/>
          <w:sz w:val="24"/>
        </w:rPr>
        <w:t>）</w:t>
      </w:r>
      <w:r>
        <w:rPr>
          <w:rFonts w:hint="eastAsia" w:ascii="Times New Roman" w:hAnsi="Times New Roman" w:cs="Times New Roman"/>
          <w:kern w:val="0"/>
          <w:sz w:val="24"/>
        </w:rPr>
        <w:t>。</w:t>
      </w:r>
    </w:p>
    <w:p w14:paraId="7A254D53">
      <w:pPr>
        <w:pStyle w:val="4"/>
        <w:numPr>
          <w:ilvl w:val="2"/>
          <w:numId w:val="11"/>
        </w:numPr>
        <w:tabs>
          <w:tab w:val="clear" w:pos="0"/>
        </w:tabs>
        <w:adjustRightInd w:val="0"/>
        <w:snapToGrid w:val="0"/>
      </w:pPr>
      <w:r>
        <w:rPr>
          <w:rFonts w:hint="eastAsia"/>
        </w:rPr>
        <w:t>项目文件</w:t>
      </w:r>
    </w:p>
    <w:p w14:paraId="3FB2227A">
      <w:pPr>
        <w:numPr>
          <w:ilvl w:val="0"/>
          <w:numId w:val="15"/>
        </w:numPr>
        <w:tabs>
          <w:tab w:val="left" w:pos="1134"/>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环评委托书；</w:t>
      </w:r>
    </w:p>
    <w:p w14:paraId="04989E88">
      <w:pPr>
        <w:numPr>
          <w:ilvl w:val="0"/>
          <w:numId w:val="15"/>
        </w:numPr>
        <w:tabs>
          <w:tab w:val="left" w:pos="1134"/>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河南省企业投资项目备案证明；</w:t>
      </w:r>
    </w:p>
    <w:p w14:paraId="483C2CEA">
      <w:pPr>
        <w:numPr>
          <w:ilvl w:val="0"/>
          <w:numId w:val="15"/>
        </w:numPr>
        <w:tabs>
          <w:tab w:val="left" w:pos="1134"/>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建设单位提供的其他资料。</w:t>
      </w:r>
    </w:p>
    <w:p w14:paraId="1A7086D7">
      <w:pPr>
        <w:pStyle w:val="3"/>
        <w:numPr>
          <w:ilvl w:val="1"/>
          <w:numId w:val="10"/>
        </w:numPr>
        <w:adjustRightInd w:val="0"/>
        <w:snapToGrid w:val="0"/>
      </w:pPr>
      <w:bookmarkStart w:id="17" w:name="_Toc370"/>
      <w:bookmarkStart w:id="18" w:name="_Toc20838"/>
      <w:r>
        <w:rPr>
          <w:rFonts w:hint="eastAsia"/>
        </w:rPr>
        <w:t>评价目的与原则</w:t>
      </w:r>
      <w:bookmarkEnd w:id="17"/>
      <w:bookmarkEnd w:id="18"/>
    </w:p>
    <w:p w14:paraId="50B9C250">
      <w:pPr>
        <w:pStyle w:val="4"/>
        <w:numPr>
          <w:ilvl w:val="2"/>
          <w:numId w:val="16"/>
        </w:numPr>
        <w:tabs>
          <w:tab w:val="clear" w:pos="0"/>
        </w:tabs>
        <w:adjustRightInd w:val="0"/>
        <w:snapToGrid w:val="0"/>
      </w:pPr>
      <w:r>
        <w:rPr>
          <w:rFonts w:hint="eastAsia"/>
        </w:rPr>
        <w:t>评价目的</w:t>
      </w:r>
    </w:p>
    <w:p w14:paraId="63F85483">
      <w:pPr>
        <w:tabs>
          <w:tab w:val="left" w:pos="1134"/>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通过对项目所在地周围环境现状调查，明确评价范围内的环境敏感目标；通过环境质量现状的监测和调查，了解项目周围环境质量现状，说明区域目前存在的主要环境问题，并为项目的建设期和运行期的环境影响分析提供背景资料。</w:t>
      </w:r>
    </w:p>
    <w:p w14:paraId="4A7F1C46">
      <w:pPr>
        <w:tabs>
          <w:tab w:val="left" w:pos="1134"/>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2、通过调研、类比分析和物料平衡等手段，分析本次项目的“三废”产排污量和排放规律，核定项目污染物排放总量，同时，为项目的环境影响预测及评价提供基础资料。</w:t>
      </w:r>
    </w:p>
    <w:p w14:paraId="161ECFD3">
      <w:pPr>
        <w:tabs>
          <w:tab w:val="left" w:pos="1134"/>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3、预测和评价项目实施后对项目所在区域环境的影响范围及程度。</w:t>
      </w:r>
    </w:p>
    <w:p w14:paraId="1853E926">
      <w:pPr>
        <w:tabs>
          <w:tab w:val="left" w:pos="1134"/>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4、根据环境影响分析预测，有针对性的提出项目建设与营运过程中减轻污染切实可行的环保工程措施及环境管理措施。</w:t>
      </w:r>
    </w:p>
    <w:p w14:paraId="1D7FAB4E">
      <w:pPr>
        <w:tabs>
          <w:tab w:val="left" w:pos="1134"/>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分析论证建设项目与国家和地方的环境保护政策、环境保护规划以及地方城市发展总体规划的相容性，从环境保护角度对本项目建设的可行性做出明确结论，为当地环保管理部门和建设单位进行环境管理提供科学的依据、为建设单位和设计单位优化设计提供科学的依据。</w:t>
      </w:r>
    </w:p>
    <w:p w14:paraId="60D4B31C">
      <w:pPr>
        <w:pStyle w:val="4"/>
        <w:numPr>
          <w:ilvl w:val="2"/>
          <w:numId w:val="16"/>
        </w:numPr>
        <w:tabs>
          <w:tab w:val="clear" w:pos="0"/>
        </w:tabs>
        <w:adjustRightInd w:val="0"/>
        <w:snapToGrid w:val="0"/>
      </w:pPr>
      <w:r>
        <w:rPr>
          <w:rFonts w:hint="eastAsia"/>
        </w:rPr>
        <w:t>评价原则</w:t>
      </w:r>
    </w:p>
    <w:p w14:paraId="3CCC8816">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1、严格遵循《中华人民共和国环境影响评价法》和国家现行有关环境保护法律、法规，认真贯彻执行国家产业发展政策和规划；</w:t>
      </w:r>
    </w:p>
    <w:p w14:paraId="467AFDE5">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2、认真贯彻执行“污染源达标排放”及“污染物排放总量控制”等环境保护政策、法规及规定；</w:t>
      </w:r>
    </w:p>
    <w:p w14:paraId="4EF9162E">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3、坚持为工程项目建设的优化和决策服务，为环境管理服务，注重环评工作的政策性、针对性、公正性及实用性；</w:t>
      </w:r>
    </w:p>
    <w:p w14:paraId="2C451CD8">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4、评价内容要重点突出、结论明确、对策可行。</w:t>
      </w:r>
    </w:p>
    <w:p w14:paraId="05226DF4">
      <w:pPr>
        <w:pStyle w:val="3"/>
        <w:numPr>
          <w:ilvl w:val="1"/>
          <w:numId w:val="10"/>
        </w:numPr>
        <w:adjustRightInd w:val="0"/>
        <w:snapToGrid w:val="0"/>
      </w:pPr>
      <w:bookmarkStart w:id="19" w:name="_Toc6463"/>
      <w:bookmarkStart w:id="20" w:name="_Toc18028"/>
      <w:r>
        <w:rPr>
          <w:rFonts w:hint="eastAsia"/>
        </w:rPr>
        <w:t>环境影响识别与评价因子筛选</w:t>
      </w:r>
      <w:bookmarkEnd w:id="19"/>
      <w:bookmarkEnd w:id="20"/>
    </w:p>
    <w:p w14:paraId="7CCC213F">
      <w:pPr>
        <w:pStyle w:val="4"/>
        <w:numPr>
          <w:ilvl w:val="2"/>
          <w:numId w:val="17"/>
        </w:numPr>
        <w:tabs>
          <w:tab w:val="clear" w:pos="0"/>
        </w:tabs>
        <w:adjustRightInd w:val="0"/>
        <w:snapToGrid w:val="0"/>
      </w:pPr>
      <w:r>
        <w:t>环境影响因素识别</w:t>
      </w:r>
    </w:p>
    <w:p w14:paraId="77EDED27">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环境影响评价技术导则——总纲》（HJ2.1-2016），环境影响识别应明确建设项目在施工过程、生产运行、服务期满后等不同阶段的各种行为与可能受影响的环境要素间的作用效应关系、影响性质、影响范围、影响程度等，定性分析建设项目对各环境要素可能产生的污染影响与生态影响，包括有利与不利影响、长期与短期影响、可逆与不可逆影响、直接与间接影响、累积与非累积影响等。</w:t>
      </w:r>
    </w:p>
    <w:p w14:paraId="3B5D5AD2">
      <w:pPr>
        <w:pStyle w:val="62"/>
        <w:snapToGrid w:val="0"/>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本项目环境影响因素识别一览表见</w:t>
      </w:r>
      <w:r>
        <w:rPr>
          <w:rFonts w:hint="eastAsia" w:ascii="Times New Roman" w:hAnsi="Times New Roman" w:eastAsia="宋体" w:cs="Times New Roman"/>
          <w:color w:val="auto"/>
          <w:sz w:val="24"/>
          <w:szCs w:val="24"/>
        </w:rPr>
        <w:t>下</w:t>
      </w:r>
      <w:r>
        <w:rPr>
          <w:rFonts w:ascii="Times New Roman" w:hAnsi="Times New Roman" w:eastAsia="宋体" w:cs="Times New Roman"/>
          <w:color w:val="auto"/>
          <w:sz w:val="24"/>
          <w:szCs w:val="24"/>
        </w:rPr>
        <w:t>表。</w:t>
      </w:r>
    </w:p>
    <w:p w14:paraId="302E4D72">
      <w:pPr>
        <w:numPr>
          <w:ilvl w:val="0"/>
          <w:numId w:val="18"/>
        </w:numPr>
        <w:autoSpaceDE w:val="0"/>
        <w:autoSpaceDN w:val="0"/>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 xml:space="preserve"> </w:t>
      </w:r>
      <w:r>
        <w:rPr>
          <w:rFonts w:ascii="Times New Roman" w:hAnsi="Times New Roman" w:eastAsia="宋体" w:cs="Times New Roman"/>
          <w:b/>
          <w:sz w:val="24"/>
        </w:rPr>
        <w:t xml:space="preserve"> </w:t>
      </w:r>
      <w:r>
        <w:rPr>
          <w:rFonts w:ascii="Times New Roman" w:hAnsi="Times New Roman" w:eastAsia="宋体" w:cs="Times New Roman"/>
          <w:b/>
          <w:szCs w:val="21"/>
        </w:rPr>
        <w:t>环境影响因素识别一览表</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438"/>
        <w:gridCol w:w="1068"/>
        <w:gridCol w:w="743"/>
        <w:gridCol w:w="739"/>
        <w:gridCol w:w="683"/>
        <w:gridCol w:w="780"/>
        <w:gridCol w:w="688"/>
        <w:gridCol w:w="675"/>
        <w:gridCol w:w="675"/>
        <w:gridCol w:w="675"/>
        <w:gridCol w:w="675"/>
        <w:gridCol w:w="680"/>
      </w:tblGrid>
      <w:tr w14:paraId="5D20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1506" w:type="dxa"/>
            <w:gridSpan w:val="2"/>
            <w:vMerge w:val="restart"/>
            <w:tcBorders>
              <w:tl2br w:val="nil"/>
              <w:tr2bl w:val="nil"/>
            </w:tcBorders>
            <w:tcMar>
              <w:top w:w="85" w:type="dxa"/>
              <w:bottom w:w="85" w:type="dxa"/>
            </w:tcMar>
            <w:vAlign w:val="center"/>
          </w:tcPr>
          <w:p w14:paraId="27D6EA2E">
            <w:pPr>
              <w:jc w:val="right"/>
              <w:rPr>
                <w:rFonts w:ascii="Times New Roman" w:hAnsi="Times New Roman" w:cs="Times New Roman"/>
                <w:szCs w:val="21"/>
              </w:rPr>
            </w:pPr>
            <w:r>
              <w:rPr>
                <w:rFonts w:ascii="Times New Roman" w:hAnsi="Times New Roman" w:cs="Times New Roman"/>
                <w:szCs w:val="21"/>
              </w:rPr>
              <w:t>工程分析</w:t>
            </w:r>
          </w:p>
          <w:p w14:paraId="6AF79263">
            <w:pPr>
              <w:jc w:val="left"/>
              <w:rPr>
                <w:rFonts w:ascii="Times New Roman" w:hAnsi="Times New Roman" w:cs="Times New Roman"/>
                <w:szCs w:val="21"/>
              </w:rPr>
            </w:pPr>
            <w:r>
              <w:rPr>
                <w:rFonts w:ascii="Times New Roman" w:hAnsi="Times New Roman" w:cs="Times New Roman"/>
                <w:szCs w:val="21"/>
              </w:rPr>
              <w:t>影响因素</w:t>
            </w:r>
          </w:p>
        </w:tc>
        <w:tc>
          <w:tcPr>
            <w:tcW w:w="3633" w:type="dxa"/>
            <w:gridSpan w:val="5"/>
            <w:tcBorders>
              <w:tl2br w:val="nil"/>
              <w:tr2bl w:val="nil"/>
            </w:tcBorders>
            <w:tcMar>
              <w:top w:w="85" w:type="dxa"/>
              <w:bottom w:w="85" w:type="dxa"/>
            </w:tcMar>
            <w:vAlign w:val="center"/>
          </w:tcPr>
          <w:p w14:paraId="70152B98">
            <w:pPr>
              <w:jc w:val="center"/>
              <w:rPr>
                <w:rFonts w:ascii="Times New Roman" w:hAnsi="Times New Roman" w:cs="Times New Roman"/>
                <w:szCs w:val="21"/>
              </w:rPr>
            </w:pPr>
            <w:r>
              <w:rPr>
                <w:rFonts w:ascii="Times New Roman" w:hAnsi="Times New Roman" w:cs="Times New Roman"/>
                <w:szCs w:val="21"/>
              </w:rPr>
              <w:t>营运期</w:t>
            </w:r>
          </w:p>
        </w:tc>
        <w:tc>
          <w:tcPr>
            <w:tcW w:w="3380" w:type="dxa"/>
            <w:gridSpan w:val="5"/>
            <w:tcBorders>
              <w:tl2br w:val="nil"/>
              <w:tr2bl w:val="nil"/>
            </w:tcBorders>
            <w:tcMar>
              <w:top w:w="85" w:type="dxa"/>
              <w:bottom w:w="85" w:type="dxa"/>
            </w:tcMar>
            <w:vAlign w:val="center"/>
          </w:tcPr>
          <w:p w14:paraId="2A83DEAB">
            <w:pPr>
              <w:jc w:val="center"/>
              <w:rPr>
                <w:rFonts w:ascii="Times New Roman" w:hAnsi="Times New Roman" w:cs="Times New Roman"/>
                <w:szCs w:val="21"/>
              </w:rPr>
            </w:pPr>
            <w:r>
              <w:rPr>
                <w:rFonts w:ascii="Times New Roman" w:hAnsi="Times New Roman" w:cs="Times New Roman"/>
                <w:szCs w:val="21"/>
              </w:rPr>
              <w:t>施工期</w:t>
            </w:r>
          </w:p>
        </w:tc>
      </w:tr>
      <w:tr w14:paraId="61DE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1506" w:type="dxa"/>
            <w:gridSpan w:val="2"/>
            <w:vMerge w:val="continue"/>
            <w:tcBorders>
              <w:tl2br w:val="nil"/>
              <w:tr2bl w:val="nil"/>
            </w:tcBorders>
            <w:tcMar>
              <w:top w:w="85" w:type="dxa"/>
              <w:bottom w:w="85" w:type="dxa"/>
            </w:tcMar>
            <w:vAlign w:val="center"/>
          </w:tcPr>
          <w:p w14:paraId="766706D6">
            <w:pPr>
              <w:jc w:val="center"/>
              <w:rPr>
                <w:rFonts w:ascii="Times New Roman" w:hAnsi="Times New Roman" w:cs="Times New Roman"/>
                <w:szCs w:val="21"/>
              </w:rPr>
            </w:pPr>
          </w:p>
        </w:tc>
        <w:tc>
          <w:tcPr>
            <w:tcW w:w="743" w:type="dxa"/>
            <w:tcBorders>
              <w:tl2br w:val="nil"/>
              <w:tr2bl w:val="nil"/>
            </w:tcBorders>
            <w:tcMar>
              <w:top w:w="85" w:type="dxa"/>
              <w:bottom w:w="85" w:type="dxa"/>
            </w:tcMar>
            <w:vAlign w:val="center"/>
          </w:tcPr>
          <w:p w14:paraId="29B37E28">
            <w:pPr>
              <w:jc w:val="center"/>
              <w:rPr>
                <w:rFonts w:ascii="Times New Roman" w:hAnsi="Times New Roman" w:cs="Times New Roman"/>
                <w:szCs w:val="21"/>
              </w:rPr>
            </w:pPr>
            <w:r>
              <w:rPr>
                <w:rFonts w:ascii="Times New Roman" w:hAnsi="Times New Roman" w:cs="Times New Roman"/>
                <w:szCs w:val="21"/>
              </w:rPr>
              <w:t>废水</w:t>
            </w:r>
          </w:p>
        </w:tc>
        <w:tc>
          <w:tcPr>
            <w:tcW w:w="739" w:type="dxa"/>
            <w:tcBorders>
              <w:tl2br w:val="nil"/>
              <w:tr2bl w:val="nil"/>
            </w:tcBorders>
            <w:tcMar>
              <w:top w:w="85" w:type="dxa"/>
              <w:bottom w:w="85" w:type="dxa"/>
            </w:tcMar>
            <w:vAlign w:val="center"/>
          </w:tcPr>
          <w:p w14:paraId="52A83EEA">
            <w:pPr>
              <w:jc w:val="center"/>
              <w:rPr>
                <w:rFonts w:ascii="Times New Roman" w:hAnsi="Times New Roman" w:cs="Times New Roman"/>
                <w:szCs w:val="21"/>
              </w:rPr>
            </w:pPr>
            <w:r>
              <w:rPr>
                <w:rFonts w:ascii="Times New Roman" w:hAnsi="Times New Roman" w:cs="Times New Roman"/>
                <w:szCs w:val="21"/>
              </w:rPr>
              <w:t>废气</w:t>
            </w:r>
          </w:p>
        </w:tc>
        <w:tc>
          <w:tcPr>
            <w:tcW w:w="683" w:type="dxa"/>
            <w:tcBorders>
              <w:tl2br w:val="nil"/>
              <w:tr2bl w:val="nil"/>
            </w:tcBorders>
            <w:tcMar>
              <w:top w:w="85" w:type="dxa"/>
              <w:bottom w:w="85" w:type="dxa"/>
            </w:tcMar>
            <w:vAlign w:val="center"/>
          </w:tcPr>
          <w:p w14:paraId="4185E253">
            <w:pPr>
              <w:jc w:val="center"/>
              <w:rPr>
                <w:rFonts w:ascii="Times New Roman" w:hAnsi="Times New Roman" w:cs="Times New Roman"/>
                <w:szCs w:val="21"/>
              </w:rPr>
            </w:pPr>
            <w:r>
              <w:rPr>
                <w:rFonts w:ascii="Times New Roman" w:hAnsi="Times New Roman" w:cs="Times New Roman"/>
                <w:szCs w:val="21"/>
              </w:rPr>
              <w:t>固废</w:t>
            </w:r>
          </w:p>
        </w:tc>
        <w:tc>
          <w:tcPr>
            <w:tcW w:w="780" w:type="dxa"/>
            <w:tcBorders>
              <w:tl2br w:val="nil"/>
              <w:tr2bl w:val="nil"/>
            </w:tcBorders>
            <w:tcMar>
              <w:top w:w="85" w:type="dxa"/>
              <w:bottom w:w="85" w:type="dxa"/>
            </w:tcMar>
            <w:vAlign w:val="center"/>
          </w:tcPr>
          <w:p w14:paraId="43348765">
            <w:pPr>
              <w:jc w:val="center"/>
              <w:rPr>
                <w:rFonts w:ascii="Times New Roman" w:hAnsi="Times New Roman" w:cs="Times New Roman"/>
                <w:szCs w:val="21"/>
              </w:rPr>
            </w:pPr>
            <w:r>
              <w:rPr>
                <w:rFonts w:ascii="Times New Roman" w:hAnsi="Times New Roman" w:cs="Times New Roman"/>
                <w:szCs w:val="21"/>
              </w:rPr>
              <w:t>噪声</w:t>
            </w:r>
          </w:p>
        </w:tc>
        <w:tc>
          <w:tcPr>
            <w:tcW w:w="688" w:type="dxa"/>
            <w:tcBorders>
              <w:tl2br w:val="nil"/>
              <w:tr2bl w:val="nil"/>
            </w:tcBorders>
            <w:tcMar>
              <w:top w:w="85" w:type="dxa"/>
              <w:bottom w:w="85" w:type="dxa"/>
            </w:tcMar>
            <w:vAlign w:val="center"/>
          </w:tcPr>
          <w:p w14:paraId="4FE04D2B">
            <w:pPr>
              <w:jc w:val="center"/>
              <w:rPr>
                <w:rFonts w:ascii="Times New Roman" w:hAnsi="Times New Roman" w:cs="Times New Roman"/>
                <w:szCs w:val="21"/>
              </w:rPr>
            </w:pPr>
            <w:r>
              <w:rPr>
                <w:rFonts w:ascii="Times New Roman" w:hAnsi="Times New Roman" w:cs="Times New Roman"/>
                <w:szCs w:val="21"/>
              </w:rPr>
              <w:t>运输</w:t>
            </w:r>
          </w:p>
        </w:tc>
        <w:tc>
          <w:tcPr>
            <w:tcW w:w="675" w:type="dxa"/>
            <w:tcBorders>
              <w:tl2br w:val="nil"/>
              <w:tr2bl w:val="nil"/>
            </w:tcBorders>
            <w:tcMar>
              <w:top w:w="85" w:type="dxa"/>
              <w:bottom w:w="85" w:type="dxa"/>
            </w:tcMar>
            <w:vAlign w:val="center"/>
          </w:tcPr>
          <w:p w14:paraId="77C7ECB9">
            <w:pPr>
              <w:jc w:val="center"/>
              <w:rPr>
                <w:rFonts w:ascii="Times New Roman" w:hAnsi="Times New Roman" w:cs="Times New Roman"/>
                <w:szCs w:val="21"/>
              </w:rPr>
            </w:pPr>
            <w:r>
              <w:rPr>
                <w:rFonts w:ascii="Times New Roman" w:hAnsi="Times New Roman" w:cs="Times New Roman"/>
                <w:szCs w:val="21"/>
              </w:rPr>
              <w:t>废水</w:t>
            </w:r>
          </w:p>
        </w:tc>
        <w:tc>
          <w:tcPr>
            <w:tcW w:w="675" w:type="dxa"/>
            <w:tcBorders>
              <w:tl2br w:val="nil"/>
              <w:tr2bl w:val="nil"/>
            </w:tcBorders>
            <w:tcMar>
              <w:top w:w="85" w:type="dxa"/>
              <w:bottom w:w="85" w:type="dxa"/>
            </w:tcMar>
            <w:vAlign w:val="center"/>
          </w:tcPr>
          <w:p w14:paraId="71D9539A">
            <w:pPr>
              <w:jc w:val="center"/>
              <w:rPr>
                <w:rFonts w:ascii="Times New Roman" w:hAnsi="Times New Roman" w:cs="Times New Roman"/>
                <w:szCs w:val="21"/>
              </w:rPr>
            </w:pPr>
            <w:r>
              <w:rPr>
                <w:rFonts w:ascii="Times New Roman" w:hAnsi="Times New Roman" w:cs="Times New Roman"/>
                <w:szCs w:val="21"/>
              </w:rPr>
              <w:t>废气</w:t>
            </w:r>
          </w:p>
        </w:tc>
        <w:tc>
          <w:tcPr>
            <w:tcW w:w="675" w:type="dxa"/>
            <w:tcBorders>
              <w:tl2br w:val="nil"/>
              <w:tr2bl w:val="nil"/>
            </w:tcBorders>
            <w:tcMar>
              <w:top w:w="85" w:type="dxa"/>
              <w:bottom w:w="85" w:type="dxa"/>
            </w:tcMar>
            <w:vAlign w:val="center"/>
          </w:tcPr>
          <w:p w14:paraId="3BCD9DA2">
            <w:pPr>
              <w:jc w:val="center"/>
              <w:rPr>
                <w:rFonts w:ascii="Times New Roman" w:hAnsi="Times New Roman" w:cs="Times New Roman"/>
                <w:szCs w:val="21"/>
              </w:rPr>
            </w:pPr>
            <w:r>
              <w:rPr>
                <w:rFonts w:ascii="Times New Roman" w:hAnsi="Times New Roman" w:cs="Times New Roman"/>
                <w:szCs w:val="21"/>
              </w:rPr>
              <w:t>固废</w:t>
            </w:r>
          </w:p>
        </w:tc>
        <w:tc>
          <w:tcPr>
            <w:tcW w:w="675" w:type="dxa"/>
            <w:tcBorders>
              <w:tl2br w:val="nil"/>
              <w:tr2bl w:val="nil"/>
            </w:tcBorders>
            <w:tcMar>
              <w:top w:w="85" w:type="dxa"/>
              <w:bottom w:w="85" w:type="dxa"/>
            </w:tcMar>
            <w:vAlign w:val="center"/>
          </w:tcPr>
          <w:p w14:paraId="6776A93F">
            <w:pPr>
              <w:jc w:val="center"/>
              <w:rPr>
                <w:rFonts w:ascii="Times New Roman" w:hAnsi="Times New Roman" w:cs="Times New Roman"/>
                <w:szCs w:val="21"/>
              </w:rPr>
            </w:pPr>
            <w:r>
              <w:rPr>
                <w:rFonts w:ascii="Times New Roman" w:hAnsi="Times New Roman" w:cs="Times New Roman"/>
                <w:szCs w:val="21"/>
              </w:rPr>
              <w:t>噪声</w:t>
            </w:r>
          </w:p>
        </w:tc>
        <w:tc>
          <w:tcPr>
            <w:tcW w:w="680" w:type="dxa"/>
            <w:tcBorders>
              <w:tl2br w:val="nil"/>
              <w:tr2bl w:val="nil"/>
            </w:tcBorders>
            <w:tcMar>
              <w:top w:w="85" w:type="dxa"/>
              <w:bottom w:w="85" w:type="dxa"/>
            </w:tcMar>
            <w:vAlign w:val="center"/>
          </w:tcPr>
          <w:p w14:paraId="298D3849">
            <w:pPr>
              <w:jc w:val="center"/>
              <w:rPr>
                <w:rFonts w:ascii="Times New Roman" w:hAnsi="Times New Roman" w:cs="Times New Roman"/>
                <w:szCs w:val="21"/>
              </w:rPr>
            </w:pPr>
            <w:r>
              <w:rPr>
                <w:rFonts w:ascii="Times New Roman" w:hAnsi="Times New Roman" w:cs="Times New Roman"/>
                <w:szCs w:val="21"/>
              </w:rPr>
              <w:t>运输</w:t>
            </w:r>
          </w:p>
        </w:tc>
      </w:tr>
      <w:tr w14:paraId="34E4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restart"/>
            <w:tcBorders>
              <w:tl2br w:val="nil"/>
              <w:tr2bl w:val="nil"/>
            </w:tcBorders>
            <w:tcMar>
              <w:top w:w="85" w:type="dxa"/>
              <w:bottom w:w="85" w:type="dxa"/>
            </w:tcMar>
            <w:vAlign w:val="center"/>
          </w:tcPr>
          <w:p w14:paraId="05E066E9">
            <w:pPr>
              <w:jc w:val="center"/>
              <w:rPr>
                <w:rFonts w:ascii="Times New Roman" w:hAnsi="Times New Roman" w:cs="Times New Roman"/>
                <w:szCs w:val="21"/>
              </w:rPr>
            </w:pPr>
            <w:r>
              <w:rPr>
                <w:rFonts w:ascii="Times New Roman" w:hAnsi="Times New Roman" w:cs="Times New Roman"/>
                <w:szCs w:val="21"/>
              </w:rPr>
              <w:t>自然生态环境</w:t>
            </w:r>
          </w:p>
        </w:tc>
        <w:tc>
          <w:tcPr>
            <w:tcW w:w="1068" w:type="dxa"/>
            <w:tcBorders>
              <w:tl2br w:val="nil"/>
              <w:tr2bl w:val="nil"/>
            </w:tcBorders>
            <w:tcMar>
              <w:top w:w="85" w:type="dxa"/>
              <w:bottom w:w="85" w:type="dxa"/>
            </w:tcMar>
            <w:vAlign w:val="center"/>
          </w:tcPr>
          <w:p w14:paraId="63C694C6">
            <w:pPr>
              <w:jc w:val="center"/>
              <w:rPr>
                <w:rFonts w:ascii="Times New Roman" w:hAnsi="Times New Roman" w:cs="Times New Roman"/>
                <w:szCs w:val="21"/>
              </w:rPr>
            </w:pPr>
            <w:r>
              <w:rPr>
                <w:rFonts w:ascii="Times New Roman" w:hAnsi="Times New Roman" w:cs="Times New Roman"/>
                <w:szCs w:val="21"/>
              </w:rPr>
              <w:t>地表水</w:t>
            </w:r>
          </w:p>
        </w:tc>
        <w:tc>
          <w:tcPr>
            <w:tcW w:w="743" w:type="dxa"/>
            <w:tcBorders>
              <w:tl2br w:val="nil"/>
              <w:tr2bl w:val="nil"/>
            </w:tcBorders>
            <w:tcMar>
              <w:top w:w="85" w:type="dxa"/>
              <w:bottom w:w="85" w:type="dxa"/>
            </w:tcMar>
            <w:vAlign w:val="center"/>
          </w:tcPr>
          <w:p w14:paraId="6D6AA6FD">
            <w:pPr>
              <w:jc w:val="center"/>
              <w:rPr>
                <w:rFonts w:ascii="Times New Roman" w:hAnsi="Times New Roman" w:cs="Times New Roman"/>
                <w:szCs w:val="21"/>
              </w:rPr>
            </w:pPr>
            <w:r>
              <w:rPr>
                <w:rFonts w:ascii="Times New Roman" w:hAnsi="Times New Roman" w:cs="Times New Roman"/>
                <w:szCs w:val="21"/>
              </w:rPr>
              <w:t>1LP</w:t>
            </w:r>
          </w:p>
        </w:tc>
        <w:tc>
          <w:tcPr>
            <w:tcW w:w="739" w:type="dxa"/>
            <w:tcBorders>
              <w:tl2br w:val="nil"/>
              <w:tr2bl w:val="nil"/>
            </w:tcBorders>
            <w:tcMar>
              <w:top w:w="85" w:type="dxa"/>
              <w:bottom w:w="85" w:type="dxa"/>
            </w:tcMar>
            <w:vAlign w:val="center"/>
          </w:tcPr>
          <w:p w14:paraId="2BE7B959">
            <w:pPr>
              <w:jc w:val="center"/>
              <w:rPr>
                <w:rFonts w:ascii="Times New Roman" w:hAnsi="Times New Roman" w:cs="Times New Roman"/>
                <w:szCs w:val="21"/>
              </w:rPr>
            </w:pPr>
            <w:r>
              <w:rPr>
                <w:rFonts w:ascii="Times New Roman" w:hAnsi="Times New Roman" w:cs="Times New Roman"/>
                <w:szCs w:val="21"/>
              </w:rPr>
              <w:t>/</w:t>
            </w:r>
          </w:p>
        </w:tc>
        <w:tc>
          <w:tcPr>
            <w:tcW w:w="683" w:type="dxa"/>
            <w:tcBorders>
              <w:tl2br w:val="nil"/>
              <w:tr2bl w:val="nil"/>
            </w:tcBorders>
            <w:tcMar>
              <w:top w:w="85" w:type="dxa"/>
              <w:bottom w:w="85" w:type="dxa"/>
            </w:tcMar>
            <w:vAlign w:val="center"/>
          </w:tcPr>
          <w:p w14:paraId="0EEA49E8">
            <w:pPr>
              <w:jc w:val="center"/>
              <w:rPr>
                <w:rFonts w:ascii="Times New Roman" w:hAnsi="Times New Roman" w:cs="Times New Roman"/>
                <w:szCs w:val="21"/>
              </w:rPr>
            </w:pPr>
            <w:r>
              <w:rPr>
                <w:rFonts w:ascii="Times New Roman" w:hAnsi="Times New Roman" w:cs="Times New Roman"/>
                <w:szCs w:val="21"/>
              </w:rPr>
              <w:t>/</w:t>
            </w:r>
          </w:p>
        </w:tc>
        <w:tc>
          <w:tcPr>
            <w:tcW w:w="780" w:type="dxa"/>
            <w:tcBorders>
              <w:tl2br w:val="nil"/>
              <w:tr2bl w:val="nil"/>
            </w:tcBorders>
            <w:tcMar>
              <w:top w:w="85" w:type="dxa"/>
              <w:bottom w:w="85" w:type="dxa"/>
            </w:tcMar>
            <w:vAlign w:val="center"/>
          </w:tcPr>
          <w:p w14:paraId="65204298">
            <w:pPr>
              <w:jc w:val="center"/>
              <w:rPr>
                <w:rFonts w:ascii="Times New Roman" w:hAnsi="Times New Roman" w:cs="Times New Roman"/>
                <w:szCs w:val="21"/>
              </w:rPr>
            </w:pPr>
            <w:r>
              <w:rPr>
                <w:rFonts w:ascii="Times New Roman" w:hAnsi="Times New Roman" w:cs="Times New Roman"/>
                <w:szCs w:val="21"/>
              </w:rPr>
              <w:t>/</w:t>
            </w:r>
          </w:p>
        </w:tc>
        <w:tc>
          <w:tcPr>
            <w:tcW w:w="688" w:type="dxa"/>
            <w:tcBorders>
              <w:tl2br w:val="nil"/>
              <w:tr2bl w:val="nil"/>
            </w:tcBorders>
            <w:tcMar>
              <w:top w:w="85" w:type="dxa"/>
              <w:bottom w:w="85" w:type="dxa"/>
            </w:tcMar>
            <w:vAlign w:val="center"/>
          </w:tcPr>
          <w:p w14:paraId="32984B8A">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505C87B7">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32AA2A7A">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33A260CD">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31FF86F0">
            <w:pPr>
              <w:jc w:val="center"/>
              <w:rPr>
                <w:rFonts w:ascii="Times New Roman" w:hAnsi="Times New Roman" w:cs="Times New Roman"/>
                <w:szCs w:val="21"/>
              </w:rPr>
            </w:pPr>
            <w:r>
              <w:rPr>
                <w:rFonts w:ascii="Times New Roman" w:hAnsi="Times New Roman" w:cs="Times New Roman"/>
                <w:szCs w:val="21"/>
              </w:rPr>
              <w:t>/</w:t>
            </w:r>
          </w:p>
        </w:tc>
        <w:tc>
          <w:tcPr>
            <w:tcW w:w="680" w:type="dxa"/>
            <w:tcBorders>
              <w:tl2br w:val="nil"/>
              <w:tr2bl w:val="nil"/>
            </w:tcBorders>
            <w:tcMar>
              <w:top w:w="85" w:type="dxa"/>
              <w:bottom w:w="85" w:type="dxa"/>
            </w:tcMar>
            <w:vAlign w:val="center"/>
          </w:tcPr>
          <w:p w14:paraId="793B4ACA">
            <w:pPr>
              <w:jc w:val="center"/>
              <w:rPr>
                <w:rFonts w:ascii="Times New Roman" w:hAnsi="Times New Roman" w:cs="Times New Roman"/>
                <w:szCs w:val="21"/>
              </w:rPr>
            </w:pPr>
            <w:r>
              <w:rPr>
                <w:rFonts w:ascii="Times New Roman" w:hAnsi="Times New Roman" w:cs="Times New Roman"/>
                <w:szCs w:val="21"/>
              </w:rPr>
              <w:t>/</w:t>
            </w:r>
          </w:p>
        </w:tc>
      </w:tr>
      <w:tr w14:paraId="2AAC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4B0E5FC6">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45E50257">
            <w:pPr>
              <w:jc w:val="center"/>
              <w:rPr>
                <w:rFonts w:ascii="Times New Roman" w:hAnsi="Times New Roman" w:cs="Times New Roman"/>
                <w:szCs w:val="21"/>
              </w:rPr>
            </w:pPr>
            <w:r>
              <w:rPr>
                <w:rFonts w:ascii="Times New Roman" w:hAnsi="Times New Roman" w:cs="Times New Roman"/>
                <w:szCs w:val="21"/>
              </w:rPr>
              <w:t>地下水</w:t>
            </w:r>
          </w:p>
        </w:tc>
        <w:tc>
          <w:tcPr>
            <w:tcW w:w="743" w:type="dxa"/>
            <w:tcBorders>
              <w:tl2br w:val="nil"/>
              <w:tr2bl w:val="nil"/>
            </w:tcBorders>
            <w:tcMar>
              <w:top w:w="85" w:type="dxa"/>
              <w:bottom w:w="85" w:type="dxa"/>
            </w:tcMar>
            <w:vAlign w:val="center"/>
          </w:tcPr>
          <w:p w14:paraId="62DF71D3">
            <w:pPr>
              <w:jc w:val="center"/>
              <w:rPr>
                <w:rFonts w:ascii="Times New Roman" w:hAnsi="Times New Roman" w:cs="Times New Roman"/>
                <w:szCs w:val="21"/>
              </w:rPr>
            </w:pPr>
            <w:r>
              <w:rPr>
                <w:rFonts w:ascii="Times New Roman" w:hAnsi="Times New Roman" w:cs="Times New Roman"/>
                <w:szCs w:val="21"/>
              </w:rPr>
              <w:t>1LP</w:t>
            </w:r>
          </w:p>
        </w:tc>
        <w:tc>
          <w:tcPr>
            <w:tcW w:w="739" w:type="dxa"/>
            <w:tcBorders>
              <w:tl2br w:val="nil"/>
              <w:tr2bl w:val="nil"/>
            </w:tcBorders>
            <w:tcMar>
              <w:top w:w="85" w:type="dxa"/>
              <w:bottom w:w="85" w:type="dxa"/>
            </w:tcMar>
            <w:vAlign w:val="center"/>
          </w:tcPr>
          <w:p w14:paraId="1F1EEE99">
            <w:pPr>
              <w:jc w:val="center"/>
              <w:rPr>
                <w:rFonts w:ascii="Times New Roman" w:hAnsi="Times New Roman" w:cs="Times New Roman"/>
                <w:szCs w:val="21"/>
              </w:rPr>
            </w:pPr>
            <w:r>
              <w:rPr>
                <w:rFonts w:ascii="Times New Roman" w:hAnsi="Times New Roman" w:cs="Times New Roman"/>
                <w:szCs w:val="21"/>
              </w:rPr>
              <w:t>/</w:t>
            </w:r>
          </w:p>
        </w:tc>
        <w:tc>
          <w:tcPr>
            <w:tcW w:w="683" w:type="dxa"/>
            <w:tcBorders>
              <w:tl2br w:val="nil"/>
              <w:tr2bl w:val="nil"/>
            </w:tcBorders>
            <w:tcMar>
              <w:top w:w="85" w:type="dxa"/>
              <w:bottom w:w="85" w:type="dxa"/>
            </w:tcMar>
            <w:vAlign w:val="center"/>
          </w:tcPr>
          <w:p w14:paraId="1A580043">
            <w:pPr>
              <w:jc w:val="center"/>
              <w:rPr>
                <w:rFonts w:ascii="Times New Roman" w:hAnsi="Times New Roman" w:cs="Times New Roman"/>
                <w:szCs w:val="21"/>
              </w:rPr>
            </w:pPr>
            <w:r>
              <w:rPr>
                <w:rFonts w:ascii="Times New Roman" w:hAnsi="Times New Roman" w:cs="Times New Roman"/>
                <w:szCs w:val="21"/>
              </w:rPr>
              <w:t>/</w:t>
            </w:r>
          </w:p>
        </w:tc>
        <w:tc>
          <w:tcPr>
            <w:tcW w:w="780" w:type="dxa"/>
            <w:tcBorders>
              <w:tl2br w:val="nil"/>
              <w:tr2bl w:val="nil"/>
            </w:tcBorders>
            <w:tcMar>
              <w:top w:w="85" w:type="dxa"/>
              <w:bottom w:w="85" w:type="dxa"/>
            </w:tcMar>
            <w:vAlign w:val="center"/>
          </w:tcPr>
          <w:p w14:paraId="53880C01">
            <w:pPr>
              <w:jc w:val="center"/>
              <w:rPr>
                <w:rFonts w:ascii="Times New Roman" w:hAnsi="Times New Roman" w:cs="Times New Roman"/>
                <w:szCs w:val="21"/>
              </w:rPr>
            </w:pPr>
            <w:r>
              <w:rPr>
                <w:rFonts w:ascii="Times New Roman" w:hAnsi="Times New Roman" w:cs="Times New Roman"/>
                <w:szCs w:val="21"/>
              </w:rPr>
              <w:t>/</w:t>
            </w:r>
          </w:p>
        </w:tc>
        <w:tc>
          <w:tcPr>
            <w:tcW w:w="688" w:type="dxa"/>
            <w:tcBorders>
              <w:tl2br w:val="nil"/>
              <w:tr2bl w:val="nil"/>
            </w:tcBorders>
            <w:tcMar>
              <w:top w:w="85" w:type="dxa"/>
              <w:bottom w:w="85" w:type="dxa"/>
            </w:tcMar>
            <w:vAlign w:val="center"/>
          </w:tcPr>
          <w:p w14:paraId="545A192F">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60F56239">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046121EA">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459BA5EC">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337D9051">
            <w:pPr>
              <w:jc w:val="center"/>
              <w:rPr>
                <w:rFonts w:ascii="Times New Roman" w:hAnsi="Times New Roman" w:cs="Times New Roman"/>
                <w:szCs w:val="21"/>
              </w:rPr>
            </w:pPr>
            <w:r>
              <w:rPr>
                <w:rFonts w:ascii="Times New Roman" w:hAnsi="Times New Roman" w:cs="Times New Roman"/>
                <w:szCs w:val="21"/>
              </w:rPr>
              <w:t>/</w:t>
            </w:r>
          </w:p>
        </w:tc>
        <w:tc>
          <w:tcPr>
            <w:tcW w:w="680" w:type="dxa"/>
            <w:tcBorders>
              <w:tl2br w:val="nil"/>
              <w:tr2bl w:val="nil"/>
            </w:tcBorders>
            <w:tcMar>
              <w:top w:w="85" w:type="dxa"/>
              <w:bottom w:w="85" w:type="dxa"/>
            </w:tcMar>
            <w:vAlign w:val="center"/>
          </w:tcPr>
          <w:p w14:paraId="167DD961">
            <w:pPr>
              <w:jc w:val="center"/>
              <w:rPr>
                <w:rFonts w:ascii="Times New Roman" w:hAnsi="Times New Roman" w:cs="Times New Roman"/>
                <w:szCs w:val="21"/>
              </w:rPr>
            </w:pPr>
            <w:r>
              <w:rPr>
                <w:rFonts w:ascii="Times New Roman" w:hAnsi="Times New Roman" w:cs="Times New Roman"/>
                <w:szCs w:val="21"/>
              </w:rPr>
              <w:t>/</w:t>
            </w:r>
          </w:p>
        </w:tc>
      </w:tr>
      <w:tr w14:paraId="159D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087DDF0D">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7A1AF462">
            <w:pPr>
              <w:jc w:val="center"/>
              <w:rPr>
                <w:rFonts w:ascii="Times New Roman" w:hAnsi="Times New Roman" w:cs="Times New Roman"/>
                <w:szCs w:val="21"/>
              </w:rPr>
            </w:pPr>
            <w:r>
              <w:rPr>
                <w:rFonts w:ascii="Times New Roman" w:hAnsi="Times New Roman" w:cs="Times New Roman"/>
                <w:szCs w:val="21"/>
              </w:rPr>
              <w:t>大气环境</w:t>
            </w:r>
          </w:p>
        </w:tc>
        <w:tc>
          <w:tcPr>
            <w:tcW w:w="743" w:type="dxa"/>
            <w:tcBorders>
              <w:tl2br w:val="nil"/>
              <w:tr2bl w:val="nil"/>
            </w:tcBorders>
            <w:tcMar>
              <w:top w:w="85" w:type="dxa"/>
              <w:bottom w:w="85" w:type="dxa"/>
            </w:tcMar>
            <w:vAlign w:val="center"/>
          </w:tcPr>
          <w:p w14:paraId="12398766">
            <w:pPr>
              <w:jc w:val="center"/>
              <w:rPr>
                <w:rFonts w:ascii="Times New Roman" w:hAnsi="Times New Roman" w:cs="Times New Roman"/>
                <w:szCs w:val="21"/>
              </w:rPr>
            </w:pPr>
            <w:r>
              <w:rPr>
                <w:rFonts w:ascii="Times New Roman" w:hAnsi="Times New Roman" w:cs="Times New Roman"/>
                <w:szCs w:val="21"/>
              </w:rPr>
              <w:t>/</w:t>
            </w:r>
          </w:p>
        </w:tc>
        <w:tc>
          <w:tcPr>
            <w:tcW w:w="739" w:type="dxa"/>
            <w:tcBorders>
              <w:tl2br w:val="nil"/>
              <w:tr2bl w:val="nil"/>
            </w:tcBorders>
            <w:tcMar>
              <w:top w:w="85" w:type="dxa"/>
              <w:bottom w:w="85" w:type="dxa"/>
            </w:tcMar>
            <w:vAlign w:val="center"/>
          </w:tcPr>
          <w:p w14:paraId="194F548F">
            <w:pPr>
              <w:jc w:val="center"/>
              <w:rPr>
                <w:rFonts w:ascii="Times New Roman" w:hAnsi="Times New Roman" w:cs="Times New Roman"/>
                <w:szCs w:val="21"/>
              </w:rPr>
            </w:pPr>
            <w:r>
              <w:rPr>
                <w:rFonts w:ascii="Times New Roman" w:hAnsi="Times New Roman" w:cs="Times New Roman"/>
                <w:szCs w:val="21"/>
              </w:rPr>
              <w:t>2LP</w:t>
            </w:r>
          </w:p>
        </w:tc>
        <w:tc>
          <w:tcPr>
            <w:tcW w:w="683" w:type="dxa"/>
            <w:tcBorders>
              <w:tl2br w:val="nil"/>
              <w:tr2bl w:val="nil"/>
            </w:tcBorders>
            <w:tcMar>
              <w:top w:w="85" w:type="dxa"/>
              <w:bottom w:w="85" w:type="dxa"/>
            </w:tcMar>
            <w:vAlign w:val="center"/>
          </w:tcPr>
          <w:p w14:paraId="4A5D9FBC">
            <w:pPr>
              <w:jc w:val="center"/>
              <w:rPr>
                <w:rFonts w:ascii="Times New Roman" w:hAnsi="Times New Roman" w:cs="Times New Roman"/>
                <w:szCs w:val="21"/>
              </w:rPr>
            </w:pPr>
            <w:r>
              <w:rPr>
                <w:rFonts w:ascii="Times New Roman" w:hAnsi="Times New Roman" w:cs="Times New Roman"/>
                <w:szCs w:val="21"/>
              </w:rPr>
              <w:t>/</w:t>
            </w:r>
          </w:p>
        </w:tc>
        <w:tc>
          <w:tcPr>
            <w:tcW w:w="780" w:type="dxa"/>
            <w:tcBorders>
              <w:tl2br w:val="nil"/>
              <w:tr2bl w:val="nil"/>
            </w:tcBorders>
            <w:tcMar>
              <w:top w:w="85" w:type="dxa"/>
              <w:bottom w:w="85" w:type="dxa"/>
            </w:tcMar>
            <w:vAlign w:val="center"/>
          </w:tcPr>
          <w:p w14:paraId="50B4B3A8">
            <w:pPr>
              <w:jc w:val="center"/>
              <w:rPr>
                <w:rFonts w:ascii="Times New Roman" w:hAnsi="Times New Roman" w:cs="Times New Roman"/>
                <w:szCs w:val="21"/>
              </w:rPr>
            </w:pPr>
            <w:r>
              <w:rPr>
                <w:rFonts w:ascii="Times New Roman" w:hAnsi="Times New Roman" w:cs="Times New Roman"/>
                <w:szCs w:val="21"/>
              </w:rPr>
              <w:t>/</w:t>
            </w:r>
          </w:p>
        </w:tc>
        <w:tc>
          <w:tcPr>
            <w:tcW w:w="688" w:type="dxa"/>
            <w:tcBorders>
              <w:tl2br w:val="nil"/>
              <w:tr2bl w:val="nil"/>
            </w:tcBorders>
            <w:tcMar>
              <w:top w:w="85" w:type="dxa"/>
              <w:bottom w:w="85" w:type="dxa"/>
            </w:tcMar>
            <w:vAlign w:val="center"/>
          </w:tcPr>
          <w:p w14:paraId="39F493BB">
            <w:pPr>
              <w:jc w:val="center"/>
              <w:rPr>
                <w:rFonts w:ascii="Times New Roman" w:hAnsi="Times New Roman" w:cs="Times New Roman"/>
                <w:szCs w:val="21"/>
              </w:rPr>
            </w:pPr>
            <w:r>
              <w:rPr>
                <w:rFonts w:ascii="Times New Roman" w:hAnsi="Times New Roman" w:cs="Times New Roman"/>
                <w:szCs w:val="21"/>
              </w:rPr>
              <w:t>1LP</w:t>
            </w:r>
          </w:p>
        </w:tc>
        <w:tc>
          <w:tcPr>
            <w:tcW w:w="675" w:type="dxa"/>
            <w:tcBorders>
              <w:tl2br w:val="nil"/>
              <w:tr2bl w:val="nil"/>
            </w:tcBorders>
            <w:tcMar>
              <w:top w:w="85" w:type="dxa"/>
              <w:bottom w:w="85" w:type="dxa"/>
            </w:tcMar>
            <w:vAlign w:val="center"/>
          </w:tcPr>
          <w:p w14:paraId="6B7F16AB">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43DC799F">
            <w:pPr>
              <w:jc w:val="center"/>
              <w:rPr>
                <w:rFonts w:ascii="Times New Roman" w:hAnsi="Times New Roman" w:cs="Times New Roman"/>
                <w:szCs w:val="21"/>
              </w:rPr>
            </w:pPr>
            <w:r>
              <w:rPr>
                <w:rFonts w:ascii="Times New Roman" w:hAnsi="Times New Roman" w:cs="Times New Roman"/>
                <w:szCs w:val="21"/>
              </w:rPr>
              <w:t>2SP</w:t>
            </w:r>
          </w:p>
        </w:tc>
        <w:tc>
          <w:tcPr>
            <w:tcW w:w="675" w:type="dxa"/>
            <w:tcBorders>
              <w:tl2br w:val="nil"/>
              <w:tr2bl w:val="nil"/>
            </w:tcBorders>
            <w:tcMar>
              <w:top w:w="85" w:type="dxa"/>
              <w:bottom w:w="85" w:type="dxa"/>
            </w:tcMar>
            <w:vAlign w:val="center"/>
          </w:tcPr>
          <w:p w14:paraId="30E5AAA1">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71DB2585">
            <w:pPr>
              <w:jc w:val="center"/>
              <w:rPr>
                <w:rFonts w:ascii="Times New Roman" w:hAnsi="Times New Roman" w:cs="Times New Roman"/>
                <w:szCs w:val="21"/>
              </w:rPr>
            </w:pPr>
            <w:r>
              <w:rPr>
                <w:rFonts w:ascii="Times New Roman" w:hAnsi="Times New Roman" w:cs="Times New Roman"/>
                <w:szCs w:val="21"/>
              </w:rPr>
              <w:t>/</w:t>
            </w:r>
          </w:p>
        </w:tc>
        <w:tc>
          <w:tcPr>
            <w:tcW w:w="680" w:type="dxa"/>
            <w:tcBorders>
              <w:tl2br w:val="nil"/>
              <w:tr2bl w:val="nil"/>
            </w:tcBorders>
            <w:tcMar>
              <w:top w:w="85" w:type="dxa"/>
              <w:bottom w:w="85" w:type="dxa"/>
            </w:tcMar>
            <w:vAlign w:val="center"/>
          </w:tcPr>
          <w:p w14:paraId="75F37B2B">
            <w:pPr>
              <w:jc w:val="center"/>
              <w:rPr>
                <w:rFonts w:ascii="Times New Roman" w:hAnsi="Times New Roman" w:cs="Times New Roman"/>
                <w:szCs w:val="21"/>
              </w:rPr>
            </w:pPr>
            <w:r>
              <w:rPr>
                <w:rFonts w:ascii="Times New Roman" w:hAnsi="Times New Roman" w:cs="Times New Roman"/>
                <w:szCs w:val="21"/>
              </w:rPr>
              <w:t>1SP</w:t>
            </w:r>
          </w:p>
        </w:tc>
      </w:tr>
      <w:tr w14:paraId="34F4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31DF2776">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1E90D6E4">
            <w:pPr>
              <w:jc w:val="center"/>
              <w:rPr>
                <w:rFonts w:ascii="Times New Roman" w:hAnsi="Times New Roman" w:cs="Times New Roman"/>
                <w:szCs w:val="21"/>
              </w:rPr>
            </w:pPr>
            <w:r>
              <w:rPr>
                <w:rFonts w:ascii="Times New Roman" w:hAnsi="Times New Roman" w:cs="Times New Roman"/>
                <w:szCs w:val="21"/>
              </w:rPr>
              <w:t>声环境</w:t>
            </w:r>
          </w:p>
        </w:tc>
        <w:tc>
          <w:tcPr>
            <w:tcW w:w="743" w:type="dxa"/>
            <w:tcBorders>
              <w:tl2br w:val="nil"/>
              <w:tr2bl w:val="nil"/>
            </w:tcBorders>
            <w:tcMar>
              <w:top w:w="85" w:type="dxa"/>
              <w:bottom w:w="85" w:type="dxa"/>
            </w:tcMar>
            <w:vAlign w:val="center"/>
          </w:tcPr>
          <w:p w14:paraId="20B0A281">
            <w:pPr>
              <w:jc w:val="center"/>
              <w:rPr>
                <w:rFonts w:ascii="Times New Roman" w:hAnsi="Times New Roman" w:cs="Times New Roman"/>
                <w:szCs w:val="21"/>
              </w:rPr>
            </w:pPr>
            <w:r>
              <w:rPr>
                <w:rFonts w:ascii="Times New Roman" w:hAnsi="Times New Roman" w:cs="Times New Roman"/>
                <w:szCs w:val="21"/>
              </w:rPr>
              <w:t>/</w:t>
            </w:r>
          </w:p>
        </w:tc>
        <w:tc>
          <w:tcPr>
            <w:tcW w:w="739" w:type="dxa"/>
            <w:tcBorders>
              <w:tl2br w:val="nil"/>
              <w:tr2bl w:val="nil"/>
            </w:tcBorders>
            <w:tcMar>
              <w:top w:w="85" w:type="dxa"/>
              <w:bottom w:w="85" w:type="dxa"/>
            </w:tcMar>
            <w:vAlign w:val="center"/>
          </w:tcPr>
          <w:p w14:paraId="030EDAAE">
            <w:pPr>
              <w:jc w:val="center"/>
              <w:rPr>
                <w:rFonts w:ascii="Times New Roman" w:hAnsi="Times New Roman" w:cs="Times New Roman"/>
                <w:szCs w:val="21"/>
              </w:rPr>
            </w:pPr>
            <w:r>
              <w:rPr>
                <w:rFonts w:ascii="Times New Roman" w:hAnsi="Times New Roman" w:cs="Times New Roman"/>
                <w:szCs w:val="21"/>
              </w:rPr>
              <w:t>/</w:t>
            </w:r>
          </w:p>
        </w:tc>
        <w:tc>
          <w:tcPr>
            <w:tcW w:w="683" w:type="dxa"/>
            <w:tcBorders>
              <w:tl2br w:val="nil"/>
              <w:tr2bl w:val="nil"/>
            </w:tcBorders>
            <w:tcMar>
              <w:top w:w="85" w:type="dxa"/>
              <w:bottom w:w="85" w:type="dxa"/>
            </w:tcMar>
            <w:vAlign w:val="center"/>
          </w:tcPr>
          <w:p w14:paraId="13CB83E4">
            <w:pPr>
              <w:jc w:val="center"/>
              <w:rPr>
                <w:rFonts w:ascii="Times New Roman" w:hAnsi="Times New Roman" w:cs="Times New Roman"/>
                <w:szCs w:val="21"/>
              </w:rPr>
            </w:pPr>
            <w:r>
              <w:rPr>
                <w:rFonts w:ascii="Times New Roman" w:hAnsi="Times New Roman" w:cs="Times New Roman"/>
                <w:szCs w:val="21"/>
              </w:rPr>
              <w:t>/</w:t>
            </w:r>
          </w:p>
        </w:tc>
        <w:tc>
          <w:tcPr>
            <w:tcW w:w="780" w:type="dxa"/>
            <w:tcBorders>
              <w:tl2br w:val="nil"/>
              <w:tr2bl w:val="nil"/>
            </w:tcBorders>
            <w:tcMar>
              <w:top w:w="85" w:type="dxa"/>
              <w:bottom w:w="85" w:type="dxa"/>
            </w:tcMar>
            <w:vAlign w:val="center"/>
          </w:tcPr>
          <w:p w14:paraId="5B3F2DA8">
            <w:pPr>
              <w:jc w:val="center"/>
              <w:rPr>
                <w:rFonts w:ascii="Times New Roman" w:hAnsi="Times New Roman" w:cs="Times New Roman"/>
                <w:szCs w:val="21"/>
              </w:rPr>
            </w:pPr>
            <w:r>
              <w:rPr>
                <w:rFonts w:ascii="Times New Roman" w:hAnsi="Times New Roman" w:cs="Times New Roman"/>
                <w:szCs w:val="21"/>
              </w:rPr>
              <w:t>2LP</w:t>
            </w:r>
          </w:p>
        </w:tc>
        <w:tc>
          <w:tcPr>
            <w:tcW w:w="688" w:type="dxa"/>
            <w:tcBorders>
              <w:tl2br w:val="nil"/>
              <w:tr2bl w:val="nil"/>
            </w:tcBorders>
            <w:tcMar>
              <w:top w:w="85" w:type="dxa"/>
              <w:bottom w:w="85" w:type="dxa"/>
            </w:tcMar>
            <w:vAlign w:val="center"/>
          </w:tcPr>
          <w:p w14:paraId="003F628F">
            <w:pPr>
              <w:jc w:val="center"/>
              <w:rPr>
                <w:rFonts w:ascii="Times New Roman" w:hAnsi="Times New Roman" w:cs="Times New Roman"/>
                <w:szCs w:val="21"/>
              </w:rPr>
            </w:pPr>
            <w:r>
              <w:rPr>
                <w:rFonts w:ascii="Times New Roman" w:hAnsi="Times New Roman" w:cs="Times New Roman"/>
                <w:szCs w:val="21"/>
              </w:rPr>
              <w:t>1LP</w:t>
            </w:r>
          </w:p>
        </w:tc>
        <w:tc>
          <w:tcPr>
            <w:tcW w:w="675" w:type="dxa"/>
            <w:tcBorders>
              <w:tl2br w:val="nil"/>
              <w:tr2bl w:val="nil"/>
            </w:tcBorders>
            <w:tcMar>
              <w:top w:w="85" w:type="dxa"/>
              <w:bottom w:w="85" w:type="dxa"/>
            </w:tcMar>
            <w:vAlign w:val="center"/>
          </w:tcPr>
          <w:p w14:paraId="46359DAD">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79F0788C">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784BD76B">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04861C02">
            <w:pPr>
              <w:jc w:val="center"/>
              <w:rPr>
                <w:rFonts w:ascii="Times New Roman" w:hAnsi="Times New Roman" w:cs="Times New Roman"/>
                <w:szCs w:val="21"/>
              </w:rPr>
            </w:pPr>
            <w:r>
              <w:rPr>
                <w:rFonts w:ascii="Times New Roman" w:hAnsi="Times New Roman" w:cs="Times New Roman"/>
                <w:szCs w:val="21"/>
              </w:rPr>
              <w:t>2SP</w:t>
            </w:r>
          </w:p>
        </w:tc>
        <w:tc>
          <w:tcPr>
            <w:tcW w:w="680" w:type="dxa"/>
            <w:tcBorders>
              <w:tl2br w:val="nil"/>
              <w:tr2bl w:val="nil"/>
            </w:tcBorders>
            <w:tcMar>
              <w:top w:w="85" w:type="dxa"/>
              <w:bottom w:w="85" w:type="dxa"/>
            </w:tcMar>
            <w:vAlign w:val="center"/>
          </w:tcPr>
          <w:p w14:paraId="6EDD04BD">
            <w:pPr>
              <w:jc w:val="center"/>
              <w:rPr>
                <w:rFonts w:ascii="Times New Roman" w:hAnsi="Times New Roman" w:cs="Times New Roman"/>
                <w:szCs w:val="21"/>
              </w:rPr>
            </w:pPr>
            <w:r>
              <w:rPr>
                <w:rFonts w:ascii="Times New Roman" w:hAnsi="Times New Roman" w:cs="Times New Roman"/>
                <w:szCs w:val="21"/>
              </w:rPr>
              <w:t>1SP</w:t>
            </w:r>
          </w:p>
        </w:tc>
      </w:tr>
      <w:tr w14:paraId="6111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30F1C828">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1BC7333C">
            <w:pPr>
              <w:jc w:val="center"/>
              <w:rPr>
                <w:rFonts w:ascii="Times New Roman" w:hAnsi="Times New Roman" w:cs="Times New Roman"/>
                <w:szCs w:val="21"/>
              </w:rPr>
            </w:pPr>
            <w:r>
              <w:rPr>
                <w:rFonts w:ascii="Times New Roman" w:hAnsi="Times New Roman" w:cs="Times New Roman"/>
                <w:szCs w:val="21"/>
              </w:rPr>
              <w:t>土壤</w:t>
            </w:r>
          </w:p>
        </w:tc>
        <w:tc>
          <w:tcPr>
            <w:tcW w:w="743" w:type="dxa"/>
            <w:tcBorders>
              <w:tl2br w:val="nil"/>
              <w:tr2bl w:val="nil"/>
            </w:tcBorders>
            <w:tcMar>
              <w:top w:w="85" w:type="dxa"/>
              <w:bottom w:w="85" w:type="dxa"/>
            </w:tcMar>
            <w:vAlign w:val="center"/>
          </w:tcPr>
          <w:p w14:paraId="09B91200">
            <w:pPr>
              <w:jc w:val="center"/>
              <w:rPr>
                <w:rFonts w:ascii="Times New Roman" w:hAnsi="Times New Roman" w:cs="Times New Roman"/>
                <w:szCs w:val="21"/>
              </w:rPr>
            </w:pPr>
            <w:r>
              <w:rPr>
                <w:rFonts w:ascii="Times New Roman" w:hAnsi="Times New Roman" w:cs="Times New Roman"/>
                <w:szCs w:val="21"/>
              </w:rPr>
              <w:t>1LP</w:t>
            </w:r>
          </w:p>
        </w:tc>
        <w:tc>
          <w:tcPr>
            <w:tcW w:w="739" w:type="dxa"/>
            <w:tcBorders>
              <w:tl2br w:val="nil"/>
              <w:tr2bl w:val="nil"/>
            </w:tcBorders>
            <w:tcMar>
              <w:top w:w="85" w:type="dxa"/>
              <w:bottom w:w="85" w:type="dxa"/>
            </w:tcMar>
            <w:vAlign w:val="center"/>
          </w:tcPr>
          <w:p w14:paraId="03A481A1">
            <w:pPr>
              <w:jc w:val="center"/>
              <w:rPr>
                <w:rFonts w:ascii="Times New Roman" w:hAnsi="Times New Roman" w:cs="Times New Roman"/>
                <w:szCs w:val="21"/>
              </w:rPr>
            </w:pPr>
            <w:r>
              <w:rPr>
                <w:rFonts w:ascii="Times New Roman" w:hAnsi="Times New Roman" w:cs="Times New Roman"/>
                <w:szCs w:val="21"/>
              </w:rPr>
              <w:t>/</w:t>
            </w:r>
          </w:p>
        </w:tc>
        <w:tc>
          <w:tcPr>
            <w:tcW w:w="683" w:type="dxa"/>
            <w:tcBorders>
              <w:tl2br w:val="nil"/>
              <w:tr2bl w:val="nil"/>
            </w:tcBorders>
            <w:tcMar>
              <w:top w:w="85" w:type="dxa"/>
              <w:bottom w:w="85" w:type="dxa"/>
            </w:tcMar>
            <w:vAlign w:val="center"/>
          </w:tcPr>
          <w:p w14:paraId="14DDE2E1">
            <w:pPr>
              <w:jc w:val="center"/>
              <w:rPr>
                <w:rFonts w:ascii="Times New Roman" w:hAnsi="Times New Roman" w:cs="Times New Roman"/>
                <w:szCs w:val="21"/>
              </w:rPr>
            </w:pPr>
            <w:r>
              <w:rPr>
                <w:rFonts w:ascii="Times New Roman" w:hAnsi="Times New Roman" w:cs="Times New Roman"/>
                <w:szCs w:val="21"/>
              </w:rPr>
              <w:t>1LP</w:t>
            </w:r>
          </w:p>
        </w:tc>
        <w:tc>
          <w:tcPr>
            <w:tcW w:w="780" w:type="dxa"/>
            <w:tcBorders>
              <w:tl2br w:val="nil"/>
              <w:tr2bl w:val="nil"/>
            </w:tcBorders>
            <w:tcMar>
              <w:top w:w="85" w:type="dxa"/>
              <w:bottom w:w="85" w:type="dxa"/>
            </w:tcMar>
            <w:vAlign w:val="center"/>
          </w:tcPr>
          <w:p w14:paraId="527631BB">
            <w:pPr>
              <w:jc w:val="center"/>
              <w:rPr>
                <w:rFonts w:ascii="Times New Roman" w:hAnsi="Times New Roman" w:cs="Times New Roman"/>
                <w:szCs w:val="21"/>
              </w:rPr>
            </w:pPr>
            <w:r>
              <w:rPr>
                <w:rFonts w:ascii="Times New Roman" w:hAnsi="Times New Roman" w:cs="Times New Roman"/>
                <w:szCs w:val="21"/>
              </w:rPr>
              <w:t>/</w:t>
            </w:r>
          </w:p>
        </w:tc>
        <w:tc>
          <w:tcPr>
            <w:tcW w:w="688" w:type="dxa"/>
            <w:tcBorders>
              <w:tl2br w:val="nil"/>
              <w:tr2bl w:val="nil"/>
            </w:tcBorders>
            <w:tcMar>
              <w:top w:w="85" w:type="dxa"/>
              <w:bottom w:w="85" w:type="dxa"/>
            </w:tcMar>
            <w:vAlign w:val="center"/>
          </w:tcPr>
          <w:p w14:paraId="0731AB3F">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50FB4774">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60FA9D73">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76D4E182">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13C3E773">
            <w:pPr>
              <w:jc w:val="center"/>
              <w:rPr>
                <w:rFonts w:ascii="Times New Roman" w:hAnsi="Times New Roman" w:cs="Times New Roman"/>
                <w:szCs w:val="21"/>
              </w:rPr>
            </w:pPr>
            <w:r>
              <w:rPr>
                <w:rFonts w:ascii="Times New Roman" w:hAnsi="Times New Roman" w:cs="Times New Roman"/>
                <w:szCs w:val="21"/>
              </w:rPr>
              <w:t>/</w:t>
            </w:r>
          </w:p>
        </w:tc>
        <w:tc>
          <w:tcPr>
            <w:tcW w:w="680" w:type="dxa"/>
            <w:tcBorders>
              <w:tl2br w:val="nil"/>
              <w:tr2bl w:val="nil"/>
            </w:tcBorders>
            <w:tcMar>
              <w:top w:w="85" w:type="dxa"/>
              <w:bottom w:w="85" w:type="dxa"/>
            </w:tcMar>
            <w:vAlign w:val="center"/>
          </w:tcPr>
          <w:p w14:paraId="28DD1F96">
            <w:pPr>
              <w:jc w:val="center"/>
              <w:rPr>
                <w:rFonts w:ascii="Times New Roman" w:hAnsi="Times New Roman" w:cs="Times New Roman"/>
                <w:szCs w:val="21"/>
              </w:rPr>
            </w:pPr>
            <w:r>
              <w:rPr>
                <w:rFonts w:ascii="Times New Roman" w:hAnsi="Times New Roman" w:cs="Times New Roman"/>
                <w:szCs w:val="21"/>
              </w:rPr>
              <w:t>/</w:t>
            </w:r>
          </w:p>
        </w:tc>
      </w:tr>
      <w:tr w14:paraId="26D4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3C845024">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13B11384">
            <w:pPr>
              <w:jc w:val="center"/>
              <w:rPr>
                <w:rFonts w:ascii="Times New Roman" w:hAnsi="Times New Roman" w:cs="Times New Roman"/>
                <w:szCs w:val="21"/>
              </w:rPr>
            </w:pPr>
            <w:r>
              <w:rPr>
                <w:rFonts w:ascii="Times New Roman" w:hAnsi="Times New Roman" w:cs="Times New Roman"/>
                <w:szCs w:val="21"/>
              </w:rPr>
              <w:t>植被</w:t>
            </w:r>
          </w:p>
        </w:tc>
        <w:tc>
          <w:tcPr>
            <w:tcW w:w="743" w:type="dxa"/>
            <w:tcBorders>
              <w:tl2br w:val="nil"/>
              <w:tr2bl w:val="nil"/>
            </w:tcBorders>
            <w:tcMar>
              <w:top w:w="85" w:type="dxa"/>
              <w:bottom w:w="85" w:type="dxa"/>
            </w:tcMar>
            <w:vAlign w:val="center"/>
          </w:tcPr>
          <w:p w14:paraId="49F5ECE4">
            <w:pPr>
              <w:jc w:val="center"/>
              <w:rPr>
                <w:rFonts w:ascii="Times New Roman" w:hAnsi="Times New Roman" w:cs="Times New Roman"/>
                <w:szCs w:val="21"/>
              </w:rPr>
            </w:pPr>
            <w:r>
              <w:rPr>
                <w:rFonts w:ascii="Times New Roman" w:hAnsi="Times New Roman" w:cs="Times New Roman"/>
                <w:szCs w:val="21"/>
              </w:rPr>
              <w:t>1LP</w:t>
            </w:r>
          </w:p>
        </w:tc>
        <w:tc>
          <w:tcPr>
            <w:tcW w:w="739" w:type="dxa"/>
            <w:tcBorders>
              <w:tl2br w:val="nil"/>
              <w:tr2bl w:val="nil"/>
            </w:tcBorders>
            <w:tcMar>
              <w:top w:w="85" w:type="dxa"/>
              <w:bottom w:w="85" w:type="dxa"/>
            </w:tcMar>
            <w:vAlign w:val="center"/>
          </w:tcPr>
          <w:p w14:paraId="532FFF8A">
            <w:pPr>
              <w:jc w:val="center"/>
              <w:rPr>
                <w:rFonts w:ascii="Times New Roman" w:hAnsi="Times New Roman" w:cs="Times New Roman"/>
                <w:szCs w:val="21"/>
              </w:rPr>
            </w:pPr>
            <w:r>
              <w:rPr>
                <w:rFonts w:ascii="Times New Roman" w:hAnsi="Times New Roman" w:cs="Times New Roman"/>
                <w:szCs w:val="21"/>
              </w:rPr>
              <w:t>/</w:t>
            </w:r>
          </w:p>
        </w:tc>
        <w:tc>
          <w:tcPr>
            <w:tcW w:w="683" w:type="dxa"/>
            <w:tcBorders>
              <w:tl2br w:val="nil"/>
              <w:tr2bl w:val="nil"/>
            </w:tcBorders>
            <w:tcMar>
              <w:top w:w="85" w:type="dxa"/>
              <w:bottom w:w="85" w:type="dxa"/>
            </w:tcMar>
            <w:vAlign w:val="center"/>
          </w:tcPr>
          <w:p w14:paraId="09D8FA39">
            <w:pPr>
              <w:jc w:val="center"/>
              <w:rPr>
                <w:rFonts w:ascii="Times New Roman" w:hAnsi="Times New Roman" w:cs="Times New Roman"/>
                <w:szCs w:val="21"/>
              </w:rPr>
            </w:pPr>
            <w:r>
              <w:rPr>
                <w:rFonts w:ascii="Times New Roman" w:hAnsi="Times New Roman" w:cs="Times New Roman"/>
                <w:szCs w:val="21"/>
              </w:rPr>
              <w:t>/</w:t>
            </w:r>
          </w:p>
        </w:tc>
        <w:tc>
          <w:tcPr>
            <w:tcW w:w="780" w:type="dxa"/>
            <w:tcBorders>
              <w:tl2br w:val="nil"/>
              <w:tr2bl w:val="nil"/>
            </w:tcBorders>
            <w:tcMar>
              <w:top w:w="85" w:type="dxa"/>
              <w:bottom w:w="85" w:type="dxa"/>
            </w:tcMar>
            <w:vAlign w:val="center"/>
          </w:tcPr>
          <w:p w14:paraId="54B4A1CA">
            <w:pPr>
              <w:jc w:val="center"/>
              <w:rPr>
                <w:rFonts w:ascii="Times New Roman" w:hAnsi="Times New Roman" w:cs="Times New Roman"/>
                <w:szCs w:val="21"/>
              </w:rPr>
            </w:pPr>
            <w:r>
              <w:rPr>
                <w:rFonts w:ascii="Times New Roman" w:hAnsi="Times New Roman" w:cs="Times New Roman"/>
                <w:szCs w:val="21"/>
              </w:rPr>
              <w:t>/</w:t>
            </w:r>
          </w:p>
        </w:tc>
        <w:tc>
          <w:tcPr>
            <w:tcW w:w="688" w:type="dxa"/>
            <w:tcBorders>
              <w:tl2br w:val="nil"/>
              <w:tr2bl w:val="nil"/>
            </w:tcBorders>
            <w:tcMar>
              <w:top w:w="85" w:type="dxa"/>
              <w:bottom w:w="85" w:type="dxa"/>
            </w:tcMar>
            <w:vAlign w:val="center"/>
          </w:tcPr>
          <w:p w14:paraId="3D572141">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70E7F9E6">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29916D82">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578475A4">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247C0AB2">
            <w:pPr>
              <w:jc w:val="center"/>
              <w:rPr>
                <w:rFonts w:ascii="Times New Roman" w:hAnsi="Times New Roman" w:cs="Times New Roman"/>
                <w:szCs w:val="21"/>
              </w:rPr>
            </w:pPr>
            <w:r>
              <w:rPr>
                <w:rFonts w:ascii="Times New Roman" w:hAnsi="Times New Roman" w:cs="Times New Roman"/>
                <w:szCs w:val="21"/>
              </w:rPr>
              <w:t>/</w:t>
            </w:r>
          </w:p>
        </w:tc>
        <w:tc>
          <w:tcPr>
            <w:tcW w:w="680" w:type="dxa"/>
            <w:tcBorders>
              <w:tl2br w:val="nil"/>
              <w:tr2bl w:val="nil"/>
            </w:tcBorders>
            <w:tcMar>
              <w:top w:w="85" w:type="dxa"/>
              <w:bottom w:w="85" w:type="dxa"/>
            </w:tcMar>
            <w:vAlign w:val="center"/>
          </w:tcPr>
          <w:p w14:paraId="1F31038F">
            <w:pPr>
              <w:jc w:val="center"/>
              <w:rPr>
                <w:rFonts w:ascii="Times New Roman" w:hAnsi="Times New Roman" w:cs="Times New Roman"/>
                <w:szCs w:val="21"/>
              </w:rPr>
            </w:pPr>
            <w:r>
              <w:rPr>
                <w:rFonts w:ascii="Times New Roman" w:hAnsi="Times New Roman" w:cs="Times New Roman"/>
                <w:szCs w:val="21"/>
              </w:rPr>
              <w:t>/</w:t>
            </w:r>
          </w:p>
        </w:tc>
      </w:tr>
      <w:tr w14:paraId="6079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20A9A18A">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6DAD6F27">
            <w:pPr>
              <w:jc w:val="center"/>
              <w:rPr>
                <w:rFonts w:ascii="Times New Roman" w:hAnsi="Times New Roman" w:cs="Times New Roman"/>
                <w:szCs w:val="21"/>
              </w:rPr>
            </w:pPr>
            <w:r>
              <w:rPr>
                <w:rFonts w:ascii="Times New Roman" w:hAnsi="Times New Roman" w:cs="Times New Roman"/>
                <w:szCs w:val="21"/>
              </w:rPr>
              <w:t>气候</w:t>
            </w:r>
          </w:p>
        </w:tc>
        <w:tc>
          <w:tcPr>
            <w:tcW w:w="743" w:type="dxa"/>
            <w:tcBorders>
              <w:tl2br w:val="nil"/>
              <w:tr2bl w:val="nil"/>
            </w:tcBorders>
            <w:tcMar>
              <w:top w:w="85" w:type="dxa"/>
              <w:bottom w:w="85" w:type="dxa"/>
            </w:tcMar>
            <w:vAlign w:val="center"/>
          </w:tcPr>
          <w:p w14:paraId="236F71B5">
            <w:pPr>
              <w:jc w:val="center"/>
              <w:rPr>
                <w:rFonts w:ascii="Times New Roman" w:hAnsi="Times New Roman" w:cs="Times New Roman"/>
                <w:szCs w:val="21"/>
              </w:rPr>
            </w:pPr>
            <w:r>
              <w:rPr>
                <w:rFonts w:ascii="Times New Roman" w:hAnsi="Times New Roman" w:cs="Times New Roman"/>
                <w:szCs w:val="21"/>
              </w:rPr>
              <w:t>/</w:t>
            </w:r>
          </w:p>
        </w:tc>
        <w:tc>
          <w:tcPr>
            <w:tcW w:w="739" w:type="dxa"/>
            <w:tcBorders>
              <w:tl2br w:val="nil"/>
              <w:tr2bl w:val="nil"/>
            </w:tcBorders>
            <w:tcMar>
              <w:top w:w="85" w:type="dxa"/>
              <w:bottom w:w="85" w:type="dxa"/>
            </w:tcMar>
            <w:vAlign w:val="center"/>
          </w:tcPr>
          <w:p w14:paraId="009CFE12">
            <w:pPr>
              <w:jc w:val="center"/>
              <w:rPr>
                <w:rFonts w:ascii="Times New Roman" w:hAnsi="Times New Roman" w:cs="Times New Roman"/>
                <w:szCs w:val="21"/>
              </w:rPr>
            </w:pPr>
            <w:r>
              <w:rPr>
                <w:rFonts w:ascii="Times New Roman" w:hAnsi="Times New Roman" w:cs="Times New Roman"/>
                <w:szCs w:val="21"/>
              </w:rPr>
              <w:t>/</w:t>
            </w:r>
          </w:p>
        </w:tc>
        <w:tc>
          <w:tcPr>
            <w:tcW w:w="683" w:type="dxa"/>
            <w:tcBorders>
              <w:tl2br w:val="nil"/>
              <w:tr2bl w:val="nil"/>
            </w:tcBorders>
            <w:tcMar>
              <w:top w:w="85" w:type="dxa"/>
              <w:bottom w:w="85" w:type="dxa"/>
            </w:tcMar>
            <w:vAlign w:val="center"/>
          </w:tcPr>
          <w:p w14:paraId="169E9527">
            <w:pPr>
              <w:jc w:val="center"/>
              <w:rPr>
                <w:rFonts w:ascii="Times New Roman" w:hAnsi="Times New Roman" w:cs="Times New Roman"/>
                <w:szCs w:val="21"/>
              </w:rPr>
            </w:pPr>
            <w:r>
              <w:rPr>
                <w:rFonts w:ascii="Times New Roman" w:hAnsi="Times New Roman" w:cs="Times New Roman"/>
                <w:szCs w:val="21"/>
              </w:rPr>
              <w:t>/</w:t>
            </w:r>
          </w:p>
        </w:tc>
        <w:tc>
          <w:tcPr>
            <w:tcW w:w="780" w:type="dxa"/>
            <w:tcBorders>
              <w:tl2br w:val="nil"/>
              <w:tr2bl w:val="nil"/>
            </w:tcBorders>
            <w:tcMar>
              <w:top w:w="85" w:type="dxa"/>
              <w:bottom w:w="85" w:type="dxa"/>
            </w:tcMar>
            <w:vAlign w:val="center"/>
          </w:tcPr>
          <w:p w14:paraId="6A9038BF">
            <w:pPr>
              <w:jc w:val="center"/>
              <w:rPr>
                <w:rFonts w:ascii="Times New Roman" w:hAnsi="Times New Roman" w:cs="Times New Roman"/>
                <w:szCs w:val="21"/>
              </w:rPr>
            </w:pPr>
            <w:r>
              <w:rPr>
                <w:rFonts w:ascii="Times New Roman" w:hAnsi="Times New Roman" w:cs="Times New Roman"/>
                <w:szCs w:val="21"/>
              </w:rPr>
              <w:t>/</w:t>
            </w:r>
          </w:p>
        </w:tc>
        <w:tc>
          <w:tcPr>
            <w:tcW w:w="688" w:type="dxa"/>
            <w:tcBorders>
              <w:tl2br w:val="nil"/>
              <w:tr2bl w:val="nil"/>
            </w:tcBorders>
            <w:tcMar>
              <w:top w:w="85" w:type="dxa"/>
              <w:bottom w:w="85" w:type="dxa"/>
            </w:tcMar>
            <w:vAlign w:val="center"/>
          </w:tcPr>
          <w:p w14:paraId="763355F5">
            <w:pPr>
              <w:jc w:val="center"/>
              <w:rPr>
                <w:rFonts w:ascii="Times New Roman" w:hAnsi="Times New Roman" w:cs="Times New Roman"/>
                <w:szCs w:val="21"/>
              </w:rPr>
            </w:pPr>
            <w:r>
              <w:rPr>
                <w:rFonts w:ascii="Times New Roman" w:hAnsi="Times New Roman" w:cs="Times New Roman"/>
                <w:szCs w:val="21"/>
              </w:rPr>
              <w:t>1LP</w:t>
            </w:r>
          </w:p>
        </w:tc>
        <w:tc>
          <w:tcPr>
            <w:tcW w:w="675" w:type="dxa"/>
            <w:tcBorders>
              <w:tl2br w:val="nil"/>
              <w:tr2bl w:val="nil"/>
            </w:tcBorders>
            <w:tcMar>
              <w:top w:w="85" w:type="dxa"/>
              <w:bottom w:w="85" w:type="dxa"/>
            </w:tcMar>
            <w:vAlign w:val="center"/>
          </w:tcPr>
          <w:p w14:paraId="53A2F098">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048B0BE7">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6176C381">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52639C50">
            <w:pPr>
              <w:jc w:val="center"/>
              <w:rPr>
                <w:rFonts w:ascii="Times New Roman" w:hAnsi="Times New Roman" w:cs="Times New Roman"/>
                <w:szCs w:val="21"/>
              </w:rPr>
            </w:pPr>
            <w:r>
              <w:rPr>
                <w:rFonts w:ascii="Times New Roman" w:hAnsi="Times New Roman" w:cs="Times New Roman"/>
                <w:szCs w:val="21"/>
              </w:rPr>
              <w:t>/</w:t>
            </w:r>
          </w:p>
        </w:tc>
        <w:tc>
          <w:tcPr>
            <w:tcW w:w="680" w:type="dxa"/>
            <w:tcBorders>
              <w:tl2br w:val="nil"/>
              <w:tr2bl w:val="nil"/>
            </w:tcBorders>
            <w:tcMar>
              <w:top w:w="85" w:type="dxa"/>
              <w:bottom w:w="85" w:type="dxa"/>
            </w:tcMar>
            <w:vAlign w:val="center"/>
          </w:tcPr>
          <w:p w14:paraId="55CE02F3">
            <w:pPr>
              <w:jc w:val="center"/>
              <w:rPr>
                <w:rFonts w:ascii="Times New Roman" w:hAnsi="Times New Roman" w:cs="Times New Roman"/>
                <w:szCs w:val="21"/>
              </w:rPr>
            </w:pPr>
            <w:r>
              <w:rPr>
                <w:rFonts w:ascii="Times New Roman" w:hAnsi="Times New Roman" w:cs="Times New Roman"/>
                <w:szCs w:val="21"/>
              </w:rPr>
              <w:t>1SP</w:t>
            </w:r>
          </w:p>
        </w:tc>
      </w:tr>
      <w:tr w14:paraId="70D1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restart"/>
            <w:tcBorders>
              <w:tl2br w:val="nil"/>
              <w:tr2bl w:val="nil"/>
            </w:tcBorders>
            <w:tcMar>
              <w:top w:w="85" w:type="dxa"/>
              <w:bottom w:w="85" w:type="dxa"/>
            </w:tcMar>
            <w:vAlign w:val="center"/>
          </w:tcPr>
          <w:p w14:paraId="35F8163F">
            <w:pPr>
              <w:jc w:val="center"/>
              <w:rPr>
                <w:rFonts w:ascii="Times New Roman" w:hAnsi="Times New Roman" w:cs="Times New Roman"/>
                <w:szCs w:val="21"/>
              </w:rPr>
            </w:pPr>
            <w:r>
              <w:rPr>
                <w:rFonts w:ascii="Times New Roman" w:hAnsi="Times New Roman" w:cs="Times New Roman"/>
                <w:szCs w:val="21"/>
              </w:rPr>
              <w:t>社会经济环境</w:t>
            </w:r>
          </w:p>
        </w:tc>
        <w:tc>
          <w:tcPr>
            <w:tcW w:w="1068" w:type="dxa"/>
            <w:tcBorders>
              <w:tl2br w:val="nil"/>
              <w:tr2bl w:val="nil"/>
            </w:tcBorders>
            <w:tcMar>
              <w:top w:w="85" w:type="dxa"/>
              <w:bottom w:w="85" w:type="dxa"/>
            </w:tcMar>
            <w:vAlign w:val="center"/>
          </w:tcPr>
          <w:p w14:paraId="1AE3143E">
            <w:pPr>
              <w:jc w:val="center"/>
              <w:rPr>
                <w:rFonts w:ascii="Times New Roman" w:hAnsi="Times New Roman" w:cs="Times New Roman"/>
                <w:szCs w:val="21"/>
              </w:rPr>
            </w:pPr>
            <w:r>
              <w:rPr>
                <w:rFonts w:ascii="Times New Roman" w:hAnsi="Times New Roman" w:cs="Times New Roman"/>
                <w:szCs w:val="21"/>
              </w:rPr>
              <w:t>工业</w:t>
            </w:r>
          </w:p>
        </w:tc>
        <w:tc>
          <w:tcPr>
            <w:tcW w:w="743" w:type="dxa"/>
            <w:tcBorders>
              <w:tl2br w:val="nil"/>
              <w:tr2bl w:val="nil"/>
            </w:tcBorders>
            <w:tcMar>
              <w:top w:w="85" w:type="dxa"/>
              <w:bottom w:w="85" w:type="dxa"/>
            </w:tcMar>
            <w:vAlign w:val="center"/>
          </w:tcPr>
          <w:p w14:paraId="53E90DDF">
            <w:pPr>
              <w:jc w:val="center"/>
              <w:rPr>
                <w:rFonts w:ascii="Times New Roman" w:hAnsi="Times New Roman" w:cs="Times New Roman"/>
                <w:szCs w:val="21"/>
              </w:rPr>
            </w:pPr>
            <w:r>
              <w:rPr>
                <w:rFonts w:ascii="Times New Roman" w:hAnsi="Times New Roman" w:cs="Times New Roman"/>
                <w:szCs w:val="21"/>
              </w:rPr>
              <w:t>/</w:t>
            </w:r>
          </w:p>
        </w:tc>
        <w:tc>
          <w:tcPr>
            <w:tcW w:w="739" w:type="dxa"/>
            <w:tcBorders>
              <w:tl2br w:val="nil"/>
              <w:tr2bl w:val="nil"/>
            </w:tcBorders>
            <w:tcMar>
              <w:top w:w="85" w:type="dxa"/>
              <w:bottom w:w="85" w:type="dxa"/>
            </w:tcMar>
            <w:vAlign w:val="center"/>
          </w:tcPr>
          <w:p w14:paraId="68B0D6FE">
            <w:pPr>
              <w:jc w:val="center"/>
              <w:rPr>
                <w:rFonts w:ascii="Times New Roman" w:hAnsi="Times New Roman" w:cs="Times New Roman"/>
                <w:szCs w:val="21"/>
              </w:rPr>
            </w:pPr>
            <w:r>
              <w:rPr>
                <w:rFonts w:ascii="Times New Roman" w:hAnsi="Times New Roman" w:cs="Times New Roman"/>
                <w:szCs w:val="21"/>
              </w:rPr>
              <w:t>/</w:t>
            </w:r>
          </w:p>
        </w:tc>
        <w:tc>
          <w:tcPr>
            <w:tcW w:w="683" w:type="dxa"/>
            <w:tcBorders>
              <w:tl2br w:val="nil"/>
              <w:tr2bl w:val="nil"/>
            </w:tcBorders>
            <w:tcMar>
              <w:top w:w="85" w:type="dxa"/>
              <w:bottom w:w="85" w:type="dxa"/>
            </w:tcMar>
            <w:vAlign w:val="center"/>
          </w:tcPr>
          <w:p w14:paraId="65738649">
            <w:pPr>
              <w:jc w:val="center"/>
              <w:rPr>
                <w:rFonts w:ascii="Times New Roman" w:hAnsi="Times New Roman" w:cs="Times New Roman"/>
                <w:szCs w:val="21"/>
              </w:rPr>
            </w:pPr>
            <w:r>
              <w:rPr>
                <w:rFonts w:ascii="Times New Roman" w:hAnsi="Times New Roman" w:cs="Times New Roman"/>
                <w:szCs w:val="21"/>
              </w:rPr>
              <w:t>/</w:t>
            </w:r>
          </w:p>
        </w:tc>
        <w:tc>
          <w:tcPr>
            <w:tcW w:w="780" w:type="dxa"/>
            <w:tcBorders>
              <w:tl2br w:val="nil"/>
              <w:tr2bl w:val="nil"/>
            </w:tcBorders>
            <w:tcMar>
              <w:top w:w="85" w:type="dxa"/>
              <w:bottom w:w="85" w:type="dxa"/>
            </w:tcMar>
            <w:vAlign w:val="center"/>
          </w:tcPr>
          <w:p w14:paraId="5D392764">
            <w:pPr>
              <w:jc w:val="center"/>
              <w:rPr>
                <w:rFonts w:ascii="Times New Roman" w:hAnsi="Times New Roman" w:cs="Times New Roman"/>
                <w:szCs w:val="21"/>
              </w:rPr>
            </w:pPr>
            <w:r>
              <w:rPr>
                <w:rFonts w:ascii="Times New Roman" w:hAnsi="Times New Roman" w:cs="Times New Roman"/>
                <w:szCs w:val="21"/>
              </w:rPr>
              <w:t>/</w:t>
            </w:r>
          </w:p>
        </w:tc>
        <w:tc>
          <w:tcPr>
            <w:tcW w:w="688" w:type="dxa"/>
            <w:tcBorders>
              <w:tl2br w:val="nil"/>
              <w:tr2bl w:val="nil"/>
            </w:tcBorders>
            <w:tcMar>
              <w:top w:w="85" w:type="dxa"/>
              <w:bottom w:w="85" w:type="dxa"/>
            </w:tcMar>
            <w:vAlign w:val="center"/>
          </w:tcPr>
          <w:p w14:paraId="5AE91539">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4E7FE887">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7F52C5D1">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6F909914">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5873EB2F">
            <w:pPr>
              <w:jc w:val="center"/>
              <w:rPr>
                <w:rFonts w:ascii="Times New Roman" w:hAnsi="Times New Roman" w:cs="Times New Roman"/>
                <w:szCs w:val="21"/>
              </w:rPr>
            </w:pPr>
            <w:r>
              <w:rPr>
                <w:rFonts w:ascii="Times New Roman" w:hAnsi="Times New Roman" w:cs="Times New Roman"/>
                <w:szCs w:val="21"/>
              </w:rPr>
              <w:t>/</w:t>
            </w:r>
          </w:p>
        </w:tc>
        <w:tc>
          <w:tcPr>
            <w:tcW w:w="680" w:type="dxa"/>
            <w:tcBorders>
              <w:tl2br w:val="nil"/>
              <w:tr2bl w:val="nil"/>
            </w:tcBorders>
            <w:tcMar>
              <w:top w:w="85" w:type="dxa"/>
              <w:bottom w:w="85" w:type="dxa"/>
            </w:tcMar>
            <w:vAlign w:val="center"/>
          </w:tcPr>
          <w:p w14:paraId="7B4E2D33">
            <w:pPr>
              <w:jc w:val="center"/>
              <w:rPr>
                <w:rFonts w:ascii="Times New Roman" w:hAnsi="Times New Roman" w:cs="Times New Roman"/>
                <w:szCs w:val="21"/>
              </w:rPr>
            </w:pPr>
            <w:r>
              <w:rPr>
                <w:rFonts w:ascii="Times New Roman" w:hAnsi="Times New Roman" w:cs="Times New Roman"/>
                <w:szCs w:val="21"/>
              </w:rPr>
              <w:t>/</w:t>
            </w:r>
          </w:p>
        </w:tc>
      </w:tr>
      <w:tr w14:paraId="0EDA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533966F1">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76B490BE">
            <w:pPr>
              <w:jc w:val="center"/>
              <w:rPr>
                <w:rFonts w:ascii="Times New Roman" w:hAnsi="Times New Roman" w:cs="Times New Roman"/>
                <w:szCs w:val="21"/>
              </w:rPr>
            </w:pPr>
            <w:r>
              <w:rPr>
                <w:rFonts w:ascii="Times New Roman" w:hAnsi="Times New Roman" w:cs="Times New Roman"/>
                <w:szCs w:val="21"/>
              </w:rPr>
              <w:t>农业</w:t>
            </w:r>
          </w:p>
        </w:tc>
        <w:tc>
          <w:tcPr>
            <w:tcW w:w="743" w:type="dxa"/>
            <w:tcBorders>
              <w:tl2br w:val="nil"/>
              <w:tr2bl w:val="nil"/>
            </w:tcBorders>
            <w:tcMar>
              <w:top w:w="85" w:type="dxa"/>
              <w:bottom w:w="85" w:type="dxa"/>
            </w:tcMar>
            <w:vAlign w:val="center"/>
          </w:tcPr>
          <w:p w14:paraId="54A56AEF">
            <w:pPr>
              <w:jc w:val="center"/>
              <w:rPr>
                <w:rFonts w:ascii="Times New Roman" w:hAnsi="Times New Roman" w:cs="Times New Roman"/>
                <w:szCs w:val="21"/>
              </w:rPr>
            </w:pPr>
            <w:r>
              <w:rPr>
                <w:rFonts w:ascii="Times New Roman" w:hAnsi="Times New Roman" w:cs="Times New Roman"/>
                <w:szCs w:val="21"/>
              </w:rPr>
              <w:t>/</w:t>
            </w:r>
          </w:p>
        </w:tc>
        <w:tc>
          <w:tcPr>
            <w:tcW w:w="739" w:type="dxa"/>
            <w:tcBorders>
              <w:tl2br w:val="nil"/>
              <w:tr2bl w:val="nil"/>
            </w:tcBorders>
            <w:tcMar>
              <w:top w:w="85" w:type="dxa"/>
              <w:bottom w:w="85" w:type="dxa"/>
            </w:tcMar>
            <w:vAlign w:val="center"/>
          </w:tcPr>
          <w:p w14:paraId="2CA9B4EE">
            <w:pPr>
              <w:jc w:val="center"/>
              <w:rPr>
                <w:rFonts w:ascii="Times New Roman" w:hAnsi="Times New Roman" w:cs="Times New Roman"/>
                <w:szCs w:val="21"/>
              </w:rPr>
            </w:pPr>
            <w:r>
              <w:rPr>
                <w:rFonts w:ascii="Times New Roman" w:hAnsi="Times New Roman" w:cs="Times New Roman"/>
                <w:szCs w:val="21"/>
              </w:rPr>
              <w:t>/</w:t>
            </w:r>
          </w:p>
        </w:tc>
        <w:tc>
          <w:tcPr>
            <w:tcW w:w="683" w:type="dxa"/>
            <w:tcBorders>
              <w:tl2br w:val="nil"/>
              <w:tr2bl w:val="nil"/>
            </w:tcBorders>
            <w:tcMar>
              <w:top w:w="85" w:type="dxa"/>
              <w:bottom w:w="85" w:type="dxa"/>
            </w:tcMar>
            <w:vAlign w:val="center"/>
          </w:tcPr>
          <w:p w14:paraId="53C8861F">
            <w:pPr>
              <w:jc w:val="center"/>
              <w:rPr>
                <w:rFonts w:ascii="Times New Roman" w:hAnsi="Times New Roman" w:cs="Times New Roman"/>
                <w:szCs w:val="21"/>
              </w:rPr>
            </w:pPr>
            <w:r>
              <w:rPr>
                <w:rFonts w:ascii="Times New Roman" w:hAnsi="Times New Roman" w:cs="Times New Roman"/>
                <w:szCs w:val="21"/>
              </w:rPr>
              <w:t>1LP</w:t>
            </w:r>
          </w:p>
        </w:tc>
        <w:tc>
          <w:tcPr>
            <w:tcW w:w="780" w:type="dxa"/>
            <w:tcBorders>
              <w:tl2br w:val="nil"/>
              <w:tr2bl w:val="nil"/>
            </w:tcBorders>
            <w:tcMar>
              <w:top w:w="85" w:type="dxa"/>
              <w:bottom w:w="85" w:type="dxa"/>
            </w:tcMar>
            <w:vAlign w:val="center"/>
          </w:tcPr>
          <w:p w14:paraId="2DD12D8B">
            <w:pPr>
              <w:jc w:val="center"/>
              <w:rPr>
                <w:rFonts w:ascii="Times New Roman" w:hAnsi="Times New Roman" w:cs="Times New Roman"/>
                <w:szCs w:val="21"/>
              </w:rPr>
            </w:pPr>
            <w:r>
              <w:rPr>
                <w:rFonts w:ascii="Times New Roman" w:hAnsi="Times New Roman" w:cs="Times New Roman"/>
                <w:szCs w:val="21"/>
              </w:rPr>
              <w:t>/</w:t>
            </w:r>
          </w:p>
        </w:tc>
        <w:tc>
          <w:tcPr>
            <w:tcW w:w="688" w:type="dxa"/>
            <w:tcBorders>
              <w:tl2br w:val="nil"/>
              <w:tr2bl w:val="nil"/>
            </w:tcBorders>
            <w:tcMar>
              <w:top w:w="85" w:type="dxa"/>
              <w:bottom w:w="85" w:type="dxa"/>
            </w:tcMar>
            <w:vAlign w:val="center"/>
          </w:tcPr>
          <w:p w14:paraId="292CECB4">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0D53920A">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4CD5DDFF">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284769CD">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64729E3B">
            <w:pPr>
              <w:jc w:val="center"/>
              <w:rPr>
                <w:rFonts w:ascii="Times New Roman" w:hAnsi="Times New Roman" w:cs="Times New Roman"/>
                <w:szCs w:val="21"/>
              </w:rPr>
            </w:pPr>
            <w:r>
              <w:rPr>
                <w:rFonts w:ascii="Times New Roman" w:hAnsi="Times New Roman" w:cs="Times New Roman"/>
                <w:szCs w:val="21"/>
              </w:rPr>
              <w:t>/</w:t>
            </w:r>
          </w:p>
        </w:tc>
        <w:tc>
          <w:tcPr>
            <w:tcW w:w="680" w:type="dxa"/>
            <w:tcBorders>
              <w:tl2br w:val="nil"/>
              <w:tr2bl w:val="nil"/>
            </w:tcBorders>
            <w:tcMar>
              <w:top w:w="85" w:type="dxa"/>
              <w:bottom w:w="85" w:type="dxa"/>
            </w:tcMar>
            <w:vAlign w:val="center"/>
          </w:tcPr>
          <w:p w14:paraId="7DF5482B">
            <w:pPr>
              <w:jc w:val="center"/>
              <w:rPr>
                <w:rFonts w:ascii="Times New Roman" w:hAnsi="Times New Roman" w:cs="Times New Roman"/>
                <w:szCs w:val="21"/>
              </w:rPr>
            </w:pPr>
            <w:r>
              <w:rPr>
                <w:rFonts w:ascii="Times New Roman" w:hAnsi="Times New Roman" w:cs="Times New Roman"/>
                <w:szCs w:val="21"/>
              </w:rPr>
              <w:t>/</w:t>
            </w:r>
          </w:p>
        </w:tc>
      </w:tr>
      <w:tr w14:paraId="6F99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1C674679">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273224E7">
            <w:pPr>
              <w:jc w:val="center"/>
              <w:rPr>
                <w:rFonts w:ascii="Times New Roman" w:hAnsi="Times New Roman" w:cs="Times New Roman"/>
                <w:szCs w:val="21"/>
              </w:rPr>
            </w:pPr>
            <w:r>
              <w:rPr>
                <w:rFonts w:ascii="Times New Roman" w:hAnsi="Times New Roman" w:cs="Times New Roman"/>
                <w:szCs w:val="21"/>
              </w:rPr>
              <w:t>交通</w:t>
            </w:r>
          </w:p>
        </w:tc>
        <w:tc>
          <w:tcPr>
            <w:tcW w:w="743" w:type="dxa"/>
            <w:tcBorders>
              <w:tl2br w:val="nil"/>
              <w:tr2bl w:val="nil"/>
            </w:tcBorders>
            <w:tcMar>
              <w:top w:w="85" w:type="dxa"/>
              <w:bottom w:w="85" w:type="dxa"/>
            </w:tcMar>
            <w:vAlign w:val="center"/>
          </w:tcPr>
          <w:p w14:paraId="6CDB58A9">
            <w:pPr>
              <w:jc w:val="center"/>
              <w:rPr>
                <w:rFonts w:ascii="Times New Roman" w:hAnsi="Times New Roman" w:cs="Times New Roman"/>
                <w:szCs w:val="21"/>
              </w:rPr>
            </w:pPr>
            <w:r>
              <w:rPr>
                <w:rFonts w:ascii="Times New Roman" w:hAnsi="Times New Roman" w:cs="Times New Roman"/>
                <w:szCs w:val="21"/>
              </w:rPr>
              <w:t>/</w:t>
            </w:r>
          </w:p>
        </w:tc>
        <w:tc>
          <w:tcPr>
            <w:tcW w:w="739" w:type="dxa"/>
            <w:tcBorders>
              <w:tl2br w:val="nil"/>
              <w:tr2bl w:val="nil"/>
            </w:tcBorders>
            <w:tcMar>
              <w:top w:w="85" w:type="dxa"/>
              <w:bottom w:w="85" w:type="dxa"/>
            </w:tcMar>
            <w:vAlign w:val="center"/>
          </w:tcPr>
          <w:p w14:paraId="2427D2DC">
            <w:pPr>
              <w:jc w:val="center"/>
              <w:rPr>
                <w:rFonts w:ascii="Times New Roman" w:hAnsi="Times New Roman" w:cs="Times New Roman"/>
                <w:szCs w:val="21"/>
              </w:rPr>
            </w:pPr>
            <w:r>
              <w:rPr>
                <w:rFonts w:ascii="Times New Roman" w:hAnsi="Times New Roman" w:cs="Times New Roman"/>
                <w:szCs w:val="21"/>
              </w:rPr>
              <w:t>/</w:t>
            </w:r>
          </w:p>
        </w:tc>
        <w:tc>
          <w:tcPr>
            <w:tcW w:w="683" w:type="dxa"/>
            <w:tcBorders>
              <w:tl2br w:val="nil"/>
              <w:tr2bl w:val="nil"/>
            </w:tcBorders>
            <w:tcMar>
              <w:top w:w="85" w:type="dxa"/>
              <w:bottom w:w="85" w:type="dxa"/>
            </w:tcMar>
            <w:vAlign w:val="center"/>
          </w:tcPr>
          <w:p w14:paraId="138DDB4C">
            <w:pPr>
              <w:jc w:val="center"/>
              <w:rPr>
                <w:rFonts w:ascii="Times New Roman" w:hAnsi="Times New Roman" w:cs="Times New Roman"/>
                <w:szCs w:val="21"/>
              </w:rPr>
            </w:pPr>
            <w:r>
              <w:rPr>
                <w:rFonts w:ascii="Times New Roman" w:hAnsi="Times New Roman" w:cs="Times New Roman"/>
                <w:szCs w:val="21"/>
              </w:rPr>
              <w:t>/</w:t>
            </w:r>
          </w:p>
        </w:tc>
        <w:tc>
          <w:tcPr>
            <w:tcW w:w="780" w:type="dxa"/>
            <w:tcBorders>
              <w:tl2br w:val="nil"/>
              <w:tr2bl w:val="nil"/>
            </w:tcBorders>
            <w:tcMar>
              <w:top w:w="85" w:type="dxa"/>
              <w:bottom w:w="85" w:type="dxa"/>
            </w:tcMar>
            <w:vAlign w:val="center"/>
          </w:tcPr>
          <w:p w14:paraId="1482D6B3">
            <w:pPr>
              <w:jc w:val="center"/>
              <w:rPr>
                <w:rFonts w:ascii="Times New Roman" w:hAnsi="Times New Roman" w:cs="Times New Roman"/>
                <w:szCs w:val="21"/>
              </w:rPr>
            </w:pPr>
            <w:r>
              <w:rPr>
                <w:rFonts w:ascii="Times New Roman" w:hAnsi="Times New Roman" w:cs="Times New Roman"/>
                <w:szCs w:val="21"/>
              </w:rPr>
              <w:t>/</w:t>
            </w:r>
          </w:p>
        </w:tc>
        <w:tc>
          <w:tcPr>
            <w:tcW w:w="688" w:type="dxa"/>
            <w:tcBorders>
              <w:tl2br w:val="nil"/>
              <w:tr2bl w:val="nil"/>
            </w:tcBorders>
            <w:tcMar>
              <w:top w:w="85" w:type="dxa"/>
              <w:bottom w:w="85" w:type="dxa"/>
            </w:tcMar>
            <w:vAlign w:val="center"/>
          </w:tcPr>
          <w:p w14:paraId="32231ACC">
            <w:pPr>
              <w:jc w:val="center"/>
              <w:rPr>
                <w:rFonts w:ascii="Times New Roman" w:hAnsi="Times New Roman" w:cs="Times New Roman"/>
                <w:szCs w:val="21"/>
              </w:rPr>
            </w:pPr>
            <w:r>
              <w:rPr>
                <w:rFonts w:ascii="Times New Roman" w:hAnsi="Times New Roman" w:cs="Times New Roman"/>
                <w:szCs w:val="21"/>
              </w:rPr>
              <w:t>1LP</w:t>
            </w:r>
          </w:p>
        </w:tc>
        <w:tc>
          <w:tcPr>
            <w:tcW w:w="675" w:type="dxa"/>
            <w:tcBorders>
              <w:tl2br w:val="nil"/>
              <w:tr2bl w:val="nil"/>
            </w:tcBorders>
            <w:tcMar>
              <w:top w:w="85" w:type="dxa"/>
              <w:bottom w:w="85" w:type="dxa"/>
            </w:tcMar>
            <w:vAlign w:val="center"/>
          </w:tcPr>
          <w:p w14:paraId="40EB13A3">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71F0D54E">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4ADC61F7">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65CDC241">
            <w:pPr>
              <w:jc w:val="center"/>
              <w:rPr>
                <w:rFonts w:ascii="Times New Roman" w:hAnsi="Times New Roman" w:cs="Times New Roman"/>
                <w:szCs w:val="21"/>
              </w:rPr>
            </w:pPr>
            <w:r>
              <w:rPr>
                <w:rFonts w:ascii="Times New Roman" w:hAnsi="Times New Roman" w:cs="Times New Roman"/>
                <w:szCs w:val="21"/>
              </w:rPr>
              <w:t>/</w:t>
            </w:r>
          </w:p>
        </w:tc>
        <w:tc>
          <w:tcPr>
            <w:tcW w:w="680" w:type="dxa"/>
            <w:tcBorders>
              <w:tl2br w:val="nil"/>
              <w:tr2bl w:val="nil"/>
            </w:tcBorders>
            <w:tcMar>
              <w:top w:w="85" w:type="dxa"/>
              <w:bottom w:w="85" w:type="dxa"/>
            </w:tcMar>
            <w:vAlign w:val="center"/>
          </w:tcPr>
          <w:p w14:paraId="191F8065">
            <w:pPr>
              <w:jc w:val="center"/>
              <w:rPr>
                <w:rFonts w:ascii="Times New Roman" w:hAnsi="Times New Roman" w:cs="Times New Roman"/>
                <w:szCs w:val="21"/>
              </w:rPr>
            </w:pPr>
            <w:r>
              <w:rPr>
                <w:rFonts w:ascii="Times New Roman" w:hAnsi="Times New Roman" w:cs="Times New Roman"/>
                <w:szCs w:val="21"/>
              </w:rPr>
              <w:t>1SP</w:t>
            </w:r>
          </w:p>
        </w:tc>
      </w:tr>
      <w:tr w14:paraId="799D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082545AB">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758D445E">
            <w:pPr>
              <w:jc w:val="center"/>
              <w:rPr>
                <w:rFonts w:ascii="Times New Roman" w:hAnsi="Times New Roman" w:cs="Times New Roman"/>
                <w:szCs w:val="21"/>
              </w:rPr>
            </w:pPr>
            <w:r>
              <w:rPr>
                <w:rFonts w:ascii="Times New Roman" w:hAnsi="Times New Roman" w:cs="Times New Roman"/>
                <w:szCs w:val="21"/>
              </w:rPr>
              <w:t>土地利用</w:t>
            </w:r>
          </w:p>
        </w:tc>
        <w:tc>
          <w:tcPr>
            <w:tcW w:w="743" w:type="dxa"/>
            <w:tcBorders>
              <w:tl2br w:val="nil"/>
              <w:tr2bl w:val="nil"/>
            </w:tcBorders>
            <w:tcMar>
              <w:top w:w="85" w:type="dxa"/>
              <w:bottom w:w="85" w:type="dxa"/>
            </w:tcMar>
            <w:vAlign w:val="center"/>
          </w:tcPr>
          <w:p w14:paraId="6FF19B0D">
            <w:pPr>
              <w:jc w:val="center"/>
              <w:rPr>
                <w:rFonts w:ascii="Times New Roman" w:hAnsi="Times New Roman" w:cs="Times New Roman"/>
                <w:szCs w:val="21"/>
              </w:rPr>
            </w:pPr>
            <w:r>
              <w:rPr>
                <w:rFonts w:ascii="Times New Roman" w:hAnsi="Times New Roman" w:cs="Times New Roman"/>
                <w:szCs w:val="21"/>
              </w:rPr>
              <w:t>/</w:t>
            </w:r>
          </w:p>
        </w:tc>
        <w:tc>
          <w:tcPr>
            <w:tcW w:w="739" w:type="dxa"/>
            <w:tcBorders>
              <w:tl2br w:val="nil"/>
              <w:tr2bl w:val="nil"/>
            </w:tcBorders>
            <w:tcMar>
              <w:top w:w="85" w:type="dxa"/>
              <w:bottom w:w="85" w:type="dxa"/>
            </w:tcMar>
            <w:vAlign w:val="center"/>
          </w:tcPr>
          <w:p w14:paraId="3D95B164">
            <w:pPr>
              <w:jc w:val="center"/>
              <w:rPr>
                <w:rFonts w:ascii="Times New Roman" w:hAnsi="Times New Roman" w:cs="Times New Roman"/>
                <w:szCs w:val="21"/>
              </w:rPr>
            </w:pPr>
            <w:r>
              <w:rPr>
                <w:rFonts w:ascii="Times New Roman" w:hAnsi="Times New Roman" w:cs="Times New Roman"/>
                <w:szCs w:val="21"/>
              </w:rPr>
              <w:t>/</w:t>
            </w:r>
          </w:p>
        </w:tc>
        <w:tc>
          <w:tcPr>
            <w:tcW w:w="683" w:type="dxa"/>
            <w:tcBorders>
              <w:tl2br w:val="nil"/>
              <w:tr2bl w:val="nil"/>
            </w:tcBorders>
            <w:tcMar>
              <w:top w:w="85" w:type="dxa"/>
              <w:bottom w:w="85" w:type="dxa"/>
            </w:tcMar>
            <w:vAlign w:val="center"/>
          </w:tcPr>
          <w:p w14:paraId="03D365DC">
            <w:pPr>
              <w:jc w:val="center"/>
              <w:rPr>
                <w:rFonts w:ascii="Times New Roman" w:hAnsi="Times New Roman" w:cs="Times New Roman"/>
                <w:szCs w:val="21"/>
              </w:rPr>
            </w:pPr>
            <w:r>
              <w:rPr>
                <w:rFonts w:ascii="Times New Roman" w:hAnsi="Times New Roman" w:cs="Times New Roman"/>
                <w:szCs w:val="21"/>
              </w:rPr>
              <w:t>1LP</w:t>
            </w:r>
          </w:p>
        </w:tc>
        <w:tc>
          <w:tcPr>
            <w:tcW w:w="780" w:type="dxa"/>
            <w:tcBorders>
              <w:tl2br w:val="nil"/>
              <w:tr2bl w:val="nil"/>
            </w:tcBorders>
            <w:tcMar>
              <w:top w:w="85" w:type="dxa"/>
              <w:bottom w:w="85" w:type="dxa"/>
            </w:tcMar>
            <w:vAlign w:val="center"/>
          </w:tcPr>
          <w:p w14:paraId="3E4A0EB1">
            <w:pPr>
              <w:jc w:val="center"/>
              <w:rPr>
                <w:rFonts w:ascii="Times New Roman" w:hAnsi="Times New Roman" w:cs="Times New Roman"/>
                <w:szCs w:val="21"/>
              </w:rPr>
            </w:pPr>
            <w:r>
              <w:rPr>
                <w:rFonts w:ascii="Times New Roman" w:hAnsi="Times New Roman" w:cs="Times New Roman"/>
                <w:szCs w:val="21"/>
              </w:rPr>
              <w:t>/</w:t>
            </w:r>
          </w:p>
        </w:tc>
        <w:tc>
          <w:tcPr>
            <w:tcW w:w="688" w:type="dxa"/>
            <w:tcBorders>
              <w:tl2br w:val="nil"/>
              <w:tr2bl w:val="nil"/>
            </w:tcBorders>
            <w:tcMar>
              <w:top w:w="85" w:type="dxa"/>
              <w:bottom w:w="85" w:type="dxa"/>
            </w:tcMar>
            <w:vAlign w:val="center"/>
          </w:tcPr>
          <w:p w14:paraId="06B240EB">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0DD11113">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42D43B41">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12DE6A31">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5FEAF048">
            <w:pPr>
              <w:jc w:val="center"/>
              <w:rPr>
                <w:rFonts w:ascii="Times New Roman" w:hAnsi="Times New Roman" w:cs="Times New Roman"/>
                <w:szCs w:val="21"/>
              </w:rPr>
            </w:pPr>
            <w:r>
              <w:rPr>
                <w:rFonts w:ascii="Times New Roman" w:hAnsi="Times New Roman" w:cs="Times New Roman"/>
                <w:szCs w:val="21"/>
              </w:rPr>
              <w:t>/</w:t>
            </w:r>
          </w:p>
        </w:tc>
        <w:tc>
          <w:tcPr>
            <w:tcW w:w="680" w:type="dxa"/>
            <w:tcBorders>
              <w:tl2br w:val="nil"/>
              <w:tr2bl w:val="nil"/>
            </w:tcBorders>
            <w:tcMar>
              <w:top w:w="85" w:type="dxa"/>
              <w:bottom w:w="85" w:type="dxa"/>
            </w:tcMar>
            <w:vAlign w:val="center"/>
          </w:tcPr>
          <w:p w14:paraId="5D0A3782">
            <w:pPr>
              <w:jc w:val="center"/>
              <w:rPr>
                <w:rFonts w:ascii="Times New Roman" w:hAnsi="Times New Roman" w:cs="Times New Roman"/>
                <w:szCs w:val="21"/>
              </w:rPr>
            </w:pPr>
            <w:r>
              <w:rPr>
                <w:rFonts w:ascii="Times New Roman" w:hAnsi="Times New Roman" w:cs="Times New Roman"/>
                <w:szCs w:val="21"/>
              </w:rPr>
              <w:t>/</w:t>
            </w:r>
          </w:p>
        </w:tc>
      </w:tr>
      <w:tr w14:paraId="0310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15B46D23">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4B3B37B9">
            <w:pPr>
              <w:jc w:val="center"/>
              <w:rPr>
                <w:rFonts w:ascii="Times New Roman" w:hAnsi="Times New Roman" w:cs="Times New Roman"/>
                <w:szCs w:val="21"/>
              </w:rPr>
            </w:pPr>
            <w:r>
              <w:rPr>
                <w:rFonts w:ascii="Times New Roman" w:hAnsi="Times New Roman" w:cs="Times New Roman"/>
                <w:szCs w:val="21"/>
              </w:rPr>
              <w:t>公众健康</w:t>
            </w:r>
          </w:p>
        </w:tc>
        <w:tc>
          <w:tcPr>
            <w:tcW w:w="743" w:type="dxa"/>
            <w:tcBorders>
              <w:tl2br w:val="nil"/>
              <w:tr2bl w:val="nil"/>
            </w:tcBorders>
            <w:tcMar>
              <w:top w:w="85" w:type="dxa"/>
              <w:bottom w:w="85" w:type="dxa"/>
            </w:tcMar>
            <w:vAlign w:val="center"/>
          </w:tcPr>
          <w:p w14:paraId="47752BAC">
            <w:pPr>
              <w:jc w:val="center"/>
              <w:rPr>
                <w:rFonts w:ascii="Times New Roman" w:hAnsi="Times New Roman" w:cs="Times New Roman"/>
                <w:szCs w:val="21"/>
              </w:rPr>
            </w:pPr>
            <w:r>
              <w:rPr>
                <w:rFonts w:ascii="Times New Roman" w:hAnsi="Times New Roman" w:cs="Times New Roman"/>
                <w:szCs w:val="21"/>
              </w:rPr>
              <w:t>1LP</w:t>
            </w:r>
          </w:p>
        </w:tc>
        <w:tc>
          <w:tcPr>
            <w:tcW w:w="739" w:type="dxa"/>
            <w:tcBorders>
              <w:tl2br w:val="nil"/>
              <w:tr2bl w:val="nil"/>
            </w:tcBorders>
            <w:tcMar>
              <w:top w:w="85" w:type="dxa"/>
              <w:bottom w:w="85" w:type="dxa"/>
            </w:tcMar>
            <w:vAlign w:val="center"/>
          </w:tcPr>
          <w:p w14:paraId="7BAB2A08">
            <w:pPr>
              <w:jc w:val="center"/>
              <w:rPr>
                <w:rFonts w:ascii="Times New Roman" w:hAnsi="Times New Roman" w:cs="Times New Roman"/>
                <w:szCs w:val="21"/>
              </w:rPr>
            </w:pPr>
            <w:r>
              <w:rPr>
                <w:rFonts w:ascii="Times New Roman" w:hAnsi="Times New Roman" w:cs="Times New Roman"/>
                <w:szCs w:val="21"/>
              </w:rPr>
              <w:t>1LP</w:t>
            </w:r>
          </w:p>
        </w:tc>
        <w:tc>
          <w:tcPr>
            <w:tcW w:w="683" w:type="dxa"/>
            <w:tcBorders>
              <w:tl2br w:val="nil"/>
              <w:tr2bl w:val="nil"/>
            </w:tcBorders>
            <w:tcMar>
              <w:top w:w="85" w:type="dxa"/>
              <w:bottom w:w="85" w:type="dxa"/>
            </w:tcMar>
            <w:vAlign w:val="center"/>
          </w:tcPr>
          <w:p w14:paraId="6BDE073F">
            <w:pPr>
              <w:jc w:val="center"/>
              <w:rPr>
                <w:rFonts w:ascii="Times New Roman" w:hAnsi="Times New Roman" w:cs="Times New Roman"/>
                <w:szCs w:val="21"/>
              </w:rPr>
            </w:pPr>
            <w:r>
              <w:rPr>
                <w:rFonts w:ascii="Times New Roman" w:hAnsi="Times New Roman" w:cs="Times New Roman"/>
                <w:szCs w:val="21"/>
              </w:rPr>
              <w:t>/</w:t>
            </w:r>
          </w:p>
        </w:tc>
        <w:tc>
          <w:tcPr>
            <w:tcW w:w="780" w:type="dxa"/>
            <w:tcBorders>
              <w:tl2br w:val="nil"/>
              <w:tr2bl w:val="nil"/>
            </w:tcBorders>
            <w:tcMar>
              <w:top w:w="85" w:type="dxa"/>
              <w:bottom w:w="85" w:type="dxa"/>
            </w:tcMar>
            <w:vAlign w:val="center"/>
          </w:tcPr>
          <w:p w14:paraId="18C03A24">
            <w:pPr>
              <w:jc w:val="center"/>
              <w:rPr>
                <w:rFonts w:ascii="Times New Roman" w:hAnsi="Times New Roman" w:cs="Times New Roman"/>
                <w:szCs w:val="21"/>
              </w:rPr>
            </w:pPr>
            <w:r>
              <w:rPr>
                <w:rFonts w:ascii="Times New Roman" w:hAnsi="Times New Roman" w:cs="Times New Roman"/>
                <w:szCs w:val="21"/>
              </w:rPr>
              <w:t>1LP</w:t>
            </w:r>
          </w:p>
        </w:tc>
        <w:tc>
          <w:tcPr>
            <w:tcW w:w="688" w:type="dxa"/>
            <w:tcBorders>
              <w:tl2br w:val="nil"/>
              <w:tr2bl w:val="nil"/>
            </w:tcBorders>
            <w:tcMar>
              <w:top w:w="85" w:type="dxa"/>
              <w:bottom w:w="85" w:type="dxa"/>
            </w:tcMar>
            <w:vAlign w:val="center"/>
          </w:tcPr>
          <w:p w14:paraId="0AB9F9C8">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5B6E520D">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0CD7EF7D">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0FA9C57D">
            <w:pPr>
              <w:jc w:val="center"/>
              <w:rPr>
                <w:rFonts w:ascii="Times New Roman" w:hAnsi="Times New Roman" w:cs="Times New Roman"/>
                <w:szCs w:val="21"/>
              </w:rPr>
            </w:pPr>
            <w:r>
              <w:rPr>
                <w:rFonts w:ascii="Times New Roman" w:hAnsi="Times New Roman" w:cs="Times New Roman"/>
                <w:szCs w:val="21"/>
              </w:rPr>
              <w:t>/</w:t>
            </w:r>
          </w:p>
        </w:tc>
        <w:tc>
          <w:tcPr>
            <w:tcW w:w="675" w:type="dxa"/>
            <w:tcBorders>
              <w:tl2br w:val="nil"/>
              <w:tr2bl w:val="nil"/>
            </w:tcBorders>
            <w:tcMar>
              <w:top w:w="85" w:type="dxa"/>
              <w:bottom w:w="85" w:type="dxa"/>
            </w:tcMar>
            <w:vAlign w:val="center"/>
          </w:tcPr>
          <w:p w14:paraId="112B5CDF">
            <w:pPr>
              <w:jc w:val="center"/>
              <w:rPr>
                <w:rFonts w:ascii="Times New Roman" w:hAnsi="Times New Roman" w:cs="Times New Roman"/>
                <w:szCs w:val="21"/>
              </w:rPr>
            </w:pPr>
            <w:r>
              <w:rPr>
                <w:rFonts w:ascii="Times New Roman" w:hAnsi="Times New Roman" w:cs="Times New Roman"/>
                <w:szCs w:val="21"/>
              </w:rPr>
              <w:t>1SP</w:t>
            </w:r>
          </w:p>
        </w:tc>
        <w:tc>
          <w:tcPr>
            <w:tcW w:w="680" w:type="dxa"/>
            <w:tcBorders>
              <w:tl2br w:val="nil"/>
              <w:tr2bl w:val="nil"/>
            </w:tcBorders>
            <w:tcMar>
              <w:top w:w="85" w:type="dxa"/>
              <w:bottom w:w="85" w:type="dxa"/>
            </w:tcMar>
            <w:vAlign w:val="center"/>
          </w:tcPr>
          <w:p w14:paraId="370C92DD">
            <w:pPr>
              <w:jc w:val="center"/>
              <w:rPr>
                <w:rFonts w:ascii="Times New Roman" w:hAnsi="Times New Roman" w:cs="Times New Roman"/>
                <w:szCs w:val="21"/>
              </w:rPr>
            </w:pPr>
            <w:r>
              <w:rPr>
                <w:rFonts w:ascii="Times New Roman" w:hAnsi="Times New Roman" w:cs="Times New Roman"/>
                <w:szCs w:val="21"/>
              </w:rPr>
              <w:t>/</w:t>
            </w:r>
          </w:p>
        </w:tc>
      </w:tr>
      <w:tr w14:paraId="30AB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438" w:type="dxa"/>
            <w:vMerge w:val="continue"/>
            <w:tcBorders>
              <w:tl2br w:val="nil"/>
              <w:tr2bl w:val="nil"/>
            </w:tcBorders>
            <w:tcMar>
              <w:top w:w="85" w:type="dxa"/>
              <w:bottom w:w="85" w:type="dxa"/>
            </w:tcMar>
            <w:vAlign w:val="center"/>
          </w:tcPr>
          <w:p w14:paraId="6FED0D33">
            <w:pPr>
              <w:jc w:val="center"/>
              <w:rPr>
                <w:rFonts w:ascii="Times New Roman" w:hAnsi="Times New Roman" w:cs="Times New Roman"/>
                <w:szCs w:val="21"/>
              </w:rPr>
            </w:pPr>
          </w:p>
        </w:tc>
        <w:tc>
          <w:tcPr>
            <w:tcW w:w="1068" w:type="dxa"/>
            <w:tcBorders>
              <w:tl2br w:val="nil"/>
              <w:tr2bl w:val="nil"/>
            </w:tcBorders>
            <w:tcMar>
              <w:top w:w="85" w:type="dxa"/>
              <w:bottom w:w="85" w:type="dxa"/>
            </w:tcMar>
            <w:vAlign w:val="center"/>
          </w:tcPr>
          <w:p w14:paraId="4432E1D4">
            <w:pPr>
              <w:jc w:val="center"/>
              <w:rPr>
                <w:rFonts w:ascii="Times New Roman" w:hAnsi="Times New Roman" w:cs="Times New Roman"/>
                <w:szCs w:val="21"/>
              </w:rPr>
            </w:pPr>
            <w:r>
              <w:rPr>
                <w:rFonts w:ascii="Times New Roman" w:hAnsi="Times New Roman" w:cs="Times New Roman"/>
                <w:szCs w:val="21"/>
              </w:rPr>
              <w:t>生活质量</w:t>
            </w:r>
          </w:p>
        </w:tc>
        <w:tc>
          <w:tcPr>
            <w:tcW w:w="743" w:type="dxa"/>
            <w:tcBorders>
              <w:tl2br w:val="nil"/>
              <w:tr2bl w:val="nil"/>
            </w:tcBorders>
            <w:tcMar>
              <w:top w:w="85" w:type="dxa"/>
              <w:bottom w:w="85" w:type="dxa"/>
            </w:tcMar>
            <w:vAlign w:val="center"/>
          </w:tcPr>
          <w:p w14:paraId="4E1F05E4">
            <w:pPr>
              <w:jc w:val="center"/>
              <w:rPr>
                <w:rFonts w:ascii="Times New Roman" w:hAnsi="Times New Roman" w:cs="Times New Roman"/>
                <w:szCs w:val="21"/>
              </w:rPr>
            </w:pPr>
            <w:r>
              <w:rPr>
                <w:rFonts w:ascii="Times New Roman" w:hAnsi="Times New Roman" w:cs="Times New Roman"/>
                <w:szCs w:val="21"/>
              </w:rPr>
              <w:t>2LP</w:t>
            </w:r>
          </w:p>
        </w:tc>
        <w:tc>
          <w:tcPr>
            <w:tcW w:w="739" w:type="dxa"/>
            <w:tcBorders>
              <w:tl2br w:val="nil"/>
              <w:tr2bl w:val="nil"/>
            </w:tcBorders>
            <w:tcMar>
              <w:top w:w="85" w:type="dxa"/>
              <w:bottom w:w="85" w:type="dxa"/>
            </w:tcMar>
            <w:vAlign w:val="center"/>
          </w:tcPr>
          <w:p w14:paraId="7BA2A153">
            <w:pPr>
              <w:jc w:val="center"/>
              <w:rPr>
                <w:rFonts w:ascii="Times New Roman" w:hAnsi="Times New Roman" w:cs="Times New Roman"/>
                <w:szCs w:val="21"/>
              </w:rPr>
            </w:pPr>
            <w:r>
              <w:rPr>
                <w:rFonts w:ascii="Times New Roman" w:hAnsi="Times New Roman" w:cs="Times New Roman"/>
                <w:szCs w:val="21"/>
              </w:rPr>
              <w:t>1LP</w:t>
            </w:r>
          </w:p>
        </w:tc>
        <w:tc>
          <w:tcPr>
            <w:tcW w:w="683" w:type="dxa"/>
            <w:tcBorders>
              <w:tl2br w:val="nil"/>
              <w:tr2bl w:val="nil"/>
            </w:tcBorders>
            <w:tcMar>
              <w:top w:w="85" w:type="dxa"/>
              <w:bottom w:w="85" w:type="dxa"/>
            </w:tcMar>
            <w:vAlign w:val="center"/>
          </w:tcPr>
          <w:p w14:paraId="3BE8CCA7">
            <w:pPr>
              <w:jc w:val="center"/>
              <w:rPr>
                <w:rFonts w:ascii="Times New Roman" w:hAnsi="Times New Roman" w:cs="Times New Roman"/>
                <w:szCs w:val="21"/>
              </w:rPr>
            </w:pPr>
            <w:r>
              <w:rPr>
                <w:rFonts w:ascii="Times New Roman" w:hAnsi="Times New Roman" w:cs="Times New Roman"/>
                <w:szCs w:val="21"/>
              </w:rPr>
              <w:t>1LP</w:t>
            </w:r>
          </w:p>
        </w:tc>
        <w:tc>
          <w:tcPr>
            <w:tcW w:w="780" w:type="dxa"/>
            <w:tcBorders>
              <w:tl2br w:val="nil"/>
              <w:tr2bl w:val="nil"/>
            </w:tcBorders>
            <w:tcMar>
              <w:top w:w="85" w:type="dxa"/>
              <w:bottom w:w="85" w:type="dxa"/>
            </w:tcMar>
            <w:vAlign w:val="center"/>
          </w:tcPr>
          <w:p w14:paraId="10845C98">
            <w:pPr>
              <w:jc w:val="center"/>
              <w:rPr>
                <w:rFonts w:ascii="Times New Roman" w:hAnsi="Times New Roman" w:cs="Times New Roman"/>
                <w:szCs w:val="21"/>
              </w:rPr>
            </w:pPr>
            <w:r>
              <w:rPr>
                <w:rFonts w:ascii="Times New Roman" w:hAnsi="Times New Roman" w:cs="Times New Roman"/>
                <w:szCs w:val="21"/>
              </w:rPr>
              <w:t>1LP</w:t>
            </w:r>
          </w:p>
        </w:tc>
        <w:tc>
          <w:tcPr>
            <w:tcW w:w="688" w:type="dxa"/>
            <w:tcBorders>
              <w:tl2br w:val="nil"/>
              <w:tr2bl w:val="nil"/>
            </w:tcBorders>
            <w:tcMar>
              <w:top w:w="85" w:type="dxa"/>
              <w:bottom w:w="85" w:type="dxa"/>
            </w:tcMar>
            <w:vAlign w:val="center"/>
          </w:tcPr>
          <w:p w14:paraId="367D9D3D">
            <w:pPr>
              <w:jc w:val="center"/>
              <w:rPr>
                <w:rFonts w:ascii="Times New Roman" w:hAnsi="Times New Roman" w:cs="Times New Roman"/>
                <w:szCs w:val="21"/>
              </w:rPr>
            </w:pPr>
            <w:r>
              <w:rPr>
                <w:rFonts w:ascii="Times New Roman" w:hAnsi="Times New Roman" w:cs="Times New Roman"/>
                <w:szCs w:val="21"/>
              </w:rPr>
              <w:t>2LP</w:t>
            </w:r>
          </w:p>
        </w:tc>
        <w:tc>
          <w:tcPr>
            <w:tcW w:w="675" w:type="dxa"/>
            <w:tcBorders>
              <w:tl2br w:val="nil"/>
              <w:tr2bl w:val="nil"/>
            </w:tcBorders>
            <w:tcMar>
              <w:top w:w="85" w:type="dxa"/>
              <w:bottom w:w="85" w:type="dxa"/>
            </w:tcMar>
            <w:vAlign w:val="center"/>
          </w:tcPr>
          <w:p w14:paraId="04F895B9">
            <w:pPr>
              <w:jc w:val="center"/>
              <w:rPr>
                <w:rFonts w:ascii="Times New Roman" w:hAnsi="Times New Roman" w:cs="Times New Roman"/>
                <w:szCs w:val="21"/>
              </w:rPr>
            </w:pPr>
            <w:r>
              <w:rPr>
                <w:rFonts w:ascii="Times New Roman" w:hAnsi="Times New Roman" w:cs="Times New Roman"/>
                <w:szCs w:val="21"/>
              </w:rPr>
              <w:t>2SP</w:t>
            </w:r>
          </w:p>
        </w:tc>
        <w:tc>
          <w:tcPr>
            <w:tcW w:w="675" w:type="dxa"/>
            <w:tcBorders>
              <w:tl2br w:val="nil"/>
              <w:tr2bl w:val="nil"/>
            </w:tcBorders>
            <w:tcMar>
              <w:top w:w="85" w:type="dxa"/>
              <w:bottom w:w="85" w:type="dxa"/>
            </w:tcMar>
            <w:vAlign w:val="center"/>
          </w:tcPr>
          <w:p w14:paraId="22567794">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49935E62">
            <w:pPr>
              <w:jc w:val="center"/>
              <w:rPr>
                <w:rFonts w:ascii="Times New Roman" w:hAnsi="Times New Roman" w:cs="Times New Roman"/>
                <w:szCs w:val="21"/>
              </w:rPr>
            </w:pPr>
            <w:r>
              <w:rPr>
                <w:rFonts w:ascii="Times New Roman" w:hAnsi="Times New Roman" w:cs="Times New Roman"/>
                <w:szCs w:val="21"/>
              </w:rPr>
              <w:t>1SP</w:t>
            </w:r>
          </w:p>
        </w:tc>
        <w:tc>
          <w:tcPr>
            <w:tcW w:w="675" w:type="dxa"/>
            <w:tcBorders>
              <w:tl2br w:val="nil"/>
              <w:tr2bl w:val="nil"/>
            </w:tcBorders>
            <w:tcMar>
              <w:top w:w="85" w:type="dxa"/>
              <w:bottom w:w="85" w:type="dxa"/>
            </w:tcMar>
            <w:vAlign w:val="center"/>
          </w:tcPr>
          <w:p w14:paraId="70050827">
            <w:pPr>
              <w:jc w:val="center"/>
              <w:rPr>
                <w:rFonts w:ascii="Times New Roman" w:hAnsi="Times New Roman" w:cs="Times New Roman"/>
                <w:szCs w:val="21"/>
              </w:rPr>
            </w:pPr>
            <w:r>
              <w:rPr>
                <w:rFonts w:ascii="Times New Roman" w:hAnsi="Times New Roman" w:cs="Times New Roman"/>
                <w:szCs w:val="21"/>
              </w:rPr>
              <w:t>1SP</w:t>
            </w:r>
          </w:p>
        </w:tc>
        <w:tc>
          <w:tcPr>
            <w:tcW w:w="680" w:type="dxa"/>
            <w:tcBorders>
              <w:tl2br w:val="nil"/>
              <w:tr2bl w:val="nil"/>
            </w:tcBorders>
            <w:tcMar>
              <w:top w:w="85" w:type="dxa"/>
              <w:bottom w:w="85" w:type="dxa"/>
            </w:tcMar>
            <w:vAlign w:val="center"/>
          </w:tcPr>
          <w:p w14:paraId="777A9FF9">
            <w:pPr>
              <w:jc w:val="center"/>
              <w:rPr>
                <w:rFonts w:ascii="Times New Roman" w:hAnsi="Times New Roman" w:cs="Times New Roman"/>
                <w:szCs w:val="21"/>
              </w:rPr>
            </w:pPr>
            <w:r>
              <w:rPr>
                <w:rFonts w:ascii="Times New Roman" w:hAnsi="Times New Roman" w:cs="Times New Roman"/>
                <w:szCs w:val="21"/>
              </w:rPr>
              <w:t>2SP</w:t>
            </w:r>
          </w:p>
        </w:tc>
      </w:tr>
      <w:tr w14:paraId="146F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3" w:hRule="atLeast"/>
          <w:jc w:val="center"/>
        </w:trPr>
        <w:tc>
          <w:tcPr>
            <w:tcW w:w="8519" w:type="dxa"/>
            <w:gridSpan w:val="12"/>
            <w:tcBorders>
              <w:tl2br w:val="nil"/>
              <w:tr2bl w:val="nil"/>
            </w:tcBorders>
            <w:tcMar>
              <w:top w:w="85" w:type="dxa"/>
              <w:bottom w:w="85" w:type="dxa"/>
            </w:tcMar>
            <w:vAlign w:val="center"/>
          </w:tcPr>
          <w:p w14:paraId="07FAF90D">
            <w:pPr>
              <w:jc w:val="left"/>
              <w:rPr>
                <w:rFonts w:ascii="Times New Roman" w:hAnsi="Times New Roman" w:cs="Times New Roman"/>
                <w:szCs w:val="21"/>
              </w:rPr>
            </w:pPr>
            <w:r>
              <w:rPr>
                <w:rFonts w:ascii="Times New Roman" w:hAnsi="Times New Roman" w:cs="Times New Roman"/>
                <w:szCs w:val="21"/>
              </w:rPr>
              <w:t>影响程度：1-轻微；2-一般；3-显著；影响时段：S-短期；L-长期；影响范围：P-局部；W-大范围</w:t>
            </w:r>
          </w:p>
        </w:tc>
      </w:tr>
    </w:tbl>
    <w:p w14:paraId="044A60D1">
      <w:pPr>
        <w:pStyle w:val="4"/>
        <w:numPr>
          <w:ilvl w:val="2"/>
          <w:numId w:val="17"/>
        </w:numPr>
        <w:tabs>
          <w:tab w:val="clear" w:pos="0"/>
        </w:tabs>
        <w:adjustRightInd w:val="0"/>
        <w:snapToGrid w:val="0"/>
      </w:pPr>
      <w:r>
        <w:t>评价因子</w:t>
      </w:r>
    </w:p>
    <w:p w14:paraId="1BF02776">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根据拟建项目的污染特征和环境影响识别，本评价地表水、地下水、大气、声环境等现状评价因子、影响评价因子详见</w:t>
      </w:r>
      <w:r>
        <w:rPr>
          <w:rFonts w:hint="eastAsia" w:ascii="Times New Roman" w:hAnsi="Times New Roman" w:eastAsia="宋体" w:cs="Times New Roman"/>
          <w:sz w:val="24"/>
        </w:rPr>
        <w:t>下</w:t>
      </w:r>
      <w:r>
        <w:rPr>
          <w:rFonts w:ascii="Times New Roman" w:hAnsi="Times New Roman" w:eastAsia="宋体" w:cs="Times New Roman"/>
          <w:sz w:val="24"/>
        </w:rPr>
        <w:t>表。</w:t>
      </w:r>
    </w:p>
    <w:p w14:paraId="1DE66E8C">
      <w:pPr>
        <w:numPr>
          <w:ilvl w:val="0"/>
          <w:numId w:val="18"/>
        </w:numPr>
        <w:autoSpaceDE w:val="0"/>
        <w:autoSpaceDN w:val="0"/>
        <w:adjustRightInd w:val="0"/>
        <w:snapToGrid w:val="0"/>
        <w:ind w:left="0"/>
        <w:jc w:val="center"/>
      </w:pPr>
      <w:r>
        <w:rPr>
          <w:rFonts w:hint="eastAsia"/>
        </w:rPr>
        <w:t xml:space="preserve">  </w:t>
      </w:r>
      <w:r>
        <w:rPr>
          <w:b/>
          <w:bCs/>
        </w:rPr>
        <w:t>评价因子一览表</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890"/>
        <w:gridCol w:w="3261"/>
        <w:gridCol w:w="2145"/>
        <w:gridCol w:w="1701"/>
      </w:tblGrid>
      <w:tr w14:paraId="42FD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22" w:type="dxa"/>
            <w:vAlign w:val="center"/>
          </w:tcPr>
          <w:p w14:paraId="09988B37">
            <w:pPr>
              <w:adjustRightInd w:val="0"/>
              <w:snapToGrid w:val="0"/>
              <w:jc w:val="center"/>
              <w:rPr>
                <w:rFonts w:ascii="Times New Roman" w:hAnsi="Times New Roman" w:eastAsia="宋体" w:cs="Times New Roman"/>
                <w:bCs/>
                <w:szCs w:val="22"/>
              </w:rPr>
            </w:pPr>
            <w:r>
              <w:rPr>
                <w:rFonts w:ascii="Times New Roman" w:hAnsi="Times New Roman" w:eastAsia="宋体" w:cs="Times New Roman"/>
                <w:bCs/>
                <w:szCs w:val="22"/>
              </w:rPr>
              <w:t>序号</w:t>
            </w:r>
          </w:p>
        </w:tc>
        <w:tc>
          <w:tcPr>
            <w:tcW w:w="890" w:type="dxa"/>
            <w:vAlign w:val="center"/>
          </w:tcPr>
          <w:p w14:paraId="3EB14ED7">
            <w:pPr>
              <w:adjustRightInd w:val="0"/>
              <w:snapToGrid w:val="0"/>
              <w:jc w:val="center"/>
              <w:rPr>
                <w:rFonts w:ascii="Times New Roman" w:hAnsi="Times New Roman" w:eastAsia="宋体" w:cs="Times New Roman"/>
                <w:bCs/>
                <w:szCs w:val="22"/>
              </w:rPr>
            </w:pPr>
            <w:r>
              <w:rPr>
                <w:rFonts w:ascii="Times New Roman" w:hAnsi="Times New Roman" w:eastAsia="宋体" w:cs="Times New Roman"/>
                <w:bCs/>
                <w:szCs w:val="22"/>
              </w:rPr>
              <w:t>环境要素</w:t>
            </w:r>
          </w:p>
        </w:tc>
        <w:tc>
          <w:tcPr>
            <w:tcW w:w="3261" w:type="dxa"/>
            <w:vAlign w:val="center"/>
          </w:tcPr>
          <w:p w14:paraId="77EB80FC">
            <w:pPr>
              <w:adjustRightInd w:val="0"/>
              <w:snapToGrid w:val="0"/>
              <w:jc w:val="center"/>
              <w:rPr>
                <w:rFonts w:ascii="Times New Roman" w:hAnsi="Times New Roman" w:eastAsia="宋体" w:cs="Times New Roman"/>
                <w:bCs/>
                <w:szCs w:val="22"/>
              </w:rPr>
            </w:pPr>
            <w:r>
              <w:rPr>
                <w:rFonts w:ascii="Times New Roman" w:hAnsi="Times New Roman" w:eastAsia="宋体" w:cs="Times New Roman"/>
                <w:bCs/>
                <w:szCs w:val="22"/>
              </w:rPr>
              <w:t>现状</w:t>
            </w:r>
            <w:r>
              <w:rPr>
                <w:rFonts w:hint="eastAsia" w:ascii="Times New Roman" w:hAnsi="Times New Roman" w:cs="Times New Roman"/>
                <w:bCs/>
                <w:szCs w:val="22"/>
              </w:rPr>
              <w:t>监测</w:t>
            </w:r>
            <w:r>
              <w:rPr>
                <w:rFonts w:ascii="Times New Roman" w:hAnsi="Times New Roman" w:eastAsia="宋体" w:cs="Times New Roman"/>
                <w:bCs/>
                <w:szCs w:val="22"/>
              </w:rPr>
              <w:t>因子</w:t>
            </w:r>
          </w:p>
        </w:tc>
        <w:tc>
          <w:tcPr>
            <w:tcW w:w="2145" w:type="dxa"/>
            <w:vAlign w:val="center"/>
          </w:tcPr>
          <w:p w14:paraId="61F01FA6">
            <w:pPr>
              <w:adjustRightInd w:val="0"/>
              <w:snapToGrid w:val="0"/>
              <w:jc w:val="center"/>
              <w:rPr>
                <w:rFonts w:ascii="Times New Roman" w:hAnsi="Times New Roman" w:eastAsia="宋体" w:cs="Times New Roman"/>
                <w:bCs/>
                <w:szCs w:val="22"/>
              </w:rPr>
            </w:pPr>
            <w:r>
              <w:rPr>
                <w:rFonts w:ascii="Times New Roman" w:hAnsi="Times New Roman" w:eastAsia="宋体" w:cs="Times New Roman"/>
                <w:bCs/>
                <w:szCs w:val="22"/>
              </w:rPr>
              <w:t>影响预测因子</w:t>
            </w:r>
          </w:p>
        </w:tc>
        <w:tc>
          <w:tcPr>
            <w:tcW w:w="1701" w:type="dxa"/>
            <w:vAlign w:val="center"/>
          </w:tcPr>
          <w:p w14:paraId="0D70F519">
            <w:pPr>
              <w:adjustRightInd w:val="0"/>
              <w:snapToGrid w:val="0"/>
              <w:jc w:val="center"/>
              <w:rPr>
                <w:rFonts w:ascii="Times New Roman" w:hAnsi="Times New Roman" w:eastAsia="宋体" w:cs="Times New Roman"/>
                <w:bCs/>
                <w:szCs w:val="22"/>
              </w:rPr>
            </w:pPr>
            <w:r>
              <w:rPr>
                <w:rFonts w:hint="eastAsia" w:ascii="Times New Roman" w:hAnsi="Times New Roman" w:eastAsia="宋体" w:cs="Times New Roman"/>
                <w:bCs/>
                <w:szCs w:val="22"/>
              </w:rPr>
              <w:t>总量控制因子</w:t>
            </w:r>
          </w:p>
        </w:tc>
      </w:tr>
      <w:tr w14:paraId="13D6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vAlign w:val="center"/>
          </w:tcPr>
          <w:p w14:paraId="7763247D">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1</w:t>
            </w:r>
          </w:p>
        </w:tc>
        <w:tc>
          <w:tcPr>
            <w:tcW w:w="890" w:type="dxa"/>
            <w:vAlign w:val="center"/>
          </w:tcPr>
          <w:p w14:paraId="323CDD7F">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空气</w:t>
            </w:r>
          </w:p>
        </w:tc>
        <w:tc>
          <w:tcPr>
            <w:tcW w:w="3261" w:type="dxa"/>
            <w:vAlign w:val="center"/>
          </w:tcPr>
          <w:p w14:paraId="610F9A76">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SO</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、NO</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、CO、O</w:t>
            </w:r>
            <w:r>
              <w:rPr>
                <w:rFonts w:ascii="Times New Roman" w:hAnsi="Times New Roman" w:eastAsia="宋体" w:cs="Times New Roman"/>
                <w:color w:val="auto"/>
                <w:szCs w:val="21"/>
                <w:vertAlign w:val="subscript"/>
              </w:rPr>
              <w:t>3</w:t>
            </w:r>
            <w:r>
              <w:rPr>
                <w:rFonts w:ascii="Times New Roman" w:hAnsi="Times New Roman" w:eastAsia="宋体" w:cs="Times New Roman"/>
                <w:color w:val="auto"/>
                <w:szCs w:val="21"/>
              </w:rPr>
              <w:t>、PM</w:t>
            </w:r>
            <w:r>
              <w:rPr>
                <w:rFonts w:ascii="Times New Roman" w:hAnsi="Times New Roman" w:eastAsia="宋体" w:cs="Times New Roman"/>
                <w:color w:val="auto"/>
                <w:szCs w:val="21"/>
                <w:vertAlign w:val="subscript"/>
              </w:rPr>
              <w:t>10</w:t>
            </w:r>
            <w:r>
              <w:rPr>
                <w:rFonts w:ascii="Times New Roman" w:hAnsi="Times New Roman" w:eastAsia="宋体" w:cs="Times New Roman"/>
                <w:color w:val="auto"/>
                <w:szCs w:val="21"/>
              </w:rPr>
              <w:t>、PM</w:t>
            </w:r>
            <w:r>
              <w:rPr>
                <w:rFonts w:ascii="Times New Roman" w:hAnsi="Times New Roman" w:eastAsia="宋体" w:cs="Times New Roman"/>
                <w:color w:val="auto"/>
                <w:szCs w:val="21"/>
                <w:vertAlign w:val="subscript"/>
              </w:rPr>
              <w:t>2.5</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甲苯、二甲苯、非甲烷总烃</w:t>
            </w:r>
          </w:p>
        </w:tc>
        <w:tc>
          <w:tcPr>
            <w:tcW w:w="2145" w:type="dxa"/>
            <w:vAlign w:val="center"/>
          </w:tcPr>
          <w:p w14:paraId="186BD14D">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PM</w:t>
            </w:r>
            <w:r>
              <w:rPr>
                <w:rFonts w:ascii="Times New Roman" w:hAnsi="Times New Roman" w:eastAsia="宋体" w:cs="Times New Roman"/>
                <w:color w:val="auto"/>
                <w:szCs w:val="21"/>
                <w:vertAlign w:val="subscript"/>
              </w:rPr>
              <w:t>10</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TSP、</w:t>
            </w:r>
            <w:r>
              <w:rPr>
                <w:rFonts w:hint="eastAsia" w:ascii="Times New Roman" w:hAnsi="Times New Roman" w:eastAsia="宋体" w:cs="Times New Roman"/>
                <w:color w:val="auto"/>
                <w:szCs w:val="21"/>
                <w:lang w:val="en-US" w:eastAsia="zh-CN"/>
              </w:rPr>
              <w:t>苯、</w:t>
            </w:r>
            <w:r>
              <w:rPr>
                <w:rFonts w:hint="eastAsia" w:ascii="Times New Roman" w:hAnsi="Times New Roman" w:eastAsia="宋体" w:cs="Times New Roman"/>
                <w:color w:val="auto"/>
                <w:szCs w:val="21"/>
              </w:rPr>
              <w:t>甲苯、二甲苯、非甲烷总烃</w:t>
            </w:r>
          </w:p>
        </w:tc>
        <w:tc>
          <w:tcPr>
            <w:tcW w:w="1701" w:type="dxa"/>
            <w:vAlign w:val="center"/>
          </w:tcPr>
          <w:p w14:paraId="43E94F7E">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颗粒物、VOC</w:t>
            </w:r>
            <w:r>
              <w:rPr>
                <w:rFonts w:hint="eastAsia" w:ascii="Times New Roman" w:hAnsi="Times New Roman" w:eastAsia="宋体" w:cs="Times New Roman"/>
                <w:color w:val="auto"/>
                <w:szCs w:val="21"/>
                <w:vertAlign w:val="subscript"/>
              </w:rPr>
              <w:t>S</w:t>
            </w:r>
          </w:p>
        </w:tc>
      </w:tr>
      <w:tr w14:paraId="6275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vAlign w:val="center"/>
          </w:tcPr>
          <w:p w14:paraId="3F6B314F">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2</w:t>
            </w:r>
          </w:p>
        </w:tc>
        <w:tc>
          <w:tcPr>
            <w:tcW w:w="890" w:type="dxa"/>
            <w:vAlign w:val="center"/>
          </w:tcPr>
          <w:p w14:paraId="749CBB4F">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水环境</w:t>
            </w:r>
          </w:p>
        </w:tc>
        <w:tc>
          <w:tcPr>
            <w:tcW w:w="3261" w:type="dxa"/>
            <w:vAlign w:val="center"/>
          </w:tcPr>
          <w:p w14:paraId="12990018">
            <w:pPr>
              <w:jc w:val="center"/>
              <w:rPr>
                <w:rFonts w:ascii="Times New Roman" w:hAnsi="Times New Roman" w:eastAsia="宋体" w:cs="Times New Roman"/>
                <w:color w:val="auto"/>
                <w:szCs w:val="22"/>
              </w:rPr>
            </w:pPr>
            <w:r>
              <w:rPr>
                <w:rFonts w:hint="eastAsia" w:ascii="Times New Roman" w:hAnsi="Times New Roman" w:eastAsia="宋体" w:cs="Times New Roman"/>
                <w:color w:val="auto"/>
                <w:szCs w:val="21"/>
              </w:rPr>
              <w:t>高锰酸盐指数</w:t>
            </w:r>
            <w:r>
              <w:rPr>
                <w:rFonts w:ascii="Times New Roman" w:hAnsi="Times New Roman" w:eastAsia="宋体" w:cs="Times New Roman"/>
                <w:color w:val="auto"/>
                <w:szCs w:val="21"/>
              </w:rPr>
              <w:t>、氨氮、</w:t>
            </w:r>
            <w:r>
              <w:rPr>
                <w:rFonts w:hint="eastAsia" w:ascii="Times New Roman" w:hAnsi="Times New Roman" w:eastAsia="宋体" w:cs="Times New Roman"/>
                <w:color w:val="auto"/>
                <w:szCs w:val="21"/>
              </w:rPr>
              <w:t>总磷、甲苯、二甲苯</w:t>
            </w:r>
          </w:p>
        </w:tc>
        <w:tc>
          <w:tcPr>
            <w:tcW w:w="2145" w:type="dxa"/>
            <w:vAlign w:val="center"/>
          </w:tcPr>
          <w:p w14:paraId="02138A1A">
            <w:pPr>
              <w:adjustRightInd w:val="0"/>
              <w:snapToGrid w:val="0"/>
              <w:jc w:val="center"/>
              <w:rPr>
                <w:rFonts w:ascii="Times New Roman" w:hAnsi="Times New Roman" w:eastAsia="宋体" w:cs="Times New Roman"/>
                <w:color w:val="auto"/>
                <w:szCs w:val="22"/>
              </w:rPr>
            </w:pPr>
            <w:r>
              <w:rPr>
                <w:rFonts w:ascii="Times New Roman" w:hAnsi="Times New Roman" w:eastAsia="宋体" w:cs="Times New Roman"/>
                <w:color w:val="auto"/>
                <w:szCs w:val="22"/>
              </w:rPr>
              <w:t>——</w:t>
            </w:r>
          </w:p>
        </w:tc>
        <w:tc>
          <w:tcPr>
            <w:tcW w:w="1701" w:type="dxa"/>
            <w:vAlign w:val="center"/>
          </w:tcPr>
          <w:p w14:paraId="691C8E49">
            <w:pPr>
              <w:adjustRightInd w:val="0"/>
              <w:snapToGrid w:val="0"/>
              <w:jc w:val="center"/>
              <w:rPr>
                <w:rFonts w:ascii="Times New Roman" w:hAnsi="Times New Roman" w:eastAsia="宋体" w:cs="Times New Roman"/>
                <w:color w:val="auto"/>
                <w:szCs w:val="22"/>
              </w:rPr>
            </w:pPr>
            <w:r>
              <w:rPr>
                <w:rFonts w:ascii="Times New Roman" w:hAnsi="Times New Roman" w:cs="Times New Roman"/>
                <w:color w:val="auto"/>
                <w:szCs w:val="21"/>
              </w:rPr>
              <w:t>COD、氨氮</w:t>
            </w:r>
          </w:p>
        </w:tc>
      </w:tr>
      <w:tr w14:paraId="6DA2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vAlign w:val="center"/>
          </w:tcPr>
          <w:p w14:paraId="6F7896F4">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3</w:t>
            </w:r>
          </w:p>
        </w:tc>
        <w:tc>
          <w:tcPr>
            <w:tcW w:w="890" w:type="dxa"/>
            <w:vAlign w:val="center"/>
          </w:tcPr>
          <w:p w14:paraId="6DF7D02F">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地下水</w:t>
            </w:r>
          </w:p>
        </w:tc>
        <w:tc>
          <w:tcPr>
            <w:tcW w:w="3261" w:type="dxa"/>
            <w:vAlign w:val="center"/>
          </w:tcPr>
          <w:p w14:paraId="68626E38">
            <w:pPr>
              <w:adjustRightInd w:val="0"/>
              <w:rPr>
                <w:rFonts w:ascii="Times New Roman" w:hAnsi="Times New Roman" w:eastAsia="宋体" w:cs="Times New Roman"/>
                <w:color w:val="auto"/>
                <w:szCs w:val="22"/>
              </w:rPr>
            </w:pPr>
            <w:r>
              <w:rPr>
                <w:rFonts w:hint="eastAsia" w:ascii="Times New Roman" w:hAnsi="Times New Roman" w:cs="Times New Roman"/>
                <w:color w:val="auto"/>
                <w:kern w:val="0"/>
                <w:szCs w:val="21"/>
              </w:rPr>
              <w:t>K</w:t>
            </w:r>
            <w:r>
              <w:rPr>
                <w:rFonts w:hint="eastAsia" w:ascii="Times New Roman" w:hAnsi="Times New Roman" w:cs="Times New Roman"/>
                <w:color w:val="auto"/>
                <w:kern w:val="0"/>
                <w:szCs w:val="21"/>
                <w:vertAlign w:val="superscript"/>
              </w:rPr>
              <w:t>+</w:t>
            </w:r>
            <w:r>
              <w:rPr>
                <w:rFonts w:hint="eastAsia" w:ascii="Times New Roman" w:hAnsi="Times New Roman" w:cs="Times New Roman"/>
                <w:color w:val="auto"/>
                <w:kern w:val="0"/>
                <w:szCs w:val="21"/>
              </w:rPr>
              <w:t>+Na</w:t>
            </w:r>
            <w:r>
              <w:rPr>
                <w:rFonts w:hint="eastAsia" w:ascii="Times New Roman" w:hAnsi="Times New Roman" w:cs="Times New Roman"/>
                <w:color w:val="auto"/>
                <w:kern w:val="0"/>
                <w:szCs w:val="21"/>
                <w:vertAlign w:val="superscript"/>
              </w:rPr>
              <w:t>+</w:t>
            </w:r>
            <w:r>
              <w:rPr>
                <w:rFonts w:hint="eastAsia" w:ascii="Times New Roman" w:hAnsi="Times New Roman" w:cs="Times New Roman"/>
                <w:color w:val="auto"/>
                <w:kern w:val="0"/>
                <w:szCs w:val="21"/>
              </w:rPr>
              <w:t>、Ca</w:t>
            </w:r>
            <w:r>
              <w:rPr>
                <w:rFonts w:hint="eastAsia"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rPr>
              <w:t>、Mg</w:t>
            </w:r>
            <w:r>
              <w:rPr>
                <w:rFonts w:hint="eastAsia"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rPr>
              <w:t>、CO</w:t>
            </w:r>
            <w:r>
              <w:rPr>
                <w:rFonts w:hint="eastAsia" w:ascii="Times New Roman" w:hAnsi="Times New Roman" w:cs="Times New Roman"/>
                <w:color w:val="auto"/>
                <w:kern w:val="0"/>
                <w:szCs w:val="21"/>
                <w:vertAlign w:val="subscript"/>
              </w:rPr>
              <w:t>3</w:t>
            </w:r>
            <w:r>
              <w:rPr>
                <w:rFonts w:hint="eastAsia"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rPr>
              <w:t>、HCO</w:t>
            </w:r>
            <w:r>
              <w:rPr>
                <w:rFonts w:hint="eastAsia" w:ascii="Times New Roman" w:hAnsi="Times New Roman" w:cs="Times New Roman"/>
                <w:color w:val="auto"/>
                <w:kern w:val="0"/>
                <w:szCs w:val="21"/>
                <w:vertAlign w:val="subscript"/>
              </w:rPr>
              <w:t>3</w:t>
            </w:r>
            <w:r>
              <w:rPr>
                <w:rFonts w:hint="eastAsia" w:ascii="Times New Roman" w:hAnsi="Times New Roman" w:cs="Times New Roman"/>
                <w:color w:val="auto"/>
                <w:kern w:val="0"/>
                <w:szCs w:val="21"/>
                <w:vertAlign w:val="superscript"/>
              </w:rPr>
              <w:t>-</w:t>
            </w:r>
            <w:r>
              <w:rPr>
                <w:rFonts w:hint="eastAsia" w:ascii="Times New Roman" w:hAnsi="Times New Roman" w:cs="Times New Roman"/>
                <w:color w:val="auto"/>
                <w:kern w:val="0"/>
                <w:szCs w:val="21"/>
              </w:rPr>
              <w:t>、CI</w:t>
            </w:r>
            <w:r>
              <w:rPr>
                <w:rFonts w:hint="eastAsia" w:ascii="Times New Roman" w:hAnsi="Times New Roman" w:cs="Times New Roman"/>
                <w:color w:val="auto"/>
                <w:kern w:val="0"/>
                <w:szCs w:val="21"/>
                <w:vertAlign w:val="superscript"/>
              </w:rPr>
              <w:t>-</w:t>
            </w:r>
            <w:r>
              <w:rPr>
                <w:rFonts w:hint="eastAsia" w:ascii="Times New Roman" w:hAnsi="Times New Roman" w:cs="Times New Roman"/>
                <w:color w:val="auto"/>
                <w:kern w:val="0"/>
                <w:szCs w:val="21"/>
              </w:rPr>
              <w:t>、SO</w:t>
            </w:r>
            <w:r>
              <w:rPr>
                <w:rFonts w:hint="eastAsia" w:ascii="Times New Roman" w:hAnsi="Times New Roman" w:cs="Times New Roman"/>
                <w:color w:val="auto"/>
                <w:kern w:val="0"/>
                <w:szCs w:val="21"/>
                <w:vertAlign w:val="subscript"/>
              </w:rPr>
              <w:t>4</w:t>
            </w:r>
            <w:r>
              <w:rPr>
                <w:rFonts w:hint="eastAsia"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rPr>
              <w:t>、pH、氨氮、硝酸盐、亚硝酸盐、挥发性酚类、氰化物、砷、汞、铬（六价）、总硬度、铅、氟、镉、铁、锰、溶解性总固体、耗氧量、硫酸盐、氯化物、总大肠菌群、细菌总数、甲苯、二甲苯</w:t>
            </w:r>
          </w:p>
        </w:tc>
        <w:tc>
          <w:tcPr>
            <w:tcW w:w="2145" w:type="dxa"/>
            <w:vAlign w:val="center"/>
          </w:tcPr>
          <w:p w14:paraId="554AE01A">
            <w:pPr>
              <w:adjustRightInd w:val="0"/>
              <w:snapToGrid w:val="0"/>
              <w:jc w:val="center"/>
              <w:rPr>
                <w:rFonts w:ascii="Times New Roman" w:hAnsi="Times New Roman" w:eastAsia="宋体" w:cs="Times New Roman"/>
                <w:color w:val="auto"/>
                <w:szCs w:val="22"/>
              </w:rPr>
            </w:pPr>
            <w:r>
              <w:rPr>
                <w:rFonts w:hint="eastAsia" w:ascii="Times New Roman" w:hAnsi="Times New Roman" w:cs="Times New Roman"/>
                <w:color w:val="auto"/>
                <w:szCs w:val="21"/>
              </w:rPr>
              <w:t>耗氧量、</w:t>
            </w:r>
            <w:r>
              <w:rPr>
                <w:rFonts w:ascii="Times New Roman" w:hAnsi="Times New Roman" w:cs="Times New Roman"/>
                <w:color w:val="auto"/>
                <w:szCs w:val="21"/>
              </w:rPr>
              <w:t>甲苯、二甲苯</w:t>
            </w:r>
          </w:p>
        </w:tc>
        <w:tc>
          <w:tcPr>
            <w:tcW w:w="1701" w:type="dxa"/>
            <w:vAlign w:val="center"/>
          </w:tcPr>
          <w:p w14:paraId="4BF75199">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w:t>
            </w:r>
          </w:p>
        </w:tc>
      </w:tr>
      <w:tr w14:paraId="5FFC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vAlign w:val="center"/>
          </w:tcPr>
          <w:p w14:paraId="6B8D6A10">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4</w:t>
            </w:r>
          </w:p>
        </w:tc>
        <w:tc>
          <w:tcPr>
            <w:tcW w:w="890" w:type="dxa"/>
            <w:vAlign w:val="center"/>
          </w:tcPr>
          <w:p w14:paraId="195079DE">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声</w:t>
            </w:r>
          </w:p>
        </w:tc>
        <w:tc>
          <w:tcPr>
            <w:tcW w:w="3261" w:type="dxa"/>
            <w:vAlign w:val="center"/>
          </w:tcPr>
          <w:p w14:paraId="2AF88DE6">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等效连续A声级</w:t>
            </w:r>
          </w:p>
        </w:tc>
        <w:tc>
          <w:tcPr>
            <w:tcW w:w="2145" w:type="dxa"/>
            <w:vAlign w:val="center"/>
          </w:tcPr>
          <w:p w14:paraId="75E67DC3">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Leq[A]</w:t>
            </w:r>
          </w:p>
        </w:tc>
        <w:tc>
          <w:tcPr>
            <w:tcW w:w="1701" w:type="dxa"/>
            <w:vAlign w:val="center"/>
          </w:tcPr>
          <w:p w14:paraId="3E59E249">
            <w:pPr>
              <w:adjustRightInd w:val="0"/>
              <w:snapToGrid w:val="0"/>
              <w:jc w:val="center"/>
              <w:rPr>
                <w:rFonts w:ascii="Times New Roman" w:hAnsi="Times New Roman" w:eastAsia="宋体" w:cs="Times New Roman"/>
                <w:szCs w:val="22"/>
              </w:rPr>
            </w:pPr>
            <w:r>
              <w:rPr>
                <w:rFonts w:hint="eastAsia" w:ascii="Times New Roman" w:hAnsi="Times New Roman" w:eastAsia="宋体" w:cs="Times New Roman"/>
                <w:szCs w:val="22"/>
              </w:rPr>
              <w:t>/</w:t>
            </w:r>
          </w:p>
        </w:tc>
      </w:tr>
      <w:tr w14:paraId="1746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vAlign w:val="center"/>
          </w:tcPr>
          <w:p w14:paraId="414FE830">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5</w:t>
            </w:r>
          </w:p>
        </w:tc>
        <w:tc>
          <w:tcPr>
            <w:tcW w:w="890" w:type="dxa"/>
            <w:vAlign w:val="center"/>
          </w:tcPr>
          <w:p w14:paraId="613879F4">
            <w:pPr>
              <w:adjustRightInd w:val="0"/>
              <w:snapToGrid w:val="0"/>
              <w:jc w:val="center"/>
              <w:rPr>
                <w:rFonts w:ascii="Times New Roman" w:hAnsi="Times New Roman" w:eastAsia="宋体" w:cs="Times New Roman"/>
                <w:szCs w:val="22"/>
              </w:rPr>
            </w:pPr>
            <w:r>
              <w:rPr>
                <w:rFonts w:ascii="Times New Roman" w:hAnsi="Times New Roman" w:eastAsia="宋体" w:cs="Times New Roman"/>
                <w:szCs w:val="22"/>
              </w:rPr>
              <w:t>土壤</w:t>
            </w:r>
          </w:p>
        </w:tc>
        <w:tc>
          <w:tcPr>
            <w:tcW w:w="3261" w:type="dxa"/>
          </w:tcPr>
          <w:p w14:paraId="7F5B158B">
            <w:pPr>
              <w:jc w:val="center"/>
              <w:rPr>
                <w:rFonts w:ascii="Times New Roman" w:hAnsi="Times New Roman" w:eastAsia="宋体" w:cs="Times New Roman"/>
                <w:szCs w:val="22"/>
              </w:rPr>
            </w:pPr>
            <w:r>
              <w:rPr>
                <w:rFonts w:ascii="Times New Roman" w:hAnsi="Times New Roman" w:eastAsia="宋体" w:cs="Times New Roman"/>
                <w:szCs w:val="22"/>
              </w:rPr>
              <w:t>pH、</w:t>
            </w:r>
            <w:r>
              <w:rPr>
                <w:rFonts w:ascii="Times New Roman" w:hAnsi="Times New Roman" w:eastAsia="宋体" w:cs="Times New Roman"/>
                <w:kern w:val="0"/>
                <w:szCs w:val="22"/>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笨并[a,h]蒽、茚并[1,2,3-cd]芘、萘、</w:t>
            </w:r>
            <w:r>
              <w:rPr>
                <w:rFonts w:hint="eastAsia" w:ascii="Times New Roman" w:hAnsi="Times New Roman" w:eastAsia="宋体" w:cs="Times New Roman"/>
                <w:kern w:val="0"/>
                <w:szCs w:val="21"/>
              </w:rPr>
              <w:t>甲苯、二甲苯、石油烃</w:t>
            </w:r>
            <w:r>
              <w:rPr>
                <w:rFonts w:ascii="Times New Roman" w:hAnsi="Times New Roman" w:eastAsia="宋体" w:cs="Times New Roman"/>
                <w:kern w:val="0"/>
                <w:szCs w:val="21"/>
              </w:rPr>
              <w:t>。</w:t>
            </w:r>
          </w:p>
        </w:tc>
        <w:tc>
          <w:tcPr>
            <w:tcW w:w="2145" w:type="dxa"/>
            <w:vAlign w:val="center"/>
          </w:tcPr>
          <w:p w14:paraId="7EFD31D9">
            <w:pPr>
              <w:jc w:val="center"/>
              <w:rPr>
                <w:rFonts w:ascii="Times New Roman" w:hAnsi="Times New Roman" w:eastAsia="宋体" w:cs="Times New Roman"/>
                <w:szCs w:val="22"/>
              </w:rPr>
            </w:pPr>
            <w:r>
              <w:rPr>
                <w:rFonts w:hint="eastAsia" w:ascii="Times New Roman" w:hAnsi="Times New Roman" w:cs="Times New Roman"/>
                <w:bCs/>
                <w:szCs w:val="21"/>
              </w:rPr>
              <w:t>大气沉降：</w:t>
            </w:r>
            <w:r>
              <w:rPr>
                <w:rFonts w:hint="eastAsia" w:ascii="Times New Roman" w:hAnsi="Times New Roman" w:cs="Times New Roman"/>
                <w:bCs/>
                <w:szCs w:val="21"/>
                <w:lang w:val="en-US" w:eastAsia="zh-CN"/>
              </w:rPr>
              <w:t>苯、</w:t>
            </w:r>
            <w:r>
              <w:rPr>
                <w:rFonts w:hint="eastAsia" w:ascii="Times New Roman" w:hAnsi="Times New Roman" w:cs="Times New Roman"/>
                <w:bCs/>
                <w:szCs w:val="21"/>
              </w:rPr>
              <w:t>甲苯、二甲苯</w:t>
            </w:r>
            <w:r>
              <w:rPr>
                <w:rFonts w:ascii="Times New Roman" w:hAnsi="Times New Roman" w:cs="Times New Roman"/>
                <w:bCs/>
                <w:szCs w:val="21"/>
              </w:rPr>
              <w:t>、</w:t>
            </w:r>
            <w:r>
              <w:rPr>
                <w:rFonts w:ascii="Times New Roman" w:hAnsi="Times New Roman" w:eastAsia="宋体" w:cs="Times New Roman"/>
                <w:szCs w:val="21"/>
              </w:rPr>
              <w:t>非甲烷总烃</w:t>
            </w:r>
            <w:r>
              <w:rPr>
                <w:rFonts w:hint="eastAsia" w:ascii="Times New Roman" w:hAnsi="Times New Roman" w:eastAsia="宋体" w:cs="Times New Roman"/>
                <w:szCs w:val="21"/>
              </w:rPr>
              <w:t>；垂直入渗：</w:t>
            </w:r>
            <w:r>
              <w:rPr>
                <w:rFonts w:ascii="Times New Roman" w:hAnsi="Times New Roman" w:eastAsia="宋体" w:cs="Times New Roman"/>
                <w:bCs/>
                <w:szCs w:val="21"/>
              </w:rPr>
              <w:t>COD</w:t>
            </w:r>
            <w:r>
              <w:rPr>
                <w:rFonts w:hint="eastAsia" w:ascii="Times New Roman" w:hAnsi="Times New Roman" w:eastAsia="宋体" w:cs="Times New Roman"/>
                <w:bCs/>
                <w:szCs w:val="21"/>
              </w:rPr>
              <w:t>、甲苯、二甲苯</w:t>
            </w:r>
          </w:p>
        </w:tc>
        <w:tc>
          <w:tcPr>
            <w:tcW w:w="1701" w:type="dxa"/>
            <w:vAlign w:val="center"/>
          </w:tcPr>
          <w:p w14:paraId="76543281">
            <w:pPr>
              <w:jc w:val="center"/>
              <w:rPr>
                <w:rFonts w:ascii="Times New Roman" w:hAnsi="Times New Roman" w:cs="Times New Roman"/>
                <w:bCs/>
                <w:szCs w:val="21"/>
              </w:rPr>
            </w:pPr>
            <w:r>
              <w:rPr>
                <w:rFonts w:hint="eastAsia" w:ascii="Times New Roman" w:hAnsi="Times New Roman" w:cs="Times New Roman"/>
                <w:bCs/>
                <w:szCs w:val="21"/>
              </w:rPr>
              <w:t>/</w:t>
            </w:r>
          </w:p>
        </w:tc>
      </w:tr>
      <w:tr w14:paraId="2EA9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vAlign w:val="center"/>
          </w:tcPr>
          <w:p w14:paraId="2474B20A">
            <w:pPr>
              <w:adjustRightInd w:val="0"/>
              <w:snapToGrid w:val="0"/>
              <w:jc w:val="center"/>
              <w:rPr>
                <w:rFonts w:ascii="Times New Roman" w:hAnsi="Times New Roman" w:eastAsia="宋体" w:cs="Times New Roman"/>
                <w:szCs w:val="22"/>
              </w:rPr>
            </w:pPr>
            <w:r>
              <w:rPr>
                <w:rFonts w:hint="eastAsia" w:ascii="Times New Roman" w:hAnsi="Times New Roman" w:eastAsia="宋体" w:cs="Times New Roman"/>
                <w:szCs w:val="22"/>
              </w:rPr>
              <w:t>6</w:t>
            </w:r>
          </w:p>
        </w:tc>
        <w:tc>
          <w:tcPr>
            <w:tcW w:w="890" w:type="dxa"/>
            <w:vAlign w:val="center"/>
          </w:tcPr>
          <w:p w14:paraId="2C31B5F9">
            <w:pPr>
              <w:adjustRightInd w:val="0"/>
              <w:snapToGrid w:val="0"/>
              <w:jc w:val="center"/>
              <w:rPr>
                <w:rFonts w:ascii="Times New Roman" w:hAnsi="Times New Roman" w:eastAsia="宋体" w:cs="Times New Roman"/>
                <w:szCs w:val="22"/>
              </w:rPr>
            </w:pPr>
            <w:r>
              <w:rPr>
                <w:rFonts w:hint="eastAsia" w:ascii="Times New Roman" w:hAnsi="Times New Roman" w:eastAsia="宋体" w:cs="Times New Roman"/>
                <w:szCs w:val="22"/>
              </w:rPr>
              <w:t>环境风险</w:t>
            </w:r>
          </w:p>
        </w:tc>
        <w:tc>
          <w:tcPr>
            <w:tcW w:w="3261" w:type="dxa"/>
            <w:vAlign w:val="center"/>
          </w:tcPr>
          <w:p w14:paraId="3F4DC767">
            <w:pPr>
              <w:jc w:val="center"/>
              <w:rPr>
                <w:rFonts w:ascii="Times New Roman" w:hAnsi="Times New Roman" w:eastAsia="宋体" w:cs="Times New Roman"/>
                <w:szCs w:val="22"/>
              </w:rPr>
            </w:pPr>
            <w:r>
              <w:rPr>
                <w:rFonts w:hint="eastAsia" w:ascii="Times New Roman" w:hAnsi="Times New Roman" w:eastAsia="宋体" w:cs="Times New Roman"/>
                <w:szCs w:val="21"/>
              </w:rPr>
              <w:t>/</w:t>
            </w:r>
          </w:p>
        </w:tc>
        <w:tc>
          <w:tcPr>
            <w:tcW w:w="2145" w:type="dxa"/>
            <w:vAlign w:val="center"/>
          </w:tcPr>
          <w:p w14:paraId="34423AFF">
            <w:pPr>
              <w:jc w:val="center"/>
              <w:rPr>
                <w:rFonts w:ascii="Times New Roman" w:hAnsi="Times New Roman" w:cs="Times New Roman"/>
                <w:szCs w:val="21"/>
              </w:rPr>
            </w:pPr>
            <w:r>
              <w:rPr>
                <w:rFonts w:hint="eastAsia" w:cs="Times New Roman"/>
                <w:szCs w:val="21"/>
              </w:rPr>
              <w:t>简单分析</w:t>
            </w:r>
          </w:p>
        </w:tc>
        <w:tc>
          <w:tcPr>
            <w:tcW w:w="1701" w:type="dxa"/>
            <w:vAlign w:val="center"/>
          </w:tcPr>
          <w:p w14:paraId="6CE6AD79">
            <w:pPr>
              <w:jc w:val="center"/>
              <w:rPr>
                <w:rFonts w:cs="Times New Roman"/>
                <w:szCs w:val="21"/>
              </w:rPr>
            </w:pPr>
            <w:r>
              <w:rPr>
                <w:rFonts w:hint="eastAsia" w:cs="Times New Roman"/>
                <w:szCs w:val="21"/>
              </w:rPr>
              <w:t>/</w:t>
            </w:r>
          </w:p>
        </w:tc>
      </w:tr>
    </w:tbl>
    <w:p w14:paraId="5BA917FC">
      <w:pPr>
        <w:pStyle w:val="3"/>
        <w:numPr>
          <w:ilvl w:val="1"/>
          <w:numId w:val="10"/>
        </w:numPr>
      </w:pPr>
      <w:bookmarkStart w:id="21" w:name="_Toc20334"/>
      <w:bookmarkStart w:id="22" w:name="_Toc4303"/>
      <w:r>
        <w:rPr>
          <w:rFonts w:hint="eastAsia"/>
        </w:rPr>
        <w:t>环境功能区划及评价标准</w:t>
      </w:r>
      <w:bookmarkEnd w:id="21"/>
      <w:bookmarkEnd w:id="22"/>
    </w:p>
    <w:p w14:paraId="1284464E">
      <w:pPr>
        <w:pStyle w:val="4"/>
        <w:numPr>
          <w:ilvl w:val="2"/>
          <w:numId w:val="19"/>
        </w:numPr>
        <w:tabs>
          <w:tab w:val="clear" w:pos="0"/>
        </w:tabs>
      </w:pPr>
      <w:r>
        <w:t>环境质量标准</w:t>
      </w:r>
    </w:p>
    <w:p w14:paraId="424393FF">
      <w:pPr>
        <w:spacing w:line="360" w:lineRule="auto"/>
        <w:ind w:firstLine="480"/>
        <w:rPr>
          <w:rFonts w:ascii="Times New Roman" w:hAnsi="Times New Roman" w:cs="Times New Roman"/>
          <w:sz w:val="24"/>
          <w:szCs w:val="32"/>
        </w:rPr>
      </w:pPr>
      <w:r>
        <w:rPr>
          <w:rFonts w:ascii="Times New Roman" w:hAnsi="Times New Roman" w:cs="Times New Roman"/>
          <w:sz w:val="24"/>
          <w:szCs w:val="32"/>
        </w:rPr>
        <w:t>本次环评环境质量标准见</w:t>
      </w:r>
      <w:r>
        <w:rPr>
          <w:rFonts w:hint="eastAsia" w:ascii="Times New Roman" w:hAnsi="Times New Roman" w:cs="Times New Roman"/>
          <w:sz w:val="24"/>
          <w:szCs w:val="32"/>
        </w:rPr>
        <w:t>下</w:t>
      </w:r>
      <w:r>
        <w:rPr>
          <w:rFonts w:ascii="Times New Roman" w:hAnsi="Times New Roman" w:cs="Times New Roman"/>
          <w:sz w:val="24"/>
          <w:szCs w:val="32"/>
        </w:rPr>
        <w:t>表。</w:t>
      </w:r>
    </w:p>
    <w:p w14:paraId="476363A2">
      <w:pPr>
        <w:numPr>
          <w:ilvl w:val="0"/>
          <w:numId w:val="20"/>
        </w:numPr>
        <w:jc w:val="center"/>
        <w:rPr>
          <w:rFonts w:ascii="Times New Roman" w:hAnsi="Times New Roman" w:cs="Times New Roman"/>
          <w:b/>
          <w:bCs/>
          <w:szCs w:val="21"/>
        </w:rPr>
      </w:pPr>
      <w:r>
        <w:rPr>
          <w:rFonts w:ascii="Times New Roman" w:hAnsi="Times New Roman" w:cs="Times New Roman"/>
          <w:b/>
          <w:bCs/>
          <w:szCs w:val="21"/>
        </w:rPr>
        <w:t xml:space="preserve"> 环境质量标准一览表</w:t>
      </w:r>
    </w:p>
    <w:tbl>
      <w:tblPr>
        <w:tblStyle w:val="30"/>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2624"/>
        <w:gridCol w:w="836"/>
        <w:gridCol w:w="1444"/>
        <w:gridCol w:w="2551"/>
      </w:tblGrid>
      <w:tr w14:paraId="3329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1062" w:type="dxa"/>
            <w:tcBorders>
              <w:tl2br w:val="nil"/>
              <w:tr2bl w:val="nil"/>
            </w:tcBorders>
            <w:tcMar>
              <w:top w:w="85" w:type="dxa"/>
              <w:bottom w:w="85" w:type="dxa"/>
            </w:tcMar>
            <w:vAlign w:val="center"/>
          </w:tcPr>
          <w:p w14:paraId="6CE44A63">
            <w:pPr>
              <w:jc w:val="center"/>
              <w:rPr>
                <w:rFonts w:ascii="Times New Roman" w:hAnsi="Times New Roman" w:cs="Times New Roman"/>
                <w:color w:val="auto"/>
                <w:szCs w:val="21"/>
              </w:rPr>
            </w:pPr>
            <w:r>
              <w:rPr>
                <w:rFonts w:ascii="Times New Roman" w:hAnsi="Times New Roman" w:cs="Times New Roman"/>
                <w:color w:val="auto"/>
                <w:szCs w:val="21"/>
              </w:rPr>
              <w:t>环境要素</w:t>
            </w:r>
          </w:p>
        </w:tc>
        <w:tc>
          <w:tcPr>
            <w:tcW w:w="2624" w:type="dxa"/>
            <w:tcBorders>
              <w:tl2br w:val="nil"/>
              <w:tr2bl w:val="nil"/>
            </w:tcBorders>
            <w:tcMar>
              <w:top w:w="85" w:type="dxa"/>
              <w:bottom w:w="85" w:type="dxa"/>
            </w:tcMar>
            <w:vAlign w:val="center"/>
          </w:tcPr>
          <w:p w14:paraId="7143C6D9">
            <w:pPr>
              <w:jc w:val="center"/>
              <w:rPr>
                <w:rFonts w:ascii="Times New Roman" w:hAnsi="Times New Roman" w:cs="Times New Roman"/>
                <w:color w:val="auto"/>
                <w:szCs w:val="21"/>
              </w:rPr>
            </w:pPr>
            <w:r>
              <w:rPr>
                <w:rFonts w:ascii="Times New Roman" w:hAnsi="Times New Roman" w:cs="Times New Roman"/>
                <w:color w:val="auto"/>
                <w:szCs w:val="21"/>
              </w:rPr>
              <w:t>标准名称及级（类）别</w:t>
            </w:r>
          </w:p>
        </w:tc>
        <w:tc>
          <w:tcPr>
            <w:tcW w:w="2280" w:type="dxa"/>
            <w:gridSpan w:val="2"/>
            <w:tcBorders>
              <w:tl2br w:val="nil"/>
              <w:tr2bl w:val="nil"/>
            </w:tcBorders>
            <w:tcMar>
              <w:top w:w="85" w:type="dxa"/>
              <w:bottom w:w="85" w:type="dxa"/>
            </w:tcMar>
            <w:vAlign w:val="center"/>
          </w:tcPr>
          <w:p w14:paraId="130982FE">
            <w:pPr>
              <w:jc w:val="center"/>
              <w:rPr>
                <w:rFonts w:ascii="Times New Roman" w:hAnsi="Times New Roman" w:cs="Times New Roman"/>
                <w:color w:val="auto"/>
                <w:szCs w:val="21"/>
              </w:rPr>
            </w:pPr>
            <w:r>
              <w:rPr>
                <w:rFonts w:ascii="Times New Roman" w:hAnsi="Times New Roman" w:cs="Times New Roman"/>
                <w:color w:val="auto"/>
                <w:szCs w:val="21"/>
              </w:rPr>
              <w:t>项目</w:t>
            </w:r>
          </w:p>
        </w:tc>
        <w:tc>
          <w:tcPr>
            <w:tcW w:w="2551" w:type="dxa"/>
            <w:tcBorders>
              <w:tl2br w:val="nil"/>
              <w:tr2bl w:val="nil"/>
            </w:tcBorders>
            <w:tcMar>
              <w:top w:w="85" w:type="dxa"/>
              <w:bottom w:w="85" w:type="dxa"/>
            </w:tcMar>
            <w:vAlign w:val="center"/>
          </w:tcPr>
          <w:p w14:paraId="7328BBFC">
            <w:pPr>
              <w:jc w:val="center"/>
              <w:rPr>
                <w:rFonts w:ascii="Times New Roman" w:hAnsi="Times New Roman" w:cs="Times New Roman"/>
                <w:color w:val="auto"/>
                <w:szCs w:val="21"/>
              </w:rPr>
            </w:pPr>
            <w:r>
              <w:rPr>
                <w:rFonts w:ascii="Times New Roman" w:hAnsi="Times New Roman" w:cs="Times New Roman"/>
                <w:color w:val="auto"/>
                <w:szCs w:val="21"/>
              </w:rPr>
              <w:t>标准限值</w:t>
            </w:r>
          </w:p>
        </w:tc>
      </w:tr>
      <w:tr w14:paraId="3224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restart"/>
            <w:tcBorders>
              <w:tl2br w:val="nil"/>
              <w:tr2bl w:val="nil"/>
            </w:tcBorders>
            <w:tcMar>
              <w:top w:w="85" w:type="dxa"/>
              <w:bottom w:w="85" w:type="dxa"/>
            </w:tcMar>
            <w:vAlign w:val="center"/>
          </w:tcPr>
          <w:p w14:paraId="1A295ADB">
            <w:pPr>
              <w:jc w:val="center"/>
              <w:rPr>
                <w:rFonts w:ascii="Times New Roman" w:hAnsi="Times New Roman" w:cs="Times New Roman"/>
                <w:color w:val="auto"/>
                <w:szCs w:val="21"/>
              </w:rPr>
            </w:pPr>
            <w:r>
              <w:rPr>
                <w:rFonts w:ascii="Times New Roman" w:hAnsi="Times New Roman" w:cs="Times New Roman"/>
                <w:color w:val="auto"/>
                <w:szCs w:val="21"/>
              </w:rPr>
              <w:t>地表水</w:t>
            </w:r>
          </w:p>
        </w:tc>
        <w:tc>
          <w:tcPr>
            <w:tcW w:w="2624" w:type="dxa"/>
            <w:vMerge w:val="restart"/>
            <w:tcBorders>
              <w:tl2br w:val="nil"/>
              <w:tr2bl w:val="nil"/>
            </w:tcBorders>
            <w:tcMar>
              <w:top w:w="85" w:type="dxa"/>
              <w:bottom w:w="85" w:type="dxa"/>
            </w:tcMar>
            <w:vAlign w:val="center"/>
          </w:tcPr>
          <w:p w14:paraId="2A9ED9C7">
            <w:pPr>
              <w:jc w:val="center"/>
              <w:rPr>
                <w:rFonts w:ascii="Times New Roman" w:hAnsi="Times New Roman" w:cs="Times New Roman"/>
                <w:color w:val="auto"/>
                <w:szCs w:val="21"/>
              </w:rPr>
            </w:pPr>
            <w:r>
              <w:rPr>
                <w:rFonts w:ascii="Times New Roman" w:hAnsi="Times New Roman" w:cs="Times New Roman"/>
                <w:color w:val="auto"/>
                <w:szCs w:val="21"/>
              </w:rPr>
              <w:t>《地表水环境质量标准》（GB3838-2002）Ⅳ类标准</w:t>
            </w:r>
          </w:p>
        </w:tc>
        <w:tc>
          <w:tcPr>
            <w:tcW w:w="2280" w:type="dxa"/>
            <w:gridSpan w:val="2"/>
            <w:tcBorders>
              <w:tl2br w:val="nil"/>
              <w:tr2bl w:val="nil"/>
            </w:tcBorders>
            <w:tcMar>
              <w:top w:w="85" w:type="dxa"/>
              <w:bottom w:w="85" w:type="dxa"/>
            </w:tcMar>
            <w:vAlign w:val="center"/>
          </w:tcPr>
          <w:p w14:paraId="1BE20BC1">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高锰酸盐指数</w:t>
            </w:r>
          </w:p>
        </w:tc>
        <w:tc>
          <w:tcPr>
            <w:tcW w:w="2551" w:type="dxa"/>
            <w:tcBorders>
              <w:tl2br w:val="nil"/>
              <w:tr2bl w:val="nil"/>
            </w:tcBorders>
            <w:tcMar>
              <w:top w:w="85" w:type="dxa"/>
              <w:bottom w:w="85" w:type="dxa"/>
            </w:tcMar>
            <w:vAlign w:val="center"/>
          </w:tcPr>
          <w:p w14:paraId="424D5EE9">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1</w:t>
            </w:r>
            <w:r>
              <w:rPr>
                <w:rFonts w:ascii="Times New Roman" w:hAnsi="Times New Roman" w:cs="Times New Roman"/>
                <w:color w:val="auto"/>
                <w:szCs w:val="21"/>
              </w:rPr>
              <w:t>0mg/L</w:t>
            </w:r>
          </w:p>
        </w:tc>
      </w:tr>
      <w:tr w14:paraId="692C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16FB185F">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2068EA84">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088D958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氨氮</w:t>
            </w:r>
          </w:p>
        </w:tc>
        <w:tc>
          <w:tcPr>
            <w:tcW w:w="2551" w:type="dxa"/>
            <w:tcBorders>
              <w:tl2br w:val="nil"/>
              <w:tr2bl w:val="nil"/>
            </w:tcBorders>
            <w:tcMar>
              <w:top w:w="85" w:type="dxa"/>
              <w:bottom w:w="85" w:type="dxa"/>
            </w:tcMar>
            <w:vAlign w:val="center"/>
          </w:tcPr>
          <w:p w14:paraId="53E8E43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1.5mg/L</w:t>
            </w:r>
          </w:p>
        </w:tc>
      </w:tr>
      <w:tr w14:paraId="10A4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528CC0A8">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3D9BE50C">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2602210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pH</w:t>
            </w:r>
          </w:p>
        </w:tc>
        <w:tc>
          <w:tcPr>
            <w:tcW w:w="2551" w:type="dxa"/>
            <w:tcBorders>
              <w:tl2br w:val="nil"/>
              <w:tr2bl w:val="nil"/>
            </w:tcBorders>
            <w:tcMar>
              <w:top w:w="85" w:type="dxa"/>
              <w:bottom w:w="85" w:type="dxa"/>
            </w:tcMar>
            <w:vAlign w:val="center"/>
          </w:tcPr>
          <w:p w14:paraId="3FD3EC5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6-9</w:t>
            </w:r>
          </w:p>
        </w:tc>
      </w:tr>
      <w:tr w14:paraId="651E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133710F7">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46F2A91D">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050860C2">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总磷</w:t>
            </w:r>
          </w:p>
        </w:tc>
        <w:tc>
          <w:tcPr>
            <w:tcW w:w="2551" w:type="dxa"/>
            <w:tcBorders>
              <w:tl2br w:val="nil"/>
              <w:tr2bl w:val="nil"/>
            </w:tcBorders>
            <w:tcMar>
              <w:top w:w="85" w:type="dxa"/>
              <w:bottom w:w="85" w:type="dxa"/>
            </w:tcMar>
            <w:vAlign w:val="center"/>
          </w:tcPr>
          <w:p w14:paraId="07D9E0E9">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0.3</w:t>
            </w:r>
            <w:r>
              <w:rPr>
                <w:rFonts w:ascii="Times New Roman" w:hAnsi="Times New Roman" w:cs="Times New Roman"/>
                <w:color w:val="auto"/>
                <w:szCs w:val="21"/>
              </w:rPr>
              <w:t>mg/L</w:t>
            </w:r>
          </w:p>
        </w:tc>
      </w:tr>
      <w:tr w14:paraId="1E71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restart"/>
            <w:tcBorders>
              <w:tl2br w:val="nil"/>
              <w:tr2bl w:val="nil"/>
            </w:tcBorders>
            <w:tcMar>
              <w:top w:w="85" w:type="dxa"/>
              <w:bottom w:w="85" w:type="dxa"/>
            </w:tcMar>
            <w:vAlign w:val="center"/>
          </w:tcPr>
          <w:p w14:paraId="7F1382A2">
            <w:pPr>
              <w:jc w:val="center"/>
              <w:rPr>
                <w:rFonts w:ascii="Times New Roman" w:hAnsi="Times New Roman" w:cs="Times New Roman"/>
                <w:color w:val="auto"/>
                <w:szCs w:val="21"/>
              </w:rPr>
            </w:pPr>
            <w:r>
              <w:rPr>
                <w:rFonts w:ascii="Times New Roman" w:hAnsi="Times New Roman" w:cs="Times New Roman"/>
                <w:color w:val="auto"/>
                <w:szCs w:val="21"/>
              </w:rPr>
              <w:t>地下水</w:t>
            </w:r>
          </w:p>
        </w:tc>
        <w:tc>
          <w:tcPr>
            <w:tcW w:w="2624" w:type="dxa"/>
            <w:vMerge w:val="restart"/>
            <w:tcBorders>
              <w:tl2br w:val="nil"/>
              <w:tr2bl w:val="nil"/>
            </w:tcBorders>
            <w:tcMar>
              <w:top w:w="85" w:type="dxa"/>
              <w:bottom w:w="85" w:type="dxa"/>
            </w:tcMar>
            <w:vAlign w:val="center"/>
          </w:tcPr>
          <w:p w14:paraId="5CE0C25B">
            <w:pPr>
              <w:jc w:val="center"/>
              <w:rPr>
                <w:rFonts w:ascii="Times New Roman" w:hAnsi="Times New Roman" w:cs="Times New Roman"/>
                <w:color w:val="auto"/>
                <w:szCs w:val="21"/>
              </w:rPr>
            </w:pPr>
            <w:r>
              <w:rPr>
                <w:rFonts w:ascii="Times New Roman" w:hAnsi="Times New Roman" w:cs="Times New Roman"/>
                <w:color w:val="auto"/>
                <w:szCs w:val="21"/>
              </w:rPr>
              <w:t>《地下水质量标准》（GB/T14848-2017）Ⅲ类标准</w:t>
            </w:r>
          </w:p>
        </w:tc>
        <w:tc>
          <w:tcPr>
            <w:tcW w:w="2280" w:type="dxa"/>
            <w:gridSpan w:val="2"/>
            <w:tcBorders>
              <w:tl2br w:val="nil"/>
              <w:tr2bl w:val="nil"/>
            </w:tcBorders>
            <w:tcMar>
              <w:top w:w="85" w:type="dxa"/>
              <w:bottom w:w="85" w:type="dxa"/>
            </w:tcMar>
            <w:vAlign w:val="center"/>
          </w:tcPr>
          <w:p w14:paraId="625D291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耗氧量</w:t>
            </w:r>
          </w:p>
        </w:tc>
        <w:tc>
          <w:tcPr>
            <w:tcW w:w="2551" w:type="dxa"/>
            <w:tcBorders>
              <w:tl2br w:val="nil"/>
              <w:tr2bl w:val="nil"/>
            </w:tcBorders>
            <w:tcMar>
              <w:top w:w="85" w:type="dxa"/>
              <w:bottom w:w="85" w:type="dxa"/>
            </w:tcMar>
            <w:vAlign w:val="center"/>
          </w:tcPr>
          <w:p w14:paraId="25525EC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3.0mg/L</w:t>
            </w:r>
          </w:p>
        </w:tc>
      </w:tr>
      <w:tr w14:paraId="5F10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41D3C1AF">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04DA2476">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74ADD02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总硬度（CaCO</w:t>
            </w:r>
            <w:r>
              <w:rPr>
                <w:rFonts w:ascii="Times New Roman" w:hAnsi="Times New Roman" w:cs="Times New Roman"/>
                <w:color w:val="auto"/>
                <w:szCs w:val="21"/>
                <w:vertAlign w:val="subscript"/>
              </w:rPr>
              <w:t>3</w:t>
            </w:r>
            <w:r>
              <w:rPr>
                <w:rFonts w:ascii="Times New Roman" w:hAnsi="Times New Roman" w:cs="Times New Roman"/>
                <w:color w:val="auto"/>
                <w:szCs w:val="21"/>
              </w:rPr>
              <w:t>计）</w:t>
            </w:r>
          </w:p>
        </w:tc>
        <w:tc>
          <w:tcPr>
            <w:tcW w:w="2551" w:type="dxa"/>
            <w:tcBorders>
              <w:tl2br w:val="nil"/>
              <w:tr2bl w:val="nil"/>
            </w:tcBorders>
            <w:tcMar>
              <w:top w:w="85" w:type="dxa"/>
              <w:bottom w:w="85" w:type="dxa"/>
            </w:tcMar>
            <w:vAlign w:val="center"/>
          </w:tcPr>
          <w:p w14:paraId="2A7FFB4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450mg/L</w:t>
            </w:r>
          </w:p>
        </w:tc>
      </w:tr>
      <w:tr w14:paraId="3CB2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4CDEC771">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2E796CA0">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59A670A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氨氮</w:t>
            </w:r>
          </w:p>
        </w:tc>
        <w:tc>
          <w:tcPr>
            <w:tcW w:w="2551" w:type="dxa"/>
            <w:tcBorders>
              <w:tl2br w:val="nil"/>
              <w:tr2bl w:val="nil"/>
            </w:tcBorders>
            <w:tcMar>
              <w:top w:w="85" w:type="dxa"/>
              <w:bottom w:w="85" w:type="dxa"/>
            </w:tcMar>
            <w:vAlign w:val="center"/>
          </w:tcPr>
          <w:p w14:paraId="16A5057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w:t>
            </w:r>
            <w:r>
              <w:rPr>
                <w:rFonts w:hint="eastAsia" w:ascii="Times New Roman" w:hAnsi="Times New Roman" w:cs="Times New Roman"/>
                <w:color w:val="auto"/>
                <w:szCs w:val="21"/>
              </w:rPr>
              <w:t>5</w:t>
            </w:r>
            <w:r>
              <w:rPr>
                <w:rFonts w:ascii="Times New Roman" w:hAnsi="Times New Roman" w:cs="Times New Roman"/>
                <w:color w:val="auto"/>
                <w:szCs w:val="21"/>
              </w:rPr>
              <w:t>mg/L</w:t>
            </w:r>
          </w:p>
        </w:tc>
      </w:tr>
      <w:tr w14:paraId="5A3D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0E285C44">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3E57A135">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094DCC7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pH</w:t>
            </w:r>
          </w:p>
        </w:tc>
        <w:tc>
          <w:tcPr>
            <w:tcW w:w="2551" w:type="dxa"/>
            <w:tcBorders>
              <w:tl2br w:val="nil"/>
              <w:tr2bl w:val="nil"/>
            </w:tcBorders>
            <w:tcMar>
              <w:top w:w="85" w:type="dxa"/>
              <w:bottom w:w="85" w:type="dxa"/>
            </w:tcMar>
            <w:vAlign w:val="center"/>
          </w:tcPr>
          <w:p w14:paraId="0C66C34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6.5-8.5</w:t>
            </w:r>
            <w:r>
              <w:rPr>
                <w:rFonts w:ascii="Times New Roman" w:hAnsi="Times New Roman" w:cs="Times New Roman"/>
                <w:color w:val="auto"/>
                <w:szCs w:val="21"/>
              </w:rPr>
              <w:softHyphen/>
            </w:r>
          </w:p>
        </w:tc>
      </w:tr>
      <w:tr w14:paraId="7C37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217B9231">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43590262">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7F734A5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氯化物</w:t>
            </w:r>
          </w:p>
        </w:tc>
        <w:tc>
          <w:tcPr>
            <w:tcW w:w="2551" w:type="dxa"/>
            <w:tcBorders>
              <w:tl2br w:val="nil"/>
              <w:tr2bl w:val="nil"/>
            </w:tcBorders>
            <w:tcMar>
              <w:top w:w="85" w:type="dxa"/>
              <w:bottom w:w="85" w:type="dxa"/>
            </w:tcMar>
            <w:vAlign w:val="center"/>
          </w:tcPr>
          <w:p w14:paraId="2871A7D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250mg/L</w:t>
            </w:r>
          </w:p>
        </w:tc>
      </w:tr>
      <w:tr w14:paraId="78CE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0245C380">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1CC42A98">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79E8DD8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硝酸盐</w:t>
            </w:r>
          </w:p>
        </w:tc>
        <w:tc>
          <w:tcPr>
            <w:tcW w:w="2551" w:type="dxa"/>
            <w:tcBorders>
              <w:tl2br w:val="nil"/>
              <w:tr2bl w:val="nil"/>
            </w:tcBorders>
            <w:tcMar>
              <w:top w:w="85" w:type="dxa"/>
              <w:bottom w:w="85" w:type="dxa"/>
            </w:tcMar>
            <w:vAlign w:val="center"/>
          </w:tcPr>
          <w:p w14:paraId="5C44FC9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20mg/L</w:t>
            </w:r>
          </w:p>
        </w:tc>
      </w:tr>
      <w:tr w14:paraId="7C78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3CB7D16C">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7C4E6BF2">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20AF7BC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亚硝酸盐</w:t>
            </w:r>
          </w:p>
        </w:tc>
        <w:tc>
          <w:tcPr>
            <w:tcW w:w="2551" w:type="dxa"/>
            <w:tcBorders>
              <w:tl2br w:val="nil"/>
              <w:tr2bl w:val="nil"/>
            </w:tcBorders>
            <w:tcMar>
              <w:top w:w="85" w:type="dxa"/>
              <w:bottom w:w="85" w:type="dxa"/>
            </w:tcMar>
            <w:vAlign w:val="center"/>
          </w:tcPr>
          <w:p w14:paraId="4F5A5892">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1.0</w:t>
            </w:r>
            <w:r>
              <w:rPr>
                <w:rFonts w:ascii="Times New Roman" w:hAnsi="Times New Roman" w:cs="Times New Roman"/>
                <w:color w:val="auto"/>
                <w:szCs w:val="21"/>
              </w:rPr>
              <w:t>mg/L</w:t>
            </w:r>
          </w:p>
        </w:tc>
      </w:tr>
      <w:tr w14:paraId="3D0E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267EBAE5">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793AFD29">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4DFDD41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挥发性酚类</w:t>
            </w:r>
          </w:p>
        </w:tc>
        <w:tc>
          <w:tcPr>
            <w:tcW w:w="2551" w:type="dxa"/>
            <w:tcBorders>
              <w:tl2br w:val="nil"/>
              <w:tr2bl w:val="nil"/>
            </w:tcBorders>
            <w:tcMar>
              <w:top w:w="85" w:type="dxa"/>
              <w:bottom w:w="85" w:type="dxa"/>
            </w:tcMar>
            <w:vAlign w:val="center"/>
          </w:tcPr>
          <w:p w14:paraId="77C3D80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0.002mg/L</w:t>
            </w:r>
          </w:p>
        </w:tc>
      </w:tr>
      <w:tr w14:paraId="130C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455761B5">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24D7D527">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4E02AA9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氰化物</w:t>
            </w:r>
          </w:p>
        </w:tc>
        <w:tc>
          <w:tcPr>
            <w:tcW w:w="2551" w:type="dxa"/>
            <w:tcBorders>
              <w:tl2br w:val="nil"/>
              <w:tr2bl w:val="nil"/>
            </w:tcBorders>
            <w:tcMar>
              <w:top w:w="85" w:type="dxa"/>
              <w:bottom w:w="85" w:type="dxa"/>
            </w:tcMar>
            <w:vAlign w:val="center"/>
          </w:tcPr>
          <w:p w14:paraId="5C4D5C2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0.05mg/L</w:t>
            </w:r>
          </w:p>
        </w:tc>
      </w:tr>
      <w:tr w14:paraId="3DF4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2D2AE32D">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1786D94B">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3874EDD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砷</w:t>
            </w:r>
          </w:p>
        </w:tc>
        <w:tc>
          <w:tcPr>
            <w:tcW w:w="2551" w:type="dxa"/>
            <w:tcBorders>
              <w:tl2br w:val="nil"/>
              <w:tr2bl w:val="nil"/>
            </w:tcBorders>
            <w:tcMar>
              <w:top w:w="85" w:type="dxa"/>
              <w:bottom w:w="85" w:type="dxa"/>
            </w:tcMar>
            <w:vAlign w:val="center"/>
          </w:tcPr>
          <w:p w14:paraId="4C4D690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0.0</w:t>
            </w:r>
            <w:r>
              <w:rPr>
                <w:rFonts w:hint="eastAsia" w:ascii="Times New Roman" w:hAnsi="Times New Roman" w:cs="Times New Roman"/>
                <w:color w:val="auto"/>
                <w:szCs w:val="21"/>
              </w:rPr>
              <w:t>1</w:t>
            </w:r>
            <w:r>
              <w:rPr>
                <w:rFonts w:ascii="Times New Roman" w:hAnsi="Times New Roman" w:cs="Times New Roman"/>
                <w:color w:val="auto"/>
                <w:szCs w:val="21"/>
              </w:rPr>
              <w:t>mg/L</w:t>
            </w:r>
          </w:p>
        </w:tc>
      </w:tr>
      <w:tr w14:paraId="2744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14487035">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730A0DD2">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02C32AC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汞</w:t>
            </w:r>
          </w:p>
        </w:tc>
        <w:tc>
          <w:tcPr>
            <w:tcW w:w="2551" w:type="dxa"/>
            <w:tcBorders>
              <w:tl2br w:val="nil"/>
              <w:tr2bl w:val="nil"/>
            </w:tcBorders>
            <w:tcMar>
              <w:top w:w="85" w:type="dxa"/>
              <w:bottom w:w="85" w:type="dxa"/>
            </w:tcMar>
            <w:vAlign w:val="center"/>
          </w:tcPr>
          <w:p w14:paraId="511205D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0.001mg/L</w:t>
            </w:r>
          </w:p>
        </w:tc>
      </w:tr>
      <w:tr w14:paraId="1307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3B2943FA">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2AF8F340">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6822B07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铬（六价）</w:t>
            </w:r>
          </w:p>
        </w:tc>
        <w:tc>
          <w:tcPr>
            <w:tcW w:w="2551" w:type="dxa"/>
            <w:tcBorders>
              <w:tl2br w:val="nil"/>
              <w:tr2bl w:val="nil"/>
            </w:tcBorders>
            <w:tcMar>
              <w:top w:w="85" w:type="dxa"/>
              <w:bottom w:w="85" w:type="dxa"/>
            </w:tcMar>
            <w:vAlign w:val="center"/>
          </w:tcPr>
          <w:p w14:paraId="5A6F903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0.05mg/L</w:t>
            </w:r>
          </w:p>
        </w:tc>
      </w:tr>
      <w:tr w14:paraId="3EDB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3073A60D">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5ECB592C">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061654D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铅</w:t>
            </w:r>
          </w:p>
        </w:tc>
        <w:tc>
          <w:tcPr>
            <w:tcW w:w="2551" w:type="dxa"/>
            <w:tcBorders>
              <w:tl2br w:val="nil"/>
              <w:tr2bl w:val="nil"/>
            </w:tcBorders>
            <w:tcMar>
              <w:top w:w="85" w:type="dxa"/>
              <w:bottom w:w="85" w:type="dxa"/>
            </w:tcMar>
            <w:vAlign w:val="center"/>
          </w:tcPr>
          <w:p w14:paraId="2DB1D4B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0.0</w:t>
            </w:r>
            <w:r>
              <w:rPr>
                <w:rFonts w:hint="eastAsia" w:ascii="Times New Roman" w:hAnsi="Times New Roman" w:cs="Times New Roman"/>
                <w:color w:val="auto"/>
                <w:szCs w:val="21"/>
              </w:rPr>
              <w:t>1</w:t>
            </w:r>
            <w:r>
              <w:rPr>
                <w:rFonts w:ascii="Times New Roman" w:hAnsi="Times New Roman" w:cs="Times New Roman"/>
                <w:color w:val="auto"/>
                <w:szCs w:val="21"/>
              </w:rPr>
              <w:t>mg/L</w:t>
            </w:r>
          </w:p>
        </w:tc>
      </w:tr>
      <w:tr w14:paraId="6AF5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6063CBE6">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767B0668">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1B46E37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镉</w:t>
            </w:r>
          </w:p>
        </w:tc>
        <w:tc>
          <w:tcPr>
            <w:tcW w:w="2551" w:type="dxa"/>
            <w:tcBorders>
              <w:tl2br w:val="nil"/>
              <w:tr2bl w:val="nil"/>
            </w:tcBorders>
            <w:tcMar>
              <w:top w:w="85" w:type="dxa"/>
              <w:bottom w:w="85" w:type="dxa"/>
            </w:tcMar>
            <w:vAlign w:val="center"/>
          </w:tcPr>
          <w:p w14:paraId="6C62686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0.0</w:t>
            </w:r>
            <w:r>
              <w:rPr>
                <w:rFonts w:hint="eastAsia" w:ascii="Times New Roman" w:hAnsi="Times New Roman" w:cs="Times New Roman"/>
                <w:color w:val="auto"/>
                <w:szCs w:val="21"/>
              </w:rPr>
              <w:t>05</w:t>
            </w:r>
            <w:r>
              <w:rPr>
                <w:rFonts w:ascii="Times New Roman" w:hAnsi="Times New Roman" w:cs="Times New Roman"/>
                <w:color w:val="auto"/>
                <w:szCs w:val="21"/>
              </w:rPr>
              <w:t>mg/L</w:t>
            </w:r>
          </w:p>
        </w:tc>
      </w:tr>
      <w:tr w14:paraId="7017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1062" w:type="dxa"/>
            <w:vMerge w:val="continue"/>
            <w:tcBorders>
              <w:tl2br w:val="nil"/>
              <w:tr2bl w:val="nil"/>
            </w:tcBorders>
            <w:tcMar>
              <w:top w:w="85" w:type="dxa"/>
              <w:bottom w:w="85" w:type="dxa"/>
            </w:tcMar>
            <w:vAlign w:val="center"/>
          </w:tcPr>
          <w:p w14:paraId="2B073A88">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5CCEFCD5">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19731BC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铁</w:t>
            </w:r>
          </w:p>
        </w:tc>
        <w:tc>
          <w:tcPr>
            <w:tcW w:w="2551" w:type="dxa"/>
            <w:tcBorders>
              <w:tl2br w:val="nil"/>
              <w:tr2bl w:val="nil"/>
            </w:tcBorders>
            <w:tcMar>
              <w:top w:w="85" w:type="dxa"/>
              <w:bottom w:w="85" w:type="dxa"/>
            </w:tcMar>
            <w:vAlign w:val="center"/>
          </w:tcPr>
          <w:p w14:paraId="76F1521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0.3mg/L</w:t>
            </w:r>
          </w:p>
        </w:tc>
      </w:tr>
      <w:tr w14:paraId="0EEF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213209C4">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287865E9">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6CF4E37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锰</w:t>
            </w:r>
          </w:p>
        </w:tc>
        <w:tc>
          <w:tcPr>
            <w:tcW w:w="2551" w:type="dxa"/>
            <w:tcBorders>
              <w:tl2br w:val="nil"/>
              <w:tr2bl w:val="nil"/>
            </w:tcBorders>
            <w:tcMar>
              <w:top w:w="85" w:type="dxa"/>
              <w:bottom w:w="85" w:type="dxa"/>
            </w:tcMar>
            <w:vAlign w:val="center"/>
          </w:tcPr>
          <w:p w14:paraId="44E6B44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0.1mg/L</w:t>
            </w:r>
          </w:p>
        </w:tc>
      </w:tr>
      <w:tr w14:paraId="3555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75EE5BD5">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6714C21D">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1F5BFEF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溶解性总固体</w:t>
            </w:r>
          </w:p>
        </w:tc>
        <w:tc>
          <w:tcPr>
            <w:tcW w:w="2551" w:type="dxa"/>
            <w:tcBorders>
              <w:tl2br w:val="nil"/>
              <w:tr2bl w:val="nil"/>
            </w:tcBorders>
            <w:tcMar>
              <w:top w:w="85" w:type="dxa"/>
              <w:bottom w:w="85" w:type="dxa"/>
            </w:tcMar>
            <w:vAlign w:val="center"/>
          </w:tcPr>
          <w:p w14:paraId="0FDB3A9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1000mg/L</w:t>
            </w:r>
          </w:p>
        </w:tc>
      </w:tr>
      <w:tr w14:paraId="0D4D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27E6F028">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3764A2DD">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6CC4D1F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硫酸盐</w:t>
            </w:r>
          </w:p>
        </w:tc>
        <w:tc>
          <w:tcPr>
            <w:tcW w:w="2551" w:type="dxa"/>
            <w:tcBorders>
              <w:tl2br w:val="nil"/>
              <w:tr2bl w:val="nil"/>
            </w:tcBorders>
            <w:tcMar>
              <w:top w:w="85" w:type="dxa"/>
              <w:bottom w:w="85" w:type="dxa"/>
            </w:tcMar>
            <w:vAlign w:val="center"/>
          </w:tcPr>
          <w:p w14:paraId="7739715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250mg/L</w:t>
            </w:r>
          </w:p>
        </w:tc>
      </w:tr>
      <w:tr w14:paraId="45A8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20E7F2A9">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775F8716">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29A8A0E7">
            <w:pPr>
              <w:adjustRightInd w:val="0"/>
              <w:snapToGrid w:val="0"/>
              <w:jc w:val="center"/>
              <w:rPr>
                <w:rFonts w:ascii="Times New Roman" w:hAnsi="Times New Roman" w:cs="Times New Roman"/>
                <w:color w:val="auto"/>
                <w:szCs w:val="21"/>
                <w:highlight w:val="yellow"/>
              </w:rPr>
            </w:pPr>
            <w:r>
              <w:rPr>
                <w:rFonts w:ascii="Times New Roman" w:hAnsi="Times New Roman" w:cs="Times New Roman"/>
                <w:color w:val="auto"/>
                <w:szCs w:val="21"/>
              </w:rPr>
              <w:t>总大肠菌群</w:t>
            </w:r>
          </w:p>
        </w:tc>
        <w:tc>
          <w:tcPr>
            <w:tcW w:w="2551" w:type="dxa"/>
            <w:tcBorders>
              <w:tl2br w:val="nil"/>
              <w:tr2bl w:val="nil"/>
            </w:tcBorders>
            <w:tcMar>
              <w:top w:w="85" w:type="dxa"/>
              <w:bottom w:w="85" w:type="dxa"/>
            </w:tcMar>
            <w:vAlign w:val="center"/>
          </w:tcPr>
          <w:p w14:paraId="63541F2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3.0</w:t>
            </w:r>
            <w:r>
              <w:rPr>
                <w:rFonts w:hint="eastAsia" w:ascii="Times New Roman" w:hAnsi="Times New Roman" w:cs="Times New Roman"/>
                <w:color w:val="auto"/>
                <w:szCs w:val="21"/>
              </w:rPr>
              <w:t>MPN</w:t>
            </w:r>
            <w:r>
              <w:rPr>
                <w:rFonts w:hint="eastAsia" w:ascii="Times New Roman" w:hAnsi="Times New Roman" w:cs="Times New Roman"/>
                <w:color w:val="auto"/>
                <w:szCs w:val="21"/>
                <w:vertAlign w:val="superscript"/>
              </w:rPr>
              <w:t>b</w:t>
            </w:r>
            <w:r>
              <w:rPr>
                <w:rFonts w:ascii="Times New Roman" w:hAnsi="Times New Roman" w:cs="Times New Roman"/>
                <w:color w:val="auto"/>
                <w:szCs w:val="21"/>
              </w:rPr>
              <w:t>/mL</w:t>
            </w:r>
          </w:p>
        </w:tc>
      </w:tr>
      <w:tr w14:paraId="680E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17164493">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749AFD2B">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733F7D39">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菌落</w:t>
            </w:r>
            <w:r>
              <w:rPr>
                <w:rFonts w:ascii="Times New Roman" w:hAnsi="Times New Roman" w:cs="Times New Roman"/>
                <w:color w:val="auto"/>
                <w:szCs w:val="21"/>
              </w:rPr>
              <w:t>总数</w:t>
            </w:r>
          </w:p>
        </w:tc>
        <w:tc>
          <w:tcPr>
            <w:tcW w:w="2551" w:type="dxa"/>
            <w:tcBorders>
              <w:tl2br w:val="nil"/>
              <w:tr2bl w:val="nil"/>
            </w:tcBorders>
            <w:tcMar>
              <w:top w:w="85" w:type="dxa"/>
              <w:bottom w:w="85" w:type="dxa"/>
            </w:tcMar>
            <w:vAlign w:val="center"/>
          </w:tcPr>
          <w:p w14:paraId="7C94B32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100</w:t>
            </w:r>
            <w:r>
              <w:rPr>
                <w:rFonts w:hint="eastAsia" w:ascii="Times New Roman" w:hAnsi="Times New Roman" w:cs="Times New Roman"/>
                <w:color w:val="auto"/>
                <w:szCs w:val="21"/>
              </w:rPr>
              <w:t>CFU</w:t>
            </w:r>
            <w:r>
              <w:rPr>
                <w:rFonts w:ascii="Times New Roman" w:hAnsi="Times New Roman" w:cs="Times New Roman"/>
                <w:color w:val="auto"/>
                <w:szCs w:val="21"/>
              </w:rPr>
              <w:t>/</w:t>
            </w:r>
            <w:r>
              <w:rPr>
                <w:rFonts w:hint="eastAsia" w:ascii="Times New Roman" w:hAnsi="Times New Roman" w:cs="Times New Roman"/>
                <w:color w:val="auto"/>
                <w:szCs w:val="21"/>
              </w:rPr>
              <w:t>m</w:t>
            </w:r>
            <w:r>
              <w:rPr>
                <w:rFonts w:ascii="Times New Roman" w:hAnsi="Times New Roman" w:cs="Times New Roman"/>
                <w:color w:val="auto"/>
                <w:szCs w:val="21"/>
              </w:rPr>
              <w:t>L</w:t>
            </w:r>
          </w:p>
        </w:tc>
      </w:tr>
      <w:tr w14:paraId="5204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08303B25">
            <w:pPr>
              <w:jc w:val="center"/>
              <w:rPr>
                <w:rFonts w:ascii="Times New Roman" w:hAnsi="Times New Roman" w:cs="Times New Roman"/>
                <w:color w:val="auto"/>
                <w:szCs w:val="21"/>
              </w:rPr>
            </w:pPr>
          </w:p>
        </w:tc>
        <w:tc>
          <w:tcPr>
            <w:tcW w:w="2624" w:type="dxa"/>
            <w:vMerge w:val="restart"/>
            <w:tcBorders>
              <w:tl2br w:val="nil"/>
              <w:tr2bl w:val="nil"/>
            </w:tcBorders>
            <w:tcMar>
              <w:top w:w="85" w:type="dxa"/>
              <w:bottom w:w="85" w:type="dxa"/>
            </w:tcMar>
            <w:vAlign w:val="center"/>
          </w:tcPr>
          <w:p w14:paraId="187977BF">
            <w:pPr>
              <w:jc w:val="center"/>
              <w:rPr>
                <w:rFonts w:ascii="Times New Roman" w:hAnsi="Times New Roman" w:cs="Times New Roman"/>
                <w:color w:val="auto"/>
                <w:szCs w:val="21"/>
              </w:rPr>
            </w:pPr>
            <w:r>
              <w:rPr>
                <w:rFonts w:ascii="Times New Roman" w:hAnsi="Times New Roman" w:cs="Times New Roman"/>
                <w:color w:val="auto"/>
                <w:szCs w:val="21"/>
              </w:rPr>
              <w:t>参照《生活饮用水卫生标准》（GB5749-2006）</w:t>
            </w:r>
          </w:p>
        </w:tc>
        <w:tc>
          <w:tcPr>
            <w:tcW w:w="2280" w:type="dxa"/>
            <w:gridSpan w:val="2"/>
            <w:tcBorders>
              <w:tl2br w:val="nil"/>
              <w:tr2bl w:val="nil"/>
            </w:tcBorders>
            <w:tcMar>
              <w:top w:w="85" w:type="dxa"/>
              <w:bottom w:w="85" w:type="dxa"/>
            </w:tcMar>
            <w:vAlign w:val="center"/>
          </w:tcPr>
          <w:p w14:paraId="7DB57F9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甲苯</w:t>
            </w:r>
          </w:p>
        </w:tc>
        <w:tc>
          <w:tcPr>
            <w:tcW w:w="2551" w:type="dxa"/>
            <w:tcBorders>
              <w:tl2br w:val="nil"/>
              <w:tr2bl w:val="nil"/>
            </w:tcBorders>
            <w:tcMar>
              <w:top w:w="85" w:type="dxa"/>
              <w:bottom w:w="85" w:type="dxa"/>
            </w:tcMar>
            <w:vAlign w:val="center"/>
          </w:tcPr>
          <w:p w14:paraId="0399527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0.7mg/L</w:t>
            </w:r>
          </w:p>
        </w:tc>
      </w:tr>
      <w:tr w14:paraId="58C9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1242768E">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465DEB37">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52A1CD54">
            <w:pPr>
              <w:jc w:val="center"/>
              <w:rPr>
                <w:rFonts w:ascii="Times New Roman" w:hAnsi="Times New Roman" w:cs="Times New Roman"/>
                <w:color w:val="auto"/>
                <w:szCs w:val="21"/>
              </w:rPr>
            </w:pPr>
            <w:r>
              <w:rPr>
                <w:rFonts w:ascii="Times New Roman" w:hAnsi="Times New Roman" w:cs="Times New Roman"/>
                <w:color w:val="auto"/>
                <w:szCs w:val="21"/>
              </w:rPr>
              <w:t>二甲苯</w:t>
            </w:r>
          </w:p>
        </w:tc>
        <w:tc>
          <w:tcPr>
            <w:tcW w:w="2551" w:type="dxa"/>
            <w:tcBorders>
              <w:tl2br w:val="nil"/>
              <w:tr2bl w:val="nil"/>
            </w:tcBorders>
            <w:tcMar>
              <w:top w:w="85" w:type="dxa"/>
              <w:bottom w:w="85" w:type="dxa"/>
            </w:tcMar>
            <w:vAlign w:val="center"/>
          </w:tcPr>
          <w:p w14:paraId="334B9DB0">
            <w:pPr>
              <w:jc w:val="center"/>
              <w:rPr>
                <w:rFonts w:ascii="Times New Roman" w:hAnsi="Times New Roman" w:cs="Times New Roman"/>
                <w:color w:val="auto"/>
                <w:szCs w:val="21"/>
              </w:rPr>
            </w:pPr>
            <w:r>
              <w:rPr>
                <w:rFonts w:ascii="Times New Roman" w:hAnsi="Times New Roman" w:cs="Times New Roman"/>
                <w:color w:val="auto"/>
                <w:szCs w:val="21"/>
              </w:rPr>
              <w:t>0.5mg/L</w:t>
            </w:r>
          </w:p>
        </w:tc>
      </w:tr>
      <w:tr w14:paraId="5318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restart"/>
            <w:tcBorders>
              <w:tl2br w:val="nil"/>
              <w:tr2bl w:val="nil"/>
            </w:tcBorders>
            <w:tcMar>
              <w:top w:w="85" w:type="dxa"/>
              <w:bottom w:w="85" w:type="dxa"/>
            </w:tcMar>
            <w:vAlign w:val="center"/>
          </w:tcPr>
          <w:p w14:paraId="057C673C">
            <w:pPr>
              <w:jc w:val="center"/>
              <w:rPr>
                <w:rFonts w:ascii="Times New Roman" w:hAnsi="Times New Roman" w:cs="Times New Roman"/>
                <w:color w:val="auto"/>
                <w:szCs w:val="21"/>
              </w:rPr>
            </w:pPr>
            <w:r>
              <w:rPr>
                <w:rFonts w:ascii="Times New Roman" w:hAnsi="Times New Roman" w:cs="Times New Roman"/>
                <w:color w:val="auto"/>
                <w:szCs w:val="21"/>
              </w:rPr>
              <w:t>环境空气</w:t>
            </w:r>
          </w:p>
        </w:tc>
        <w:tc>
          <w:tcPr>
            <w:tcW w:w="2624" w:type="dxa"/>
            <w:vMerge w:val="restart"/>
            <w:tcBorders>
              <w:tl2br w:val="nil"/>
              <w:tr2bl w:val="nil"/>
            </w:tcBorders>
            <w:tcMar>
              <w:top w:w="85" w:type="dxa"/>
              <w:bottom w:w="85" w:type="dxa"/>
            </w:tcMar>
            <w:vAlign w:val="center"/>
          </w:tcPr>
          <w:p w14:paraId="19AA3CA1">
            <w:pPr>
              <w:jc w:val="center"/>
              <w:rPr>
                <w:rFonts w:ascii="Times New Roman" w:hAnsi="Times New Roman" w:cs="Times New Roman"/>
                <w:color w:val="auto"/>
                <w:szCs w:val="21"/>
              </w:rPr>
            </w:pPr>
            <w:r>
              <w:rPr>
                <w:rFonts w:ascii="Times New Roman" w:hAnsi="Times New Roman" w:cs="Times New Roman"/>
                <w:color w:val="auto"/>
                <w:szCs w:val="21"/>
              </w:rPr>
              <w:t>《环境空气质量标准》（GB3095-2012）</w:t>
            </w:r>
            <w:r>
              <w:rPr>
                <w:rFonts w:hint="eastAsia" w:ascii="Times New Roman" w:hAnsi="Times New Roman" w:cs="Times New Roman"/>
                <w:color w:val="auto"/>
                <w:szCs w:val="21"/>
              </w:rPr>
              <w:t>及其修改单</w:t>
            </w:r>
            <w:r>
              <w:rPr>
                <w:rFonts w:ascii="Times New Roman" w:hAnsi="Times New Roman" w:cs="Times New Roman"/>
                <w:color w:val="auto"/>
                <w:szCs w:val="21"/>
              </w:rPr>
              <w:t>二级标准</w:t>
            </w:r>
          </w:p>
        </w:tc>
        <w:tc>
          <w:tcPr>
            <w:tcW w:w="836" w:type="dxa"/>
            <w:vMerge w:val="restart"/>
            <w:tcBorders>
              <w:tl2br w:val="nil"/>
              <w:tr2bl w:val="nil"/>
            </w:tcBorders>
            <w:tcMar>
              <w:top w:w="85" w:type="dxa"/>
              <w:bottom w:w="85" w:type="dxa"/>
            </w:tcMar>
            <w:vAlign w:val="center"/>
          </w:tcPr>
          <w:p w14:paraId="160510A0">
            <w:pPr>
              <w:pStyle w:val="12"/>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SO</w:t>
            </w:r>
            <w:r>
              <w:rPr>
                <w:rFonts w:ascii="Times New Roman" w:hAnsi="Times New Roman" w:cs="Times New Roman"/>
                <w:color w:val="auto"/>
                <w:szCs w:val="21"/>
                <w:vertAlign w:val="subscript"/>
              </w:rPr>
              <w:t>2</w:t>
            </w:r>
          </w:p>
        </w:tc>
        <w:tc>
          <w:tcPr>
            <w:tcW w:w="1444" w:type="dxa"/>
            <w:tcBorders>
              <w:tl2br w:val="nil"/>
              <w:tr2bl w:val="nil"/>
            </w:tcBorders>
            <w:tcMar>
              <w:top w:w="85" w:type="dxa"/>
              <w:bottom w:w="85" w:type="dxa"/>
            </w:tcMar>
            <w:vAlign w:val="center"/>
          </w:tcPr>
          <w:p w14:paraId="146A2F3E">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年均值</w:t>
            </w:r>
          </w:p>
        </w:tc>
        <w:tc>
          <w:tcPr>
            <w:tcW w:w="2551" w:type="dxa"/>
            <w:tcBorders>
              <w:tl2br w:val="nil"/>
              <w:tr2bl w:val="nil"/>
            </w:tcBorders>
            <w:tcMar>
              <w:top w:w="85" w:type="dxa"/>
              <w:bottom w:w="85" w:type="dxa"/>
            </w:tcMar>
            <w:vAlign w:val="center"/>
          </w:tcPr>
          <w:p w14:paraId="531B5A7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60</w:t>
            </w:r>
            <w:r>
              <w:rPr>
                <w:rFonts w:ascii="Times New Roman" w:hAnsi="Times New Roman" w:cs="Times New Roman"/>
                <w:bCs/>
                <w:color w:val="auto"/>
                <w:szCs w:val="21"/>
              </w:rPr>
              <w:t>μg/m</w:t>
            </w:r>
            <w:r>
              <w:rPr>
                <w:rFonts w:ascii="Times New Roman" w:hAnsi="Times New Roman" w:cs="Times New Roman"/>
                <w:bCs/>
                <w:color w:val="auto"/>
                <w:szCs w:val="21"/>
                <w:vertAlign w:val="superscript"/>
              </w:rPr>
              <w:t>3</w:t>
            </w:r>
          </w:p>
        </w:tc>
      </w:tr>
      <w:tr w14:paraId="4DFD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1062" w:type="dxa"/>
            <w:vMerge w:val="continue"/>
            <w:tcBorders>
              <w:tl2br w:val="nil"/>
              <w:tr2bl w:val="nil"/>
            </w:tcBorders>
            <w:tcMar>
              <w:top w:w="85" w:type="dxa"/>
              <w:bottom w:w="85" w:type="dxa"/>
            </w:tcMar>
            <w:vAlign w:val="center"/>
          </w:tcPr>
          <w:p w14:paraId="3F527DAC">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164087C8">
            <w:pPr>
              <w:jc w:val="center"/>
              <w:rPr>
                <w:rFonts w:ascii="Times New Roman" w:hAnsi="Times New Roman" w:cs="Times New Roman"/>
                <w:color w:val="auto"/>
                <w:szCs w:val="21"/>
              </w:rPr>
            </w:pPr>
          </w:p>
        </w:tc>
        <w:tc>
          <w:tcPr>
            <w:tcW w:w="836" w:type="dxa"/>
            <w:vMerge w:val="continue"/>
            <w:tcBorders>
              <w:tl2br w:val="nil"/>
              <w:tr2bl w:val="nil"/>
            </w:tcBorders>
            <w:tcMar>
              <w:top w:w="85" w:type="dxa"/>
              <w:bottom w:w="85" w:type="dxa"/>
            </w:tcMar>
            <w:vAlign w:val="center"/>
          </w:tcPr>
          <w:p w14:paraId="63D7D4E9">
            <w:pPr>
              <w:jc w:val="center"/>
              <w:rPr>
                <w:rFonts w:ascii="Times New Roman" w:hAnsi="Times New Roman" w:cs="Times New Roman"/>
                <w:color w:val="auto"/>
                <w:szCs w:val="21"/>
              </w:rPr>
            </w:pPr>
          </w:p>
        </w:tc>
        <w:tc>
          <w:tcPr>
            <w:tcW w:w="1444" w:type="dxa"/>
            <w:tcBorders>
              <w:tl2br w:val="nil"/>
              <w:tr2bl w:val="nil"/>
            </w:tcBorders>
            <w:tcMar>
              <w:top w:w="85" w:type="dxa"/>
              <w:bottom w:w="85" w:type="dxa"/>
            </w:tcMar>
            <w:vAlign w:val="center"/>
          </w:tcPr>
          <w:p w14:paraId="406AFC9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日平均</w:t>
            </w:r>
          </w:p>
        </w:tc>
        <w:tc>
          <w:tcPr>
            <w:tcW w:w="2551" w:type="dxa"/>
            <w:tcBorders>
              <w:tl2br w:val="nil"/>
              <w:tr2bl w:val="nil"/>
            </w:tcBorders>
            <w:tcMar>
              <w:top w:w="85" w:type="dxa"/>
              <w:bottom w:w="85" w:type="dxa"/>
            </w:tcMar>
            <w:vAlign w:val="center"/>
          </w:tcPr>
          <w:p w14:paraId="52C7459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150</w:t>
            </w:r>
            <w:r>
              <w:rPr>
                <w:rFonts w:ascii="Times New Roman" w:hAnsi="Times New Roman" w:cs="Times New Roman"/>
                <w:bCs/>
                <w:color w:val="auto"/>
                <w:szCs w:val="21"/>
              </w:rPr>
              <w:t>μg/m</w:t>
            </w:r>
            <w:r>
              <w:rPr>
                <w:rFonts w:ascii="Times New Roman" w:hAnsi="Times New Roman" w:cs="Times New Roman"/>
                <w:bCs/>
                <w:color w:val="auto"/>
                <w:szCs w:val="21"/>
                <w:vertAlign w:val="superscript"/>
              </w:rPr>
              <w:t>3</w:t>
            </w:r>
          </w:p>
        </w:tc>
      </w:tr>
      <w:tr w14:paraId="581D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1062" w:type="dxa"/>
            <w:vMerge w:val="continue"/>
            <w:tcBorders>
              <w:tl2br w:val="nil"/>
              <w:tr2bl w:val="nil"/>
            </w:tcBorders>
            <w:tcMar>
              <w:top w:w="85" w:type="dxa"/>
              <w:bottom w:w="85" w:type="dxa"/>
            </w:tcMar>
            <w:vAlign w:val="center"/>
          </w:tcPr>
          <w:p w14:paraId="49F617EB">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78B2C7CB">
            <w:pPr>
              <w:jc w:val="center"/>
              <w:rPr>
                <w:rFonts w:ascii="Times New Roman" w:hAnsi="Times New Roman" w:cs="Times New Roman"/>
                <w:color w:val="auto"/>
                <w:szCs w:val="21"/>
              </w:rPr>
            </w:pPr>
          </w:p>
        </w:tc>
        <w:tc>
          <w:tcPr>
            <w:tcW w:w="836" w:type="dxa"/>
            <w:vMerge w:val="continue"/>
            <w:tcBorders>
              <w:tl2br w:val="nil"/>
              <w:tr2bl w:val="nil"/>
            </w:tcBorders>
            <w:tcMar>
              <w:top w:w="85" w:type="dxa"/>
              <w:bottom w:w="85" w:type="dxa"/>
            </w:tcMar>
            <w:vAlign w:val="center"/>
          </w:tcPr>
          <w:p w14:paraId="1D7B780E">
            <w:pPr>
              <w:jc w:val="center"/>
              <w:rPr>
                <w:rFonts w:ascii="Times New Roman" w:hAnsi="Times New Roman" w:cs="Times New Roman"/>
                <w:color w:val="auto"/>
                <w:szCs w:val="21"/>
              </w:rPr>
            </w:pPr>
          </w:p>
        </w:tc>
        <w:tc>
          <w:tcPr>
            <w:tcW w:w="1444" w:type="dxa"/>
            <w:tcBorders>
              <w:tl2br w:val="nil"/>
              <w:tr2bl w:val="nil"/>
            </w:tcBorders>
            <w:tcMar>
              <w:top w:w="85" w:type="dxa"/>
              <w:bottom w:w="85" w:type="dxa"/>
            </w:tcMar>
            <w:vAlign w:val="center"/>
          </w:tcPr>
          <w:p w14:paraId="2695E442">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1h平均</w:t>
            </w:r>
          </w:p>
        </w:tc>
        <w:tc>
          <w:tcPr>
            <w:tcW w:w="2551" w:type="dxa"/>
            <w:tcBorders>
              <w:tl2br w:val="nil"/>
              <w:tr2bl w:val="nil"/>
            </w:tcBorders>
            <w:tcMar>
              <w:top w:w="85" w:type="dxa"/>
              <w:bottom w:w="85" w:type="dxa"/>
            </w:tcMar>
            <w:vAlign w:val="center"/>
          </w:tcPr>
          <w:p w14:paraId="17780CF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500</w:t>
            </w:r>
            <w:r>
              <w:rPr>
                <w:rFonts w:ascii="Times New Roman" w:hAnsi="Times New Roman" w:cs="Times New Roman"/>
                <w:bCs/>
                <w:color w:val="auto"/>
                <w:szCs w:val="21"/>
              </w:rPr>
              <w:t>μg/m</w:t>
            </w:r>
            <w:r>
              <w:rPr>
                <w:rFonts w:ascii="Times New Roman" w:hAnsi="Times New Roman" w:cs="Times New Roman"/>
                <w:bCs/>
                <w:color w:val="auto"/>
                <w:szCs w:val="21"/>
                <w:vertAlign w:val="superscript"/>
              </w:rPr>
              <w:t>3</w:t>
            </w:r>
          </w:p>
        </w:tc>
      </w:tr>
      <w:tr w14:paraId="77AB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2847900E">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3F0F5B2E">
            <w:pPr>
              <w:jc w:val="center"/>
              <w:rPr>
                <w:rFonts w:ascii="Times New Roman" w:hAnsi="Times New Roman" w:cs="Times New Roman"/>
                <w:color w:val="auto"/>
                <w:szCs w:val="21"/>
              </w:rPr>
            </w:pPr>
          </w:p>
        </w:tc>
        <w:tc>
          <w:tcPr>
            <w:tcW w:w="836" w:type="dxa"/>
            <w:vMerge w:val="restart"/>
            <w:tcBorders>
              <w:tl2br w:val="nil"/>
              <w:tr2bl w:val="nil"/>
            </w:tcBorders>
            <w:tcMar>
              <w:top w:w="85" w:type="dxa"/>
              <w:bottom w:w="85" w:type="dxa"/>
            </w:tcMar>
            <w:vAlign w:val="center"/>
          </w:tcPr>
          <w:p w14:paraId="40B5FB68">
            <w:pPr>
              <w:pStyle w:val="12"/>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NO</w:t>
            </w:r>
            <w:r>
              <w:rPr>
                <w:rFonts w:ascii="Times New Roman" w:hAnsi="Times New Roman" w:cs="Times New Roman"/>
                <w:color w:val="auto"/>
                <w:szCs w:val="21"/>
                <w:vertAlign w:val="subscript"/>
              </w:rPr>
              <w:t>2</w:t>
            </w:r>
          </w:p>
        </w:tc>
        <w:tc>
          <w:tcPr>
            <w:tcW w:w="1444" w:type="dxa"/>
            <w:tcBorders>
              <w:tl2br w:val="nil"/>
              <w:tr2bl w:val="nil"/>
            </w:tcBorders>
            <w:tcMar>
              <w:top w:w="85" w:type="dxa"/>
              <w:bottom w:w="85" w:type="dxa"/>
            </w:tcMar>
            <w:vAlign w:val="center"/>
          </w:tcPr>
          <w:p w14:paraId="653464FD">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年均值</w:t>
            </w:r>
          </w:p>
        </w:tc>
        <w:tc>
          <w:tcPr>
            <w:tcW w:w="2551" w:type="dxa"/>
            <w:tcBorders>
              <w:tl2br w:val="nil"/>
              <w:tr2bl w:val="nil"/>
            </w:tcBorders>
            <w:tcMar>
              <w:top w:w="85" w:type="dxa"/>
              <w:bottom w:w="85" w:type="dxa"/>
            </w:tcMar>
            <w:vAlign w:val="center"/>
          </w:tcPr>
          <w:p w14:paraId="3F3E7896">
            <w:pPr>
              <w:adjustRightInd w:val="0"/>
              <w:snapToGrid w:val="0"/>
              <w:jc w:val="center"/>
              <w:rPr>
                <w:rFonts w:ascii="Times New Roman" w:hAnsi="Times New Roman" w:cs="Times New Roman"/>
                <w:color w:val="auto"/>
                <w:szCs w:val="21"/>
                <w:highlight w:val="yellow"/>
              </w:rPr>
            </w:pPr>
            <w:r>
              <w:rPr>
                <w:rFonts w:ascii="Times New Roman" w:hAnsi="Times New Roman" w:cs="Times New Roman"/>
                <w:color w:val="auto"/>
                <w:szCs w:val="21"/>
              </w:rPr>
              <w:t>40</w:t>
            </w:r>
            <w:r>
              <w:rPr>
                <w:rFonts w:ascii="Times New Roman" w:hAnsi="Times New Roman" w:cs="Times New Roman"/>
                <w:bCs/>
                <w:color w:val="auto"/>
                <w:szCs w:val="21"/>
              </w:rPr>
              <w:t>μg/m</w:t>
            </w:r>
            <w:r>
              <w:rPr>
                <w:rFonts w:ascii="Times New Roman" w:hAnsi="Times New Roman" w:cs="Times New Roman"/>
                <w:bCs/>
                <w:color w:val="auto"/>
                <w:szCs w:val="21"/>
                <w:vertAlign w:val="superscript"/>
              </w:rPr>
              <w:t>3</w:t>
            </w:r>
          </w:p>
        </w:tc>
      </w:tr>
      <w:tr w14:paraId="4556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1062" w:type="dxa"/>
            <w:vMerge w:val="continue"/>
            <w:tcBorders>
              <w:tl2br w:val="nil"/>
              <w:tr2bl w:val="nil"/>
            </w:tcBorders>
            <w:tcMar>
              <w:top w:w="85" w:type="dxa"/>
              <w:bottom w:w="85" w:type="dxa"/>
            </w:tcMar>
            <w:vAlign w:val="center"/>
          </w:tcPr>
          <w:p w14:paraId="1C8149AC">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5934F614">
            <w:pPr>
              <w:jc w:val="center"/>
              <w:rPr>
                <w:rFonts w:ascii="Times New Roman" w:hAnsi="Times New Roman" w:cs="Times New Roman"/>
                <w:color w:val="auto"/>
                <w:szCs w:val="21"/>
              </w:rPr>
            </w:pPr>
          </w:p>
        </w:tc>
        <w:tc>
          <w:tcPr>
            <w:tcW w:w="836" w:type="dxa"/>
            <w:vMerge w:val="continue"/>
            <w:tcBorders>
              <w:tl2br w:val="nil"/>
              <w:tr2bl w:val="nil"/>
            </w:tcBorders>
            <w:tcMar>
              <w:top w:w="85" w:type="dxa"/>
              <w:bottom w:w="85" w:type="dxa"/>
            </w:tcMar>
            <w:vAlign w:val="center"/>
          </w:tcPr>
          <w:p w14:paraId="6C08F9BC">
            <w:pPr>
              <w:jc w:val="center"/>
              <w:rPr>
                <w:rFonts w:ascii="Times New Roman" w:hAnsi="Times New Roman" w:cs="Times New Roman"/>
                <w:color w:val="auto"/>
                <w:szCs w:val="21"/>
              </w:rPr>
            </w:pPr>
          </w:p>
        </w:tc>
        <w:tc>
          <w:tcPr>
            <w:tcW w:w="1444" w:type="dxa"/>
            <w:tcBorders>
              <w:tl2br w:val="nil"/>
              <w:tr2bl w:val="nil"/>
            </w:tcBorders>
            <w:tcMar>
              <w:top w:w="85" w:type="dxa"/>
              <w:bottom w:w="85" w:type="dxa"/>
            </w:tcMar>
            <w:vAlign w:val="center"/>
          </w:tcPr>
          <w:p w14:paraId="0CCEEBD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日平均</w:t>
            </w:r>
          </w:p>
        </w:tc>
        <w:tc>
          <w:tcPr>
            <w:tcW w:w="2551" w:type="dxa"/>
            <w:tcBorders>
              <w:tl2br w:val="nil"/>
              <w:tr2bl w:val="nil"/>
            </w:tcBorders>
            <w:tcMar>
              <w:top w:w="85" w:type="dxa"/>
              <w:bottom w:w="85" w:type="dxa"/>
            </w:tcMar>
            <w:vAlign w:val="center"/>
          </w:tcPr>
          <w:p w14:paraId="54C71F0A">
            <w:pPr>
              <w:adjustRightInd w:val="0"/>
              <w:snapToGrid w:val="0"/>
              <w:jc w:val="center"/>
              <w:rPr>
                <w:rFonts w:ascii="Times New Roman" w:hAnsi="Times New Roman" w:cs="Times New Roman"/>
                <w:color w:val="auto"/>
                <w:szCs w:val="21"/>
                <w:highlight w:val="yellow"/>
              </w:rPr>
            </w:pPr>
            <w:r>
              <w:rPr>
                <w:rFonts w:ascii="Times New Roman" w:hAnsi="Times New Roman" w:cs="Times New Roman"/>
                <w:color w:val="auto"/>
                <w:szCs w:val="21"/>
              </w:rPr>
              <w:t>200</w:t>
            </w:r>
            <w:r>
              <w:rPr>
                <w:rFonts w:ascii="Times New Roman" w:hAnsi="Times New Roman" w:cs="Times New Roman"/>
                <w:bCs/>
                <w:color w:val="auto"/>
                <w:szCs w:val="21"/>
              </w:rPr>
              <w:t>μg/m</w:t>
            </w:r>
            <w:r>
              <w:rPr>
                <w:rFonts w:ascii="Times New Roman" w:hAnsi="Times New Roman" w:cs="Times New Roman"/>
                <w:bCs/>
                <w:color w:val="auto"/>
                <w:szCs w:val="21"/>
                <w:vertAlign w:val="superscript"/>
              </w:rPr>
              <w:t>3</w:t>
            </w:r>
          </w:p>
        </w:tc>
      </w:tr>
      <w:tr w14:paraId="6B54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 w:hRule="atLeast"/>
          <w:jc w:val="center"/>
        </w:trPr>
        <w:tc>
          <w:tcPr>
            <w:tcW w:w="1062" w:type="dxa"/>
            <w:vMerge w:val="continue"/>
            <w:tcBorders>
              <w:tl2br w:val="nil"/>
              <w:tr2bl w:val="nil"/>
            </w:tcBorders>
            <w:tcMar>
              <w:top w:w="85" w:type="dxa"/>
              <w:bottom w:w="85" w:type="dxa"/>
            </w:tcMar>
            <w:vAlign w:val="center"/>
          </w:tcPr>
          <w:p w14:paraId="3DC35F2E">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09E848A4">
            <w:pPr>
              <w:jc w:val="center"/>
              <w:rPr>
                <w:rFonts w:ascii="Times New Roman" w:hAnsi="Times New Roman" w:cs="Times New Roman"/>
                <w:color w:val="auto"/>
                <w:szCs w:val="21"/>
              </w:rPr>
            </w:pPr>
          </w:p>
        </w:tc>
        <w:tc>
          <w:tcPr>
            <w:tcW w:w="836" w:type="dxa"/>
            <w:vMerge w:val="continue"/>
            <w:tcBorders>
              <w:tl2br w:val="nil"/>
              <w:tr2bl w:val="nil"/>
            </w:tcBorders>
            <w:tcMar>
              <w:top w:w="85" w:type="dxa"/>
              <w:bottom w:w="85" w:type="dxa"/>
            </w:tcMar>
            <w:vAlign w:val="center"/>
          </w:tcPr>
          <w:p w14:paraId="2E704C16">
            <w:pPr>
              <w:jc w:val="center"/>
              <w:rPr>
                <w:rFonts w:ascii="Times New Roman" w:hAnsi="Times New Roman" w:cs="Times New Roman"/>
                <w:color w:val="auto"/>
                <w:szCs w:val="21"/>
              </w:rPr>
            </w:pPr>
          </w:p>
        </w:tc>
        <w:tc>
          <w:tcPr>
            <w:tcW w:w="1444" w:type="dxa"/>
            <w:tcBorders>
              <w:tl2br w:val="nil"/>
              <w:tr2bl w:val="nil"/>
            </w:tcBorders>
            <w:tcMar>
              <w:top w:w="85" w:type="dxa"/>
              <w:bottom w:w="85" w:type="dxa"/>
            </w:tcMar>
            <w:vAlign w:val="center"/>
          </w:tcPr>
          <w:p w14:paraId="42D63E7D">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1h平均</w:t>
            </w:r>
          </w:p>
        </w:tc>
        <w:tc>
          <w:tcPr>
            <w:tcW w:w="2551" w:type="dxa"/>
            <w:tcBorders>
              <w:tl2br w:val="nil"/>
              <w:tr2bl w:val="nil"/>
            </w:tcBorders>
            <w:tcMar>
              <w:top w:w="85" w:type="dxa"/>
              <w:bottom w:w="85" w:type="dxa"/>
            </w:tcMar>
            <w:vAlign w:val="center"/>
          </w:tcPr>
          <w:p w14:paraId="15DEF69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80</w:t>
            </w:r>
            <w:r>
              <w:rPr>
                <w:rFonts w:ascii="Times New Roman" w:hAnsi="Times New Roman" w:cs="Times New Roman"/>
                <w:bCs/>
                <w:color w:val="auto"/>
                <w:szCs w:val="21"/>
              </w:rPr>
              <w:t>μg/m</w:t>
            </w:r>
            <w:r>
              <w:rPr>
                <w:rFonts w:ascii="Times New Roman" w:hAnsi="Times New Roman" w:cs="Times New Roman"/>
                <w:bCs/>
                <w:color w:val="auto"/>
                <w:szCs w:val="21"/>
                <w:vertAlign w:val="superscript"/>
              </w:rPr>
              <w:t>3</w:t>
            </w:r>
          </w:p>
        </w:tc>
      </w:tr>
      <w:tr w14:paraId="1733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062" w:type="dxa"/>
            <w:vMerge w:val="continue"/>
            <w:tcBorders>
              <w:tl2br w:val="nil"/>
              <w:tr2bl w:val="nil"/>
            </w:tcBorders>
            <w:tcMar>
              <w:top w:w="85" w:type="dxa"/>
              <w:bottom w:w="85" w:type="dxa"/>
            </w:tcMar>
            <w:vAlign w:val="center"/>
          </w:tcPr>
          <w:p w14:paraId="085D4D04">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5F381705">
            <w:pPr>
              <w:jc w:val="center"/>
              <w:rPr>
                <w:rFonts w:ascii="Times New Roman" w:hAnsi="Times New Roman" w:cs="Times New Roman"/>
                <w:color w:val="auto"/>
                <w:szCs w:val="21"/>
              </w:rPr>
            </w:pPr>
          </w:p>
        </w:tc>
        <w:tc>
          <w:tcPr>
            <w:tcW w:w="836" w:type="dxa"/>
            <w:vMerge w:val="restart"/>
            <w:tcBorders>
              <w:tl2br w:val="nil"/>
              <w:tr2bl w:val="nil"/>
            </w:tcBorders>
            <w:tcMar>
              <w:top w:w="85" w:type="dxa"/>
              <w:bottom w:w="85" w:type="dxa"/>
            </w:tcMar>
            <w:vAlign w:val="center"/>
          </w:tcPr>
          <w:p w14:paraId="1562537F">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PM</w:t>
            </w:r>
            <w:r>
              <w:rPr>
                <w:rFonts w:ascii="Times New Roman" w:hAnsi="Times New Roman" w:cs="Times New Roman"/>
                <w:color w:val="auto"/>
                <w:szCs w:val="21"/>
                <w:vertAlign w:val="subscript"/>
              </w:rPr>
              <w:t>10</w:t>
            </w:r>
          </w:p>
        </w:tc>
        <w:tc>
          <w:tcPr>
            <w:tcW w:w="1444" w:type="dxa"/>
            <w:tcBorders>
              <w:tl2br w:val="nil"/>
              <w:tr2bl w:val="nil"/>
            </w:tcBorders>
            <w:tcMar>
              <w:top w:w="85" w:type="dxa"/>
              <w:bottom w:w="85" w:type="dxa"/>
            </w:tcMar>
            <w:vAlign w:val="center"/>
          </w:tcPr>
          <w:p w14:paraId="0963D4B0">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年均值</w:t>
            </w:r>
          </w:p>
        </w:tc>
        <w:tc>
          <w:tcPr>
            <w:tcW w:w="2551" w:type="dxa"/>
            <w:tcBorders>
              <w:tl2br w:val="nil"/>
              <w:tr2bl w:val="nil"/>
            </w:tcBorders>
            <w:tcMar>
              <w:top w:w="85" w:type="dxa"/>
              <w:bottom w:w="85" w:type="dxa"/>
            </w:tcMar>
            <w:vAlign w:val="center"/>
          </w:tcPr>
          <w:p w14:paraId="5ED415D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70</w:t>
            </w:r>
            <w:r>
              <w:rPr>
                <w:rFonts w:ascii="Times New Roman" w:hAnsi="Times New Roman" w:cs="Times New Roman"/>
                <w:bCs/>
                <w:color w:val="auto"/>
                <w:szCs w:val="21"/>
              </w:rPr>
              <w:t>μg/m</w:t>
            </w:r>
            <w:r>
              <w:rPr>
                <w:rFonts w:ascii="Times New Roman" w:hAnsi="Times New Roman" w:cs="Times New Roman"/>
                <w:bCs/>
                <w:color w:val="auto"/>
                <w:szCs w:val="21"/>
                <w:vertAlign w:val="superscript"/>
              </w:rPr>
              <w:t>3</w:t>
            </w:r>
          </w:p>
        </w:tc>
      </w:tr>
      <w:tr w14:paraId="0BCE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jc w:val="center"/>
        </w:trPr>
        <w:tc>
          <w:tcPr>
            <w:tcW w:w="1062" w:type="dxa"/>
            <w:vMerge w:val="continue"/>
            <w:tcBorders>
              <w:tl2br w:val="nil"/>
              <w:tr2bl w:val="nil"/>
            </w:tcBorders>
            <w:tcMar>
              <w:top w:w="85" w:type="dxa"/>
              <w:bottom w:w="85" w:type="dxa"/>
            </w:tcMar>
            <w:vAlign w:val="center"/>
          </w:tcPr>
          <w:p w14:paraId="77112108">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5676170E">
            <w:pPr>
              <w:jc w:val="center"/>
              <w:rPr>
                <w:rFonts w:ascii="Times New Roman" w:hAnsi="Times New Roman" w:cs="Times New Roman"/>
                <w:color w:val="auto"/>
                <w:szCs w:val="21"/>
              </w:rPr>
            </w:pPr>
          </w:p>
        </w:tc>
        <w:tc>
          <w:tcPr>
            <w:tcW w:w="836" w:type="dxa"/>
            <w:vMerge w:val="continue"/>
            <w:tcBorders>
              <w:tl2br w:val="nil"/>
              <w:tr2bl w:val="nil"/>
            </w:tcBorders>
            <w:tcMar>
              <w:top w:w="85" w:type="dxa"/>
              <w:bottom w:w="85" w:type="dxa"/>
            </w:tcMar>
            <w:vAlign w:val="center"/>
          </w:tcPr>
          <w:p w14:paraId="2C2E7F6B">
            <w:pPr>
              <w:jc w:val="center"/>
              <w:rPr>
                <w:rFonts w:ascii="Times New Roman" w:hAnsi="Times New Roman" w:cs="Times New Roman"/>
                <w:color w:val="auto"/>
                <w:szCs w:val="21"/>
              </w:rPr>
            </w:pPr>
          </w:p>
        </w:tc>
        <w:tc>
          <w:tcPr>
            <w:tcW w:w="1444" w:type="dxa"/>
            <w:tcBorders>
              <w:tl2br w:val="nil"/>
              <w:tr2bl w:val="nil"/>
            </w:tcBorders>
            <w:tcMar>
              <w:top w:w="85" w:type="dxa"/>
              <w:bottom w:w="85" w:type="dxa"/>
            </w:tcMar>
            <w:vAlign w:val="center"/>
          </w:tcPr>
          <w:p w14:paraId="3AEDF68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日平均</w:t>
            </w:r>
          </w:p>
        </w:tc>
        <w:tc>
          <w:tcPr>
            <w:tcW w:w="2551" w:type="dxa"/>
            <w:tcBorders>
              <w:tl2br w:val="nil"/>
              <w:tr2bl w:val="nil"/>
            </w:tcBorders>
            <w:tcMar>
              <w:top w:w="85" w:type="dxa"/>
              <w:bottom w:w="85" w:type="dxa"/>
            </w:tcMar>
            <w:vAlign w:val="center"/>
          </w:tcPr>
          <w:p w14:paraId="40EF36F3">
            <w:pPr>
              <w:adjustRightInd w:val="0"/>
              <w:snapToGrid w:val="0"/>
              <w:jc w:val="center"/>
              <w:rPr>
                <w:rFonts w:ascii="Times New Roman" w:hAnsi="Times New Roman" w:cs="Times New Roman"/>
                <w:color w:val="auto"/>
                <w:szCs w:val="21"/>
              </w:rPr>
            </w:pPr>
            <w:r>
              <w:rPr>
                <w:rFonts w:ascii="Times New Roman" w:hAnsi="Times New Roman" w:cs="Times New Roman"/>
                <w:bCs/>
                <w:color w:val="auto"/>
                <w:szCs w:val="21"/>
              </w:rPr>
              <w:t>150μg/m</w:t>
            </w:r>
            <w:r>
              <w:rPr>
                <w:rFonts w:ascii="Times New Roman" w:hAnsi="Times New Roman" w:cs="Times New Roman"/>
                <w:bCs/>
                <w:color w:val="auto"/>
                <w:szCs w:val="21"/>
                <w:vertAlign w:val="superscript"/>
              </w:rPr>
              <w:t>3</w:t>
            </w:r>
          </w:p>
        </w:tc>
      </w:tr>
      <w:tr w14:paraId="71E5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062" w:type="dxa"/>
            <w:vMerge w:val="continue"/>
            <w:tcBorders>
              <w:tl2br w:val="nil"/>
              <w:tr2bl w:val="nil"/>
            </w:tcBorders>
            <w:tcMar>
              <w:top w:w="85" w:type="dxa"/>
              <w:bottom w:w="85" w:type="dxa"/>
            </w:tcMar>
            <w:vAlign w:val="center"/>
          </w:tcPr>
          <w:p w14:paraId="464DE1CC">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46156D32">
            <w:pPr>
              <w:jc w:val="center"/>
              <w:rPr>
                <w:rFonts w:ascii="Times New Roman" w:hAnsi="Times New Roman" w:cs="Times New Roman"/>
                <w:color w:val="auto"/>
                <w:szCs w:val="21"/>
              </w:rPr>
            </w:pPr>
          </w:p>
        </w:tc>
        <w:tc>
          <w:tcPr>
            <w:tcW w:w="836" w:type="dxa"/>
            <w:vMerge w:val="restart"/>
            <w:tcBorders>
              <w:tl2br w:val="nil"/>
              <w:tr2bl w:val="nil"/>
            </w:tcBorders>
            <w:tcMar>
              <w:top w:w="85" w:type="dxa"/>
              <w:bottom w:w="85" w:type="dxa"/>
            </w:tcMar>
            <w:vAlign w:val="center"/>
          </w:tcPr>
          <w:p w14:paraId="3591C12A">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PM</w:t>
            </w:r>
            <w:r>
              <w:rPr>
                <w:rFonts w:ascii="Times New Roman" w:hAnsi="Times New Roman" w:cs="Times New Roman"/>
                <w:color w:val="auto"/>
                <w:szCs w:val="21"/>
                <w:vertAlign w:val="subscript"/>
              </w:rPr>
              <w:t>2.5</w:t>
            </w:r>
          </w:p>
        </w:tc>
        <w:tc>
          <w:tcPr>
            <w:tcW w:w="1444" w:type="dxa"/>
            <w:tcBorders>
              <w:tl2br w:val="nil"/>
              <w:tr2bl w:val="nil"/>
            </w:tcBorders>
            <w:tcMar>
              <w:top w:w="85" w:type="dxa"/>
              <w:bottom w:w="85" w:type="dxa"/>
            </w:tcMar>
            <w:vAlign w:val="center"/>
          </w:tcPr>
          <w:p w14:paraId="1D2C90BD">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年均值</w:t>
            </w:r>
          </w:p>
        </w:tc>
        <w:tc>
          <w:tcPr>
            <w:tcW w:w="2551" w:type="dxa"/>
            <w:tcBorders>
              <w:tl2br w:val="nil"/>
              <w:tr2bl w:val="nil"/>
            </w:tcBorders>
            <w:tcMar>
              <w:top w:w="85" w:type="dxa"/>
              <w:bottom w:w="85" w:type="dxa"/>
            </w:tcMar>
            <w:vAlign w:val="center"/>
          </w:tcPr>
          <w:p w14:paraId="4B939E8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35</w:t>
            </w:r>
            <w:r>
              <w:rPr>
                <w:rFonts w:ascii="Times New Roman" w:hAnsi="Times New Roman" w:cs="Times New Roman"/>
                <w:bCs/>
                <w:color w:val="auto"/>
                <w:szCs w:val="21"/>
              </w:rPr>
              <w:t>μg/m</w:t>
            </w:r>
            <w:r>
              <w:rPr>
                <w:rFonts w:ascii="Times New Roman" w:hAnsi="Times New Roman" w:cs="Times New Roman"/>
                <w:bCs/>
                <w:color w:val="auto"/>
                <w:szCs w:val="21"/>
                <w:vertAlign w:val="superscript"/>
              </w:rPr>
              <w:t>3</w:t>
            </w:r>
          </w:p>
        </w:tc>
      </w:tr>
      <w:tr w14:paraId="24DF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062" w:type="dxa"/>
            <w:vMerge w:val="continue"/>
            <w:tcBorders>
              <w:tl2br w:val="nil"/>
              <w:tr2bl w:val="nil"/>
            </w:tcBorders>
            <w:tcMar>
              <w:top w:w="85" w:type="dxa"/>
              <w:bottom w:w="85" w:type="dxa"/>
            </w:tcMar>
            <w:vAlign w:val="center"/>
          </w:tcPr>
          <w:p w14:paraId="6752E757">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390B6202">
            <w:pPr>
              <w:jc w:val="center"/>
              <w:rPr>
                <w:rFonts w:ascii="Times New Roman" w:hAnsi="Times New Roman" w:cs="Times New Roman"/>
                <w:color w:val="auto"/>
                <w:szCs w:val="21"/>
              </w:rPr>
            </w:pPr>
          </w:p>
        </w:tc>
        <w:tc>
          <w:tcPr>
            <w:tcW w:w="836" w:type="dxa"/>
            <w:vMerge w:val="continue"/>
            <w:tcBorders>
              <w:tl2br w:val="nil"/>
              <w:tr2bl w:val="nil"/>
            </w:tcBorders>
            <w:tcMar>
              <w:top w:w="85" w:type="dxa"/>
              <w:bottom w:w="85" w:type="dxa"/>
            </w:tcMar>
            <w:vAlign w:val="center"/>
          </w:tcPr>
          <w:p w14:paraId="328A43E6">
            <w:pPr>
              <w:jc w:val="center"/>
              <w:rPr>
                <w:rFonts w:ascii="Times New Roman" w:hAnsi="Times New Roman" w:cs="Times New Roman"/>
                <w:color w:val="auto"/>
                <w:szCs w:val="21"/>
              </w:rPr>
            </w:pPr>
          </w:p>
        </w:tc>
        <w:tc>
          <w:tcPr>
            <w:tcW w:w="1444" w:type="dxa"/>
            <w:tcBorders>
              <w:tl2br w:val="nil"/>
              <w:tr2bl w:val="nil"/>
            </w:tcBorders>
            <w:tcMar>
              <w:top w:w="85" w:type="dxa"/>
              <w:bottom w:w="85" w:type="dxa"/>
            </w:tcMar>
            <w:vAlign w:val="center"/>
          </w:tcPr>
          <w:p w14:paraId="1477F02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日平均</w:t>
            </w:r>
          </w:p>
        </w:tc>
        <w:tc>
          <w:tcPr>
            <w:tcW w:w="2551" w:type="dxa"/>
            <w:tcBorders>
              <w:tl2br w:val="nil"/>
              <w:tr2bl w:val="nil"/>
            </w:tcBorders>
            <w:tcMar>
              <w:top w:w="85" w:type="dxa"/>
              <w:bottom w:w="85" w:type="dxa"/>
            </w:tcMar>
            <w:vAlign w:val="center"/>
          </w:tcPr>
          <w:p w14:paraId="39EAADFF">
            <w:pPr>
              <w:adjustRightInd w:val="0"/>
              <w:snapToGrid w:val="0"/>
              <w:jc w:val="center"/>
              <w:rPr>
                <w:rFonts w:ascii="Times New Roman" w:hAnsi="Times New Roman" w:cs="Times New Roman"/>
                <w:color w:val="auto"/>
                <w:szCs w:val="21"/>
              </w:rPr>
            </w:pPr>
            <w:r>
              <w:rPr>
                <w:rFonts w:ascii="Times New Roman" w:hAnsi="Times New Roman" w:cs="Times New Roman"/>
                <w:bCs/>
                <w:color w:val="auto"/>
                <w:szCs w:val="21"/>
              </w:rPr>
              <w:t>75μg/m</w:t>
            </w:r>
            <w:r>
              <w:rPr>
                <w:rFonts w:ascii="Times New Roman" w:hAnsi="Times New Roman" w:cs="Times New Roman"/>
                <w:bCs/>
                <w:color w:val="auto"/>
                <w:szCs w:val="21"/>
                <w:vertAlign w:val="superscript"/>
              </w:rPr>
              <w:t>3</w:t>
            </w:r>
          </w:p>
        </w:tc>
      </w:tr>
      <w:tr w14:paraId="27C6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062" w:type="dxa"/>
            <w:vMerge w:val="continue"/>
            <w:tcBorders>
              <w:tl2br w:val="nil"/>
              <w:tr2bl w:val="nil"/>
            </w:tcBorders>
            <w:tcMar>
              <w:top w:w="85" w:type="dxa"/>
              <w:bottom w:w="85" w:type="dxa"/>
            </w:tcMar>
            <w:vAlign w:val="center"/>
          </w:tcPr>
          <w:p w14:paraId="2027C2DF">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5C7DEC5E">
            <w:pPr>
              <w:jc w:val="center"/>
              <w:rPr>
                <w:rFonts w:ascii="Times New Roman" w:hAnsi="Times New Roman" w:cs="Times New Roman"/>
                <w:color w:val="auto"/>
                <w:szCs w:val="21"/>
              </w:rPr>
            </w:pPr>
          </w:p>
        </w:tc>
        <w:tc>
          <w:tcPr>
            <w:tcW w:w="836" w:type="dxa"/>
            <w:vMerge w:val="restart"/>
            <w:tcBorders>
              <w:tl2br w:val="nil"/>
              <w:tr2bl w:val="nil"/>
            </w:tcBorders>
            <w:tcMar>
              <w:top w:w="85" w:type="dxa"/>
              <w:bottom w:w="85" w:type="dxa"/>
            </w:tcMar>
            <w:vAlign w:val="center"/>
          </w:tcPr>
          <w:p w14:paraId="3A418D22">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CO</w:t>
            </w:r>
          </w:p>
        </w:tc>
        <w:tc>
          <w:tcPr>
            <w:tcW w:w="1444" w:type="dxa"/>
            <w:tcBorders>
              <w:tl2br w:val="nil"/>
              <w:tr2bl w:val="nil"/>
            </w:tcBorders>
            <w:tcMar>
              <w:top w:w="85" w:type="dxa"/>
              <w:bottom w:w="85" w:type="dxa"/>
            </w:tcMar>
            <w:vAlign w:val="center"/>
          </w:tcPr>
          <w:p w14:paraId="79BA714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日平均</w:t>
            </w:r>
          </w:p>
        </w:tc>
        <w:tc>
          <w:tcPr>
            <w:tcW w:w="2551" w:type="dxa"/>
            <w:tcBorders>
              <w:tl2br w:val="nil"/>
              <w:tr2bl w:val="nil"/>
            </w:tcBorders>
            <w:tcMar>
              <w:top w:w="85" w:type="dxa"/>
              <w:bottom w:w="85" w:type="dxa"/>
            </w:tcMar>
            <w:vAlign w:val="center"/>
          </w:tcPr>
          <w:p w14:paraId="5A59B869">
            <w:pPr>
              <w:adjustRightInd w:val="0"/>
              <w:snapToGrid w:val="0"/>
              <w:jc w:val="center"/>
              <w:rPr>
                <w:rFonts w:ascii="Times New Roman" w:hAnsi="Times New Roman" w:cs="Times New Roman"/>
                <w:color w:val="auto"/>
                <w:szCs w:val="21"/>
              </w:rPr>
            </w:pPr>
            <w:r>
              <w:rPr>
                <w:rFonts w:ascii="Times New Roman" w:hAnsi="Times New Roman" w:cs="Times New Roman"/>
                <w:bCs/>
                <w:color w:val="auto"/>
                <w:szCs w:val="21"/>
              </w:rPr>
              <w:t>4mg/m</w:t>
            </w:r>
            <w:r>
              <w:rPr>
                <w:rFonts w:ascii="Times New Roman" w:hAnsi="Times New Roman" w:cs="Times New Roman"/>
                <w:bCs/>
                <w:color w:val="auto"/>
                <w:szCs w:val="21"/>
                <w:vertAlign w:val="superscript"/>
              </w:rPr>
              <w:t>3</w:t>
            </w:r>
          </w:p>
        </w:tc>
      </w:tr>
      <w:tr w14:paraId="3A24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jc w:val="center"/>
        </w:trPr>
        <w:tc>
          <w:tcPr>
            <w:tcW w:w="1062" w:type="dxa"/>
            <w:vMerge w:val="continue"/>
            <w:tcBorders>
              <w:tl2br w:val="nil"/>
              <w:tr2bl w:val="nil"/>
            </w:tcBorders>
            <w:tcMar>
              <w:top w:w="85" w:type="dxa"/>
              <w:bottom w:w="85" w:type="dxa"/>
            </w:tcMar>
            <w:vAlign w:val="center"/>
          </w:tcPr>
          <w:p w14:paraId="1C7DDBCB">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0141BDE6">
            <w:pPr>
              <w:jc w:val="center"/>
              <w:rPr>
                <w:rFonts w:ascii="Times New Roman" w:hAnsi="Times New Roman" w:cs="Times New Roman"/>
                <w:color w:val="auto"/>
                <w:szCs w:val="21"/>
              </w:rPr>
            </w:pPr>
          </w:p>
        </w:tc>
        <w:tc>
          <w:tcPr>
            <w:tcW w:w="836" w:type="dxa"/>
            <w:vMerge w:val="continue"/>
            <w:tcBorders>
              <w:tl2br w:val="nil"/>
              <w:tr2bl w:val="nil"/>
            </w:tcBorders>
            <w:tcMar>
              <w:top w:w="85" w:type="dxa"/>
              <w:bottom w:w="85" w:type="dxa"/>
            </w:tcMar>
            <w:vAlign w:val="center"/>
          </w:tcPr>
          <w:p w14:paraId="58CFA92D">
            <w:pPr>
              <w:jc w:val="center"/>
              <w:rPr>
                <w:rFonts w:ascii="Times New Roman" w:hAnsi="Times New Roman" w:cs="Times New Roman"/>
                <w:color w:val="auto"/>
                <w:szCs w:val="21"/>
              </w:rPr>
            </w:pPr>
          </w:p>
        </w:tc>
        <w:tc>
          <w:tcPr>
            <w:tcW w:w="1444" w:type="dxa"/>
            <w:tcBorders>
              <w:tl2br w:val="nil"/>
              <w:tr2bl w:val="nil"/>
            </w:tcBorders>
            <w:tcMar>
              <w:top w:w="85" w:type="dxa"/>
              <w:bottom w:w="85" w:type="dxa"/>
            </w:tcMar>
            <w:vAlign w:val="center"/>
          </w:tcPr>
          <w:p w14:paraId="17C102C2">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1h平均</w:t>
            </w:r>
          </w:p>
        </w:tc>
        <w:tc>
          <w:tcPr>
            <w:tcW w:w="2551" w:type="dxa"/>
            <w:tcBorders>
              <w:tl2br w:val="nil"/>
              <w:tr2bl w:val="nil"/>
            </w:tcBorders>
            <w:tcMar>
              <w:top w:w="85" w:type="dxa"/>
              <w:bottom w:w="85" w:type="dxa"/>
            </w:tcMar>
            <w:vAlign w:val="center"/>
          </w:tcPr>
          <w:p w14:paraId="5BE7AECB">
            <w:pPr>
              <w:adjustRightInd w:val="0"/>
              <w:snapToGrid w:val="0"/>
              <w:jc w:val="center"/>
              <w:rPr>
                <w:rFonts w:ascii="Times New Roman" w:hAnsi="Times New Roman" w:cs="Times New Roman"/>
                <w:color w:val="auto"/>
                <w:szCs w:val="21"/>
              </w:rPr>
            </w:pPr>
            <w:r>
              <w:rPr>
                <w:rFonts w:ascii="Times New Roman" w:hAnsi="Times New Roman" w:cs="Times New Roman"/>
                <w:bCs/>
                <w:color w:val="auto"/>
                <w:szCs w:val="21"/>
              </w:rPr>
              <w:t>10mg/m</w:t>
            </w:r>
            <w:r>
              <w:rPr>
                <w:rFonts w:ascii="Times New Roman" w:hAnsi="Times New Roman" w:cs="Times New Roman"/>
                <w:bCs/>
                <w:color w:val="auto"/>
                <w:szCs w:val="21"/>
                <w:vertAlign w:val="superscript"/>
              </w:rPr>
              <w:t>3</w:t>
            </w:r>
          </w:p>
        </w:tc>
      </w:tr>
      <w:tr w14:paraId="6DCC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1062" w:type="dxa"/>
            <w:vMerge w:val="continue"/>
            <w:tcBorders>
              <w:tl2br w:val="nil"/>
              <w:tr2bl w:val="nil"/>
            </w:tcBorders>
            <w:tcMar>
              <w:top w:w="85" w:type="dxa"/>
              <w:bottom w:w="85" w:type="dxa"/>
            </w:tcMar>
            <w:vAlign w:val="center"/>
          </w:tcPr>
          <w:p w14:paraId="017D877A">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1218537C">
            <w:pPr>
              <w:jc w:val="center"/>
              <w:rPr>
                <w:rFonts w:ascii="Times New Roman" w:hAnsi="Times New Roman" w:cs="Times New Roman"/>
                <w:color w:val="auto"/>
                <w:szCs w:val="21"/>
              </w:rPr>
            </w:pPr>
          </w:p>
        </w:tc>
        <w:tc>
          <w:tcPr>
            <w:tcW w:w="836" w:type="dxa"/>
            <w:vMerge w:val="restart"/>
            <w:tcBorders>
              <w:tl2br w:val="nil"/>
              <w:tr2bl w:val="nil"/>
            </w:tcBorders>
            <w:tcMar>
              <w:top w:w="85" w:type="dxa"/>
              <w:bottom w:w="85" w:type="dxa"/>
            </w:tcMar>
            <w:vAlign w:val="center"/>
          </w:tcPr>
          <w:p w14:paraId="7CB70A27">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O</w:t>
            </w:r>
            <w:r>
              <w:rPr>
                <w:rFonts w:ascii="Times New Roman" w:hAnsi="Times New Roman" w:cs="Times New Roman"/>
                <w:color w:val="auto"/>
                <w:szCs w:val="21"/>
                <w:vertAlign w:val="subscript"/>
              </w:rPr>
              <w:t>3</w:t>
            </w:r>
          </w:p>
        </w:tc>
        <w:tc>
          <w:tcPr>
            <w:tcW w:w="1444" w:type="dxa"/>
            <w:tcBorders>
              <w:tl2br w:val="nil"/>
              <w:tr2bl w:val="nil"/>
            </w:tcBorders>
            <w:tcMar>
              <w:top w:w="85" w:type="dxa"/>
              <w:bottom w:w="85" w:type="dxa"/>
            </w:tcMar>
            <w:vAlign w:val="center"/>
          </w:tcPr>
          <w:p w14:paraId="3F4A1C2C">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日最大8小时平均</w:t>
            </w:r>
          </w:p>
        </w:tc>
        <w:tc>
          <w:tcPr>
            <w:tcW w:w="2551" w:type="dxa"/>
            <w:tcBorders>
              <w:tl2br w:val="nil"/>
              <w:tr2bl w:val="nil"/>
            </w:tcBorders>
            <w:tcMar>
              <w:top w:w="85" w:type="dxa"/>
              <w:bottom w:w="85" w:type="dxa"/>
            </w:tcMar>
            <w:vAlign w:val="center"/>
          </w:tcPr>
          <w:p w14:paraId="31C99EAE">
            <w:pPr>
              <w:adjustRightInd w:val="0"/>
              <w:snapToGrid w:val="0"/>
              <w:jc w:val="center"/>
              <w:rPr>
                <w:rFonts w:ascii="Times New Roman" w:hAnsi="Times New Roman" w:cs="Times New Roman"/>
                <w:color w:val="auto"/>
                <w:szCs w:val="21"/>
              </w:rPr>
            </w:pPr>
            <w:r>
              <w:rPr>
                <w:rFonts w:ascii="Times New Roman" w:hAnsi="Times New Roman" w:cs="Times New Roman"/>
                <w:bCs/>
                <w:color w:val="auto"/>
                <w:szCs w:val="21"/>
              </w:rPr>
              <w:t>160μg/m</w:t>
            </w:r>
            <w:r>
              <w:rPr>
                <w:rFonts w:ascii="Times New Roman" w:hAnsi="Times New Roman" w:cs="Times New Roman"/>
                <w:bCs/>
                <w:color w:val="auto"/>
                <w:szCs w:val="21"/>
                <w:vertAlign w:val="superscript"/>
              </w:rPr>
              <w:t>3</w:t>
            </w:r>
          </w:p>
        </w:tc>
      </w:tr>
      <w:tr w14:paraId="08D8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062" w:type="dxa"/>
            <w:vMerge w:val="continue"/>
            <w:tcBorders>
              <w:tl2br w:val="nil"/>
              <w:tr2bl w:val="nil"/>
            </w:tcBorders>
            <w:tcMar>
              <w:top w:w="85" w:type="dxa"/>
              <w:bottom w:w="85" w:type="dxa"/>
            </w:tcMar>
            <w:vAlign w:val="center"/>
          </w:tcPr>
          <w:p w14:paraId="73C01CE7">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6F2165A4">
            <w:pPr>
              <w:jc w:val="center"/>
              <w:rPr>
                <w:rFonts w:ascii="Times New Roman" w:hAnsi="Times New Roman" w:cs="Times New Roman"/>
                <w:color w:val="auto"/>
                <w:szCs w:val="21"/>
              </w:rPr>
            </w:pPr>
          </w:p>
        </w:tc>
        <w:tc>
          <w:tcPr>
            <w:tcW w:w="836" w:type="dxa"/>
            <w:vMerge w:val="continue"/>
            <w:tcBorders>
              <w:tl2br w:val="nil"/>
              <w:tr2bl w:val="nil"/>
            </w:tcBorders>
            <w:tcMar>
              <w:top w:w="85" w:type="dxa"/>
              <w:bottom w:w="85" w:type="dxa"/>
            </w:tcMar>
            <w:vAlign w:val="center"/>
          </w:tcPr>
          <w:p w14:paraId="205676FC">
            <w:pPr>
              <w:jc w:val="center"/>
              <w:rPr>
                <w:rFonts w:ascii="Times New Roman" w:hAnsi="Times New Roman" w:cs="Times New Roman"/>
                <w:color w:val="auto"/>
                <w:szCs w:val="21"/>
              </w:rPr>
            </w:pPr>
          </w:p>
        </w:tc>
        <w:tc>
          <w:tcPr>
            <w:tcW w:w="1444" w:type="dxa"/>
            <w:tcBorders>
              <w:tl2br w:val="nil"/>
              <w:tr2bl w:val="nil"/>
            </w:tcBorders>
            <w:tcMar>
              <w:top w:w="85" w:type="dxa"/>
              <w:bottom w:w="85" w:type="dxa"/>
            </w:tcMar>
            <w:vAlign w:val="center"/>
          </w:tcPr>
          <w:p w14:paraId="1AE338FA">
            <w:pPr>
              <w:pStyle w:val="12"/>
              <w:tabs>
                <w:tab w:val="left" w:pos="990"/>
              </w:tabs>
              <w:adjustRightInd w:val="0"/>
              <w:snapToGrid w:val="0"/>
              <w:ind w:firstLine="0" w:firstLineChars="0"/>
              <w:contextualSpacing/>
              <w:jc w:val="center"/>
              <w:rPr>
                <w:rFonts w:ascii="Times New Roman" w:hAnsi="Times New Roman" w:cs="Times New Roman"/>
                <w:color w:val="auto"/>
                <w:szCs w:val="21"/>
              </w:rPr>
            </w:pPr>
            <w:r>
              <w:rPr>
                <w:rFonts w:ascii="Times New Roman" w:hAnsi="Times New Roman" w:cs="Times New Roman"/>
                <w:color w:val="auto"/>
                <w:szCs w:val="21"/>
              </w:rPr>
              <w:t>1h平均</w:t>
            </w:r>
          </w:p>
        </w:tc>
        <w:tc>
          <w:tcPr>
            <w:tcW w:w="2551" w:type="dxa"/>
            <w:tcBorders>
              <w:tl2br w:val="nil"/>
              <w:tr2bl w:val="nil"/>
            </w:tcBorders>
            <w:tcMar>
              <w:top w:w="85" w:type="dxa"/>
              <w:bottom w:w="85" w:type="dxa"/>
            </w:tcMar>
            <w:vAlign w:val="center"/>
          </w:tcPr>
          <w:p w14:paraId="1EC37AE9">
            <w:pPr>
              <w:adjustRightInd w:val="0"/>
              <w:snapToGrid w:val="0"/>
              <w:jc w:val="center"/>
              <w:rPr>
                <w:rFonts w:ascii="Times New Roman" w:hAnsi="Times New Roman" w:cs="Times New Roman"/>
                <w:color w:val="auto"/>
                <w:szCs w:val="21"/>
              </w:rPr>
            </w:pPr>
            <w:r>
              <w:rPr>
                <w:rFonts w:ascii="Times New Roman" w:hAnsi="Times New Roman" w:cs="Times New Roman"/>
                <w:bCs/>
                <w:color w:val="auto"/>
                <w:szCs w:val="21"/>
              </w:rPr>
              <w:t>200μg/m</w:t>
            </w:r>
            <w:r>
              <w:rPr>
                <w:rFonts w:ascii="Times New Roman" w:hAnsi="Times New Roman" w:cs="Times New Roman"/>
                <w:bCs/>
                <w:color w:val="auto"/>
                <w:szCs w:val="21"/>
                <w:vertAlign w:val="superscript"/>
              </w:rPr>
              <w:t>3</w:t>
            </w:r>
          </w:p>
        </w:tc>
      </w:tr>
      <w:tr w14:paraId="46D0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1062" w:type="dxa"/>
            <w:vMerge w:val="continue"/>
            <w:tcBorders>
              <w:tl2br w:val="nil"/>
              <w:tr2bl w:val="nil"/>
            </w:tcBorders>
            <w:tcMar>
              <w:top w:w="85" w:type="dxa"/>
              <w:bottom w:w="85" w:type="dxa"/>
            </w:tcMar>
            <w:vAlign w:val="center"/>
          </w:tcPr>
          <w:p w14:paraId="4BE6F044">
            <w:pPr>
              <w:jc w:val="center"/>
              <w:rPr>
                <w:rFonts w:ascii="Times New Roman" w:hAnsi="Times New Roman" w:cs="Times New Roman"/>
                <w:color w:val="auto"/>
                <w:szCs w:val="21"/>
              </w:rPr>
            </w:pPr>
          </w:p>
        </w:tc>
        <w:tc>
          <w:tcPr>
            <w:tcW w:w="2624" w:type="dxa"/>
            <w:vMerge w:val="restart"/>
            <w:tcBorders>
              <w:tl2br w:val="nil"/>
              <w:tr2bl w:val="nil"/>
            </w:tcBorders>
            <w:tcMar>
              <w:top w:w="85" w:type="dxa"/>
              <w:bottom w:w="85" w:type="dxa"/>
            </w:tcMar>
            <w:vAlign w:val="center"/>
          </w:tcPr>
          <w:p w14:paraId="288C5545">
            <w:pPr>
              <w:jc w:val="center"/>
              <w:rPr>
                <w:rFonts w:ascii="Times New Roman" w:hAnsi="Times New Roman" w:cs="Times New Roman"/>
                <w:color w:val="auto"/>
                <w:szCs w:val="21"/>
              </w:rPr>
            </w:pPr>
            <w:r>
              <w:rPr>
                <w:rFonts w:ascii="Times New Roman" w:hAnsi="Times New Roman" w:cs="Times New Roman"/>
                <w:color w:val="auto"/>
                <w:szCs w:val="21"/>
              </w:rPr>
              <w:t>《环境影响评价技术导则-大气环境》附录D中参考限值</w:t>
            </w:r>
          </w:p>
        </w:tc>
        <w:tc>
          <w:tcPr>
            <w:tcW w:w="2280" w:type="dxa"/>
            <w:gridSpan w:val="2"/>
            <w:tcBorders>
              <w:tl2br w:val="nil"/>
              <w:tr2bl w:val="nil"/>
            </w:tcBorders>
            <w:tcMar>
              <w:top w:w="85" w:type="dxa"/>
              <w:bottom w:w="85" w:type="dxa"/>
            </w:tcMar>
            <w:vAlign w:val="center"/>
          </w:tcPr>
          <w:p w14:paraId="68EBA082">
            <w:pPr>
              <w:jc w:val="center"/>
              <w:rPr>
                <w:rFonts w:ascii="Times New Roman" w:hAnsi="Times New Roman" w:cs="Times New Roman"/>
                <w:color w:val="auto"/>
                <w:szCs w:val="21"/>
              </w:rPr>
            </w:pPr>
            <w:r>
              <w:rPr>
                <w:rFonts w:ascii="Times New Roman" w:hAnsi="Times New Roman" w:cs="Times New Roman"/>
                <w:color w:val="auto"/>
                <w:szCs w:val="21"/>
              </w:rPr>
              <w:t>甲苯1h平均浓度值</w:t>
            </w:r>
          </w:p>
        </w:tc>
        <w:tc>
          <w:tcPr>
            <w:tcW w:w="2551" w:type="dxa"/>
            <w:tcBorders>
              <w:tl2br w:val="nil"/>
              <w:tr2bl w:val="nil"/>
            </w:tcBorders>
            <w:tcMar>
              <w:top w:w="85" w:type="dxa"/>
              <w:bottom w:w="85" w:type="dxa"/>
            </w:tcMar>
            <w:vAlign w:val="center"/>
          </w:tcPr>
          <w:p w14:paraId="15FF2E66">
            <w:pPr>
              <w:jc w:val="center"/>
              <w:rPr>
                <w:rFonts w:ascii="Times New Roman" w:hAnsi="Times New Roman" w:cs="Times New Roman"/>
                <w:color w:val="auto"/>
                <w:szCs w:val="21"/>
              </w:rPr>
            </w:pPr>
            <w:r>
              <w:rPr>
                <w:rFonts w:ascii="Times New Roman" w:hAnsi="Times New Roman" w:cs="Times New Roman"/>
                <w:color w:val="auto"/>
                <w:szCs w:val="21"/>
              </w:rPr>
              <w:t>0.2mg/m</w:t>
            </w:r>
            <w:r>
              <w:rPr>
                <w:rFonts w:ascii="Times New Roman" w:hAnsi="Times New Roman" w:cs="Times New Roman"/>
                <w:color w:val="auto"/>
                <w:szCs w:val="21"/>
                <w:vertAlign w:val="superscript"/>
              </w:rPr>
              <w:t>3</w:t>
            </w:r>
          </w:p>
        </w:tc>
      </w:tr>
      <w:tr w14:paraId="1572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1062" w:type="dxa"/>
            <w:vMerge w:val="continue"/>
            <w:tcBorders>
              <w:tl2br w:val="nil"/>
              <w:tr2bl w:val="nil"/>
            </w:tcBorders>
            <w:tcMar>
              <w:top w:w="85" w:type="dxa"/>
              <w:bottom w:w="85" w:type="dxa"/>
            </w:tcMar>
            <w:vAlign w:val="center"/>
          </w:tcPr>
          <w:p w14:paraId="70720A61">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6BD1C436">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1B605AF3">
            <w:pPr>
              <w:jc w:val="center"/>
              <w:rPr>
                <w:rFonts w:ascii="Times New Roman" w:hAnsi="Times New Roman" w:cs="Times New Roman"/>
                <w:color w:val="auto"/>
                <w:szCs w:val="21"/>
              </w:rPr>
            </w:pPr>
            <w:r>
              <w:rPr>
                <w:rFonts w:ascii="Times New Roman" w:hAnsi="Times New Roman" w:cs="Times New Roman"/>
                <w:color w:val="auto"/>
                <w:szCs w:val="21"/>
              </w:rPr>
              <w:t>苯1h平均浓度值</w:t>
            </w:r>
          </w:p>
        </w:tc>
        <w:tc>
          <w:tcPr>
            <w:tcW w:w="2551" w:type="dxa"/>
            <w:tcBorders>
              <w:tl2br w:val="nil"/>
              <w:tr2bl w:val="nil"/>
            </w:tcBorders>
            <w:tcMar>
              <w:top w:w="85" w:type="dxa"/>
              <w:bottom w:w="85" w:type="dxa"/>
            </w:tcMar>
            <w:vAlign w:val="center"/>
          </w:tcPr>
          <w:p w14:paraId="157BB4AE">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0.11</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p>
        </w:tc>
      </w:tr>
      <w:tr w14:paraId="5562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062" w:type="dxa"/>
            <w:vMerge w:val="continue"/>
            <w:tcBorders>
              <w:tl2br w:val="nil"/>
              <w:tr2bl w:val="nil"/>
            </w:tcBorders>
            <w:tcMar>
              <w:top w:w="85" w:type="dxa"/>
              <w:bottom w:w="85" w:type="dxa"/>
            </w:tcMar>
            <w:vAlign w:val="center"/>
          </w:tcPr>
          <w:p w14:paraId="2FBE0AC6">
            <w:pPr>
              <w:jc w:val="center"/>
              <w:rPr>
                <w:rFonts w:ascii="Times New Roman" w:hAnsi="Times New Roman" w:cs="Times New Roman"/>
                <w:color w:val="auto"/>
                <w:szCs w:val="21"/>
              </w:rPr>
            </w:pPr>
          </w:p>
        </w:tc>
        <w:tc>
          <w:tcPr>
            <w:tcW w:w="2624" w:type="dxa"/>
            <w:vMerge w:val="continue"/>
            <w:tcBorders>
              <w:tl2br w:val="nil"/>
              <w:tr2bl w:val="nil"/>
            </w:tcBorders>
            <w:tcMar>
              <w:top w:w="85" w:type="dxa"/>
              <w:bottom w:w="85" w:type="dxa"/>
            </w:tcMar>
            <w:vAlign w:val="center"/>
          </w:tcPr>
          <w:p w14:paraId="43C660A9">
            <w:pPr>
              <w:jc w:val="center"/>
              <w:rPr>
                <w:rFonts w:ascii="Times New Roman" w:hAnsi="Times New Roman" w:cs="Times New Roman"/>
                <w:color w:val="auto"/>
                <w:szCs w:val="21"/>
              </w:rPr>
            </w:pPr>
          </w:p>
        </w:tc>
        <w:tc>
          <w:tcPr>
            <w:tcW w:w="2280" w:type="dxa"/>
            <w:gridSpan w:val="2"/>
            <w:tcBorders>
              <w:tl2br w:val="nil"/>
              <w:tr2bl w:val="nil"/>
            </w:tcBorders>
            <w:tcMar>
              <w:top w:w="85" w:type="dxa"/>
              <w:bottom w:w="85" w:type="dxa"/>
            </w:tcMar>
            <w:vAlign w:val="center"/>
          </w:tcPr>
          <w:p w14:paraId="1A3DBAC3">
            <w:pPr>
              <w:jc w:val="center"/>
              <w:rPr>
                <w:rFonts w:ascii="Times New Roman" w:hAnsi="Times New Roman" w:cs="Times New Roman"/>
                <w:color w:val="auto"/>
                <w:szCs w:val="21"/>
              </w:rPr>
            </w:pPr>
            <w:r>
              <w:rPr>
                <w:rFonts w:ascii="Times New Roman" w:hAnsi="Times New Roman" w:cs="Times New Roman"/>
                <w:color w:val="auto"/>
                <w:szCs w:val="21"/>
              </w:rPr>
              <w:t>二甲苯1h平均浓度值</w:t>
            </w:r>
          </w:p>
        </w:tc>
        <w:tc>
          <w:tcPr>
            <w:tcW w:w="2551" w:type="dxa"/>
            <w:tcBorders>
              <w:tl2br w:val="nil"/>
              <w:tr2bl w:val="nil"/>
            </w:tcBorders>
            <w:tcMar>
              <w:top w:w="85" w:type="dxa"/>
              <w:bottom w:w="85" w:type="dxa"/>
            </w:tcMar>
            <w:vAlign w:val="center"/>
          </w:tcPr>
          <w:p w14:paraId="6C108345">
            <w:pPr>
              <w:jc w:val="center"/>
              <w:rPr>
                <w:rFonts w:ascii="Times New Roman" w:hAnsi="Times New Roman" w:cs="Times New Roman"/>
                <w:color w:val="auto"/>
                <w:szCs w:val="21"/>
              </w:rPr>
            </w:pPr>
            <w:r>
              <w:rPr>
                <w:rFonts w:ascii="Times New Roman" w:hAnsi="Times New Roman" w:cs="Times New Roman"/>
                <w:color w:val="auto"/>
                <w:szCs w:val="21"/>
              </w:rPr>
              <w:t>0.2mg/m</w:t>
            </w:r>
            <w:r>
              <w:rPr>
                <w:rFonts w:ascii="Times New Roman" w:hAnsi="Times New Roman" w:cs="Times New Roman"/>
                <w:color w:val="auto"/>
                <w:szCs w:val="21"/>
                <w:vertAlign w:val="superscript"/>
              </w:rPr>
              <w:t>3</w:t>
            </w:r>
          </w:p>
        </w:tc>
      </w:tr>
      <w:tr w14:paraId="59EC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4F8D92D5">
            <w:pPr>
              <w:jc w:val="center"/>
              <w:rPr>
                <w:rFonts w:ascii="Times New Roman" w:hAnsi="Times New Roman" w:cs="Times New Roman"/>
                <w:color w:val="auto"/>
                <w:szCs w:val="21"/>
              </w:rPr>
            </w:pPr>
          </w:p>
        </w:tc>
        <w:tc>
          <w:tcPr>
            <w:tcW w:w="2624" w:type="dxa"/>
            <w:tcBorders>
              <w:tl2br w:val="nil"/>
              <w:tr2bl w:val="nil"/>
            </w:tcBorders>
            <w:tcMar>
              <w:top w:w="85" w:type="dxa"/>
              <w:bottom w:w="85" w:type="dxa"/>
            </w:tcMar>
            <w:vAlign w:val="center"/>
          </w:tcPr>
          <w:p w14:paraId="5013EBA6">
            <w:pPr>
              <w:jc w:val="center"/>
              <w:rPr>
                <w:rFonts w:ascii="Times New Roman" w:hAnsi="Times New Roman" w:eastAsia="宋体" w:cs="Times New Roman"/>
                <w:color w:val="auto"/>
                <w:szCs w:val="21"/>
              </w:rPr>
            </w:pPr>
            <w:r>
              <w:rPr>
                <w:rFonts w:ascii="Times New Roman" w:hAnsi="Times New Roman" w:cs="Times New Roman"/>
                <w:color w:val="auto"/>
                <w:szCs w:val="21"/>
              </w:rPr>
              <w:t>大气</w:t>
            </w:r>
            <w:r>
              <w:rPr>
                <w:rFonts w:hint="eastAsia" w:ascii="Times New Roman" w:hAnsi="Times New Roman" w:cs="Times New Roman"/>
                <w:color w:val="auto"/>
                <w:szCs w:val="21"/>
              </w:rPr>
              <w:t>污染物综合排放标准</w:t>
            </w:r>
            <w:r>
              <w:rPr>
                <w:rFonts w:ascii="Times New Roman" w:hAnsi="Times New Roman" w:cs="Times New Roman"/>
                <w:color w:val="auto"/>
                <w:szCs w:val="21"/>
              </w:rPr>
              <w:t>详解</w:t>
            </w:r>
          </w:p>
        </w:tc>
        <w:tc>
          <w:tcPr>
            <w:tcW w:w="2280" w:type="dxa"/>
            <w:gridSpan w:val="2"/>
            <w:tcBorders>
              <w:tl2br w:val="nil"/>
              <w:tr2bl w:val="nil"/>
            </w:tcBorders>
            <w:tcMar>
              <w:top w:w="85" w:type="dxa"/>
              <w:bottom w:w="85" w:type="dxa"/>
            </w:tcMar>
            <w:vAlign w:val="center"/>
          </w:tcPr>
          <w:p w14:paraId="65781D31">
            <w:pPr>
              <w:jc w:val="center"/>
              <w:rPr>
                <w:rFonts w:ascii="Times New Roman" w:hAnsi="Times New Roman" w:eastAsia="宋体" w:cs="Times New Roman"/>
                <w:color w:val="auto"/>
                <w:szCs w:val="21"/>
              </w:rPr>
            </w:pPr>
            <w:r>
              <w:rPr>
                <w:rFonts w:ascii="Times New Roman" w:hAnsi="Times New Roman" w:cs="Times New Roman"/>
                <w:color w:val="auto"/>
                <w:szCs w:val="21"/>
              </w:rPr>
              <w:t>非甲烷总烃1h平均浓度值</w:t>
            </w:r>
          </w:p>
        </w:tc>
        <w:tc>
          <w:tcPr>
            <w:tcW w:w="2551" w:type="dxa"/>
            <w:tcBorders>
              <w:tl2br w:val="nil"/>
              <w:tr2bl w:val="nil"/>
            </w:tcBorders>
            <w:tcMar>
              <w:top w:w="85" w:type="dxa"/>
              <w:bottom w:w="85" w:type="dxa"/>
            </w:tcMar>
            <w:vAlign w:val="center"/>
          </w:tcPr>
          <w:p w14:paraId="1161D122">
            <w:pPr>
              <w:jc w:val="center"/>
              <w:rPr>
                <w:rFonts w:ascii="Times New Roman" w:hAnsi="Times New Roman" w:cs="Times New Roman"/>
                <w:color w:val="auto"/>
                <w:szCs w:val="21"/>
              </w:rPr>
            </w:pPr>
            <w:r>
              <w:rPr>
                <w:rFonts w:ascii="Times New Roman" w:hAnsi="Times New Roman" w:cs="Times New Roman"/>
                <w:color w:val="auto"/>
                <w:szCs w:val="21"/>
              </w:rPr>
              <w:t>2.0mg/m</w:t>
            </w:r>
            <w:r>
              <w:rPr>
                <w:rFonts w:ascii="Times New Roman" w:hAnsi="Times New Roman" w:cs="Times New Roman"/>
                <w:color w:val="auto"/>
                <w:szCs w:val="21"/>
                <w:vertAlign w:val="superscript"/>
              </w:rPr>
              <w:t>3</w:t>
            </w:r>
          </w:p>
        </w:tc>
      </w:tr>
      <w:tr w14:paraId="7E63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62" w:type="dxa"/>
            <w:vMerge w:val="restart"/>
            <w:tcBorders>
              <w:tl2br w:val="nil"/>
              <w:tr2bl w:val="nil"/>
            </w:tcBorders>
            <w:tcMar>
              <w:top w:w="85" w:type="dxa"/>
              <w:bottom w:w="85" w:type="dxa"/>
            </w:tcMar>
            <w:vAlign w:val="center"/>
          </w:tcPr>
          <w:p w14:paraId="3EADAEB4">
            <w:pPr>
              <w:jc w:val="center"/>
              <w:rPr>
                <w:rFonts w:ascii="Times New Roman" w:hAnsi="Times New Roman" w:cs="Times New Roman"/>
                <w:color w:val="auto"/>
                <w:szCs w:val="21"/>
              </w:rPr>
            </w:pPr>
            <w:r>
              <w:rPr>
                <w:rFonts w:ascii="Times New Roman" w:hAnsi="Times New Roman" w:cs="Times New Roman"/>
                <w:color w:val="auto"/>
                <w:szCs w:val="21"/>
              </w:rPr>
              <w:t>声环境</w:t>
            </w:r>
          </w:p>
        </w:tc>
        <w:tc>
          <w:tcPr>
            <w:tcW w:w="2624" w:type="dxa"/>
            <w:tcBorders>
              <w:tl2br w:val="nil"/>
              <w:tr2bl w:val="nil"/>
            </w:tcBorders>
            <w:tcMar>
              <w:top w:w="85" w:type="dxa"/>
              <w:bottom w:w="85" w:type="dxa"/>
            </w:tcMar>
            <w:vAlign w:val="center"/>
          </w:tcPr>
          <w:p w14:paraId="102ACC9C">
            <w:pPr>
              <w:jc w:val="center"/>
              <w:rPr>
                <w:rFonts w:ascii="Times New Roman" w:hAnsi="Times New Roman" w:cs="Times New Roman"/>
                <w:color w:val="auto"/>
                <w:szCs w:val="21"/>
              </w:rPr>
            </w:pPr>
            <w:r>
              <w:rPr>
                <w:rFonts w:hint="eastAsia" w:ascii="Times New Roman" w:hAnsi="Times New Roman" w:cs="Times New Roman"/>
                <w:color w:val="auto"/>
                <w:szCs w:val="21"/>
              </w:rPr>
              <w:t>厂界执行</w:t>
            </w:r>
            <w:r>
              <w:rPr>
                <w:rFonts w:ascii="Times New Roman" w:hAnsi="Times New Roman" w:cs="Times New Roman"/>
                <w:color w:val="auto"/>
                <w:szCs w:val="21"/>
              </w:rPr>
              <w:t>《声环境质量标准》（GB3096-2008）3类标准</w:t>
            </w:r>
          </w:p>
        </w:tc>
        <w:tc>
          <w:tcPr>
            <w:tcW w:w="2280" w:type="dxa"/>
            <w:gridSpan w:val="2"/>
            <w:vMerge w:val="restart"/>
            <w:tcBorders>
              <w:tl2br w:val="nil"/>
              <w:tr2bl w:val="nil"/>
            </w:tcBorders>
            <w:tcMar>
              <w:top w:w="85" w:type="dxa"/>
              <w:bottom w:w="85" w:type="dxa"/>
            </w:tcMar>
            <w:vAlign w:val="center"/>
          </w:tcPr>
          <w:p w14:paraId="0C2D5914">
            <w:pPr>
              <w:jc w:val="center"/>
              <w:rPr>
                <w:rFonts w:ascii="Times New Roman" w:hAnsi="Times New Roman" w:cs="Times New Roman"/>
                <w:color w:val="auto"/>
                <w:szCs w:val="21"/>
              </w:rPr>
            </w:pPr>
            <w:r>
              <w:rPr>
                <w:rFonts w:ascii="Times New Roman" w:hAnsi="Times New Roman" w:cs="Times New Roman"/>
                <w:color w:val="auto"/>
                <w:szCs w:val="21"/>
              </w:rPr>
              <w:t>噪声</w:t>
            </w:r>
          </w:p>
        </w:tc>
        <w:tc>
          <w:tcPr>
            <w:tcW w:w="2551" w:type="dxa"/>
            <w:tcBorders>
              <w:tl2br w:val="nil"/>
              <w:tr2bl w:val="nil"/>
            </w:tcBorders>
            <w:tcMar>
              <w:top w:w="85" w:type="dxa"/>
              <w:bottom w:w="85" w:type="dxa"/>
            </w:tcMar>
            <w:vAlign w:val="center"/>
          </w:tcPr>
          <w:p w14:paraId="07F372FF">
            <w:pPr>
              <w:jc w:val="center"/>
              <w:rPr>
                <w:rFonts w:ascii="Times New Roman" w:hAnsi="Times New Roman" w:cs="Times New Roman"/>
                <w:color w:val="auto"/>
                <w:szCs w:val="21"/>
              </w:rPr>
            </w:pPr>
            <w:r>
              <w:rPr>
                <w:rFonts w:ascii="Times New Roman" w:hAnsi="Times New Roman" w:cs="Times New Roman"/>
                <w:color w:val="auto"/>
                <w:szCs w:val="21"/>
              </w:rPr>
              <w:t>昼间65dB(A)、夜间55dB(A)</w:t>
            </w:r>
          </w:p>
        </w:tc>
      </w:tr>
      <w:tr w14:paraId="3A97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2" w:type="dxa"/>
            <w:vMerge w:val="continue"/>
            <w:tcBorders>
              <w:tl2br w:val="nil"/>
              <w:tr2bl w:val="nil"/>
            </w:tcBorders>
            <w:tcMar>
              <w:top w:w="85" w:type="dxa"/>
              <w:bottom w:w="85" w:type="dxa"/>
            </w:tcMar>
            <w:vAlign w:val="center"/>
          </w:tcPr>
          <w:p w14:paraId="40A9A6C0">
            <w:pPr>
              <w:jc w:val="center"/>
              <w:rPr>
                <w:rFonts w:ascii="Times New Roman" w:hAnsi="Times New Roman" w:cs="Times New Roman"/>
                <w:color w:val="auto"/>
                <w:szCs w:val="21"/>
              </w:rPr>
            </w:pPr>
          </w:p>
        </w:tc>
        <w:tc>
          <w:tcPr>
            <w:tcW w:w="2624" w:type="dxa"/>
            <w:tcBorders>
              <w:tl2br w:val="nil"/>
              <w:tr2bl w:val="nil"/>
            </w:tcBorders>
            <w:tcMar>
              <w:top w:w="85" w:type="dxa"/>
              <w:bottom w:w="85" w:type="dxa"/>
            </w:tcMar>
            <w:vAlign w:val="center"/>
          </w:tcPr>
          <w:p w14:paraId="6F72703E">
            <w:pPr>
              <w:jc w:val="center"/>
              <w:rPr>
                <w:rFonts w:ascii="Times New Roman" w:hAnsi="Times New Roman" w:cs="Times New Roman"/>
                <w:color w:val="auto"/>
                <w:szCs w:val="21"/>
              </w:rPr>
            </w:pPr>
            <w:r>
              <w:rPr>
                <w:rFonts w:hint="eastAsia" w:ascii="Times New Roman" w:hAnsi="Times New Roman" w:cs="Times New Roman"/>
                <w:color w:val="auto"/>
                <w:szCs w:val="21"/>
              </w:rPr>
              <w:t>敏感点执行</w:t>
            </w:r>
            <w:r>
              <w:rPr>
                <w:rFonts w:ascii="Times New Roman" w:hAnsi="Times New Roman" w:cs="Times New Roman"/>
                <w:color w:val="auto"/>
                <w:szCs w:val="21"/>
              </w:rPr>
              <w:t>《声环境质量标准》（GB3096-2008）</w:t>
            </w:r>
            <w:r>
              <w:rPr>
                <w:rFonts w:hint="eastAsia" w:ascii="Times New Roman" w:hAnsi="Times New Roman" w:cs="Times New Roman"/>
                <w:color w:val="auto"/>
                <w:szCs w:val="21"/>
              </w:rPr>
              <w:t>2</w:t>
            </w:r>
            <w:r>
              <w:rPr>
                <w:rFonts w:ascii="Times New Roman" w:hAnsi="Times New Roman" w:cs="Times New Roman"/>
                <w:color w:val="auto"/>
                <w:szCs w:val="21"/>
              </w:rPr>
              <w:t>类标准</w:t>
            </w:r>
          </w:p>
        </w:tc>
        <w:tc>
          <w:tcPr>
            <w:tcW w:w="2280" w:type="dxa"/>
            <w:gridSpan w:val="2"/>
            <w:vMerge w:val="continue"/>
            <w:tcBorders>
              <w:tl2br w:val="nil"/>
              <w:tr2bl w:val="nil"/>
            </w:tcBorders>
            <w:tcMar>
              <w:top w:w="85" w:type="dxa"/>
              <w:bottom w:w="85" w:type="dxa"/>
            </w:tcMar>
            <w:vAlign w:val="center"/>
          </w:tcPr>
          <w:p w14:paraId="652E6375">
            <w:pPr>
              <w:jc w:val="center"/>
              <w:rPr>
                <w:rFonts w:ascii="Times New Roman" w:hAnsi="Times New Roman" w:cs="Times New Roman"/>
                <w:color w:val="auto"/>
                <w:szCs w:val="21"/>
              </w:rPr>
            </w:pPr>
          </w:p>
        </w:tc>
        <w:tc>
          <w:tcPr>
            <w:tcW w:w="2551" w:type="dxa"/>
            <w:tcBorders>
              <w:tl2br w:val="nil"/>
              <w:tr2bl w:val="nil"/>
            </w:tcBorders>
            <w:tcMar>
              <w:top w:w="85" w:type="dxa"/>
              <w:bottom w:w="85" w:type="dxa"/>
            </w:tcMar>
            <w:vAlign w:val="center"/>
          </w:tcPr>
          <w:p w14:paraId="035268E2">
            <w:pPr>
              <w:jc w:val="center"/>
              <w:rPr>
                <w:rFonts w:ascii="Times New Roman" w:hAnsi="Times New Roman" w:cs="Times New Roman"/>
                <w:color w:val="auto"/>
                <w:szCs w:val="21"/>
              </w:rPr>
            </w:pPr>
            <w:r>
              <w:rPr>
                <w:rFonts w:ascii="Times New Roman" w:hAnsi="Times New Roman" w:cs="Times New Roman"/>
                <w:color w:val="auto"/>
                <w:szCs w:val="21"/>
              </w:rPr>
              <w:t>昼间</w:t>
            </w:r>
            <w:r>
              <w:rPr>
                <w:rFonts w:hint="eastAsia" w:ascii="Times New Roman" w:hAnsi="Times New Roman" w:cs="Times New Roman"/>
                <w:color w:val="auto"/>
                <w:szCs w:val="21"/>
              </w:rPr>
              <w:t>60</w:t>
            </w:r>
            <w:r>
              <w:rPr>
                <w:rFonts w:ascii="Times New Roman" w:hAnsi="Times New Roman" w:cs="Times New Roman"/>
                <w:color w:val="auto"/>
                <w:szCs w:val="21"/>
              </w:rPr>
              <w:t>dB(A)、夜间</w:t>
            </w:r>
            <w:r>
              <w:rPr>
                <w:rFonts w:hint="eastAsia" w:ascii="Times New Roman" w:hAnsi="Times New Roman" w:cs="Times New Roman"/>
                <w:color w:val="auto"/>
                <w:szCs w:val="21"/>
              </w:rPr>
              <w:t>50</w:t>
            </w:r>
            <w:r>
              <w:rPr>
                <w:rFonts w:ascii="Times New Roman" w:hAnsi="Times New Roman" w:cs="Times New Roman"/>
                <w:color w:val="auto"/>
                <w:szCs w:val="21"/>
              </w:rPr>
              <w:t>dB(A)</w:t>
            </w:r>
          </w:p>
        </w:tc>
      </w:tr>
    </w:tbl>
    <w:p w14:paraId="36BF8A86">
      <w:pPr>
        <w:spacing w:line="360" w:lineRule="auto"/>
        <w:ind w:firstLine="480"/>
        <w:rPr>
          <w:rFonts w:ascii="Times New Roman" w:hAnsi="Times New Roman" w:cs="Times New Roman"/>
          <w:position w:val="-1"/>
          <w:sz w:val="24"/>
        </w:rPr>
      </w:pPr>
      <w:r>
        <w:rPr>
          <w:rFonts w:ascii="Times New Roman" w:hAnsi="Times New Roman" w:cs="Times New Roman"/>
          <w:position w:val="-1"/>
          <w:sz w:val="24"/>
        </w:rPr>
        <w:t>土壤环境</w:t>
      </w:r>
    </w:p>
    <w:p w14:paraId="1D79AB79">
      <w:pPr>
        <w:pStyle w:val="83"/>
        <w:spacing w:line="360" w:lineRule="auto"/>
        <w:ind w:firstLine="500"/>
        <w:rPr>
          <w:rFonts w:ascii="Times New Roman" w:hAnsi="Times New Roman" w:eastAsia="宋体" w:cs="Times New Roman"/>
          <w:color w:val="auto"/>
          <w:spacing w:val="5"/>
          <w:sz w:val="24"/>
          <w:szCs w:val="24"/>
        </w:rPr>
      </w:pPr>
      <w:r>
        <w:rPr>
          <w:rFonts w:ascii="Times New Roman" w:hAnsi="Times New Roman" w:eastAsia="宋体" w:cs="Times New Roman"/>
          <w:color w:val="auto"/>
          <w:spacing w:val="5"/>
          <w:sz w:val="24"/>
          <w:szCs w:val="24"/>
        </w:rPr>
        <w:t>执行《土壤环境质量 建设用地土壤污染风险管控标准（试行）》</w:t>
      </w:r>
      <w:r>
        <w:rPr>
          <w:rFonts w:hint="eastAsia" w:ascii="Times New Roman" w:hAnsi="Times New Roman" w:eastAsia="宋体" w:cs="Times New Roman"/>
          <w:color w:val="auto"/>
          <w:spacing w:val="5"/>
          <w:sz w:val="24"/>
          <w:szCs w:val="24"/>
        </w:rPr>
        <w:t>（</w:t>
      </w:r>
      <w:r>
        <w:rPr>
          <w:rFonts w:ascii="Times New Roman" w:hAnsi="Times New Roman" w:eastAsia="宋体" w:cs="Times New Roman"/>
          <w:color w:val="auto"/>
          <w:spacing w:val="5"/>
          <w:sz w:val="24"/>
          <w:szCs w:val="24"/>
        </w:rPr>
        <w:t>GB36600—2018</w:t>
      </w:r>
      <w:r>
        <w:rPr>
          <w:rFonts w:hint="eastAsia" w:ascii="Times New Roman" w:hAnsi="Times New Roman" w:eastAsia="宋体" w:cs="Times New Roman"/>
          <w:color w:val="auto"/>
          <w:spacing w:val="5"/>
          <w:sz w:val="24"/>
          <w:szCs w:val="24"/>
        </w:rPr>
        <w:t>）</w:t>
      </w:r>
      <w:r>
        <w:rPr>
          <w:rFonts w:ascii="Times New Roman" w:hAnsi="Times New Roman" w:eastAsia="宋体" w:cs="Times New Roman"/>
          <w:color w:val="auto"/>
          <w:spacing w:val="5"/>
          <w:sz w:val="24"/>
          <w:szCs w:val="24"/>
        </w:rPr>
        <w:t>中筛选值第二类用地标准。</w:t>
      </w:r>
    </w:p>
    <w:p w14:paraId="084912C4">
      <w:pPr>
        <w:numPr>
          <w:ilvl w:val="0"/>
          <w:numId w:val="20"/>
        </w:numPr>
        <w:jc w:val="center"/>
        <w:rPr>
          <w:rFonts w:ascii="Times New Roman" w:hAnsi="Times New Roman" w:eastAsia="宋体" w:cs="Times New Roman"/>
          <w:b/>
          <w:bCs/>
          <w:szCs w:val="21"/>
        </w:rPr>
      </w:pPr>
      <w:r>
        <w:rPr>
          <w:rFonts w:hint="eastAsia" w:ascii="Times New Roman" w:hAnsi="Times New Roman" w:eastAsia="宋体" w:cs="Times New Roman"/>
          <w:b/>
          <w:bCs/>
          <w:szCs w:val="21"/>
        </w:rPr>
        <w:t xml:space="preserve"> </w:t>
      </w:r>
      <w:r>
        <w:rPr>
          <w:rFonts w:ascii="Times New Roman" w:hAnsi="Times New Roman" w:eastAsia="宋体" w:cs="Times New Roman"/>
          <w:b/>
          <w:bCs/>
          <w:szCs w:val="21"/>
        </w:rPr>
        <w:t>土壤环境质量标准</w:t>
      </w:r>
    </w:p>
    <w:tbl>
      <w:tblPr>
        <w:tblStyle w:val="30"/>
        <w:tblW w:w="4999" w:type="pct"/>
        <w:tblInd w:w="0" w:type="dxa"/>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Layout w:type="autofit"/>
        <w:tblCellMar>
          <w:top w:w="0" w:type="dxa"/>
          <w:left w:w="108" w:type="dxa"/>
          <w:bottom w:w="0" w:type="dxa"/>
          <w:right w:w="108" w:type="dxa"/>
        </w:tblCellMar>
      </w:tblPr>
      <w:tblGrid>
        <w:gridCol w:w="1104"/>
        <w:gridCol w:w="2612"/>
        <w:gridCol w:w="2457"/>
        <w:gridCol w:w="2347"/>
      </w:tblGrid>
      <w:tr w14:paraId="424595A0">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vMerge w:val="restart"/>
            <w:tcBorders>
              <w:tl2br w:val="nil"/>
              <w:tr2bl w:val="nil"/>
            </w:tcBorders>
            <w:vAlign w:val="center"/>
          </w:tcPr>
          <w:p w14:paraId="2FB874C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序号</w:t>
            </w:r>
          </w:p>
        </w:tc>
        <w:tc>
          <w:tcPr>
            <w:tcW w:w="1533" w:type="pct"/>
            <w:vMerge w:val="restart"/>
            <w:tcBorders>
              <w:tl2br w:val="nil"/>
              <w:tr2bl w:val="nil"/>
            </w:tcBorders>
            <w:vAlign w:val="center"/>
          </w:tcPr>
          <w:p w14:paraId="35EE87F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污染物项目</w:t>
            </w:r>
          </w:p>
        </w:tc>
        <w:tc>
          <w:tcPr>
            <w:tcW w:w="2817" w:type="pct"/>
            <w:gridSpan w:val="2"/>
            <w:tcBorders>
              <w:tl2br w:val="nil"/>
              <w:tr2bl w:val="nil"/>
            </w:tcBorders>
            <w:vAlign w:val="center"/>
          </w:tcPr>
          <w:p w14:paraId="69E5B77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筛选值</w:t>
            </w:r>
          </w:p>
        </w:tc>
      </w:tr>
      <w:tr w14:paraId="73F11AAB">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vMerge w:val="continue"/>
            <w:tcBorders>
              <w:tl2br w:val="nil"/>
              <w:tr2bl w:val="nil"/>
            </w:tcBorders>
            <w:vAlign w:val="center"/>
          </w:tcPr>
          <w:p w14:paraId="0A025C1D">
            <w:pPr>
              <w:adjustRightInd w:val="0"/>
              <w:snapToGrid w:val="0"/>
              <w:jc w:val="center"/>
              <w:rPr>
                <w:rFonts w:ascii="Times New Roman" w:hAnsi="Times New Roman" w:cs="Times New Roman"/>
                <w:color w:val="auto"/>
                <w:szCs w:val="21"/>
              </w:rPr>
            </w:pPr>
          </w:p>
        </w:tc>
        <w:tc>
          <w:tcPr>
            <w:tcW w:w="1533" w:type="pct"/>
            <w:vMerge w:val="continue"/>
            <w:tcBorders>
              <w:tl2br w:val="nil"/>
              <w:tr2bl w:val="nil"/>
            </w:tcBorders>
            <w:vAlign w:val="center"/>
          </w:tcPr>
          <w:p w14:paraId="16760D4D">
            <w:pPr>
              <w:adjustRightInd w:val="0"/>
              <w:snapToGrid w:val="0"/>
              <w:jc w:val="center"/>
              <w:rPr>
                <w:rFonts w:ascii="Times New Roman" w:hAnsi="Times New Roman" w:cs="Times New Roman"/>
                <w:color w:val="auto"/>
                <w:szCs w:val="21"/>
              </w:rPr>
            </w:pPr>
          </w:p>
        </w:tc>
        <w:tc>
          <w:tcPr>
            <w:tcW w:w="1442" w:type="pct"/>
            <w:tcBorders>
              <w:tl2br w:val="nil"/>
              <w:tr2bl w:val="nil"/>
            </w:tcBorders>
            <w:vAlign w:val="center"/>
          </w:tcPr>
          <w:p w14:paraId="53F0616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第一类用地</w:t>
            </w:r>
          </w:p>
        </w:tc>
        <w:tc>
          <w:tcPr>
            <w:tcW w:w="1374" w:type="pct"/>
            <w:tcBorders>
              <w:right w:val="single" w:color="auto" w:sz="4" w:space="0"/>
              <w:tl2br w:val="nil"/>
              <w:tr2bl w:val="nil"/>
            </w:tcBorders>
            <w:vAlign w:val="center"/>
          </w:tcPr>
          <w:p w14:paraId="47ACE39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第二类用地</w:t>
            </w:r>
          </w:p>
        </w:tc>
      </w:tr>
      <w:tr w14:paraId="5FFCFF61">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5000" w:type="pct"/>
            <w:gridSpan w:val="4"/>
            <w:tcBorders>
              <w:right w:val="single" w:color="auto" w:sz="4" w:space="0"/>
              <w:tl2br w:val="nil"/>
              <w:tr2bl w:val="nil"/>
            </w:tcBorders>
            <w:vAlign w:val="center"/>
          </w:tcPr>
          <w:p w14:paraId="7BFE811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重金属和无机物</w:t>
            </w:r>
          </w:p>
        </w:tc>
      </w:tr>
      <w:tr w14:paraId="19593BA5">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10BC6A7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w:t>
            </w:r>
          </w:p>
        </w:tc>
        <w:tc>
          <w:tcPr>
            <w:tcW w:w="1533" w:type="pct"/>
            <w:tcBorders>
              <w:tl2br w:val="nil"/>
              <w:tr2bl w:val="nil"/>
            </w:tcBorders>
            <w:vAlign w:val="center"/>
          </w:tcPr>
          <w:p w14:paraId="79B19B4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砷</w:t>
            </w:r>
          </w:p>
        </w:tc>
        <w:tc>
          <w:tcPr>
            <w:tcW w:w="1442" w:type="pct"/>
            <w:tcBorders>
              <w:tl2br w:val="nil"/>
              <w:tr2bl w:val="nil"/>
            </w:tcBorders>
            <w:vAlign w:val="center"/>
          </w:tcPr>
          <w:p w14:paraId="2809E7A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20①</w:t>
            </w:r>
          </w:p>
        </w:tc>
        <w:tc>
          <w:tcPr>
            <w:tcW w:w="1374" w:type="pct"/>
            <w:tcBorders>
              <w:right w:val="single" w:color="auto" w:sz="4" w:space="0"/>
              <w:tl2br w:val="nil"/>
              <w:tr2bl w:val="nil"/>
            </w:tcBorders>
            <w:vAlign w:val="center"/>
          </w:tcPr>
          <w:p w14:paraId="57119CC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60①</w:t>
            </w:r>
          </w:p>
        </w:tc>
      </w:tr>
      <w:tr w14:paraId="2A8CED4C">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25AE05E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w:t>
            </w:r>
          </w:p>
        </w:tc>
        <w:tc>
          <w:tcPr>
            <w:tcW w:w="1533" w:type="pct"/>
            <w:tcBorders>
              <w:tl2br w:val="nil"/>
              <w:tr2bl w:val="nil"/>
            </w:tcBorders>
            <w:vAlign w:val="center"/>
          </w:tcPr>
          <w:p w14:paraId="14C29EE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镉</w:t>
            </w:r>
          </w:p>
        </w:tc>
        <w:tc>
          <w:tcPr>
            <w:tcW w:w="1442" w:type="pct"/>
            <w:tcBorders>
              <w:tl2br w:val="nil"/>
              <w:tr2bl w:val="nil"/>
            </w:tcBorders>
            <w:vAlign w:val="center"/>
          </w:tcPr>
          <w:p w14:paraId="5290EFB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w:t>
            </w:r>
          </w:p>
        </w:tc>
        <w:tc>
          <w:tcPr>
            <w:tcW w:w="1374" w:type="pct"/>
            <w:tcBorders>
              <w:tl2br w:val="nil"/>
              <w:tr2bl w:val="nil"/>
            </w:tcBorders>
            <w:vAlign w:val="center"/>
          </w:tcPr>
          <w:p w14:paraId="4246D10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65</w:t>
            </w:r>
          </w:p>
        </w:tc>
      </w:tr>
      <w:tr w14:paraId="31ADE40D">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3536897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w:t>
            </w:r>
          </w:p>
        </w:tc>
        <w:tc>
          <w:tcPr>
            <w:tcW w:w="1533" w:type="pct"/>
            <w:tcBorders>
              <w:tl2br w:val="nil"/>
              <w:tr2bl w:val="nil"/>
            </w:tcBorders>
            <w:vAlign w:val="center"/>
          </w:tcPr>
          <w:p w14:paraId="3141D2D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铬〈六价〉</w:t>
            </w:r>
          </w:p>
        </w:tc>
        <w:tc>
          <w:tcPr>
            <w:tcW w:w="1442" w:type="pct"/>
            <w:tcBorders>
              <w:tl2br w:val="nil"/>
              <w:tr2bl w:val="nil"/>
            </w:tcBorders>
            <w:vAlign w:val="center"/>
          </w:tcPr>
          <w:p w14:paraId="1EF8081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3.0</w:t>
            </w:r>
          </w:p>
        </w:tc>
        <w:tc>
          <w:tcPr>
            <w:tcW w:w="1374" w:type="pct"/>
            <w:tcBorders>
              <w:tl2br w:val="nil"/>
              <w:tr2bl w:val="nil"/>
            </w:tcBorders>
            <w:vAlign w:val="center"/>
          </w:tcPr>
          <w:p w14:paraId="22ECF8A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5.7</w:t>
            </w:r>
          </w:p>
        </w:tc>
      </w:tr>
      <w:tr w14:paraId="5FD20EE8">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0CA502F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w:t>
            </w:r>
          </w:p>
        </w:tc>
        <w:tc>
          <w:tcPr>
            <w:tcW w:w="1533" w:type="pct"/>
            <w:tcBorders>
              <w:tl2br w:val="nil"/>
              <w:tr2bl w:val="nil"/>
            </w:tcBorders>
            <w:vAlign w:val="center"/>
          </w:tcPr>
          <w:p w14:paraId="3FD112C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铜</w:t>
            </w:r>
          </w:p>
        </w:tc>
        <w:tc>
          <w:tcPr>
            <w:tcW w:w="1442" w:type="pct"/>
            <w:tcBorders>
              <w:tl2br w:val="nil"/>
              <w:tr2bl w:val="nil"/>
            </w:tcBorders>
            <w:vAlign w:val="center"/>
          </w:tcPr>
          <w:p w14:paraId="0E85738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2000</w:t>
            </w:r>
          </w:p>
        </w:tc>
        <w:tc>
          <w:tcPr>
            <w:tcW w:w="1374" w:type="pct"/>
            <w:tcBorders>
              <w:tl2br w:val="nil"/>
              <w:tr2bl w:val="nil"/>
            </w:tcBorders>
            <w:vAlign w:val="center"/>
          </w:tcPr>
          <w:p w14:paraId="4B4BB2F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18000</w:t>
            </w:r>
          </w:p>
        </w:tc>
      </w:tr>
      <w:tr w14:paraId="1FFB238D">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1F562B0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w:t>
            </w:r>
          </w:p>
        </w:tc>
        <w:tc>
          <w:tcPr>
            <w:tcW w:w="1533" w:type="pct"/>
            <w:tcBorders>
              <w:tl2br w:val="nil"/>
              <w:tr2bl w:val="nil"/>
            </w:tcBorders>
            <w:vAlign w:val="center"/>
          </w:tcPr>
          <w:p w14:paraId="60B77D6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铅</w:t>
            </w:r>
          </w:p>
        </w:tc>
        <w:tc>
          <w:tcPr>
            <w:tcW w:w="1442" w:type="pct"/>
            <w:tcBorders>
              <w:tl2br w:val="nil"/>
              <w:tr2bl w:val="nil"/>
            </w:tcBorders>
            <w:vAlign w:val="center"/>
          </w:tcPr>
          <w:p w14:paraId="1D115E7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400</w:t>
            </w:r>
          </w:p>
        </w:tc>
        <w:tc>
          <w:tcPr>
            <w:tcW w:w="1374" w:type="pct"/>
            <w:tcBorders>
              <w:tl2br w:val="nil"/>
              <w:tr2bl w:val="nil"/>
            </w:tcBorders>
            <w:vAlign w:val="center"/>
          </w:tcPr>
          <w:p w14:paraId="3CA7392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800</w:t>
            </w:r>
          </w:p>
        </w:tc>
      </w:tr>
      <w:tr w14:paraId="2F023360">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775A4F6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w:t>
            </w:r>
          </w:p>
        </w:tc>
        <w:tc>
          <w:tcPr>
            <w:tcW w:w="1533" w:type="pct"/>
            <w:tcBorders>
              <w:tl2br w:val="nil"/>
              <w:tr2bl w:val="nil"/>
            </w:tcBorders>
            <w:vAlign w:val="center"/>
          </w:tcPr>
          <w:p w14:paraId="289CD33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汞</w:t>
            </w:r>
          </w:p>
        </w:tc>
        <w:tc>
          <w:tcPr>
            <w:tcW w:w="1442" w:type="pct"/>
            <w:tcBorders>
              <w:tl2br w:val="nil"/>
              <w:tr2bl w:val="nil"/>
            </w:tcBorders>
            <w:vAlign w:val="center"/>
          </w:tcPr>
          <w:p w14:paraId="3AD7A50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8</w:t>
            </w:r>
          </w:p>
        </w:tc>
        <w:tc>
          <w:tcPr>
            <w:tcW w:w="1374" w:type="pct"/>
            <w:tcBorders>
              <w:tl2br w:val="nil"/>
              <w:tr2bl w:val="nil"/>
            </w:tcBorders>
            <w:vAlign w:val="center"/>
          </w:tcPr>
          <w:p w14:paraId="06331B7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38</w:t>
            </w:r>
          </w:p>
        </w:tc>
      </w:tr>
      <w:tr w14:paraId="405ACBB1">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4A44637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7</w:t>
            </w:r>
          </w:p>
        </w:tc>
        <w:tc>
          <w:tcPr>
            <w:tcW w:w="1533" w:type="pct"/>
            <w:tcBorders>
              <w:tl2br w:val="nil"/>
              <w:tr2bl w:val="nil"/>
            </w:tcBorders>
            <w:vAlign w:val="center"/>
          </w:tcPr>
          <w:p w14:paraId="4D12B06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镍</w:t>
            </w:r>
          </w:p>
        </w:tc>
        <w:tc>
          <w:tcPr>
            <w:tcW w:w="1442" w:type="pct"/>
            <w:tcBorders>
              <w:tl2br w:val="nil"/>
              <w:tr2bl w:val="nil"/>
            </w:tcBorders>
            <w:vAlign w:val="center"/>
          </w:tcPr>
          <w:p w14:paraId="7559912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150</w:t>
            </w:r>
          </w:p>
        </w:tc>
        <w:tc>
          <w:tcPr>
            <w:tcW w:w="1374" w:type="pct"/>
            <w:tcBorders>
              <w:right w:val="single" w:color="auto" w:sz="4" w:space="0"/>
              <w:tl2br w:val="nil"/>
              <w:tr2bl w:val="nil"/>
            </w:tcBorders>
            <w:vAlign w:val="center"/>
          </w:tcPr>
          <w:p w14:paraId="63FA233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900</w:t>
            </w:r>
          </w:p>
        </w:tc>
      </w:tr>
      <w:tr w14:paraId="5C4CA18E">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5000" w:type="pct"/>
            <w:gridSpan w:val="4"/>
            <w:tcBorders>
              <w:right w:val="single" w:color="auto" w:sz="4" w:space="0"/>
              <w:tl2br w:val="nil"/>
              <w:tr2bl w:val="nil"/>
            </w:tcBorders>
            <w:vAlign w:val="center"/>
          </w:tcPr>
          <w:p w14:paraId="75B1CEF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挥发性有机物</w:t>
            </w:r>
          </w:p>
        </w:tc>
      </w:tr>
      <w:tr w14:paraId="02BAD4EA">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3A10220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8</w:t>
            </w:r>
          </w:p>
        </w:tc>
        <w:tc>
          <w:tcPr>
            <w:tcW w:w="1533" w:type="pct"/>
            <w:tcBorders>
              <w:tl2br w:val="nil"/>
              <w:tr2bl w:val="nil"/>
            </w:tcBorders>
            <w:vAlign w:val="center"/>
          </w:tcPr>
          <w:p w14:paraId="2676580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四氯化碳</w:t>
            </w:r>
          </w:p>
        </w:tc>
        <w:tc>
          <w:tcPr>
            <w:tcW w:w="1442" w:type="pct"/>
            <w:tcBorders>
              <w:tl2br w:val="nil"/>
              <w:tr2bl w:val="nil"/>
            </w:tcBorders>
            <w:vAlign w:val="center"/>
          </w:tcPr>
          <w:p w14:paraId="041BEF2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0.9</w:t>
            </w:r>
          </w:p>
        </w:tc>
        <w:tc>
          <w:tcPr>
            <w:tcW w:w="1374" w:type="pct"/>
            <w:tcBorders>
              <w:tl2br w:val="nil"/>
              <w:tr2bl w:val="nil"/>
            </w:tcBorders>
            <w:vAlign w:val="center"/>
          </w:tcPr>
          <w:p w14:paraId="40D3BFA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28</w:t>
            </w:r>
          </w:p>
        </w:tc>
      </w:tr>
      <w:tr w14:paraId="21A3EBB9">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651B43A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9</w:t>
            </w:r>
          </w:p>
        </w:tc>
        <w:tc>
          <w:tcPr>
            <w:tcW w:w="1533" w:type="pct"/>
            <w:tcBorders>
              <w:tl2br w:val="nil"/>
              <w:tr2bl w:val="nil"/>
            </w:tcBorders>
            <w:vAlign w:val="center"/>
          </w:tcPr>
          <w:p w14:paraId="1D88DC1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氯仿</w:t>
            </w:r>
          </w:p>
        </w:tc>
        <w:tc>
          <w:tcPr>
            <w:tcW w:w="1442" w:type="pct"/>
            <w:tcBorders>
              <w:tl2br w:val="nil"/>
              <w:tr2bl w:val="nil"/>
            </w:tcBorders>
            <w:vAlign w:val="center"/>
          </w:tcPr>
          <w:p w14:paraId="706B744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0.3</w:t>
            </w:r>
          </w:p>
        </w:tc>
        <w:tc>
          <w:tcPr>
            <w:tcW w:w="1374" w:type="pct"/>
            <w:tcBorders>
              <w:tl2br w:val="nil"/>
              <w:tr2bl w:val="nil"/>
            </w:tcBorders>
            <w:vAlign w:val="center"/>
          </w:tcPr>
          <w:p w14:paraId="6D6C6BB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0.9</w:t>
            </w:r>
          </w:p>
        </w:tc>
      </w:tr>
      <w:tr w14:paraId="08892863">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48D7324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10</w:t>
            </w:r>
          </w:p>
        </w:tc>
        <w:tc>
          <w:tcPr>
            <w:tcW w:w="1533" w:type="pct"/>
            <w:tcBorders>
              <w:tl2br w:val="nil"/>
              <w:tr2bl w:val="nil"/>
            </w:tcBorders>
            <w:vAlign w:val="center"/>
          </w:tcPr>
          <w:p w14:paraId="3E41371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氯甲烷</w:t>
            </w:r>
          </w:p>
        </w:tc>
        <w:tc>
          <w:tcPr>
            <w:tcW w:w="1442" w:type="pct"/>
            <w:tcBorders>
              <w:tl2br w:val="nil"/>
              <w:tr2bl w:val="nil"/>
            </w:tcBorders>
            <w:vAlign w:val="center"/>
          </w:tcPr>
          <w:p w14:paraId="4FCB411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w:t>
            </w:r>
          </w:p>
        </w:tc>
        <w:tc>
          <w:tcPr>
            <w:tcW w:w="1374" w:type="pct"/>
            <w:tcBorders>
              <w:tl2br w:val="nil"/>
              <w:tr2bl w:val="nil"/>
            </w:tcBorders>
            <w:vAlign w:val="center"/>
          </w:tcPr>
          <w:p w14:paraId="63774DA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37</w:t>
            </w:r>
          </w:p>
        </w:tc>
      </w:tr>
      <w:tr w14:paraId="512D4CAE">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7932A01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11</w:t>
            </w:r>
          </w:p>
        </w:tc>
        <w:tc>
          <w:tcPr>
            <w:tcW w:w="1533" w:type="pct"/>
            <w:tcBorders>
              <w:tl2br w:val="nil"/>
              <w:tr2bl w:val="nil"/>
            </w:tcBorders>
            <w:vAlign w:val="center"/>
          </w:tcPr>
          <w:p w14:paraId="5300E2D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1，1-二氯甲烷</w:t>
            </w:r>
          </w:p>
        </w:tc>
        <w:tc>
          <w:tcPr>
            <w:tcW w:w="1442" w:type="pct"/>
            <w:tcBorders>
              <w:tl2br w:val="nil"/>
              <w:tr2bl w:val="nil"/>
            </w:tcBorders>
            <w:vAlign w:val="center"/>
          </w:tcPr>
          <w:p w14:paraId="28CF69D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w:t>
            </w:r>
          </w:p>
        </w:tc>
        <w:tc>
          <w:tcPr>
            <w:tcW w:w="1374" w:type="pct"/>
            <w:tcBorders>
              <w:tl2br w:val="nil"/>
              <w:tr2bl w:val="nil"/>
            </w:tcBorders>
            <w:vAlign w:val="center"/>
          </w:tcPr>
          <w:p w14:paraId="634EE22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9</w:t>
            </w:r>
          </w:p>
        </w:tc>
      </w:tr>
      <w:tr w14:paraId="1D88BB9B">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03BF7F1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w:t>
            </w:r>
          </w:p>
        </w:tc>
        <w:tc>
          <w:tcPr>
            <w:tcW w:w="1533" w:type="pct"/>
            <w:tcBorders>
              <w:tl2br w:val="nil"/>
              <w:tr2bl w:val="nil"/>
            </w:tcBorders>
            <w:vAlign w:val="center"/>
          </w:tcPr>
          <w:p w14:paraId="3B06300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1，2-二氯甲烷</w:t>
            </w:r>
          </w:p>
        </w:tc>
        <w:tc>
          <w:tcPr>
            <w:tcW w:w="1442" w:type="pct"/>
            <w:tcBorders>
              <w:tl2br w:val="nil"/>
              <w:tr2bl w:val="nil"/>
            </w:tcBorders>
            <w:vAlign w:val="center"/>
          </w:tcPr>
          <w:p w14:paraId="17A4F58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0.52</w:t>
            </w:r>
          </w:p>
        </w:tc>
        <w:tc>
          <w:tcPr>
            <w:tcW w:w="1374" w:type="pct"/>
            <w:tcBorders>
              <w:tl2br w:val="nil"/>
              <w:tr2bl w:val="nil"/>
            </w:tcBorders>
            <w:vAlign w:val="center"/>
          </w:tcPr>
          <w:p w14:paraId="61A9444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w:t>
            </w:r>
          </w:p>
        </w:tc>
      </w:tr>
      <w:tr w14:paraId="4A2DEEDF">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3024D4B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13</w:t>
            </w:r>
          </w:p>
        </w:tc>
        <w:tc>
          <w:tcPr>
            <w:tcW w:w="1533" w:type="pct"/>
            <w:tcBorders>
              <w:tl2br w:val="nil"/>
              <w:tr2bl w:val="nil"/>
            </w:tcBorders>
            <w:vAlign w:val="center"/>
          </w:tcPr>
          <w:p w14:paraId="489BD6C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1，1-二氯乙烯</w:t>
            </w:r>
          </w:p>
        </w:tc>
        <w:tc>
          <w:tcPr>
            <w:tcW w:w="1442" w:type="pct"/>
            <w:tcBorders>
              <w:tl2br w:val="nil"/>
              <w:tr2bl w:val="nil"/>
            </w:tcBorders>
            <w:vAlign w:val="center"/>
          </w:tcPr>
          <w:p w14:paraId="674B790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w:t>
            </w:r>
          </w:p>
        </w:tc>
        <w:tc>
          <w:tcPr>
            <w:tcW w:w="1374" w:type="pct"/>
            <w:tcBorders>
              <w:tl2br w:val="nil"/>
              <w:tr2bl w:val="nil"/>
            </w:tcBorders>
            <w:vAlign w:val="center"/>
          </w:tcPr>
          <w:p w14:paraId="69B7680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66</w:t>
            </w:r>
          </w:p>
        </w:tc>
      </w:tr>
      <w:tr w14:paraId="1125D450">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5A8CF75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14</w:t>
            </w:r>
          </w:p>
        </w:tc>
        <w:tc>
          <w:tcPr>
            <w:tcW w:w="1533" w:type="pct"/>
            <w:tcBorders>
              <w:tl2br w:val="nil"/>
              <w:tr2bl w:val="nil"/>
            </w:tcBorders>
            <w:vAlign w:val="center"/>
          </w:tcPr>
          <w:p w14:paraId="52B02B0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顺-1，2-二氯乙烯</w:t>
            </w:r>
          </w:p>
        </w:tc>
        <w:tc>
          <w:tcPr>
            <w:tcW w:w="1442" w:type="pct"/>
            <w:tcBorders>
              <w:tl2br w:val="nil"/>
              <w:tr2bl w:val="nil"/>
            </w:tcBorders>
            <w:vAlign w:val="center"/>
          </w:tcPr>
          <w:p w14:paraId="29922D3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66</w:t>
            </w:r>
          </w:p>
        </w:tc>
        <w:tc>
          <w:tcPr>
            <w:tcW w:w="1374" w:type="pct"/>
            <w:tcBorders>
              <w:tl2br w:val="nil"/>
              <w:tr2bl w:val="nil"/>
            </w:tcBorders>
            <w:vAlign w:val="center"/>
          </w:tcPr>
          <w:p w14:paraId="56EA2DB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596</w:t>
            </w:r>
          </w:p>
        </w:tc>
      </w:tr>
      <w:tr w14:paraId="7C3205D5">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3673885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15</w:t>
            </w:r>
          </w:p>
        </w:tc>
        <w:tc>
          <w:tcPr>
            <w:tcW w:w="1533" w:type="pct"/>
            <w:tcBorders>
              <w:tl2br w:val="nil"/>
              <w:tr2bl w:val="nil"/>
            </w:tcBorders>
            <w:vAlign w:val="center"/>
          </w:tcPr>
          <w:p w14:paraId="038D081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反-1，2-二氯乙烯</w:t>
            </w:r>
          </w:p>
        </w:tc>
        <w:tc>
          <w:tcPr>
            <w:tcW w:w="1442" w:type="pct"/>
            <w:tcBorders>
              <w:tl2br w:val="nil"/>
              <w:tr2bl w:val="nil"/>
            </w:tcBorders>
            <w:vAlign w:val="center"/>
          </w:tcPr>
          <w:p w14:paraId="7B3617F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10</w:t>
            </w:r>
          </w:p>
        </w:tc>
        <w:tc>
          <w:tcPr>
            <w:tcW w:w="1374" w:type="pct"/>
            <w:tcBorders>
              <w:tl2br w:val="nil"/>
              <w:tr2bl w:val="nil"/>
            </w:tcBorders>
            <w:vAlign w:val="center"/>
          </w:tcPr>
          <w:p w14:paraId="724E29E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54</w:t>
            </w:r>
          </w:p>
        </w:tc>
      </w:tr>
      <w:tr w14:paraId="5D0B20F3">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17B37EE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w:t>
            </w:r>
          </w:p>
        </w:tc>
        <w:tc>
          <w:tcPr>
            <w:tcW w:w="1533" w:type="pct"/>
            <w:tcBorders>
              <w:tl2br w:val="nil"/>
              <w:tr2bl w:val="nil"/>
            </w:tcBorders>
            <w:vAlign w:val="center"/>
          </w:tcPr>
          <w:p w14:paraId="4EEBAC5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二氯甲烷</w:t>
            </w:r>
          </w:p>
        </w:tc>
        <w:tc>
          <w:tcPr>
            <w:tcW w:w="1442" w:type="pct"/>
            <w:tcBorders>
              <w:tl2br w:val="nil"/>
              <w:tr2bl w:val="nil"/>
            </w:tcBorders>
            <w:vAlign w:val="center"/>
          </w:tcPr>
          <w:p w14:paraId="500878D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94</w:t>
            </w:r>
          </w:p>
        </w:tc>
        <w:tc>
          <w:tcPr>
            <w:tcW w:w="1374" w:type="pct"/>
            <w:tcBorders>
              <w:tl2br w:val="nil"/>
              <w:tr2bl w:val="nil"/>
            </w:tcBorders>
            <w:vAlign w:val="center"/>
          </w:tcPr>
          <w:p w14:paraId="7B6C9E0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616</w:t>
            </w:r>
          </w:p>
        </w:tc>
      </w:tr>
      <w:tr w14:paraId="5F5E29AC">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2688E43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17</w:t>
            </w:r>
          </w:p>
        </w:tc>
        <w:tc>
          <w:tcPr>
            <w:tcW w:w="1533" w:type="pct"/>
            <w:tcBorders>
              <w:tl2br w:val="nil"/>
              <w:tr2bl w:val="nil"/>
            </w:tcBorders>
            <w:vAlign w:val="center"/>
          </w:tcPr>
          <w:p w14:paraId="5253D87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1，2-二氯丙烷</w:t>
            </w:r>
          </w:p>
        </w:tc>
        <w:tc>
          <w:tcPr>
            <w:tcW w:w="1442" w:type="pct"/>
            <w:tcBorders>
              <w:tl2br w:val="nil"/>
              <w:tr2bl w:val="nil"/>
            </w:tcBorders>
            <w:vAlign w:val="center"/>
          </w:tcPr>
          <w:p w14:paraId="02ABB09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w:t>
            </w:r>
          </w:p>
        </w:tc>
        <w:tc>
          <w:tcPr>
            <w:tcW w:w="1374" w:type="pct"/>
            <w:tcBorders>
              <w:tl2br w:val="nil"/>
              <w:tr2bl w:val="nil"/>
            </w:tcBorders>
            <w:vAlign w:val="center"/>
          </w:tcPr>
          <w:p w14:paraId="2E982E1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w:t>
            </w:r>
          </w:p>
        </w:tc>
      </w:tr>
      <w:tr w14:paraId="629E8EA0">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5903007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18</w:t>
            </w:r>
          </w:p>
        </w:tc>
        <w:tc>
          <w:tcPr>
            <w:tcW w:w="1533" w:type="pct"/>
            <w:tcBorders>
              <w:tl2br w:val="nil"/>
              <w:tr2bl w:val="nil"/>
            </w:tcBorders>
            <w:vAlign w:val="center"/>
          </w:tcPr>
          <w:p w14:paraId="7A5C0AB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1，1，1，2-四氯乙烷</w:t>
            </w:r>
          </w:p>
        </w:tc>
        <w:tc>
          <w:tcPr>
            <w:tcW w:w="1442" w:type="pct"/>
            <w:tcBorders>
              <w:tl2br w:val="nil"/>
              <w:tr2bl w:val="nil"/>
            </w:tcBorders>
            <w:vAlign w:val="center"/>
          </w:tcPr>
          <w:p w14:paraId="773C1C8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2.6</w:t>
            </w:r>
          </w:p>
        </w:tc>
        <w:tc>
          <w:tcPr>
            <w:tcW w:w="1374" w:type="pct"/>
            <w:tcBorders>
              <w:tl2br w:val="nil"/>
              <w:tr2bl w:val="nil"/>
            </w:tcBorders>
            <w:vAlign w:val="center"/>
          </w:tcPr>
          <w:p w14:paraId="11EADDD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10</w:t>
            </w:r>
          </w:p>
        </w:tc>
      </w:tr>
      <w:tr w14:paraId="5A6A6AC5">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133AC07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19</w:t>
            </w:r>
          </w:p>
        </w:tc>
        <w:tc>
          <w:tcPr>
            <w:tcW w:w="1533" w:type="pct"/>
            <w:tcBorders>
              <w:tl2br w:val="nil"/>
              <w:tr2bl w:val="nil"/>
            </w:tcBorders>
            <w:vAlign w:val="center"/>
          </w:tcPr>
          <w:p w14:paraId="0D64AB6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1，1，2，2-四氯乙烷</w:t>
            </w:r>
          </w:p>
        </w:tc>
        <w:tc>
          <w:tcPr>
            <w:tcW w:w="1442" w:type="pct"/>
            <w:tcBorders>
              <w:tl2br w:val="nil"/>
              <w:tr2bl w:val="nil"/>
            </w:tcBorders>
            <w:vAlign w:val="center"/>
          </w:tcPr>
          <w:p w14:paraId="5C306F4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w:t>
            </w:r>
          </w:p>
        </w:tc>
        <w:tc>
          <w:tcPr>
            <w:tcW w:w="1374" w:type="pct"/>
            <w:tcBorders>
              <w:tl2br w:val="nil"/>
              <w:tr2bl w:val="nil"/>
            </w:tcBorders>
            <w:vAlign w:val="center"/>
          </w:tcPr>
          <w:p w14:paraId="22D6E69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6.8</w:t>
            </w:r>
          </w:p>
        </w:tc>
      </w:tr>
      <w:tr w14:paraId="15BD5945">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3781BDA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w:t>
            </w:r>
          </w:p>
        </w:tc>
        <w:tc>
          <w:tcPr>
            <w:tcW w:w="1533" w:type="pct"/>
            <w:tcBorders>
              <w:tl2br w:val="nil"/>
              <w:tr2bl w:val="nil"/>
            </w:tcBorders>
            <w:vAlign w:val="center"/>
          </w:tcPr>
          <w:p w14:paraId="2693A63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四氯乙烷</w:t>
            </w:r>
          </w:p>
        </w:tc>
        <w:tc>
          <w:tcPr>
            <w:tcW w:w="1442" w:type="pct"/>
            <w:tcBorders>
              <w:tl2br w:val="nil"/>
              <w:tr2bl w:val="nil"/>
            </w:tcBorders>
            <w:vAlign w:val="center"/>
          </w:tcPr>
          <w:p w14:paraId="5C49F07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11</w:t>
            </w:r>
          </w:p>
        </w:tc>
        <w:tc>
          <w:tcPr>
            <w:tcW w:w="1374" w:type="pct"/>
            <w:tcBorders>
              <w:tl2br w:val="nil"/>
              <w:tr2bl w:val="nil"/>
            </w:tcBorders>
            <w:vAlign w:val="center"/>
          </w:tcPr>
          <w:p w14:paraId="63CA55B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53</w:t>
            </w:r>
          </w:p>
        </w:tc>
      </w:tr>
      <w:tr w14:paraId="5524676F">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5D0965F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21</w:t>
            </w:r>
          </w:p>
        </w:tc>
        <w:tc>
          <w:tcPr>
            <w:tcW w:w="1533" w:type="pct"/>
            <w:tcBorders>
              <w:tl2br w:val="nil"/>
              <w:tr2bl w:val="nil"/>
            </w:tcBorders>
            <w:vAlign w:val="center"/>
          </w:tcPr>
          <w:p w14:paraId="004E41A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1，1，1-三氯乙烷</w:t>
            </w:r>
          </w:p>
        </w:tc>
        <w:tc>
          <w:tcPr>
            <w:tcW w:w="1442" w:type="pct"/>
            <w:tcBorders>
              <w:tl2br w:val="nil"/>
              <w:tr2bl w:val="nil"/>
            </w:tcBorders>
            <w:vAlign w:val="center"/>
          </w:tcPr>
          <w:p w14:paraId="180978F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701</w:t>
            </w:r>
          </w:p>
        </w:tc>
        <w:tc>
          <w:tcPr>
            <w:tcW w:w="1374" w:type="pct"/>
            <w:tcBorders>
              <w:tl2br w:val="nil"/>
              <w:tr2bl w:val="nil"/>
            </w:tcBorders>
            <w:vAlign w:val="center"/>
          </w:tcPr>
          <w:p w14:paraId="57BCB07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840</w:t>
            </w:r>
          </w:p>
        </w:tc>
      </w:tr>
      <w:tr w14:paraId="1364240D">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1089343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22</w:t>
            </w:r>
          </w:p>
        </w:tc>
        <w:tc>
          <w:tcPr>
            <w:tcW w:w="1533" w:type="pct"/>
            <w:tcBorders>
              <w:tl2br w:val="nil"/>
              <w:tr2bl w:val="nil"/>
            </w:tcBorders>
            <w:vAlign w:val="center"/>
          </w:tcPr>
          <w:p w14:paraId="1A11326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1，1，2-三氯乙烷</w:t>
            </w:r>
          </w:p>
        </w:tc>
        <w:tc>
          <w:tcPr>
            <w:tcW w:w="1442" w:type="pct"/>
            <w:tcBorders>
              <w:tl2br w:val="nil"/>
              <w:tr2bl w:val="nil"/>
            </w:tcBorders>
            <w:vAlign w:val="center"/>
          </w:tcPr>
          <w:p w14:paraId="75759BB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0.6</w:t>
            </w:r>
          </w:p>
        </w:tc>
        <w:tc>
          <w:tcPr>
            <w:tcW w:w="1374" w:type="pct"/>
            <w:tcBorders>
              <w:tl2br w:val="nil"/>
              <w:tr2bl w:val="nil"/>
            </w:tcBorders>
            <w:vAlign w:val="center"/>
          </w:tcPr>
          <w:p w14:paraId="2A9AC01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2.8</w:t>
            </w:r>
          </w:p>
        </w:tc>
      </w:tr>
      <w:tr w14:paraId="3F7AAD4E">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22D7BFF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23</w:t>
            </w:r>
          </w:p>
        </w:tc>
        <w:tc>
          <w:tcPr>
            <w:tcW w:w="1533" w:type="pct"/>
            <w:tcBorders>
              <w:tl2br w:val="nil"/>
              <w:tr2bl w:val="nil"/>
            </w:tcBorders>
            <w:vAlign w:val="center"/>
          </w:tcPr>
          <w:p w14:paraId="449F332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三氯乙烯</w:t>
            </w:r>
          </w:p>
        </w:tc>
        <w:tc>
          <w:tcPr>
            <w:tcW w:w="1442" w:type="pct"/>
            <w:tcBorders>
              <w:tl2br w:val="nil"/>
              <w:tr2bl w:val="nil"/>
            </w:tcBorders>
            <w:vAlign w:val="center"/>
          </w:tcPr>
          <w:p w14:paraId="069F108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0.7</w:t>
            </w:r>
          </w:p>
        </w:tc>
        <w:tc>
          <w:tcPr>
            <w:tcW w:w="1374" w:type="pct"/>
            <w:tcBorders>
              <w:tl2br w:val="nil"/>
              <w:tr2bl w:val="nil"/>
            </w:tcBorders>
            <w:vAlign w:val="center"/>
          </w:tcPr>
          <w:p w14:paraId="0926C01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2.8</w:t>
            </w:r>
          </w:p>
        </w:tc>
      </w:tr>
      <w:tr w14:paraId="203A98FC">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673810C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24</w:t>
            </w:r>
          </w:p>
        </w:tc>
        <w:tc>
          <w:tcPr>
            <w:tcW w:w="1533" w:type="pct"/>
            <w:tcBorders>
              <w:tl2br w:val="nil"/>
              <w:tr2bl w:val="nil"/>
            </w:tcBorders>
            <w:vAlign w:val="center"/>
          </w:tcPr>
          <w:p w14:paraId="6186A6F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1，2，3-三氯丙烷</w:t>
            </w:r>
          </w:p>
        </w:tc>
        <w:tc>
          <w:tcPr>
            <w:tcW w:w="1442" w:type="pct"/>
            <w:tcBorders>
              <w:tl2br w:val="nil"/>
              <w:tr2bl w:val="nil"/>
            </w:tcBorders>
            <w:vAlign w:val="center"/>
          </w:tcPr>
          <w:p w14:paraId="5D9B01E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0.05</w:t>
            </w:r>
          </w:p>
        </w:tc>
        <w:tc>
          <w:tcPr>
            <w:tcW w:w="1374" w:type="pct"/>
            <w:tcBorders>
              <w:tl2br w:val="nil"/>
              <w:tr2bl w:val="nil"/>
            </w:tcBorders>
            <w:vAlign w:val="center"/>
          </w:tcPr>
          <w:p w14:paraId="52D106C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0.5</w:t>
            </w:r>
          </w:p>
        </w:tc>
      </w:tr>
      <w:tr w14:paraId="2CB576D3">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rPr>
          <w:trHeight w:val="355" w:hRule="atLeast"/>
        </w:trPr>
        <w:tc>
          <w:tcPr>
            <w:tcW w:w="648" w:type="pct"/>
            <w:tcBorders>
              <w:tl2br w:val="nil"/>
              <w:tr2bl w:val="nil"/>
            </w:tcBorders>
            <w:vAlign w:val="center"/>
          </w:tcPr>
          <w:p w14:paraId="5112332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25</w:t>
            </w:r>
          </w:p>
        </w:tc>
        <w:tc>
          <w:tcPr>
            <w:tcW w:w="1533" w:type="pct"/>
            <w:tcBorders>
              <w:tl2br w:val="nil"/>
              <w:tr2bl w:val="nil"/>
            </w:tcBorders>
            <w:vAlign w:val="center"/>
          </w:tcPr>
          <w:p w14:paraId="07C76DD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氯乙烯</w:t>
            </w:r>
          </w:p>
        </w:tc>
        <w:tc>
          <w:tcPr>
            <w:tcW w:w="1442" w:type="pct"/>
            <w:tcBorders>
              <w:tl2br w:val="nil"/>
              <w:tr2bl w:val="nil"/>
            </w:tcBorders>
            <w:vAlign w:val="center"/>
          </w:tcPr>
          <w:p w14:paraId="5F5A3B0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0.12</w:t>
            </w:r>
          </w:p>
        </w:tc>
        <w:tc>
          <w:tcPr>
            <w:tcW w:w="1374" w:type="pct"/>
            <w:tcBorders>
              <w:tl2br w:val="nil"/>
              <w:tr2bl w:val="nil"/>
            </w:tcBorders>
            <w:vAlign w:val="center"/>
          </w:tcPr>
          <w:p w14:paraId="04B0C8A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0.43</w:t>
            </w:r>
          </w:p>
        </w:tc>
      </w:tr>
      <w:tr w14:paraId="026185F4">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38F6F86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26</w:t>
            </w:r>
          </w:p>
        </w:tc>
        <w:tc>
          <w:tcPr>
            <w:tcW w:w="1533" w:type="pct"/>
            <w:tcBorders>
              <w:tl2br w:val="nil"/>
              <w:tr2bl w:val="nil"/>
            </w:tcBorders>
            <w:vAlign w:val="center"/>
          </w:tcPr>
          <w:p w14:paraId="52B0F2B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苯</w:t>
            </w:r>
          </w:p>
        </w:tc>
        <w:tc>
          <w:tcPr>
            <w:tcW w:w="1442" w:type="pct"/>
            <w:tcBorders>
              <w:tl2br w:val="nil"/>
              <w:tr2bl w:val="nil"/>
            </w:tcBorders>
            <w:vAlign w:val="center"/>
          </w:tcPr>
          <w:p w14:paraId="6581167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w:t>
            </w:r>
          </w:p>
        </w:tc>
        <w:tc>
          <w:tcPr>
            <w:tcW w:w="1374" w:type="pct"/>
            <w:tcBorders>
              <w:tl2br w:val="nil"/>
              <w:tr2bl w:val="nil"/>
            </w:tcBorders>
            <w:vAlign w:val="center"/>
          </w:tcPr>
          <w:p w14:paraId="0571835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w:t>
            </w:r>
          </w:p>
        </w:tc>
      </w:tr>
      <w:tr w14:paraId="11FB6456">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4522EA3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27</w:t>
            </w:r>
          </w:p>
        </w:tc>
        <w:tc>
          <w:tcPr>
            <w:tcW w:w="1533" w:type="pct"/>
            <w:tcBorders>
              <w:tl2br w:val="nil"/>
              <w:tr2bl w:val="nil"/>
            </w:tcBorders>
            <w:vAlign w:val="center"/>
          </w:tcPr>
          <w:p w14:paraId="6726E87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氯苯</w:t>
            </w:r>
          </w:p>
        </w:tc>
        <w:tc>
          <w:tcPr>
            <w:tcW w:w="1442" w:type="pct"/>
            <w:tcBorders>
              <w:tl2br w:val="nil"/>
              <w:tr2bl w:val="nil"/>
            </w:tcBorders>
            <w:vAlign w:val="center"/>
          </w:tcPr>
          <w:p w14:paraId="7CA0E54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68</w:t>
            </w:r>
          </w:p>
        </w:tc>
        <w:tc>
          <w:tcPr>
            <w:tcW w:w="1374" w:type="pct"/>
            <w:tcBorders>
              <w:tl2br w:val="nil"/>
              <w:tr2bl w:val="nil"/>
            </w:tcBorders>
            <w:vAlign w:val="center"/>
          </w:tcPr>
          <w:p w14:paraId="7BC21EE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270</w:t>
            </w:r>
          </w:p>
        </w:tc>
      </w:tr>
      <w:tr w14:paraId="7D7336B8">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5B32A61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28</w:t>
            </w:r>
          </w:p>
        </w:tc>
        <w:tc>
          <w:tcPr>
            <w:tcW w:w="1533" w:type="pct"/>
            <w:tcBorders>
              <w:tl2br w:val="nil"/>
              <w:tr2bl w:val="nil"/>
            </w:tcBorders>
            <w:vAlign w:val="center"/>
          </w:tcPr>
          <w:p w14:paraId="6565C51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1，2-二氯苯</w:t>
            </w:r>
          </w:p>
        </w:tc>
        <w:tc>
          <w:tcPr>
            <w:tcW w:w="1442" w:type="pct"/>
            <w:tcBorders>
              <w:tl2br w:val="nil"/>
              <w:tr2bl w:val="nil"/>
            </w:tcBorders>
            <w:vAlign w:val="center"/>
          </w:tcPr>
          <w:p w14:paraId="593C45C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560</w:t>
            </w:r>
          </w:p>
        </w:tc>
        <w:tc>
          <w:tcPr>
            <w:tcW w:w="1374" w:type="pct"/>
            <w:tcBorders>
              <w:tl2br w:val="nil"/>
              <w:tr2bl w:val="nil"/>
            </w:tcBorders>
            <w:vAlign w:val="center"/>
          </w:tcPr>
          <w:p w14:paraId="53E7644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560</w:t>
            </w:r>
          </w:p>
        </w:tc>
      </w:tr>
      <w:tr w14:paraId="6B89F769">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030B321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29</w:t>
            </w:r>
          </w:p>
        </w:tc>
        <w:tc>
          <w:tcPr>
            <w:tcW w:w="1533" w:type="pct"/>
            <w:tcBorders>
              <w:tl2br w:val="nil"/>
              <w:tr2bl w:val="nil"/>
            </w:tcBorders>
            <w:vAlign w:val="center"/>
          </w:tcPr>
          <w:p w14:paraId="1BE1494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1，4-二氯苯</w:t>
            </w:r>
          </w:p>
        </w:tc>
        <w:tc>
          <w:tcPr>
            <w:tcW w:w="1442" w:type="pct"/>
            <w:tcBorders>
              <w:tl2br w:val="nil"/>
              <w:tr2bl w:val="nil"/>
            </w:tcBorders>
            <w:vAlign w:val="center"/>
          </w:tcPr>
          <w:p w14:paraId="211D1FA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5.6</w:t>
            </w:r>
          </w:p>
        </w:tc>
        <w:tc>
          <w:tcPr>
            <w:tcW w:w="1374" w:type="pct"/>
            <w:tcBorders>
              <w:tl2br w:val="nil"/>
              <w:tr2bl w:val="nil"/>
            </w:tcBorders>
            <w:vAlign w:val="center"/>
          </w:tcPr>
          <w:p w14:paraId="7E651D2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w:t>
            </w:r>
          </w:p>
        </w:tc>
      </w:tr>
      <w:tr w14:paraId="3091A85B">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67E4BF2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30</w:t>
            </w:r>
          </w:p>
        </w:tc>
        <w:tc>
          <w:tcPr>
            <w:tcW w:w="1533" w:type="pct"/>
            <w:tcBorders>
              <w:tl2br w:val="nil"/>
              <w:tr2bl w:val="nil"/>
            </w:tcBorders>
            <w:vAlign w:val="center"/>
          </w:tcPr>
          <w:p w14:paraId="3AA5C5B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乙苯</w:t>
            </w:r>
          </w:p>
        </w:tc>
        <w:tc>
          <w:tcPr>
            <w:tcW w:w="1442" w:type="pct"/>
            <w:tcBorders>
              <w:tl2br w:val="nil"/>
              <w:tr2bl w:val="nil"/>
            </w:tcBorders>
            <w:vAlign w:val="center"/>
          </w:tcPr>
          <w:p w14:paraId="667AEFF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7.2</w:t>
            </w:r>
          </w:p>
        </w:tc>
        <w:tc>
          <w:tcPr>
            <w:tcW w:w="1374" w:type="pct"/>
            <w:tcBorders>
              <w:tl2br w:val="nil"/>
              <w:tr2bl w:val="nil"/>
            </w:tcBorders>
            <w:vAlign w:val="center"/>
          </w:tcPr>
          <w:p w14:paraId="67EC6AB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28</w:t>
            </w:r>
          </w:p>
        </w:tc>
      </w:tr>
      <w:tr w14:paraId="59CBED70">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5E0267F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31</w:t>
            </w:r>
          </w:p>
        </w:tc>
        <w:tc>
          <w:tcPr>
            <w:tcW w:w="1533" w:type="pct"/>
            <w:tcBorders>
              <w:tl2br w:val="nil"/>
              <w:tr2bl w:val="nil"/>
            </w:tcBorders>
            <w:vAlign w:val="center"/>
          </w:tcPr>
          <w:p w14:paraId="4CC8AF5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苯乙烯</w:t>
            </w:r>
          </w:p>
        </w:tc>
        <w:tc>
          <w:tcPr>
            <w:tcW w:w="1442" w:type="pct"/>
            <w:tcBorders>
              <w:tl2br w:val="nil"/>
              <w:tr2bl w:val="nil"/>
            </w:tcBorders>
            <w:vAlign w:val="center"/>
          </w:tcPr>
          <w:p w14:paraId="714A3E7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1290</w:t>
            </w:r>
          </w:p>
        </w:tc>
        <w:tc>
          <w:tcPr>
            <w:tcW w:w="1374" w:type="pct"/>
            <w:tcBorders>
              <w:tl2br w:val="nil"/>
              <w:tr2bl w:val="nil"/>
            </w:tcBorders>
            <w:vAlign w:val="center"/>
          </w:tcPr>
          <w:p w14:paraId="58C50AD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1290</w:t>
            </w:r>
          </w:p>
        </w:tc>
      </w:tr>
      <w:tr w14:paraId="108F960E">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29415CA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32</w:t>
            </w:r>
          </w:p>
        </w:tc>
        <w:tc>
          <w:tcPr>
            <w:tcW w:w="1533" w:type="pct"/>
            <w:tcBorders>
              <w:tl2br w:val="nil"/>
              <w:tr2bl w:val="nil"/>
            </w:tcBorders>
            <w:vAlign w:val="center"/>
          </w:tcPr>
          <w:p w14:paraId="1F0E19D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甲苯</w:t>
            </w:r>
          </w:p>
        </w:tc>
        <w:tc>
          <w:tcPr>
            <w:tcW w:w="1442" w:type="pct"/>
            <w:tcBorders>
              <w:tl2br w:val="nil"/>
              <w:tr2bl w:val="nil"/>
            </w:tcBorders>
            <w:vAlign w:val="center"/>
          </w:tcPr>
          <w:p w14:paraId="033235E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1200</w:t>
            </w:r>
          </w:p>
        </w:tc>
        <w:tc>
          <w:tcPr>
            <w:tcW w:w="1374" w:type="pct"/>
            <w:tcBorders>
              <w:tl2br w:val="nil"/>
              <w:tr2bl w:val="nil"/>
            </w:tcBorders>
            <w:vAlign w:val="center"/>
          </w:tcPr>
          <w:p w14:paraId="725526D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1200</w:t>
            </w:r>
          </w:p>
        </w:tc>
      </w:tr>
      <w:tr w14:paraId="6E415E06">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35178E7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33</w:t>
            </w:r>
          </w:p>
        </w:tc>
        <w:tc>
          <w:tcPr>
            <w:tcW w:w="1533" w:type="pct"/>
            <w:tcBorders>
              <w:tl2br w:val="nil"/>
              <w:tr2bl w:val="nil"/>
            </w:tcBorders>
            <w:vAlign w:val="center"/>
          </w:tcPr>
          <w:p w14:paraId="64AD5D3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间二甲苯+对二甲苯</w:t>
            </w:r>
          </w:p>
        </w:tc>
        <w:tc>
          <w:tcPr>
            <w:tcW w:w="1442" w:type="pct"/>
            <w:tcBorders>
              <w:tl2br w:val="nil"/>
              <w:tr2bl w:val="nil"/>
            </w:tcBorders>
            <w:vAlign w:val="center"/>
          </w:tcPr>
          <w:p w14:paraId="499A895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163</w:t>
            </w:r>
          </w:p>
        </w:tc>
        <w:tc>
          <w:tcPr>
            <w:tcW w:w="1374" w:type="pct"/>
            <w:tcBorders>
              <w:tl2br w:val="nil"/>
              <w:tr2bl w:val="nil"/>
            </w:tcBorders>
            <w:vAlign w:val="center"/>
          </w:tcPr>
          <w:p w14:paraId="44C6DC8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570</w:t>
            </w:r>
          </w:p>
        </w:tc>
      </w:tr>
      <w:tr w14:paraId="52019C8E">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216650E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34</w:t>
            </w:r>
          </w:p>
        </w:tc>
        <w:tc>
          <w:tcPr>
            <w:tcW w:w="1533" w:type="pct"/>
            <w:tcBorders>
              <w:tl2br w:val="nil"/>
              <w:tr2bl w:val="nil"/>
            </w:tcBorders>
            <w:vAlign w:val="center"/>
          </w:tcPr>
          <w:p w14:paraId="6BF70F7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邻二甲苯</w:t>
            </w:r>
          </w:p>
        </w:tc>
        <w:tc>
          <w:tcPr>
            <w:tcW w:w="1442" w:type="pct"/>
            <w:tcBorders>
              <w:tl2br w:val="nil"/>
              <w:tr2bl w:val="nil"/>
            </w:tcBorders>
            <w:vAlign w:val="center"/>
          </w:tcPr>
          <w:p w14:paraId="70FE03A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222</w:t>
            </w:r>
          </w:p>
        </w:tc>
        <w:tc>
          <w:tcPr>
            <w:tcW w:w="1374" w:type="pct"/>
            <w:tcBorders>
              <w:right w:val="single" w:color="auto" w:sz="4" w:space="0"/>
              <w:tl2br w:val="nil"/>
              <w:tr2bl w:val="nil"/>
            </w:tcBorders>
            <w:vAlign w:val="center"/>
          </w:tcPr>
          <w:p w14:paraId="6F5C6EA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640</w:t>
            </w:r>
          </w:p>
        </w:tc>
      </w:tr>
      <w:tr w14:paraId="375FE534">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5000" w:type="pct"/>
            <w:gridSpan w:val="4"/>
            <w:tcBorders>
              <w:right w:val="single" w:color="auto" w:sz="4" w:space="0"/>
              <w:tl2br w:val="nil"/>
              <w:tr2bl w:val="nil"/>
            </w:tcBorders>
            <w:vAlign w:val="center"/>
          </w:tcPr>
          <w:p w14:paraId="2B205AA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半挥发性有机物</w:t>
            </w:r>
          </w:p>
        </w:tc>
      </w:tr>
      <w:tr w14:paraId="22629B0F">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5E77E4F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35</w:t>
            </w:r>
          </w:p>
        </w:tc>
        <w:tc>
          <w:tcPr>
            <w:tcW w:w="1533" w:type="pct"/>
            <w:tcBorders>
              <w:tl2br w:val="nil"/>
              <w:tr2bl w:val="nil"/>
            </w:tcBorders>
            <w:vAlign w:val="center"/>
          </w:tcPr>
          <w:p w14:paraId="6403530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硝基苯</w:t>
            </w:r>
          </w:p>
        </w:tc>
        <w:tc>
          <w:tcPr>
            <w:tcW w:w="1442" w:type="pct"/>
            <w:tcBorders>
              <w:tl2br w:val="nil"/>
              <w:tr2bl w:val="nil"/>
            </w:tcBorders>
            <w:vAlign w:val="center"/>
          </w:tcPr>
          <w:p w14:paraId="5841C39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34</w:t>
            </w:r>
          </w:p>
        </w:tc>
        <w:tc>
          <w:tcPr>
            <w:tcW w:w="1374" w:type="pct"/>
            <w:tcBorders>
              <w:tl2br w:val="nil"/>
              <w:tr2bl w:val="nil"/>
            </w:tcBorders>
            <w:vAlign w:val="center"/>
          </w:tcPr>
          <w:p w14:paraId="24ECF9F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76</w:t>
            </w:r>
          </w:p>
        </w:tc>
      </w:tr>
      <w:tr w14:paraId="4B133B06">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224716C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36</w:t>
            </w:r>
          </w:p>
        </w:tc>
        <w:tc>
          <w:tcPr>
            <w:tcW w:w="1533" w:type="pct"/>
            <w:tcBorders>
              <w:tl2br w:val="nil"/>
              <w:tr2bl w:val="nil"/>
            </w:tcBorders>
            <w:vAlign w:val="center"/>
          </w:tcPr>
          <w:p w14:paraId="1EB8AC6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苯胺</w:t>
            </w:r>
          </w:p>
        </w:tc>
        <w:tc>
          <w:tcPr>
            <w:tcW w:w="1442" w:type="pct"/>
            <w:tcBorders>
              <w:tl2br w:val="nil"/>
              <w:tr2bl w:val="nil"/>
            </w:tcBorders>
            <w:vAlign w:val="center"/>
          </w:tcPr>
          <w:p w14:paraId="6AFE973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92</w:t>
            </w:r>
          </w:p>
        </w:tc>
        <w:tc>
          <w:tcPr>
            <w:tcW w:w="1374" w:type="pct"/>
            <w:tcBorders>
              <w:tl2br w:val="nil"/>
              <w:tr2bl w:val="nil"/>
            </w:tcBorders>
            <w:vAlign w:val="center"/>
          </w:tcPr>
          <w:p w14:paraId="13EE6A5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260</w:t>
            </w:r>
          </w:p>
        </w:tc>
      </w:tr>
      <w:tr w14:paraId="441F331E">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2213972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37</w:t>
            </w:r>
          </w:p>
        </w:tc>
        <w:tc>
          <w:tcPr>
            <w:tcW w:w="1533" w:type="pct"/>
            <w:tcBorders>
              <w:tl2br w:val="nil"/>
              <w:tr2bl w:val="nil"/>
            </w:tcBorders>
            <w:vAlign w:val="center"/>
          </w:tcPr>
          <w:p w14:paraId="45D9258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2-氯酚</w:t>
            </w:r>
          </w:p>
        </w:tc>
        <w:tc>
          <w:tcPr>
            <w:tcW w:w="1442" w:type="pct"/>
            <w:tcBorders>
              <w:tl2br w:val="nil"/>
              <w:tr2bl w:val="nil"/>
            </w:tcBorders>
            <w:vAlign w:val="center"/>
          </w:tcPr>
          <w:p w14:paraId="6B43804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250</w:t>
            </w:r>
          </w:p>
        </w:tc>
        <w:tc>
          <w:tcPr>
            <w:tcW w:w="1374" w:type="pct"/>
            <w:tcBorders>
              <w:tl2br w:val="nil"/>
              <w:tr2bl w:val="nil"/>
            </w:tcBorders>
            <w:vAlign w:val="center"/>
          </w:tcPr>
          <w:p w14:paraId="1584820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2256</w:t>
            </w:r>
          </w:p>
        </w:tc>
      </w:tr>
      <w:tr w14:paraId="040D3A16">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25D5479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38</w:t>
            </w:r>
          </w:p>
        </w:tc>
        <w:tc>
          <w:tcPr>
            <w:tcW w:w="1533" w:type="pct"/>
            <w:tcBorders>
              <w:tl2br w:val="nil"/>
              <w:tr2bl w:val="nil"/>
            </w:tcBorders>
            <w:vAlign w:val="center"/>
          </w:tcPr>
          <w:p w14:paraId="336061E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苯并［a］蒽</w:t>
            </w:r>
          </w:p>
        </w:tc>
        <w:tc>
          <w:tcPr>
            <w:tcW w:w="1442" w:type="pct"/>
            <w:tcBorders>
              <w:tl2br w:val="nil"/>
              <w:tr2bl w:val="nil"/>
            </w:tcBorders>
            <w:vAlign w:val="center"/>
          </w:tcPr>
          <w:p w14:paraId="0A3D54A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5.5</w:t>
            </w:r>
          </w:p>
        </w:tc>
        <w:tc>
          <w:tcPr>
            <w:tcW w:w="1374" w:type="pct"/>
            <w:tcBorders>
              <w:tl2br w:val="nil"/>
              <w:tr2bl w:val="nil"/>
            </w:tcBorders>
            <w:vAlign w:val="center"/>
          </w:tcPr>
          <w:p w14:paraId="26BBD23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15</w:t>
            </w:r>
          </w:p>
        </w:tc>
      </w:tr>
      <w:tr w14:paraId="73F3311A">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586EB48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39</w:t>
            </w:r>
          </w:p>
        </w:tc>
        <w:tc>
          <w:tcPr>
            <w:tcW w:w="1533" w:type="pct"/>
            <w:tcBorders>
              <w:tl2br w:val="nil"/>
              <w:tr2bl w:val="nil"/>
            </w:tcBorders>
            <w:vAlign w:val="center"/>
          </w:tcPr>
          <w:p w14:paraId="33C1221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苯并［a］芘</w:t>
            </w:r>
          </w:p>
        </w:tc>
        <w:tc>
          <w:tcPr>
            <w:tcW w:w="1442" w:type="pct"/>
            <w:tcBorders>
              <w:tl2br w:val="nil"/>
              <w:tr2bl w:val="nil"/>
            </w:tcBorders>
            <w:vAlign w:val="center"/>
          </w:tcPr>
          <w:p w14:paraId="44226F8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0.55</w:t>
            </w:r>
          </w:p>
        </w:tc>
        <w:tc>
          <w:tcPr>
            <w:tcW w:w="1374" w:type="pct"/>
            <w:tcBorders>
              <w:tl2br w:val="nil"/>
              <w:tr2bl w:val="nil"/>
            </w:tcBorders>
            <w:vAlign w:val="center"/>
          </w:tcPr>
          <w:p w14:paraId="0A89910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1.5</w:t>
            </w:r>
          </w:p>
        </w:tc>
      </w:tr>
      <w:tr w14:paraId="6E7AFCBD">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139B7E8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40</w:t>
            </w:r>
          </w:p>
        </w:tc>
        <w:tc>
          <w:tcPr>
            <w:tcW w:w="1533" w:type="pct"/>
            <w:tcBorders>
              <w:tl2br w:val="nil"/>
              <w:tr2bl w:val="nil"/>
            </w:tcBorders>
            <w:vAlign w:val="center"/>
          </w:tcPr>
          <w:p w14:paraId="3221DCB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苯并［b］荧蒽</w:t>
            </w:r>
          </w:p>
        </w:tc>
        <w:tc>
          <w:tcPr>
            <w:tcW w:w="1442" w:type="pct"/>
            <w:tcBorders>
              <w:tl2br w:val="nil"/>
              <w:tr2bl w:val="nil"/>
            </w:tcBorders>
            <w:vAlign w:val="center"/>
          </w:tcPr>
          <w:p w14:paraId="063DDAC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5.5</w:t>
            </w:r>
          </w:p>
        </w:tc>
        <w:tc>
          <w:tcPr>
            <w:tcW w:w="1374" w:type="pct"/>
            <w:tcBorders>
              <w:tl2br w:val="nil"/>
              <w:tr2bl w:val="nil"/>
            </w:tcBorders>
            <w:vAlign w:val="center"/>
          </w:tcPr>
          <w:p w14:paraId="2CB8EFE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w:t>
            </w:r>
          </w:p>
        </w:tc>
      </w:tr>
      <w:tr w14:paraId="3287F83D">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7C2C7C1A">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41</w:t>
            </w:r>
          </w:p>
        </w:tc>
        <w:tc>
          <w:tcPr>
            <w:tcW w:w="1533" w:type="pct"/>
            <w:tcBorders>
              <w:tl2br w:val="nil"/>
              <w:tr2bl w:val="nil"/>
            </w:tcBorders>
            <w:vAlign w:val="center"/>
          </w:tcPr>
          <w:p w14:paraId="090806E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苯并［k］荧蒽</w:t>
            </w:r>
          </w:p>
        </w:tc>
        <w:tc>
          <w:tcPr>
            <w:tcW w:w="1442" w:type="pct"/>
            <w:tcBorders>
              <w:tl2br w:val="nil"/>
              <w:tr2bl w:val="nil"/>
            </w:tcBorders>
            <w:vAlign w:val="center"/>
          </w:tcPr>
          <w:p w14:paraId="7978D07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55</w:t>
            </w:r>
          </w:p>
        </w:tc>
        <w:tc>
          <w:tcPr>
            <w:tcW w:w="1374" w:type="pct"/>
            <w:tcBorders>
              <w:tl2br w:val="nil"/>
              <w:tr2bl w:val="nil"/>
            </w:tcBorders>
            <w:vAlign w:val="center"/>
          </w:tcPr>
          <w:p w14:paraId="4D4F4502">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151</w:t>
            </w:r>
          </w:p>
        </w:tc>
      </w:tr>
      <w:tr w14:paraId="500AD0DD">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043ED92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42</w:t>
            </w:r>
          </w:p>
        </w:tc>
        <w:tc>
          <w:tcPr>
            <w:tcW w:w="1533" w:type="pct"/>
            <w:tcBorders>
              <w:tl2br w:val="nil"/>
              <w:tr2bl w:val="nil"/>
            </w:tcBorders>
            <w:vAlign w:val="center"/>
          </w:tcPr>
          <w:p w14:paraId="4BAB72B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䓛</w:t>
            </w:r>
          </w:p>
        </w:tc>
        <w:tc>
          <w:tcPr>
            <w:tcW w:w="1442" w:type="pct"/>
            <w:tcBorders>
              <w:tl2br w:val="nil"/>
              <w:tr2bl w:val="nil"/>
            </w:tcBorders>
            <w:vAlign w:val="center"/>
          </w:tcPr>
          <w:p w14:paraId="49CC2AE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490</w:t>
            </w:r>
          </w:p>
        </w:tc>
        <w:tc>
          <w:tcPr>
            <w:tcW w:w="1374" w:type="pct"/>
            <w:tcBorders>
              <w:tl2br w:val="nil"/>
              <w:tr2bl w:val="nil"/>
            </w:tcBorders>
            <w:vAlign w:val="center"/>
          </w:tcPr>
          <w:p w14:paraId="5B180D9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1293</w:t>
            </w:r>
          </w:p>
        </w:tc>
      </w:tr>
      <w:tr w14:paraId="694B4D4A">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34BA2D2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43</w:t>
            </w:r>
          </w:p>
        </w:tc>
        <w:tc>
          <w:tcPr>
            <w:tcW w:w="1533" w:type="pct"/>
            <w:tcBorders>
              <w:tl2br w:val="nil"/>
              <w:tr2bl w:val="nil"/>
            </w:tcBorders>
            <w:vAlign w:val="center"/>
          </w:tcPr>
          <w:p w14:paraId="5E72EBE9">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二苯并［a，h］蒽</w:t>
            </w:r>
          </w:p>
        </w:tc>
        <w:tc>
          <w:tcPr>
            <w:tcW w:w="1442" w:type="pct"/>
            <w:tcBorders>
              <w:tl2br w:val="nil"/>
              <w:tr2bl w:val="nil"/>
            </w:tcBorders>
            <w:vAlign w:val="center"/>
          </w:tcPr>
          <w:p w14:paraId="1AFECF1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0.55</w:t>
            </w:r>
          </w:p>
        </w:tc>
        <w:tc>
          <w:tcPr>
            <w:tcW w:w="1374" w:type="pct"/>
            <w:tcBorders>
              <w:tl2br w:val="nil"/>
              <w:tr2bl w:val="nil"/>
            </w:tcBorders>
            <w:vAlign w:val="center"/>
          </w:tcPr>
          <w:p w14:paraId="3082321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1.5</w:t>
            </w:r>
          </w:p>
        </w:tc>
      </w:tr>
      <w:tr w14:paraId="704CC744">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648" w:type="pct"/>
            <w:tcBorders>
              <w:tl2br w:val="nil"/>
              <w:tr2bl w:val="nil"/>
            </w:tcBorders>
            <w:vAlign w:val="center"/>
          </w:tcPr>
          <w:p w14:paraId="2BEDFFF7">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44</w:t>
            </w:r>
          </w:p>
        </w:tc>
        <w:tc>
          <w:tcPr>
            <w:tcW w:w="1533" w:type="pct"/>
            <w:tcBorders>
              <w:tl2br w:val="nil"/>
              <w:tr2bl w:val="nil"/>
            </w:tcBorders>
            <w:vAlign w:val="center"/>
          </w:tcPr>
          <w:p w14:paraId="57ACDE2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茚并［1，2，3-cd］芘</w:t>
            </w:r>
          </w:p>
        </w:tc>
        <w:tc>
          <w:tcPr>
            <w:tcW w:w="1442" w:type="pct"/>
            <w:tcBorders>
              <w:tl2br w:val="nil"/>
              <w:tr2bl w:val="nil"/>
            </w:tcBorders>
            <w:vAlign w:val="center"/>
          </w:tcPr>
          <w:p w14:paraId="345057A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5.5</w:t>
            </w:r>
          </w:p>
        </w:tc>
        <w:tc>
          <w:tcPr>
            <w:tcW w:w="1374" w:type="pct"/>
            <w:tcBorders>
              <w:tl2br w:val="nil"/>
              <w:tr2bl w:val="nil"/>
            </w:tcBorders>
            <w:vAlign w:val="center"/>
          </w:tcPr>
          <w:p w14:paraId="49DC58B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15</w:t>
            </w:r>
          </w:p>
        </w:tc>
      </w:tr>
      <w:tr w14:paraId="07C5DA94">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rPr>
          <w:trHeight w:val="90" w:hRule="atLeast"/>
        </w:trPr>
        <w:tc>
          <w:tcPr>
            <w:tcW w:w="648" w:type="pct"/>
            <w:tcBorders>
              <w:tl2br w:val="nil"/>
              <w:tr2bl w:val="nil"/>
            </w:tcBorders>
            <w:vAlign w:val="center"/>
          </w:tcPr>
          <w:p w14:paraId="521A046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45</w:t>
            </w:r>
          </w:p>
        </w:tc>
        <w:tc>
          <w:tcPr>
            <w:tcW w:w="1533" w:type="pct"/>
            <w:tcBorders>
              <w:tl2br w:val="nil"/>
              <w:tr2bl w:val="nil"/>
            </w:tcBorders>
            <w:vAlign w:val="center"/>
          </w:tcPr>
          <w:p w14:paraId="2B30057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萘</w:t>
            </w:r>
          </w:p>
        </w:tc>
        <w:tc>
          <w:tcPr>
            <w:tcW w:w="1442" w:type="pct"/>
            <w:tcBorders>
              <w:tl2br w:val="nil"/>
              <w:tr2bl w:val="nil"/>
            </w:tcBorders>
            <w:vAlign w:val="center"/>
          </w:tcPr>
          <w:p w14:paraId="448E019D">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25</w:t>
            </w:r>
          </w:p>
        </w:tc>
        <w:tc>
          <w:tcPr>
            <w:tcW w:w="1374" w:type="pct"/>
            <w:tcBorders>
              <w:right w:val="single" w:color="auto" w:sz="4" w:space="0"/>
              <w:tl2br w:val="nil"/>
              <w:tr2bl w:val="nil"/>
            </w:tcBorders>
            <w:vAlign w:val="center"/>
          </w:tcPr>
          <w:p w14:paraId="61AAFDCE">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70</w:t>
            </w:r>
          </w:p>
        </w:tc>
      </w:tr>
      <w:tr w14:paraId="78EE9ECF">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rPr>
          <w:trHeight w:val="90" w:hRule="atLeast"/>
        </w:trPr>
        <w:tc>
          <w:tcPr>
            <w:tcW w:w="5000" w:type="pct"/>
            <w:gridSpan w:val="4"/>
            <w:tcBorders>
              <w:right w:val="single" w:color="auto" w:sz="4" w:space="0"/>
              <w:tl2br w:val="nil"/>
              <w:tr2bl w:val="nil"/>
            </w:tcBorders>
            <w:vAlign w:val="center"/>
          </w:tcPr>
          <w:p w14:paraId="2214298F">
            <w:pPr>
              <w:adjustRightInd w:val="0"/>
              <w:snapToGrid w:val="0"/>
              <w:jc w:val="center"/>
              <w:rPr>
                <w:rFonts w:ascii="Times New Roman" w:hAnsi="Times New Roman" w:eastAsia="宋体" w:cs="Times New Roman"/>
                <w:color w:val="auto"/>
                <w:szCs w:val="21"/>
              </w:rPr>
            </w:pPr>
            <w:r>
              <w:rPr>
                <w:rFonts w:ascii="Times New Roman" w:hAnsi="Times New Roman" w:cs="Times New Roman"/>
                <w:color w:val="auto"/>
                <w:szCs w:val="21"/>
              </w:rPr>
              <w:t>其他项目</w:t>
            </w:r>
          </w:p>
        </w:tc>
      </w:tr>
      <w:tr w14:paraId="6050902C">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rPr>
          <w:trHeight w:val="90" w:hRule="atLeast"/>
        </w:trPr>
        <w:tc>
          <w:tcPr>
            <w:tcW w:w="648" w:type="pct"/>
            <w:tcBorders>
              <w:tl2br w:val="nil"/>
              <w:tr2bl w:val="nil"/>
            </w:tcBorders>
            <w:vAlign w:val="center"/>
          </w:tcPr>
          <w:p w14:paraId="0765EF6B">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46</w:t>
            </w:r>
          </w:p>
        </w:tc>
        <w:tc>
          <w:tcPr>
            <w:tcW w:w="1533" w:type="pct"/>
            <w:tcBorders>
              <w:tl2br w:val="nil"/>
              <w:tr2bl w:val="nil"/>
            </w:tcBorders>
            <w:vAlign w:val="center"/>
          </w:tcPr>
          <w:p w14:paraId="743BE81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石油烃</w:t>
            </w:r>
          </w:p>
        </w:tc>
        <w:tc>
          <w:tcPr>
            <w:tcW w:w="1442" w:type="pct"/>
            <w:tcBorders>
              <w:tl2br w:val="nil"/>
              <w:tr2bl w:val="nil"/>
            </w:tcBorders>
            <w:vAlign w:val="center"/>
          </w:tcPr>
          <w:p w14:paraId="2FE8712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826</w:t>
            </w:r>
          </w:p>
        </w:tc>
        <w:tc>
          <w:tcPr>
            <w:tcW w:w="1374" w:type="pct"/>
            <w:tcBorders>
              <w:right w:val="single" w:color="auto" w:sz="4" w:space="0"/>
              <w:tl2br w:val="nil"/>
              <w:tr2bl w:val="nil"/>
            </w:tcBorders>
            <w:vAlign w:val="center"/>
          </w:tcPr>
          <w:p w14:paraId="06F397BC">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4500</w:t>
            </w:r>
          </w:p>
        </w:tc>
      </w:tr>
      <w:tr w14:paraId="67E91448">
        <w:tblPrEx>
          <w:tblBorders>
            <w:top w:val="single" w:color="030303" w:sz="4" w:space="0"/>
            <w:left w:val="single" w:color="030303" w:sz="4" w:space="0"/>
            <w:bottom w:val="single" w:color="030303" w:sz="4" w:space="0"/>
            <w:right w:val="single" w:color="030303" w:sz="4" w:space="0"/>
            <w:insideH w:val="single" w:color="030303" w:sz="8" w:space="0"/>
            <w:insideV w:val="single" w:color="030303" w:sz="4" w:space="0"/>
          </w:tblBorders>
          <w:tblCellMar>
            <w:top w:w="0" w:type="dxa"/>
            <w:left w:w="108" w:type="dxa"/>
            <w:bottom w:w="0" w:type="dxa"/>
            <w:right w:w="108" w:type="dxa"/>
          </w:tblCellMar>
        </w:tblPrEx>
        <w:tc>
          <w:tcPr>
            <w:tcW w:w="5000" w:type="pct"/>
            <w:gridSpan w:val="4"/>
            <w:tcBorders>
              <w:right w:val="single" w:color="auto" w:sz="4" w:space="0"/>
              <w:tl2br w:val="nil"/>
              <w:tr2bl w:val="nil"/>
            </w:tcBorders>
            <w:vAlign w:val="center"/>
          </w:tcPr>
          <w:p w14:paraId="763FDA0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注：①具体地块土壤中污染物检测含量超过筛选值，但等于或者低于土壤环境背景值水平的，不纳入污染地块管理。</w:t>
            </w:r>
          </w:p>
        </w:tc>
      </w:tr>
    </w:tbl>
    <w:p w14:paraId="1A19D4EC">
      <w:pPr>
        <w:pStyle w:val="4"/>
        <w:numPr>
          <w:ilvl w:val="2"/>
          <w:numId w:val="19"/>
        </w:numPr>
        <w:tabs>
          <w:tab w:val="clear" w:pos="0"/>
        </w:tabs>
      </w:pPr>
      <w:r>
        <w:t>污染物排放标准</w:t>
      </w:r>
    </w:p>
    <w:p w14:paraId="0CF5C9C1">
      <w:pPr>
        <w:spacing w:line="360" w:lineRule="auto"/>
        <w:ind w:firstLine="480"/>
        <w:rPr>
          <w:rFonts w:ascii="Times New Roman" w:hAnsi="Times New Roman" w:cs="Times New Roman"/>
          <w:b/>
          <w:bCs/>
          <w:sz w:val="24"/>
          <w:szCs w:val="32"/>
        </w:rPr>
      </w:pPr>
      <w:r>
        <w:rPr>
          <w:rFonts w:ascii="Times New Roman" w:hAnsi="Times New Roman" w:cs="Times New Roman"/>
          <w:sz w:val="24"/>
          <w:szCs w:val="32"/>
        </w:rPr>
        <w:t>本次评价污染物排放执行标准见</w:t>
      </w:r>
      <w:r>
        <w:rPr>
          <w:rFonts w:hint="eastAsia" w:ascii="Times New Roman" w:hAnsi="Times New Roman" w:cs="Times New Roman"/>
          <w:sz w:val="24"/>
          <w:szCs w:val="32"/>
        </w:rPr>
        <w:t>下</w:t>
      </w:r>
      <w:r>
        <w:rPr>
          <w:rFonts w:ascii="Times New Roman" w:hAnsi="Times New Roman" w:cs="Times New Roman"/>
          <w:sz w:val="24"/>
          <w:szCs w:val="32"/>
        </w:rPr>
        <w:t>表。</w:t>
      </w:r>
    </w:p>
    <w:p w14:paraId="61B1701C">
      <w:pPr>
        <w:numPr>
          <w:ilvl w:val="0"/>
          <w:numId w:val="20"/>
        </w:numPr>
        <w:jc w:val="center"/>
        <w:rPr>
          <w:rFonts w:ascii="Times New Roman" w:hAnsi="Times New Roman" w:cs="Times New Roman"/>
          <w:b/>
          <w:bCs/>
          <w:szCs w:val="21"/>
        </w:rPr>
      </w:pPr>
      <w:r>
        <w:rPr>
          <w:rFonts w:hint="eastAsia" w:ascii="Times New Roman" w:hAnsi="Times New Roman" w:cs="Times New Roman"/>
          <w:b/>
          <w:bCs/>
          <w:szCs w:val="21"/>
        </w:rPr>
        <w:t xml:space="preserve"> </w:t>
      </w:r>
      <w:bookmarkStart w:id="23" w:name="_Toc269468338"/>
      <w:bookmarkStart w:id="24" w:name="_Toc269574517"/>
      <w:bookmarkStart w:id="25" w:name="_Toc189424857"/>
      <w:r>
        <w:rPr>
          <w:rFonts w:ascii="Times New Roman" w:hAnsi="Times New Roman" w:cs="Times New Roman"/>
          <w:b/>
          <w:bCs/>
          <w:szCs w:val="21"/>
        </w:rPr>
        <w:t>污染物排放标准一览表</w:t>
      </w:r>
    </w:p>
    <w:tbl>
      <w:tblPr>
        <w:tblStyle w:val="30"/>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889"/>
        <w:gridCol w:w="1096"/>
        <w:gridCol w:w="3808"/>
      </w:tblGrid>
      <w:tr w14:paraId="408C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tl2br w:val="nil"/>
              <w:tr2bl w:val="nil"/>
            </w:tcBorders>
            <w:tcMar>
              <w:top w:w="85" w:type="dxa"/>
              <w:bottom w:w="85" w:type="dxa"/>
            </w:tcMar>
            <w:vAlign w:val="center"/>
          </w:tcPr>
          <w:p w14:paraId="46A7D6F9">
            <w:pPr>
              <w:spacing w:line="280" w:lineRule="exact"/>
              <w:jc w:val="center"/>
              <w:rPr>
                <w:rFonts w:ascii="Times New Roman" w:hAnsi="Times New Roman" w:cs="Times New Roman"/>
                <w:szCs w:val="21"/>
              </w:rPr>
            </w:pPr>
            <w:r>
              <w:rPr>
                <w:rFonts w:ascii="Times New Roman" w:hAnsi="Times New Roman" w:cs="Times New Roman"/>
                <w:szCs w:val="21"/>
              </w:rPr>
              <w:t>污染类型</w:t>
            </w:r>
          </w:p>
        </w:tc>
        <w:tc>
          <w:tcPr>
            <w:tcW w:w="2889" w:type="dxa"/>
            <w:tcBorders>
              <w:tl2br w:val="nil"/>
              <w:tr2bl w:val="nil"/>
            </w:tcBorders>
            <w:tcMar>
              <w:top w:w="85" w:type="dxa"/>
              <w:bottom w:w="85" w:type="dxa"/>
            </w:tcMar>
            <w:vAlign w:val="center"/>
          </w:tcPr>
          <w:p w14:paraId="6CE05ADD">
            <w:pPr>
              <w:spacing w:line="280" w:lineRule="exact"/>
              <w:jc w:val="center"/>
              <w:rPr>
                <w:rFonts w:ascii="Times New Roman" w:hAnsi="Times New Roman" w:cs="Times New Roman"/>
                <w:szCs w:val="21"/>
              </w:rPr>
            </w:pPr>
            <w:r>
              <w:rPr>
                <w:rFonts w:ascii="Times New Roman" w:hAnsi="Times New Roman" w:cs="Times New Roman"/>
                <w:szCs w:val="21"/>
              </w:rPr>
              <w:t>标准名称及级（类）别</w:t>
            </w:r>
          </w:p>
        </w:tc>
        <w:tc>
          <w:tcPr>
            <w:tcW w:w="1096" w:type="dxa"/>
            <w:tcBorders>
              <w:tl2br w:val="nil"/>
              <w:tr2bl w:val="nil"/>
            </w:tcBorders>
            <w:tcMar>
              <w:top w:w="85" w:type="dxa"/>
              <w:bottom w:w="85" w:type="dxa"/>
            </w:tcMar>
            <w:vAlign w:val="center"/>
          </w:tcPr>
          <w:p w14:paraId="22B38146">
            <w:pPr>
              <w:spacing w:line="280" w:lineRule="exact"/>
              <w:jc w:val="center"/>
              <w:rPr>
                <w:rFonts w:ascii="Times New Roman" w:hAnsi="Times New Roman" w:cs="Times New Roman"/>
                <w:szCs w:val="21"/>
              </w:rPr>
            </w:pPr>
            <w:r>
              <w:rPr>
                <w:rFonts w:ascii="Times New Roman" w:hAnsi="Times New Roman" w:cs="Times New Roman"/>
                <w:szCs w:val="21"/>
              </w:rPr>
              <w:t>污染因子</w:t>
            </w:r>
          </w:p>
        </w:tc>
        <w:tc>
          <w:tcPr>
            <w:tcW w:w="3808" w:type="dxa"/>
            <w:tcBorders>
              <w:tl2br w:val="nil"/>
              <w:tr2bl w:val="nil"/>
            </w:tcBorders>
            <w:tcMar>
              <w:top w:w="85" w:type="dxa"/>
              <w:bottom w:w="85" w:type="dxa"/>
            </w:tcMar>
            <w:vAlign w:val="center"/>
          </w:tcPr>
          <w:p w14:paraId="43FF8EBE">
            <w:pPr>
              <w:spacing w:line="280" w:lineRule="exact"/>
              <w:jc w:val="center"/>
              <w:rPr>
                <w:rFonts w:ascii="Times New Roman" w:hAnsi="Times New Roman" w:cs="Times New Roman"/>
                <w:szCs w:val="21"/>
              </w:rPr>
            </w:pPr>
            <w:r>
              <w:rPr>
                <w:rFonts w:ascii="Times New Roman" w:hAnsi="Times New Roman" w:cs="Times New Roman"/>
                <w:szCs w:val="21"/>
              </w:rPr>
              <w:t>标准限值</w:t>
            </w:r>
          </w:p>
        </w:tc>
      </w:tr>
      <w:tr w14:paraId="548B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tcBorders>
              <w:tl2br w:val="nil"/>
              <w:tr2bl w:val="nil"/>
            </w:tcBorders>
            <w:tcMar>
              <w:top w:w="85" w:type="dxa"/>
              <w:bottom w:w="85" w:type="dxa"/>
            </w:tcMar>
            <w:vAlign w:val="center"/>
          </w:tcPr>
          <w:p w14:paraId="054201F9">
            <w:pPr>
              <w:spacing w:line="280" w:lineRule="exact"/>
              <w:jc w:val="center"/>
              <w:rPr>
                <w:rFonts w:ascii="Times New Roman" w:hAnsi="Times New Roman" w:cs="Times New Roman"/>
                <w:szCs w:val="21"/>
              </w:rPr>
            </w:pPr>
            <w:r>
              <w:rPr>
                <w:rFonts w:ascii="Times New Roman" w:hAnsi="Times New Roman" w:cs="Times New Roman"/>
                <w:szCs w:val="21"/>
              </w:rPr>
              <w:t>废气</w:t>
            </w:r>
          </w:p>
        </w:tc>
        <w:tc>
          <w:tcPr>
            <w:tcW w:w="2889" w:type="dxa"/>
            <w:vMerge w:val="restart"/>
            <w:tcBorders>
              <w:tl2br w:val="nil"/>
              <w:tr2bl w:val="nil"/>
            </w:tcBorders>
            <w:tcMar>
              <w:top w:w="85" w:type="dxa"/>
              <w:bottom w:w="85" w:type="dxa"/>
            </w:tcMar>
            <w:vAlign w:val="center"/>
          </w:tcPr>
          <w:p w14:paraId="53421F95">
            <w:pPr>
              <w:spacing w:line="280" w:lineRule="exact"/>
              <w:jc w:val="center"/>
              <w:rPr>
                <w:rFonts w:ascii="Times New Roman" w:hAnsi="Times New Roman" w:cs="Times New Roman"/>
                <w:szCs w:val="21"/>
              </w:rPr>
            </w:pPr>
            <w:r>
              <w:rPr>
                <w:rFonts w:ascii="Times New Roman" w:hAnsi="Times New Roman" w:cs="Times New Roman"/>
                <w:szCs w:val="21"/>
              </w:rPr>
              <w:t>《大气污染物综合排放标准》（GB16297-1996）</w:t>
            </w:r>
          </w:p>
        </w:tc>
        <w:tc>
          <w:tcPr>
            <w:tcW w:w="1096" w:type="dxa"/>
            <w:tcBorders>
              <w:tl2br w:val="nil"/>
              <w:tr2bl w:val="nil"/>
            </w:tcBorders>
            <w:tcMar>
              <w:top w:w="85" w:type="dxa"/>
              <w:bottom w:w="85" w:type="dxa"/>
            </w:tcMar>
            <w:vAlign w:val="center"/>
          </w:tcPr>
          <w:p w14:paraId="218C16E4">
            <w:pPr>
              <w:spacing w:line="280" w:lineRule="exact"/>
              <w:jc w:val="center"/>
              <w:rPr>
                <w:rFonts w:ascii="Times New Roman" w:hAnsi="Times New Roman" w:cs="Times New Roman"/>
                <w:szCs w:val="21"/>
              </w:rPr>
            </w:pPr>
            <w:r>
              <w:rPr>
                <w:rFonts w:ascii="Times New Roman" w:hAnsi="Times New Roman" w:cs="Times New Roman"/>
                <w:szCs w:val="21"/>
              </w:rPr>
              <w:t>颗粒物</w:t>
            </w:r>
          </w:p>
        </w:tc>
        <w:tc>
          <w:tcPr>
            <w:tcW w:w="3808" w:type="dxa"/>
            <w:tcBorders>
              <w:tl2br w:val="nil"/>
              <w:tr2bl w:val="nil"/>
            </w:tcBorders>
            <w:tcMar>
              <w:top w:w="85" w:type="dxa"/>
              <w:bottom w:w="85" w:type="dxa"/>
            </w:tcMar>
            <w:vAlign w:val="center"/>
          </w:tcPr>
          <w:p w14:paraId="6127D6F7">
            <w:pPr>
              <w:spacing w:line="280" w:lineRule="exact"/>
              <w:jc w:val="center"/>
              <w:rPr>
                <w:rFonts w:ascii="Times New Roman" w:hAnsi="Times New Roman" w:cs="Times New Roman"/>
                <w:szCs w:val="21"/>
              </w:rPr>
            </w:pPr>
            <w:r>
              <w:rPr>
                <w:rFonts w:ascii="Times New Roman" w:hAnsi="Times New Roman" w:cs="Times New Roman"/>
                <w:szCs w:val="21"/>
              </w:rPr>
              <w:t>15m排气筒，浓度≤120mg/m</w:t>
            </w:r>
            <w:r>
              <w:rPr>
                <w:rFonts w:ascii="Times New Roman" w:hAnsi="Times New Roman" w:cs="Times New Roman"/>
                <w:szCs w:val="21"/>
                <w:vertAlign w:val="superscript"/>
              </w:rPr>
              <w:t>3</w:t>
            </w:r>
            <w:r>
              <w:rPr>
                <w:rFonts w:ascii="Times New Roman" w:hAnsi="Times New Roman" w:cs="Times New Roman"/>
                <w:szCs w:val="21"/>
              </w:rPr>
              <w:t>，速率≤3.5kg/h</w:t>
            </w:r>
            <w:r>
              <w:rPr>
                <w:rFonts w:hint="eastAsia" w:ascii="Times New Roman" w:hAnsi="Times New Roman" w:cs="Times New Roman"/>
                <w:szCs w:val="21"/>
              </w:rPr>
              <w:t>；</w:t>
            </w:r>
            <w:r>
              <w:rPr>
                <w:rFonts w:ascii="Times New Roman" w:hAnsi="Times New Roman" w:cs="Times New Roman"/>
                <w:szCs w:val="21"/>
              </w:rPr>
              <w:t>无组织排放限值：1.0mg/m</w:t>
            </w:r>
            <w:r>
              <w:rPr>
                <w:rFonts w:ascii="Times New Roman" w:hAnsi="Times New Roman" w:cs="Times New Roman"/>
                <w:szCs w:val="21"/>
                <w:vertAlign w:val="superscript"/>
              </w:rPr>
              <w:t>3</w:t>
            </w:r>
          </w:p>
        </w:tc>
      </w:tr>
      <w:tr w14:paraId="43FF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tcBorders>
              <w:tl2br w:val="nil"/>
              <w:tr2bl w:val="nil"/>
            </w:tcBorders>
            <w:tcMar>
              <w:top w:w="85" w:type="dxa"/>
              <w:bottom w:w="85" w:type="dxa"/>
            </w:tcMar>
            <w:vAlign w:val="center"/>
          </w:tcPr>
          <w:p w14:paraId="73C8C0DA">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720CB779">
            <w:pPr>
              <w:spacing w:line="280" w:lineRule="exact"/>
              <w:jc w:val="center"/>
              <w:rPr>
                <w:rFonts w:ascii="Times New Roman" w:hAnsi="Times New Roman" w:cs="Times New Roman"/>
                <w:szCs w:val="21"/>
                <w:highlight w:val="yellow"/>
              </w:rPr>
            </w:pPr>
          </w:p>
        </w:tc>
        <w:tc>
          <w:tcPr>
            <w:tcW w:w="1096" w:type="dxa"/>
            <w:tcBorders>
              <w:tl2br w:val="nil"/>
              <w:tr2bl w:val="nil"/>
            </w:tcBorders>
            <w:tcMar>
              <w:top w:w="85" w:type="dxa"/>
              <w:bottom w:w="85" w:type="dxa"/>
            </w:tcMar>
            <w:vAlign w:val="center"/>
          </w:tcPr>
          <w:p w14:paraId="5AB4348F">
            <w:pPr>
              <w:spacing w:line="280" w:lineRule="exact"/>
              <w:jc w:val="center"/>
              <w:rPr>
                <w:rFonts w:ascii="Times New Roman" w:hAnsi="Times New Roman" w:cs="Times New Roman"/>
                <w:szCs w:val="21"/>
              </w:rPr>
            </w:pPr>
            <w:r>
              <w:rPr>
                <w:rFonts w:ascii="Times New Roman" w:hAnsi="Times New Roman" w:cs="Times New Roman"/>
                <w:szCs w:val="21"/>
              </w:rPr>
              <w:t>非甲烷总烃</w:t>
            </w:r>
          </w:p>
        </w:tc>
        <w:tc>
          <w:tcPr>
            <w:tcW w:w="3808" w:type="dxa"/>
            <w:tcBorders>
              <w:tl2br w:val="nil"/>
              <w:tr2bl w:val="nil"/>
            </w:tcBorders>
            <w:tcMar>
              <w:top w:w="85" w:type="dxa"/>
              <w:bottom w:w="85" w:type="dxa"/>
            </w:tcMar>
            <w:vAlign w:val="center"/>
          </w:tcPr>
          <w:p w14:paraId="704A1026">
            <w:pPr>
              <w:spacing w:line="280" w:lineRule="exact"/>
              <w:jc w:val="center"/>
              <w:rPr>
                <w:rFonts w:ascii="Times New Roman" w:hAnsi="Times New Roman" w:cs="Times New Roman"/>
                <w:szCs w:val="21"/>
              </w:rPr>
            </w:pPr>
            <w:r>
              <w:rPr>
                <w:rFonts w:ascii="Times New Roman" w:hAnsi="Times New Roman" w:cs="Times New Roman"/>
                <w:szCs w:val="21"/>
              </w:rPr>
              <w:t>15m排气筒，浓度≤120mg/m</w:t>
            </w:r>
            <w:r>
              <w:rPr>
                <w:rFonts w:ascii="Times New Roman" w:hAnsi="Times New Roman" w:cs="Times New Roman"/>
                <w:szCs w:val="21"/>
                <w:vertAlign w:val="superscript"/>
              </w:rPr>
              <w:t>3</w:t>
            </w:r>
            <w:r>
              <w:rPr>
                <w:rFonts w:ascii="Times New Roman" w:hAnsi="Times New Roman" w:cs="Times New Roman"/>
                <w:szCs w:val="21"/>
              </w:rPr>
              <w:t>，速率≤10kg/h</w:t>
            </w:r>
            <w:r>
              <w:rPr>
                <w:rFonts w:hint="eastAsia" w:ascii="Times New Roman" w:hAnsi="Times New Roman" w:cs="Times New Roman"/>
                <w:szCs w:val="21"/>
              </w:rPr>
              <w:t>；</w:t>
            </w:r>
            <w:r>
              <w:rPr>
                <w:rFonts w:ascii="Times New Roman" w:hAnsi="Times New Roman" w:cs="Times New Roman"/>
                <w:szCs w:val="21"/>
              </w:rPr>
              <w:t>无组织排放限值：4.0mg/m</w:t>
            </w:r>
            <w:r>
              <w:rPr>
                <w:rFonts w:ascii="Times New Roman" w:hAnsi="Times New Roman" w:cs="Times New Roman"/>
                <w:szCs w:val="21"/>
                <w:vertAlign w:val="superscript"/>
              </w:rPr>
              <w:t>3</w:t>
            </w:r>
          </w:p>
        </w:tc>
      </w:tr>
      <w:tr w14:paraId="0D7C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tcBorders>
              <w:tl2br w:val="nil"/>
              <w:tr2bl w:val="nil"/>
            </w:tcBorders>
            <w:tcMar>
              <w:top w:w="85" w:type="dxa"/>
              <w:bottom w:w="85" w:type="dxa"/>
            </w:tcMar>
            <w:vAlign w:val="center"/>
          </w:tcPr>
          <w:p w14:paraId="172A2B6D">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03AE7456">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27BAA22D">
            <w:pPr>
              <w:spacing w:line="280" w:lineRule="exact"/>
              <w:jc w:val="center"/>
              <w:rPr>
                <w:rFonts w:ascii="Times New Roman" w:hAnsi="Times New Roman" w:cs="Times New Roman"/>
                <w:szCs w:val="21"/>
              </w:rPr>
            </w:pPr>
            <w:r>
              <w:rPr>
                <w:rFonts w:ascii="Times New Roman" w:hAnsi="Times New Roman" w:cs="Times New Roman"/>
                <w:szCs w:val="21"/>
              </w:rPr>
              <w:t>甲苯</w:t>
            </w:r>
          </w:p>
        </w:tc>
        <w:tc>
          <w:tcPr>
            <w:tcW w:w="3808" w:type="dxa"/>
            <w:tcBorders>
              <w:tl2br w:val="nil"/>
              <w:tr2bl w:val="nil"/>
            </w:tcBorders>
            <w:tcMar>
              <w:top w:w="85" w:type="dxa"/>
              <w:bottom w:w="85" w:type="dxa"/>
            </w:tcMar>
            <w:vAlign w:val="center"/>
          </w:tcPr>
          <w:p w14:paraId="35E8E619">
            <w:pPr>
              <w:spacing w:line="280" w:lineRule="exact"/>
              <w:jc w:val="center"/>
              <w:rPr>
                <w:rFonts w:ascii="Times New Roman" w:hAnsi="Times New Roman" w:cs="Times New Roman"/>
                <w:bCs/>
                <w:iCs/>
                <w:szCs w:val="21"/>
              </w:rPr>
            </w:pPr>
            <w:r>
              <w:rPr>
                <w:rFonts w:ascii="Times New Roman" w:hAnsi="Times New Roman" w:cs="Times New Roman"/>
                <w:szCs w:val="21"/>
              </w:rPr>
              <w:t>15m排气筒，浓度≤40mg/m</w:t>
            </w:r>
            <w:r>
              <w:rPr>
                <w:rFonts w:ascii="Times New Roman" w:hAnsi="Times New Roman" w:cs="Times New Roman"/>
                <w:szCs w:val="21"/>
                <w:vertAlign w:val="superscript"/>
              </w:rPr>
              <w:t>3</w:t>
            </w:r>
            <w:r>
              <w:rPr>
                <w:rFonts w:ascii="Times New Roman" w:hAnsi="Times New Roman" w:cs="Times New Roman"/>
                <w:szCs w:val="21"/>
              </w:rPr>
              <w:t>，速率≤3.1kg/h</w:t>
            </w:r>
            <w:r>
              <w:rPr>
                <w:rFonts w:hint="eastAsia" w:ascii="Times New Roman" w:hAnsi="Times New Roman" w:cs="Times New Roman"/>
                <w:szCs w:val="21"/>
              </w:rPr>
              <w:t>；</w:t>
            </w:r>
            <w:r>
              <w:rPr>
                <w:rFonts w:ascii="Times New Roman" w:hAnsi="Times New Roman" w:cs="Times New Roman"/>
                <w:szCs w:val="21"/>
              </w:rPr>
              <w:t>无组织排放限值：2.4mg/m</w:t>
            </w:r>
            <w:r>
              <w:rPr>
                <w:rFonts w:ascii="Times New Roman" w:hAnsi="Times New Roman" w:cs="Times New Roman"/>
                <w:szCs w:val="21"/>
                <w:vertAlign w:val="superscript"/>
              </w:rPr>
              <w:t>3</w:t>
            </w:r>
          </w:p>
        </w:tc>
      </w:tr>
      <w:tr w14:paraId="432E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24" w:type="dxa"/>
            <w:vMerge w:val="continue"/>
            <w:tcBorders>
              <w:tl2br w:val="nil"/>
              <w:tr2bl w:val="nil"/>
            </w:tcBorders>
            <w:tcMar>
              <w:top w:w="85" w:type="dxa"/>
              <w:bottom w:w="85" w:type="dxa"/>
            </w:tcMar>
            <w:vAlign w:val="center"/>
          </w:tcPr>
          <w:p w14:paraId="4D74EDDF">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11C1699E">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500B05ED">
            <w:pPr>
              <w:spacing w:line="280" w:lineRule="exact"/>
              <w:jc w:val="center"/>
              <w:rPr>
                <w:rFonts w:ascii="Times New Roman" w:hAnsi="Times New Roman" w:cs="Times New Roman"/>
                <w:szCs w:val="21"/>
              </w:rPr>
            </w:pPr>
            <w:r>
              <w:rPr>
                <w:rFonts w:ascii="Times New Roman" w:hAnsi="Times New Roman" w:cs="Times New Roman"/>
                <w:szCs w:val="21"/>
              </w:rPr>
              <w:t>二甲苯</w:t>
            </w:r>
          </w:p>
        </w:tc>
        <w:tc>
          <w:tcPr>
            <w:tcW w:w="3808" w:type="dxa"/>
            <w:tcBorders>
              <w:tl2br w:val="nil"/>
              <w:tr2bl w:val="nil"/>
            </w:tcBorders>
            <w:tcMar>
              <w:top w:w="85" w:type="dxa"/>
              <w:bottom w:w="85" w:type="dxa"/>
            </w:tcMar>
            <w:vAlign w:val="center"/>
          </w:tcPr>
          <w:p w14:paraId="35B01681">
            <w:pPr>
              <w:spacing w:line="280" w:lineRule="exact"/>
              <w:jc w:val="center"/>
              <w:rPr>
                <w:rFonts w:ascii="Times New Roman" w:hAnsi="Times New Roman" w:cs="Times New Roman"/>
                <w:bCs/>
                <w:iCs/>
                <w:szCs w:val="21"/>
              </w:rPr>
            </w:pPr>
            <w:r>
              <w:rPr>
                <w:rFonts w:ascii="Times New Roman" w:hAnsi="Times New Roman" w:cs="Times New Roman"/>
                <w:szCs w:val="21"/>
              </w:rPr>
              <w:t>15m排气筒，浓度≤70mg/m</w:t>
            </w:r>
            <w:r>
              <w:rPr>
                <w:rFonts w:ascii="Times New Roman" w:hAnsi="Times New Roman" w:cs="Times New Roman"/>
                <w:szCs w:val="21"/>
                <w:vertAlign w:val="superscript"/>
              </w:rPr>
              <w:t>3</w:t>
            </w:r>
            <w:r>
              <w:rPr>
                <w:rFonts w:ascii="Times New Roman" w:hAnsi="Times New Roman" w:cs="Times New Roman"/>
                <w:szCs w:val="21"/>
              </w:rPr>
              <w:t>，速率≤1.0kg/h</w:t>
            </w:r>
            <w:r>
              <w:rPr>
                <w:rFonts w:hint="eastAsia" w:ascii="Times New Roman" w:hAnsi="Times New Roman" w:cs="Times New Roman"/>
                <w:szCs w:val="21"/>
              </w:rPr>
              <w:t>；</w:t>
            </w:r>
            <w:r>
              <w:rPr>
                <w:rFonts w:ascii="Times New Roman" w:hAnsi="Times New Roman" w:cs="Times New Roman"/>
                <w:szCs w:val="21"/>
              </w:rPr>
              <w:t>无组织排放限值：1.2mg/m</w:t>
            </w:r>
            <w:r>
              <w:rPr>
                <w:rFonts w:ascii="Times New Roman" w:hAnsi="Times New Roman" w:cs="Times New Roman"/>
                <w:szCs w:val="21"/>
                <w:vertAlign w:val="superscript"/>
              </w:rPr>
              <w:t>3</w:t>
            </w:r>
          </w:p>
        </w:tc>
      </w:tr>
      <w:tr w14:paraId="7B0A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24" w:type="dxa"/>
            <w:vMerge w:val="continue"/>
            <w:tcBorders>
              <w:tl2br w:val="nil"/>
              <w:tr2bl w:val="nil"/>
            </w:tcBorders>
            <w:tcMar>
              <w:top w:w="85" w:type="dxa"/>
              <w:bottom w:w="85" w:type="dxa"/>
            </w:tcMar>
            <w:vAlign w:val="center"/>
          </w:tcPr>
          <w:p w14:paraId="37F74936">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57C986B8">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592A8B5B">
            <w:pPr>
              <w:spacing w:line="280" w:lineRule="exact"/>
              <w:jc w:val="center"/>
              <w:rPr>
                <w:rFonts w:ascii="Times New Roman" w:hAnsi="Times New Roman" w:cs="Times New Roman"/>
                <w:szCs w:val="21"/>
              </w:rPr>
            </w:pPr>
            <w:r>
              <w:rPr>
                <w:rFonts w:ascii="Times New Roman" w:hAnsi="Times New Roman" w:cs="Times New Roman"/>
                <w:szCs w:val="21"/>
              </w:rPr>
              <w:t>苯</w:t>
            </w:r>
          </w:p>
        </w:tc>
        <w:tc>
          <w:tcPr>
            <w:tcW w:w="3808" w:type="dxa"/>
            <w:tcBorders>
              <w:tl2br w:val="nil"/>
              <w:tr2bl w:val="nil"/>
            </w:tcBorders>
            <w:tcMar>
              <w:top w:w="85" w:type="dxa"/>
              <w:bottom w:w="85" w:type="dxa"/>
            </w:tcMar>
            <w:vAlign w:val="center"/>
          </w:tcPr>
          <w:p w14:paraId="76AB7E6B">
            <w:pPr>
              <w:spacing w:line="280" w:lineRule="exact"/>
              <w:jc w:val="center"/>
              <w:rPr>
                <w:rFonts w:ascii="Times New Roman" w:hAnsi="Times New Roman" w:cs="Times New Roman"/>
                <w:szCs w:val="21"/>
              </w:rPr>
            </w:pPr>
            <w:r>
              <w:rPr>
                <w:rFonts w:ascii="Times New Roman" w:hAnsi="Times New Roman" w:cs="Times New Roman"/>
                <w:szCs w:val="21"/>
              </w:rPr>
              <w:t>15m排气筒，</w:t>
            </w:r>
            <w:r>
              <w:rPr>
                <w:rFonts w:hint="eastAsia" w:ascii="Times New Roman" w:hAnsi="Times New Roman" w:cs="Times New Roman"/>
                <w:szCs w:val="21"/>
              </w:rPr>
              <w:t>15m排气筒，浓度≤</w:t>
            </w:r>
            <w:r>
              <w:rPr>
                <w:rFonts w:hint="eastAsia" w:ascii="Times New Roman" w:hAnsi="Times New Roman" w:cs="Times New Roman"/>
                <w:szCs w:val="21"/>
                <w:lang w:val="en-US" w:eastAsia="zh-CN"/>
              </w:rPr>
              <w:t>12</w:t>
            </w: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，速率≤</w:t>
            </w:r>
            <w:r>
              <w:rPr>
                <w:rFonts w:hint="eastAsia" w:ascii="Times New Roman" w:hAnsi="Times New Roman" w:cs="Times New Roman"/>
                <w:szCs w:val="21"/>
                <w:lang w:val="en-US" w:eastAsia="zh-CN"/>
              </w:rPr>
              <w:t>0.5</w:t>
            </w:r>
            <w:r>
              <w:rPr>
                <w:rFonts w:ascii="Times New Roman" w:hAnsi="Times New Roman" w:cs="Times New Roman"/>
                <w:szCs w:val="21"/>
              </w:rPr>
              <w:t>kg/h</w:t>
            </w:r>
            <w:r>
              <w:rPr>
                <w:rFonts w:hint="eastAsia" w:ascii="Times New Roman" w:hAnsi="Times New Roman" w:cs="Times New Roman"/>
                <w:szCs w:val="21"/>
              </w:rPr>
              <w:t>；</w:t>
            </w:r>
            <w:r>
              <w:rPr>
                <w:rFonts w:ascii="Times New Roman" w:hAnsi="Times New Roman" w:cs="Times New Roman"/>
                <w:szCs w:val="21"/>
              </w:rPr>
              <w:t>无组织排放限值：</w:t>
            </w:r>
            <w:r>
              <w:rPr>
                <w:rFonts w:hint="eastAsia" w:ascii="Times New Roman" w:hAnsi="Times New Roman" w:cs="Times New Roman"/>
                <w:szCs w:val="21"/>
                <w:lang w:val="en-US" w:eastAsia="zh-CN"/>
              </w:rPr>
              <w:t>0.4</w:t>
            </w:r>
            <w:r>
              <w:rPr>
                <w:rFonts w:ascii="Times New Roman" w:hAnsi="Times New Roman" w:cs="Times New Roman"/>
                <w:szCs w:val="21"/>
              </w:rPr>
              <w:t>mg/m</w:t>
            </w:r>
            <w:r>
              <w:rPr>
                <w:rFonts w:ascii="Times New Roman" w:hAnsi="Times New Roman" w:cs="Times New Roman"/>
                <w:szCs w:val="21"/>
                <w:vertAlign w:val="superscript"/>
              </w:rPr>
              <w:t>3</w:t>
            </w:r>
          </w:p>
        </w:tc>
      </w:tr>
      <w:tr w14:paraId="6C77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tcBorders>
              <w:tl2br w:val="nil"/>
              <w:tr2bl w:val="nil"/>
            </w:tcBorders>
            <w:tcMar>
              <w:top w:w="85" w:type="dxa"/>
              <w:bottom w:w="85" w:type="dxa"/>
            </w:tcMar>
            <w:vAlign w:val="center"/>
          </w:tcPr>
          <w:p w14:paraId="1AE2A594">
            <w:pPr>
              <w:spacing w:line="280" w:lineRule="exact"/>
              <w:jc w:val="center"/>
              <w:rPr>
                <w:rFonts w:ascii="Times New Roman" w:hAnsi="Times New Roman" w:cs="Times New Roman"/>
                <w:szCs w:val="21"/>
              </w:rPr>
            </w:pPr>
          </w:p>
        </w:tc>
        <w:tc>
          <w:tcPr>
            <w:tcW w:w="2889" w:type="dxa"/>
            <w:vMerge w:val="restart"/>
            <w:tcBorders>
              <w:tl2br w:val="nil"/>
              <w:tr2bl w:val="nil"/>
            </w:tcBorders>
            <w:tcMar>
              <w:top w:w="85" w:type="dxa"/>
              <w:bottom w:w="85" w:type="dxa"/>
            </w:tcMar>
            <w:vAlign w:val="center"/>
          </w:tcPr>
          <w:p w14:paraId="69245162">
            <w:pPr>
              <w:spacing w:line="280" w:lineRule="exact"/>
              <w:jc w:val="center"/>
              <w:rPr>
                <w:rFonts w:ascii="Times New Roman" w:hAnsi="Times New Roman" w:cs="Times New Roman"/>
                <w:szCs w:val="21"/>
              </w:rPr>
            </w:pPr>
            <w:r>
              <w:rPr>
                <w:rFonts w:ascii="Times New Roman" w:hAnsi="Times New Roman" w:cs="Times New Roman"/>
                <w:szCs w:val="21"/>
              </w:rPr>
              <w:t>《河南省环境污染防治攻坚战领导小组办公室文件》豫环攻坚办〔20</w:t>
            </w:r>
            <w:r>
              <w:rPr>
                <w:rFonts w:hint="eastAsia" w:ascii="Times New Roman" w:hAnsi="Times New Roman" w:cs="Times New Roman"/>
                <w:szCs w:val="21"/>
              </w:rPr>
              <w:t>17</w:t>
            </w:r>
            <w:r>
              <w:rPr>
                <w:rFonts w:ascii="Times New Roman" w:hAnsi="Times New Roman" w:cs="Times New Roman"/>
                <w:szCs w:val="21"/>
              </w:rPr>
              <w:t>〕162号</w:t>
            </w:r>
          </w:p>
        </w:tc>
        <w:tc>
          <w:tcPr>
            <w:tcW w:w="1096" w:type="dxa"/>
            <w:tcBorders>
              <w:tl2br w:val="nil"/>
              <w:tr2bl w:val="nil"/>
            </w:tcBorders>
            <w:tcMar>
              <w:top w:w="85" w:type="dxa"/>
              <w:bottom w:w="85" w:type="dxa"/>
            </w:tcMar>
            <w:vAlign w:val="center"/>
          </w:tcPr>
          <w:p w14:paraId="72C7D08B">
            <w:pPr>
              <w:spacing w:line="280" w:lineRule="exact"/>
              <w:jc w:val="center"/>
              <w:rPr>
                <w:rFonts w:ascii="Times New Roman" w:hAnsi="Times New Roman" w:cs="Times New Roman"/>
                <w:szCs w:val="21"/>
              </w:rPr>
            </w:pPr>
            <w:r>
              <w:rPr>
                <w:rFonts w:ascii="Times New Roman" w:hAnsi="Times New Roman" w:cs="Times New Roman"/>
                <w:szCs w:val="21"/>
              </w:rPr>
              <w:t>非甲烷总烃</w:t>
            </w:r>
          </w:p>
        </w:tc>
        <w:tc>
          <w:tcPr>
            <w:tcW w:w="3808" w:type="dxa"/>
            <w:tcBorders>
              <w:tl2br w:val="nil"/>
              <w:tr2bl w:val="nil"/>
            </w:tcBorders>
            <w:tcMar>
              <w:top w:w="85" w:type="dxa"/>
              <w:bottom w:w="85" w:type="dxa"/>
            </w:tcMar>
            <w:vAlign w:val="center"/>
          </w:tcPr>
          <w:p w14:paraId="6F94891C">
            <w:pPr>
              <w:spacing w:line="280" w:lineRule="exact"/>
              <w:jc w:val="center"/>
              <w:rPr>
                <w:rFonts w:ascii="Times New Roman" w:hAnsi="Times New Roman" w:cs="Times New Roman"/>
                <w:bCs/>
                <w:iCs/>
                <w:szCs w:val="21"/>
              </w:rPr>
            </w:pPr>
            <w:r>
              <w:rPr>
                <w:rFonts w:ascii="Times New Roman" w:hAnsi="Times New Roman" w:cs="Times New Roman"/>
                <w:szCs w:val="21"/>
              </w:rPr>
              <w:t>排气筒排放限值60mg/m</w:t>
            </w:r>
            <w:r>
              <w:rPr>
                <w:rFonts w:ascii="Times New Roman" w:hAnsi="Times New Roman" w:cs="Times New Roman"/>
                <w:szCs w:val="21"/>
                <w:vertAlign w:val="superscript"/>
              </w:rPr>
              <w:t>3</w:t>
            </w:r>
            <w:r>
              <w:rPr>
                <w:rFonts w:ascii="Times New Roman" w:hAnsi="Times New Roman" w:cs="Times New Roman"/>
                <w:szCs w:val="21"/>
              </w:rPr>
              <w:t>，工业企业边界浓度限值：2.0mg/m</w:t>
            </w:r>
            <w:r>
              <w:rPr>
                <w:rFonts w:ascii="Times New Roman" w:hAnsi="Times New Roman" w:cs="Times New Roman"/>
                <w:color w:val="auto"/>
                <w:szCs w:val="21"/>
                <w:vertAlign w:val="superscript"/>
              </w:rPr>
              <w:t>3</w:t>
            </w:r>
            <w:r>
              <w:rPr>
                <w:rFonts w:hint="eastAsia" w:ascii="Times New Roman" w:hAnsi="Times New Roman" w:cs="Times New Roman"/>
                <w:color w:val="auto"/>
                <w:szCs w:val="21"/>
              </w:rPr>
              <w:t>，去除效率70%</w:t>
            </w:r>
          </w:p>
        </w:tc>
      </w:tr>
      <w:tr w14:paraId="1B61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24" w:type="dxa"/>
            <w:vMerge w:val="continue"/>
            <w:tcBorders>
              <w:tl2br w:val="nil"/>
              <w:tr2bl w:val="nil"/>
            </w:tcBorders>
            <w:tcMar>
              <w:top w:w="85" w:type="dxa"/>
              <w:bottom w:w="85" w:type="dxa"/>
            </w:tcMar>
            <w:vAlign w:val="center"/>
          </w:tcPr>
          <w:p w14:paraId="2FB4409B">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4A3169BB">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78650951">
            <w:pPr>
              <w:spacing w:line="280" w:lineRule="exact"/>
              <w:jc w:val="center"/>
              <w:rPr>
                <w:rFonts w:ascii="Times New Roman" w:hAnsi="Times New Roman" w:cs="Times New Roman"/>
                <w:szCs w:val="21"/>
              </w:rPr>
            </w:pPr>
            <w:r>
              <w:rPr>
                <w:rFonts w:ascii="Times New Roman" w:hAnsi="Times New Roman" w:cs="Times New Roman"/>
                <w:szCs w:val="21"/>
              </w:rPr>
              <w:t>甲苯、二甲苯</w:t>
            </w:r>
          </w:p>
        </w:tc>
        <w:tc>
          <w:tcPr>
            <w:tcW w:w="3808" w:type="dxa"/>
            <w:tcBorders>
              <w:tl2br w:val="nil"/>
              <w:tr2bl w:val="nil"/>
            </w:tcBorders>
            <w:tcMar>
              <w:top w:w="85" w:type="dxa"/>
              <w:bottom w:w="85" w:type="dxa"/>
            </w:tcMar>
            <w:vAlign w:val="center"/>
          </w:tcPr>
          <w:p w14:paraId="018F3CED">
            <w:pPr>
              <w:spacing w:line="280" w:lineRule="exact"/>
              <w:jc w:val="center"/>
              <w:rPr>
                <w:rFonts w:ascii="Times New Roman" w:hAnsi="Times New Roman" w:cs="Times New Roman"/>
                <w:bCs/>
                <w:iCs/>
                <w:szCs w:val="21"/>
              </w:rPr>
            </w:pPr>
            <w:r>
              <w:rPr>
                <w:rFonts w:ascii="Times New Roman" w:hAnsi="Times New Roman" w:cs="Times New Roman"/>
                <w:szCs w:val="21"/>
              </w:rPr>
              <w:t>排气筒排放限值：甲苯与二甲苯合计20mg/m</w:t>
            </w:r>
            <w:r>
              <w:rPr>
                <w:rFonts w:ascii="Times New Roman" w:hAnsi="Times New Roman" w:cs="Times New Roman"/>
                <w:szCs w:val="21"/>
                <w:vertAlign w:val="superscript"/>
              </w:rPr>
              <w:t>3</w:t>
            </w:r>
            <w:r>
              <w:rPr>
                <w:rFonts w:ascii="Times New Roman" w:hAnsi="Times New Roman" w:cs="Times New Roman"/>
                <w:szCs w:val="21"/>
              </w:rPr>
              <w:t>；企业边界浓度限值：甲苯：0.6mg/m</w:t>
            </w:r>
            <w:r>
              <w:rPr>
                <w:rFonts w:ascii="Times New Roman" w:hAnsi="Times New Roman" w:cs="Times New Roman"/>
                <w:szCs w:val="21"/>
                <w:vertAlign w:val="superscript"/>
              </w:rPr>
              <w:t>3</w:t>
            </w:r>
            <w:r>
              <w:rPr>
                <w:rFonts w:ascii="Times New Roman" w:hAnsi="Times New Roman" w:cs="Times New Roman"/>
                <w:szCs w:val="21"/>
              </w:rPr>
              <w:t>、二甲苯：0.2mg/m</w:t>
            </w:r>
            <w:r>
              <w:rPr>
                <w:rFonts w:ascii="Times New Roman" w:hAnsi="Times New Roman" w:cs="Times New Roman"/>
                <w:szCs w:val="21"/>
                <w:vertAlign w:val="superscript"/>
              </w:rPr>
              <w:t>3</w:t>
            </w:r>
          </w:p>
        </w:tc>
      </w:tr>
      <w:tr w14:paraId="144B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24" w:type="dxa"/>
            <w:vMerge w:val="continue"/>
            <w:tcBorders>
              <w:tl2br w:val="nil"/>
              <w:tr2bl w:val="nil"/>
            </w:tcBorders>
            <w:tcMar>
              <w:top w:w="85" w:type="dxa"/>
              <w:bottom w:w="85" w:type="dxa"/>
            </w:tcMar>
            <w:vAlign w:val="center"/>
          </w:tcPr>
          <w:p w14:paraId="101AA50E">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45A56A67">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22C920ED">
            <w:pPr>
              <w:spacing w:line="280" w:lineRule="exact"/>
              <w:jc w:val="center"/>
              <w:rPr>
                <w:rFonts w:ascii="Times New Roman" w:hAnsi="Times New Roman" w:cs="Times New Roman"/>
                <w:color w:val="auto"/>
                <w:szCs w:val="21"/>
              </w:rPr>
            </w:pPr>
            <w:r>
              <w:rPr>
                <w:rFonts w:hint="default" w:ascii="Times New Roman" w:hAnsi="Times New Roman" w:cs="Times New Roman"/>
                <w:color w:val="auto"/>
                <w:szCs w:val="21"/>
                <w:highlight w:val="none"/>
                <w:lang w:eastAsia="zh-CN"/>
              </w:rPr>
              <w:t>苯</w:t>
            </w:r>
          </w:p>
        </w:tc>
        <w:tc>
          <w:tcPr>
            <w:tcW w:w="3808" w:type="dxa"/>
            <w:tcBorders>
              <w:tl2br w:val="nil"/>
              <w:tr2bl w:val="nil"/>
            </w:tcBorders>
            <w:tcMar>
              <w:top w:w="85" w:type="dxa"/>
              <w:bottom w:w="85" w:type="dxa"/>
            </w:tcMar>
            <w:vAlign w:val="center"/>
          </w:tcPr>
          <w:p w14:paraId="2B5EA27E">
            <w:pPr>
              <w:spacing w:line="280" w:lineRule="exact"/>
              <w:jc w:val="center"/>
              <w:rPr>
                <w:rFonts w:ascii="Times New Roman" w:hAnsi="Times New Roman" w:cs="Times New Roman"/>
                <w:color w:val="auto"/>
                <w:szCs w:val="21"/>
              </w:rPr>
            </w:pPr>
            <w:r>
              <w:rPr>
                <w:rFonts w:hint="default" w:ascii="Times New Roman" w:hAnsi="Times New Roman" w:cs="Times New Roman"/>
                <w:color w:val="auto"/>
                <w:szCs w:val="21"/>
                <w:highlight w:val="none"/>
              </w:rPr>
              <w:t>排气筒排放限值：</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；企业边界浓度限值：</w:t>
            </w:r>
            <w:r>
              <w:rPr>
                <w:rFonts w:hint="default" w:ascii="Times New Roman" w:hAnsi="Times New Roman" w:cs="Times New Roman"/>
                <w:color w:val="auto"/>
                <w:szCs w:val="21"/>
                <w:highlight w:val="none"/>
                <w:lang w:val="en-US" w:eastAsia="zh-CN"/>
              </w:rPr>
              <w:t>0.1</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r>
      <w:tr w14:paraId="4CBF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tcBorders>
              <w:tl2br w:val="nil"/>
              <w:tr2bl w:val="nil"/>
            </w:tcBorders>
            <w:tcMar>
              <w:top w:w="85" w:type="dxa"/>
              <w:bottom w:w="85" w:type="dxa"/>
            </w:tcMar>
            <w:vAlign w:val="center"/>
          </w:tcPr>
          <w:p w14:paraId="6D50076F">
            <w:pPr>
              <w:spacing w:line="280" w:lineRule="exact"/>
              <w:jc w:val="center"/>
              <w:rPr>
                <w:rFonts w:ascii="Times New Roman" w:hAnsi="Times New Roman" w:cs="Times New Roman"/>
                <w:szCs w:val="21"/>
              </w:rPr>
            </w:pPr>
          </w:p>
        </w:tc>
        <w:tc>
          <w:tcPr>
            <w:tcW w:w="2889" w:type="dxa"/>
            <w:vMerge w:val="restart"/>
            <w:tcBorders>
              <w:tl2br w:val="nil"/>
              <w:tr2bl w:val="nil"/>
            </w:tcBorders>
            <w:tcMar>
              <w:top w:w="85" w:type="dxa"/>
              <w:bottom w:w="85" w:type="dxa"/>
            </w:tcMar>
            <w:vAlign w:val="center"/>
          </w:tcPr>
          <w:p w14:paraId="4494262F">
            <w:pPr>
              <w:spacing w:line="280" w:lineRule="exact"/>
              <w:jc w:val="center"/>
              <w:rPr>
                <w:rFonts w:ascii="Times New Roman" w:hAnsi="Times New Roman" w:cs="Times New Roman"/>
                <w:szCs w:val="21"/>
              </w:rPr>
            </w:pPr>
            <w:r>
              <w:rPr>
                <w:rFonts w:hint="eastAsia" w:ascii="Times New Roman" w:hAnsi="Times New Roman" w:cs="Times New Roman"/>
                <w:szCs w:val="21"/>
              </w:rPr>
              <w:t>河南省地方标准</w:t>
            </w:r>
            <w:r>
              <w:rPr>
                <w:rFonts w:ascii="Times New Roman" w:hAnsi="Times New Roman" w:cs="Times New Roman"/>
                <w:szCs w:val="21"/>
              </w:rPr>
              <w:t>《工业涂装工序挥发性有机物排放标准》（DB41/1951-2020）</w:t>
            </w:r>
          </w:p>
        </w:tc>
        <w:tc>
          <w:tcPr>
            <w:tcW w:w="1096" w:type="dxa"/>
            <w:tcBorders>
              <w:tl2br w:val="nil"/>
              <w:tr2bl w:val="nil"/>
            </w:tcBorders>
            <w:tcMar>
              <w:top w:w="85" w:type="dxa"/>
              <w:bottom w:w="85" w:type="dxa"/>
            </w:tcMar>
            <w:vAlign w:val="center"/>
          </w:tcPr>
          <w:p w14:paraId="429D9FB0">
            <w:pPr>
              <w:spacing w:line="280" w:lineRule="exact"/>
              <w:jc w:val="center"/>
              <w:rPr>
                <w:rFonts w:ascii="Times New Roman" w:hAnsi="Times New Roman" w:cs="Times New Roman"/>
                <w:color w:val="auto"/>
                <w:szCs w:val="21"/>
              </w:rPr>
            </w:pPr>
            <w:r>
              <w:rPr>
                <w:rFonts w:ascii="Times New Roman" w:hAnsi="Times New Roman" w:cs="Times New Roman"/>
                <w:color w:val="auto"/>
                <w:szCs w:val="21"/>
              </w:rPr>
              <w:t>非甲烷总烃</w:t>
            </w:r>
          </w:p>
        </w:tc>
        <w:tc>
          <w:tcPr>
            <w:tcW w:w="3808" w:type="dxa"/>
            <w:tcBorders>
              <w:tl2br w:val="nil"/>
              <w:tr2bl w:val="nil"/>
            </w:tcBorders>
            <w:tcMar>
              <w:top w:w="85" w:type="dxa"/>
              <w:bottom w:w="85" w:type="dxa"/>
            </w:tcMar>
            <w:vAlign w:val="center"/>
          </w:tcPr>
          <w:p w14:paraId="021E3DBE">
            <w:pPr>
              <w:spacing w:line="280" w:lineRule="exact"/>
              <w:jc w:val="center"/>
              <w:rPr>
                <w:rFonts w:ascii="Times New Roman" w:hAnsi="Times New Roman" w:cs="Times New Roman"/>
                <w:color w:val="auto"/>
                <w:szCs w:val="21"/>
              </w:rPr>
            </w:pPr>
            <w:r>
              <w:rPr>
                <w:rFonts w:ascii="Times New Roman" w:hAnsi="Times New Roman" w:cs="Times New Roman"/>
                <w:color w:val="auto"/>
                <w:szCs w:val="21"/>
              </w:rPr>
              <w:t>排气筒排放限值50mg/m</w:t>
            </w:r>
            <w:r>
              <w:rPr>
                <w:rFonts w:ascii="Times New Roman" w:hAnsi="Times New Roman" w:cs="Times New Roman"/>
                <w:color w:val="auto"/>
                <w:szCs w:val="21"/>
                <w:vertAlign w:val="superscript"/>
              </w:rPr>
              <w:t>3</w:t>
            </w:r>
          </w:p>
        </w:tc>
      </w:tr>
      <w:tr w14:paraId="6353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24" w:type="dxa"/>
            <w:vMerge w:val="continue"/>
            <w:tcBorders>
              <w:tl2br w:val="nil"/>
              <w:tr2bl w:val="nil"/>
            </w:tcBorders>
            <w:tcMar>
              <w:top w:w="85" w:type="dxa"/>
              <w:bottom w:w="85" w:type="dxa"/>
            </w:tcMar>
            <w:vAlign w:val="center"/>
          </w:tcPr>
          <w:p w14:paraId="4E51A844">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4AE845A8">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4234813B">
            <w:pPr>
              <w:spacing w:line="280" w:lineRule="exact"/>
              <w:jc w:val="center"/>
              <w:rPr>
                <w:rFonts w:ascii="Times New Roman" w:hAnsi="Times New Roman" w:cs="Times New Roman"/>
                <w:color w:val="auto"/>
                <w:szCs w:val="21"/>
              </w:rPr>
            </w:pPr>
            <w:r>
              <w:rPr>
                <w:rFonts w:ascii="Times New Roman" w:hAnsi="Times New Roman" w:cs="Times New Roman"/>
                <w:color w:val="auto"/>
                <w:szCs w:val="21"/>
              </w:rPr>
              <w:t>甲苯、二甲苯</w:t>
            </w:r>
          </w:p>
        </w:tc>
        <w:tc>
          <w:tcPr>
            <w:tcW w:w="3808" w:type="dxa"/>
            <w:tcBorders>
              <w:tl2br w:val="nil"/>
              <w:tr2bl w:val="nil"/>
            </w:tcBorders>
            <w:tcMar>
              <w:top w:w="85" w:type="dxa"/>
              <w:bottom w:w="85" w:type="dxa"/>
            </w:tcMar>
            <w:vAlign w:val="center"/>
          </w:tcPr>
          <w:p w14:paraId="72A7BC2C">
            <w:pPr>
              <w:spacing w:line="280" w:lineRule="exact"/>
              <w:jc w:val="center"/>
              <w:rPr>
                <w:rFonts w:ascii="Times New Roman" w:hAnsi="Times New Roman" w:cs="Times New Roman"/>
                <w:color w:val="auto"/>
                <w:szCs w:val="21"/>
              </w:rPr>
            </w:pPr>
            <w:r>
              <w:rPr>
                <w:rFonts w:ascii="Times New Roman" w:hAnsi="Times New Roman" w:cs="Times New Roman"/>
                <w:color w:val="auto"/>
                <w:szCs w:val="21"/>
              </w:rPr>
              <w:t>排气筒排放限值：甲苯与二甲苯合计20mg/m</w:t>
            </w:r>
            <w:r>
              <w:rPr>
                <w:rFonts w:ascii="Times New Roman" w:hAnsi="Times New Roman" w:cs="Times New Roman"/>
                <w:color w:val="auto"/>
                <w:szCs w:val="21"/>
                <w:vertAlign w:val="superscript"/>
              </w:rPr>
              <w:t>3</w:t>
            </w:r>
          </w:p>
        </w:tc>
      </w:tr>
      <w:tr w14:paraId="1C44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24" w:type="dxa"/>
            <w:vMerge w:val="continue"/>
            <w:tcBorders>
              <w:tl2br w:val="nil"/>
              <w:tr2bl w:val="nil"/>
            </w:tcBorders>
            <w:tcMar>
              <w:top w:w="85" w:type="dxa"/>
              <w:bottom w:w="85" w:type="dxa"/>
            </w:tcMar>
            <w:vAlign w:val="center"/>
          </w:tcPr>
          <w:p w14:paraId="602A3938">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715753D1">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20628320">
            <w:pPr>
              <w:spacing w:line="280" w:lineRule="exact"/>
              <w:jc w:val="center"/>
              <w:rPr>
                <w:rFonts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苯</w:t>
            </w:r>
          </w:p>
        </w:tc>
        <w:tc>
          <w:tcPr>
            <w:tcW w:w="3808" w:type="dxa"/>
            <w:tcBorders>
              <w:tl2br w:val="nil"/>
              <w:tr2bl w:val="nil"/>
            </w:tcBorders>
            <w:tcMar>
              <w:top w:w="85" w:type="dxa"/>
              <w:bottom w:w="85" w:type="dxa"/>
            </w:tcMar>
            <w:vAlign w:val="center"/>
          </w:tcPr>
          <w:p w14:paraId="1C736CA0">
            <w:pPr>
              <w:spacing w:line="280" w:lineRule="exact"/>
              <w:jc w:val="center"/>
              <w:rPr>
                <w:rFonts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u w:val="none"/>
                <w:lang w:val="en-US" w:eastAsia="zh-CN"/>
              </w:rPr>
              <w:t>1.0mg/m</w:t>
            </w:r>
            <w:r>
              <w:rPr>
                <w:rFonts w:hint="default" w:ascii="Times New Roman" w:hAnsi="Times New Roman" w:cs="Times New Roman"/>
                <w:b w:val="0"/>
                <w:bCs w:val="0"/>
                <w:color w:val="auto"/>
                <w:sz w:val="21"/>
                <w:szCs w:val="21"/>
                <w:highlight w:val="none"/>
                <w:u w:val="none"/>
                <w:vertAlign w:val="superscript"/>
                <w:lang w:val="en-US" w:eastAsia="zh-CN"/>
              </w:rPr>
              <w:t>3</w:t>
            </w:r>
          </w:p>
        </w:tc>
      </w:tr>
      <w:tr w14:paraId="330C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tcBorders>
              <w:tl2br w:val="nil"/>
              <w:tr2bl w:val="nil"/>
            </w:tcBorders>
            <w:tcMar>
              <w:top w:w="85" w:type="dxa"/>
              <w:bottom w:w="85" w:type="dxa"/>
            </w:tcMar>
            <w:vAlign w:val="center"/>
          </w:tcPr>
          <w:p w14:paraId="4AFFBB7A">
            <w:pPr>
              <w:spacing w:line="280" w:lineRule="exact"/>
              <w:jc w:val="center"/>
              <w:rPr>
                <w:rFonts w:ascii="Times New Roman" w:hAnsi="Times New Roman" w:cs="Times New Roman"/>
                <w:szCs w:val="21"/>
              </w:rPr>
            </w:pPr>
          </w:p>
        </w:tc>
        <w:tc>
          <w:tcPr>
            <w:tcW w:w="2889" w:type="dxa"/>
            <w:vMerge w:val="restart"/>
            <w:tcBorders>
              <w:tl2br w:val="nil"/>
              <w:tr2bl w:val="nil"/>
            </w:tcBorders>
            <w:tcMar>
              <w:top w:w="85" w:type="dxa"/>
              <w:bottom w:w="85" w:type="dxa"/>
            </w:tcMar>
            <w:vAlign w:val="center"/>
          </w:tcPr>
          <w:p w14:paraId="264EFE54">
            <w:pPr>
              <w:spacing w:line="280" w:lineRule="exact"/>
              <w:jc w:val="center"/>
              <w:rPr>
                <w:rFonts w:ascii="Times New Roman" w:hAnsi="Times New Roman" w:cs="Times New Roman"/>
                <w:szCs w:val="21"/>
              </w:rPr>
            </w:pPr>
            <w:r>
              <w:rPr>
                <w:rFonts w:ascii="Times New Roman" w:hAnsi="Times New Roman" w:eastAsia="宋体" w:cs="Times New Roman"/>
                <w:kern w:val="0"/>
                <w:szCs w:val="21"/>
              </w:rPr>
              <w:t>《挥发性有机物无组织排放控制标准》（GB37822-2019）特别排放限值（厂房外设置监控点）</w:t>
            </w:r>
          </w:p>
        </w:tc>
        <w:tc>
          <w:tcPr>
            <w:tcW w:w="1096" w:type="dxa"/>
            <w:vMerge w:val="restart"/>
            <w:tcBorders>
              <w:tl2br w:val="nil"/>
              <w:tr2bl w:val="nil"/>
            </w:tcBorders>
            <w:tcMar>
              <w:top w:w="85" w:type="dxa"/>
              <w:bottom w:w="85" w:type="dxa"/>
            </w:tcMar>
            <w:vAlign w:val="center"/>
          </w:tcPr>
          <w:p w14:paraId="22D2A1A8">
            <w:pPr>
              <w:spacing w:line="280" w:lineRule="exact"/>
              <w:jc w:val="center"/>
              <w:rPr>
                <w:rFonts w:ascii="Times New Roman" w:hAnsi="Times New Roman" w:cs="Times New Roman"/>
                <w:szCs w:val="21"/>
              </w:rPr>
            </w:pPr>
            <w:r>
              <w:rPr>
                <w:rFonts w:ascii="Times New Roman" w:hAnsi="Times New Roman" w:cs="Times New Roman"/>
                <w:szCs w:val="21"/>
              </w:rPr>
              <w:t>非甲烷总烃</w:t>
            </w:r>
          </w:p>
        </w:tc>
        <w:tc>
          <w:tcPr>
            <w:tcW w:w="3808" w:type="dxa"/>
            <w:tcBorders>
              <w:tl2br w:val="nil"/>
              <w:tr2bl w:val="nil"/>
            </w:tcBorders>
            <w:tcMar>
              <w:top w:w="85" w:type="dxa"/>
              <w:bottom w:w="85" w:type="dxa"/>
            </w:tcMar>
            <w:vAlign w:val="center"/>
          </w:tcPr>
          <w:p w14:paraId="375E7B8E">
            <w:pPr>
              <w:spacing w:line="280" w:lineRule="exact"/>
              <w:jc w:val="center"/>
              <w:rPr>
                <w:rFonts w:ascii="Times New Roman" w:hAnsi="Times New Roman" w:cs="Times New Roman"/>
                <w:szCs w:val="21"/>
              </w:rPr>
            </w:pPr>
            <w:r>
              <w:rPr>
                <w:rFonts w:ascii="Times New Roman" w:hAnsi="Times New Roman" w:eastAsia="宋体" w:cs="Times New Roman"/>
                <w:kern w:val="0"/>
                <w:szCs w:val="21"/>
              </w:rPr>
              <w:t>监控点处1h平均浓度值6</w:t>
            </w:r>
            <w:r>
              <w:rPr>
                <w:rFonts w:ascii="Times New Roman" w:hAnsi="Times New Roman" w:cs="Times New Roman"/>
                <w:szCs w:val="21"/>
              </w:rPr>
              <w:t>mg/m</w:t>
            </w:r>
            <w:r>
              <w:rPr>
                <w:rFonts w:ascii="Times New Roman" w:hAnsi="Times New Roman" w:cs="Times New Roman"/>
                <w:szCs w:val="21"/>
                <w:vertAlign w:val="superscript"/>
              </w:rPr>
              <w:t>3</w:t>
            </w:r>
          </w:p>
        </w:tc>
      </w:tr>
      <w:tr w14:paraId="7B77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4" w:type="dxa"/>
            <w:vMerge w:val="continue"/>
            <w:tcBorders>
              <w:tl2br w:val="nil"/>
              <w:tr2bl w:val="nil"/>
            </w:tcBorders>
            <w:tcMar>
              <w:top w:w="85" w:type="dxa"/>
              <w:bottom w:w="85" w:type="dxa"/>
            </w:tcMar>
            <w:vAlign w:val="center"/>
          </w:tcPr>
          <w:p w14:paraId="7E0827F5">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39F4791D">
            <w:pPr>
              <w:spacing w:line="280" w:lineRule="exact"/>
              <w:jc w:val="center"/>
              <w:rPr>
                <w:rFonts w:ascii="Times New Roman" w:hAnsi="Times New Roman" w:cs="Times New Roman"/>
                <w:szCs w:val="21"/>
              </w:rPr>
            </w:pPr>
          </w:p>
        </w:tc>
        <w:tc>
          <w:tcPr>
            <w:tcW w:w="1096" w:type="dxa"/>
            <w:vMerge w:val="continue"/>
            <w:tcBorders>
              <w:tl2br w:val="nil"/>
              <w:tr2bl w:val="nil"/>
            </w:tcBorders>
            <w:tcMar>
              <w:top w:w="85" w:type="dxa"/>
              <w:bottom w:w="85" w:type="dxa"/>
            </w:tcMar>
            <w:vAlign w:val="center"/>
          </w:tcPr>
          <w:p w14:paraId="514121EA">
            <w:pPr>
              <w:spacing w:line="280" w:lineRule="exact"/>
              <w:jc w:val="center"/>
              <w:rPr>
                <w:rFonts w:ascii="Times New Roman" w:hAnsi="Times New Roman" w:cs="Times New Roman"/>
                <w:szCs w:val="21"/>
              </w:rPr>
            </w:pPr>
          </w:p>
        </w:tc>
        <w:tc>
          <w:tcPr>
            <w:tcW w:w="3808" w:type="dxa"/>
            <w:tcBorders>
              <w:tl2br w:val="nil"/>
              <w:tr2bl w:val="nil"/>
            </w:tcBorders>
            <w:tcMar>
              <w:top w:w="85" w:type="dxa"/>
              <w:bottom w:w="85" w:type="dxa"/>
            </w:tcMar>
            <w:vAlign w:val="center"/>
          </w:tcPr>
          <w:p w14:paraId="44A64849">
            <w:pPr>
              <w:spacing w:line="280" w:lineRule="exact"/>
              <w:jc w:val="center"/>
              <w:rPr>
                <w:rFonts w:ascii="Times New Roman" w:hAnsi="Times New Roman" w:cs="Times New Roman"/>
                <w:szCs w:val="21"/>
              </w:rPr>
            </w:pPr>
            <w:r>
              <w:rPr>
                <w:rFonts w:ascii="Times New Roman" w:hAnsi="Times New Roman" w:eastAsia="宋体" w:cs="Times New Roman"/>
                <w:kern w:val="0"/>
                <w:szCs w:val="21"/>
              </w:rPr>
              <w:t>监控点处任意一次浓度值20</w:t>
            </w:r>
            <w:r>
              <w:rPr>
                <w:rFonts w:ascii="Times New Roman" w:hAnsi="Times New Roman" w:cs="Times New Roman"/>
                <w:szCs w:val="21"/>
              </w:rPr>
              <w:t>mg/m</w:t>
            </w:r>
            <w:r>
              <w:rPr>
                <w:rFonts w:ascii="Times New Roman" w:hAnsi="Times New Roman" w:cs="Times New Roman"/>
                <w:szCs w:val="21"/>
                <w:vertAlign w:val="superscript"/>
              </w:rPr>
              <w:t>3</w:t>
            </w:r>
          </w:p>
        </w:tc>
      </w:tr>
      <w:tr w14:paraId="1DE5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24" w:type="dxa"/>
            <w:vMerge w:val="continue"/>
            <w:tcBorders>
              <w:tl2br w:val="nil"/>
              <w:tr2bl w:val="nil"/>
            </w:tcBorders>
            <w:tcMar>
              <w:top w:w="85" w:type="dxa"/>
              <w:bottom w:w="85" w:type="dxa"/>
            </w:tcMar>
            <w:vAlign w:val="center"/>
          </w:tcPr>
          <w:p w14:paraId="50142027">
            <w:pPr>
              <w:spacing w:line="280" w:lineRule="exact"/>
              <w:jc w:val="center"/>
              <w:rPr>
                <w:rFonts w:ascii="Times New Roman" w:hAnsi="Times New Roman" w:cs="Times New Roman"/>
                <w:szCs w:val="21"/>
              </w:rPr>
            </w:pPr>
          </w:p>
        </w:tc>
        <w:tc>
          <w:tcPr>
            <w:tcW w:w="2889" w:type="dxa"/>
            <w:vMerge w:val="restart"/>
            <w:tcBorders>
              <w:tl2br w:val="nil"/>
              <w:tr2bl w:val="nil"/>
            </w:tcBorders>
            <w:tcMar>
              <w:top w:w="85" w:type="dxa"/>
              <w:bottom w:w="85" w:type="dxa"/>
            </w:tcMar>
            <w:vAlign w:val="center"/>
          </w:tcPr>
          <w:p w14:paraId="7F551492">
            <w:pPr>
              <w:spacing w:line="280" w:lineRule="exact"/>
              <w:jc w:val="center"/>
              <w:rPr>
                <w:rFonts w:ascii="Times New Roman" w:hAnsi="Times New Roman" w:cs="Times New Roman"/>
                <w:szCs w:val="21"/>
              </w:rPr>
            </w:pPr>
            <w:r>
              <w:rPr>
                <w:rFonts w:ascii="Times New Roman" w:hAnsi="Times New Roman" w:cs="Times New Roman"/>
                <w:szCs w:val="21"/>
              </w:rPr>
              <w:t>《重污染天气重点行业应急减排措施制定技术指南（2020年修订版）》的函》（环办大气函〔2020〕340号）家具行业绩效分级指标（A级）</w:t>
            </w:r>
          </w:p>
        </w:tc>
        <w:tc>
          <w:tcPr>
            <w:tcW w:w="1096" w:type="dxa"/>
            <w:tcBorders>
              <w:tl2br w:val="nil"/>
              <w:tr2bl w:val="nil"/>
            </w:tcBorders>
            <w:tcMar>
              <w:top w:w="85" w:type="dxa"/>
              <w:bottom w:w="85" w:type="dxa"/>
            </w:tcMar>
            <w:vAlign w:val="center"/>
          </w:tcPr>
          <w:p w14:paraId="3DA55693">
            <w:pPr>
              <w:spacing w:line="280" w:lineRule="exact"/>
              <w:jc w:val="center"/>
              <w:rPr>
                <w:rFonts w:ascii="Times New Roman" w:hAnsi="Times New Roman" w:cs="Times New Roman"/>
                <w:szCs w:val="21"/>
              </w:rPr>
            </w:pPr>
            <w:r>
              <w:rPr>
                <w:rFonts w:hint="eastAsia" w:ascii="Times New Roman" w:hAnsi="Times New Roman" w:cs="Times New Roman"/>
                <w:szCs w:val="21"/>
              </w:rPr>
              <w:t>PM</w:t>
            </w:r>
          </w:p>
        </w:tc>
        <w:tc>
          <w:tcPr>
            <w:tcW w:w="3808" w:type="dxa"/>
            <w:tcBorders>
              <w:tl2br w:val="nil"/>
              <w:tr2bl w:val="nil"/>
            </w:tcBorders>
            <w:tcMar>
              <w:top w:w="85" w:type="dxa"/>
              <w:bottom w:w="85" w:type="dxa"/>
            </w:tcMar>
            <w:vAlign w:val="center"/>
          </w:tcPr>
          <w:p w14:paraId="325F2343">
            <w:pPr>
              <w:spacing w:line="28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r>
              <w:rPr>
                <w:rFonts w:ascii="Times New Roman" w:hAnsi="Times New Roman" w:cs="Times New Roman"/>
                <w:szCs w:val="21"/>
              </w:rPr>
              <w:t>mg/m</w:t>
            </w:r>
            <w:r>
              <w:rPr>
                <w:rFonts w:ascii="Times New Roman" w:hAnsi="Times New Roman" w:cs="Times New Roman"/>
                <w:szCs w:val="21"/>
                <w:vertAlign w:val="superscript"/>
              </w:rPr>
              <w:t>3</w:t>
            </w:r>
          </w:p>
        </w:tc>
      </w:tr>
      <w:tr w14:paraId="328A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24" w:type="dxa"/>
            <w:vMerge w:val="continue"/>
            <w:tcBorders>
              <w:tl2br w:val="nil"/>
              <w:tr2bl w:val="nil"/>
            </w:tcBorders>
            <w:tcMar>
              <w:top w:w="85" w:type="dxa"/>
              <w:bottom w:w="85" w:type="dxa"/>
            </w:tcMar>
            <w:vAlign w:val="center"/>
          </w:tcPr>
          <w:p w14:paraId="241CCA1C">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023A6860">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71711751">
            <w:pPr>
              <w:spacing w:line="280" w:lineRule="exact"/>
              <w:jc w:val="center"/>
              <w:rPr>
                <w:rFonts w:ascii="Times New Roman" w:hAnsi="Times New Roman" w:cs="Times New Roman"/>
                <w:szCs w:val="21"/>
              </w:rPr>
            </w:pPr>
            <w:r>
              <w:rPr>
                <w:rFonts w:hint="eastAsia" w:ascii="Times New Roman" w:hAnsi="Times New Roman" w:cs="Times New Roman"/>
                <w:szCs w:val="21"/>
              </w:rPr>
              <w:t>NMHC</w:t>
            </w:r>
          </w:p>
        </w:tc>
        <w:tc>
          <w:tcPr>
            <w:tcW w:w="3808" w:type="dxa"/>
            <w:tcBorders>
              <w:tl2br w:val="nil"/>
              <w:tr2bl w:val="nil"/>
            </w:tcBorders>
            <w:tcMar>
              <w:top w:w="85" w:type="dxa"/>
              <w:bottom w:w="85" w:type="dxa"/>
            </w:tcMar>
            <w:vAlign w:val="center"/>
          </w:tcPr>
          <w:p w14:paraId="105DEC25">
            <w:pPr>
              <w:spacing w:line="28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w:t>
            </w:r>
            <w:r>
              <w:rPr>
                <w:rFonts w:ascii="Times New Roman" w:hAnsi="Times New Roman" w:cs="Times New Roman"/>
                <w:szCs w:val="21"/>
              </w:rPr>
              <w:t>mg/m</w:t>
            </w:r>
            <w:r>
              <w:rPr>
                <w:rFonts w:ascii="Times New Roman" w:hAnsi="Times New Roman" w:cs="Times New Roman"/>
                <w:szCs w:val="21"/>
                <w:vertAlign w:val="superscript"/>
              </w:rPr>
              <w:t>3</w:t>
            </w:r>
          </w:p>
        </w:tc>
      </w:tr>
      <w:tr w14:paraId="7F41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tcBorders>
              <w:tl2br w:val="nil"/>
              <w:tr2bl w:val="nil"/>
            </w:tcBorders>
            <w:tcMar>
              <w:top w:w="85" w:type="dxa"/>
              <w:bottom w:w="85" w:type="dxa"/>
            </w:tcMar>
            <w:vAlign w:val="center"/>
          </w:tcPr>
          <w:p w14:paraId="5D0249A1">
            <w:pPr>
              <w:spacing w:line="280" w:lineRule="exact"/>
              <w:jc w:val="center"/>
              <w:rPr>
                <w:rFonts w:ascii="Times New Roman" w:hAnsi="Times New Roman" w:cs="Times New Roman"/>
                <w:szCs w:val="21"/>
              </w:rPr>
            </w:pPr>
            <w:r>
              <w:rPr>
                <w:rFonts w:ascii="Times New Roman" w:hAnsi="Times New Roman" w:cs="Times New Roman"/>
                <w:szCs w:val="21"/>
              </w:rPr>
              <w:t>废水</w:t>
            </w:r>
          </w:p>
        </w:tc>
        <w:tc>
          <w:tcPr>
            <w:tcW w:w="2889" w:type="dxa"/>
            <w:vMerge w:val="restart"/>
            <w:tcBorders>
              <w:tl2br w:val="nil"/>
              <w:tr2bl w:val="nil"/>
            </w:tcBorders>
            <w:tcMar>
              <w:top w:w="85" w:type="dxa"/>
              <w:bottom w:w="85" w:type="dxa"/>
            </w:tcMar>
            <w:vAlign w:val="center"/>
          </w:tcPr>
          <w:p w14:paraId="2A104FED">
            <w:pPr>
              <w:spacing w:line="280" w:lineRule="exact"/>
              <w:jc w:val="center"/>
              <w:rPr>
                <w:rFonts w:ascii="Times New Roman" w:hAnsi="Times New Roman" w:cs="Times New Roman"/>
                <w:szCs w:val="21"/>
              </w:rPr>
            </w:pPr>
            <w:r>
              <w:rPr>
                <w:rFonts w:hint="eastAsia" w:ascii="Times New Roman" w:hAnsi="Times New Roman" w:cs="Times New Roman"/>
                <w:szCs w:val="21"/>
              </w:rPr>
              <w:t>清丰中州水务有限公司第二污水处理厂</w:t>
            </w:r>
          </w:p>
        </w:tc>
        <w:tc>
          <w:tcPr>
            <w:tcW w:w="1096" w:type="dxa"/>
            <w:tcBorders>
              <w:tl2br w:val="nil"/>
              <w:tr2bl w:val="nil"/>
            </w:tcBorders>
            <w:tcMar>
              <w:top w:w="85" w:type="dxa"/>
              <w:bottom w:w="85" w:type="dxa"/>
            </w:tcMar>
            <w:vAlign w:val="center"/>
          </w:tcPr>
          <w:p w14:paraId="26D13086">
            <w:pPr>
              <w:spacing w:line="280" w:lineRule="exact"/>
              <w:jc w:val="center"/>
              <w:rPr>
                <w:rFonts w:ascii="Times New Roman" w:hAnsi="Times New Roman" w:cs="Times New Roman"/>
                <w:szCs w:val="21"/>
              </w:rPr>
            </w:pPr>
            <w:r>
              <w:rPr>
                <w:rFonts w:ascii="Times New Roman" w:hAnsi="Times New Roman" w:cs="Times New Roman"/>
                <w:szCs w:val="21"/>
              </w:rPr>
              <w:t>COD</w:t>
            </w:r>
          </w:p>
        </w:tc>
        <w:tc>
          <w:tcPr>
            <w:tcW w:w="3808" w:type="dxa"/>
            <w:tcBorders>
              <w:tl2br w:val="nil"/>
              <w:tr2bl w:val="nil"/>
            </w:tcBorders>
            <w:tcMar>
              <w:top w:w="85" w:type="dxa"/>
              <w:bottom w:w="85" w:type="dxa"/>
            </w:tcMar>
            <w:vAlign w:val="center"/>
          </w:tcPr>
          <w:p w14:paraId="4298841C">
            <w:pPr>
              <w:spacing w:line="280" w:lineRule="exact"/>
              <w:jc w:val="center"/>
              <w:rPr>
                <w:rFonts w:ascii="Times New Roman" w:hAnsi="Times New Roman" w:cs="Times New Roman"/>
                <w:szCs w:val="21"/>
              </w:rPr>
            </w:pPr>
            <w:r>
              <w:rPr>
                <w:rFonts w:ascii="Times New Roman" w:hAnsi="Times New Roman" w:cs="Times New Roman"/>
                <w:szCs w:val="21"/>
              </w:rPr>
              <w:t>350mg/L</w:t>
            </w:r>
          </w:p>
        </w:tc>
      </w:tr>
      <w:tr w14:paraId="6742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24" w:type="dxa"/>
            <w:vMerge w:val="continue"/>
            <w:tcBorders>
              <w:tl2br w:val="nil"/>
              <w:tr2bl w:val="nil"/>
            </w:tcBorders>
            <w:tcMar>
              <w:top w:w="85" w:type="dxa"/>
              <w:bottom w:w="85" w:type="dxa"/>
            </w:tcMar>
            <w:vAlign w:val="center"/>
          </w:tcPr>
          <w:p w14:paraId="3FDA6F73">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5F17C7F7">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5C33ABCF">
            <w:pPr>
              <w:spacing w:line="280" w:lineRule="exact"/>
              <w:jc w:val="center"/>
              <w:rPr>
                <w:rFonts w:ascii="Times New Roman" w:hAnsi="Times New Roman" w:cs="Times New Roman"/>
                <w:szCs w:val="21"/>
              </w:rPr>
            </w:pPr>
            <w:r>
              <w:rPr>
                <w:rFonts w:ascii="Times New Roman" w:hAnsi="Times New Roman" w:cs="Times New Roman"/>
                <w:szCs w:val="21"/>
              </w:rPr>
              <w:t>氨氮</w:t>
            </w:r>
          </w:p>
        </w:tc>
        <w:tc>
          <w:tcPr>
            <w:tcW w:w="3808" w:type="dxa"/>
            <w:tcBorders>
              <w:tl2br w:val="nil"/>
              <w:tr2bl w:val="nil"/>
            </w:tcBorders>
            <w:tcMar>
              <w:top w:w="85" w:type="dxa"/>
              <w:bottom w:w="85" w:type="dxa"/>
            </w:tcMar>
            <w:vAlign w:val="center"/>
          </w:tcPr>
          <w:p w14:paraId="53518909">
            <w:pPr>
              <w:spacing w:line="280" w:lineRule="exact"/>
              <w:jc w:val="center"/>
              <w:rPr>
                <w:rFonts w:ascii="Times New Roman" w:hAnsi="Times New Roman" w:cs="Times New Roman"/>
                <w:szCs w:val="21"/>
              </w:rPr>
            </w:pPr>
            <w:r>
              <w:rPr>
                <w:rFonts w:ascii="Times New Roman" w:hAnsi="Times New Roman" w:cs="Times New Roman"/>
                <w:szCs w:val="21"/>
              </w:rPr>
              <w:t>30mg/L</w:t>
            </w:r>
          </w:p>
        </w:tc>
      </w:tr>
      <w:tr w14:paraId="4DAB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24" w:type="dxa"/>
            <w:vMerge w:val="continue"/>
            <w:tcBorders>
              <w:tl2br w:val="nil"/>
              <w:tr2bl w:val="nil"/>
            </w:tcBorders>
            <w:tcMar>
              <w:top w:w="85" w:type="dxa"/>
              <w:bottom w:w="85" w:type="dxa"/>
            </w:tcMar>
            <w:vAlign w:val="center"/>
          </w:tcPr>
          <w:p w14:paraId="0BF07904">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2CA8DA55">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6778E6D3">
            <w:pPr>
              <w:spacing w:line="280" w:lineRule="exact"/>
              <w:jc w:val="center"/>
              <w:rPr>
                <w:rFonts w:ascii="Times New Roman" w:hAnsi="Times New Roman" w:cs="Times New Roman"/>
                <w:szCs w:val="21"/>
              </w:rPr>
            </w:pPr>
            <w:r>
              <w:rPr>
                <w:rFonts w:hint="eastAsia" w:ascii="Times New Roman" w:hAnsi="Times New Roman" w:cs="Times New Roman"/>
                <w:szCs w:val="21"/>
              </w:rPr>
              <w:t>SS</w:t>
            </w:r>
          </w:p>
        </w:tc>
        <w:tc>
          <w:tcPr>
            <w:tcW w:w="3808" w:type="dxa"/>
            <w:tcBorders>
              <w:tl2br w:val="nil"/>
              <w:tr2bl w:val="nil"/>
            </w:tcBorders>
            <w:tcMar>
              <w:top w:w="85" w:type="dxa"/>
              <w:bottom w:w="85" w:type="dxa"/>
            </w:tcMar>
            <w:vAlign w:val="center"/>
          </w:tcPr>
          <w:p w14:paraId="53946A71">
            <w:pPr>
              <w:spacing w:line="280" w:lineRule="exact"/>
              <w:jc w:val="center"/>
              <w:rPr>
                <w:rFonts w:ascii="Times New Roman" w:hAnsi="Times New Roman" w:cs="Times New Roman"/>
                <w:szCs w:val="21"/>
              </w:rPr>
            </w:pPr>
            <w:r>
              <w:rPr>
                <w:rFonts w:hint="eastAsia" w:ascii="Times New Roman" w:hAnsi="Times New Roman" w:cs="Times New Roman"/>
                <w:szCs w:val="21"/>
              </w:rPr>
              <w:t>210</w:t>
            </w:r>
            <w:r>
              <w:rPr>
                <w:rFonts w:ascii="Times New Roman" w:hAnsi="Times New Roman" w:cs="Times New Roman"/>
                <w:szCs w:val="21"/>
              </w:rPr>
              <w:t>mg/L</w:t>
            </w:r>
          </w:p>
        </w:tc>
      </w:tr>
      <w:tr w14:paraId="4C1D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24" w:type="dxa"/>
            <w:vMerge w:val="continue"/>
            <w:tcBorders>
              <w:tl2br w:val="nil"/>
              <w:tr2bl w:val="nil"/>
            </w:tcBorders>
            <w:tcMar>
              <w:top w:w="85" w:type="dxa"/>
              <w:bottom w:w="85" w:type="dxa"/>
            </w:tcMar>
            <w:vAlign w:val="center"/>
          </w:tcPr>
          <w:p w14:paraId="2C7BBA46">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45EB9F1C">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5FCC3205">
            <w:pPr>
              <w:spacing w:line="280" w:lineRule="exact"/>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3808" w:type="dxa"/>
            <w:tcBorders>
              <w:tl2br w:val="nil"/>
              <w:tr2bl w:val="nil"/>
            </w:tcBorders>
            <w:tcMar>
              <w:top w:w="85" w:type="dxa"/>
              <w:bottom w:w="85" w:type="dxa"/>
            </w:tcMar>
            <w:vAlign w:val="center"/>
          </w:tcPr>
          <w:p w14:paraId="43F047F0">
            <w:pPr>
              <w:spacing w:line="280" w:lineRule="exact"/>
              <w:jc w:val="center"/>
              <w:rPr>
                <w:rFonts w:ascii="Times New Roman" w:hAnsi="Times New Roman" w:cs="Times New Roman"/>
                <w:szCs w:val="21"/>
              </w:rPr>
            </w:pPr>
            <w:r>
              <w:rPr>
                <w:rFonts w:hint="eastAsia" w:ascii="Times New Roman" w:hAnsi="Times New Roman" w:cs="Times New Roman"/>
                <w:szCs w:val="21"/>
              </w:rPr>
              <w:t>170</w:t>
            </w:r>
            <w:r>
              <w:rPr>
                <w:rFonts w:ascii="Times New Roman" w:hAnsi="Times New Roman" w:cs="Times New Roman"/>
                <w:szCs w:val="21"/>
              </w:rPr>
              <w:t>mg/L</w:t>
            </w:r>
          </w:p>
        </w:tc>
      </w:tr>
      <w:tr w14:paraId="7F6C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tcBorders>
              <w:tl2br w:val="nil"/>
              <w:tr2bl w:val="nil"/>
            </w:tcBorders>
            <w:tcMar>
              <w:top w:w="85" w:type="dxa"/>
              <w:bottom w:w="85" w:type="dxa"/>
            </w:tcMar>
            <w:vAlign w:val="center"/>
          </w:tcPr>
          <w:p w14:paraId="3D0102BE">
            <w:pPr>
              <w:spacing w:line="280" w:lineRule="exact"/>
              <w:jc w:val="center"/>
              <w:rPr>
                <w:rFonts w:ascii="Times New Roman" w:hAnsi="Times New Roman" w:cs="Times New Roman"/>
                <w:szCs w:val="21"/>
              </w:rPr>
            </w:pPr>
          </w:p>
        </w:tc>
        <w:tc>
          <w:tcPr>
            <w:tcW w:w="2889" w:type="dxa"/>
            <w:vMerge w:val="restart"/>
            <w:tcBorders>
              <w:tl2br w:val="nil"/>
              <w:tr2bl w:val="nil"/>
            </w:tcBorders>
            <w:tcMar>
              <w:top w:w="85" w:type="dxa"/>
              <w:bottom w:w="85" w:type="dxa"/>
            </w:tcMar>
            <w:vAlign w:val="center"/>
          </w:tcPr>
          <w:p w14:paraId="667B91D6">
            <w:pPr>
              <w:spacing w:line="280" w:lineRule="exact"/>
              <w:jc w:val="center"/>
              <w:rPr>
                <w:rFonts w:ascii="Times New Roman" w:hAnsi="Times New Roman" w:cs="Times New Roman"/>
                <w:szCs w:val="21"/>
              </w:rPr>
            </w:pPr>
            <w:r>
              <w:rPr>
                <w:rFonts w:ascii="Times New Roman" w:hAnsi="Times New Roman" w:cs="Times New Roman"/>
                <w:szCs w:val="21"/>
              </w:rPr>
              <w:t>《污水综合排放标准》（GB8978-1996）表4三级标准</w:t>
            </w:r>
          </w:p>
        </w:tc>
        <w:tc>
          <w:tcPr>
            <w:tcW w:w="1096" w:type="dxa"/>
            <w:tcBorders>
              <w:tl2br w:val="nil"/>
              <w:tr2bl w:val="nil"/>
            </w:tcBorders>
            <w:tcMar>
              <w:top w:w="85" w:type="dxa"/>
              <w:bottom w:w="85" w:type="dxa"/>
            </w:tcMar>
            <w:vAlign w:val="center"/>
          </w:tcPr>
          <w:p w14:paraId="2C7BF2AF">
            <w:pPr>
              <w:spacing w:line="280" w:lineRule="exact"/>
              <w:jc w:val="center"/>
              <w:rPr>
                <w:rFonts w:ascii="Times New Roman" w:hAnsi="Times New Roman" w:cs="Times New Roman"/>
                <w:szCs w:val="21"/>
              </w:rPr>
            </w:pPr>
            <w:r>
              <w:rPr>
                <w:rFonts w:ascii="Times New Roman" w:hAnsi="Times New Roman" w:cs="Times New Roman"/>
                <w:szCs w:val="21"/>
              </w:rPr>
              <w:t>COD</w:t>
            </w:r>
          </w:p>
        </w:tc>
        <w:tc>
          <w:tcPr>
            <w:tcW w:w="3808" w:type="dxa"/>
            <w:tcBorders>
              <w:tl2br w:val="nil"/>
              <w:tr2bl w:val="nil"/>
            </w:tcBorders>
            <w:tcMar>
              <w:top w:w="85" w:type="dxa"/>
              <w:bottom w:w="85" w:type="dxa"/>
            </w:tcMar>
            <w:vAlign w:val="center"/>
          </w:tcPr>
          <w:p w14:paraId="533E950F">
            <w:pPr>
              <w:spacing w:line="280" w:lineRule="exact"/>
              <w:jc w:val="center"/>
              <w:rPr>
                <w:rFonts w:ascii="Times New Roman" w:hAnsi="Times New Roman" w:cs="Times New Roman"/>
                <w:szCs w:val="21"/>
              </w:rPr>
            </w:pPr>
            <w:r>
              <w:rPr>
                <w:rFonts w:ascii="Times New Roman" w:hAnsi="Times New Roman" w:cs="Times New Roman"/>
                <w:szCs w:val="21"/>
              </w:rPr>
              <w:t>500mg/L</w:t>
            </w:r>
          </w:p>
        </w:tc>
      </w:tr>
      <w:tr w14:paraId="5A5D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tcBorders>
              <w:tl2br w:val="nil"/>
              <w:tr2bl w:val="nil"/>
            </w:tcBorders>
            <w:tcMar>
              <w:top w:w="85" w:type="dxa"/>
              <w:bottom w:w="85" w:type="dxa"/>
            </w:tcMar>
            <w:vAlign w:val="center"/>
          </w:tcPr>
          <w:p w14:paraId="31167E66">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3AB0290E">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00AB836E">
            <w:pPr>
              <w:spacing w:line="280" w:lineRule="exact"/>
              <w:jc w:val="center"/>
              <w:rPr>
                <w:rFonts w:ascii="Times New Roman" w:hAnsi="Times New Roman" w:cs="Times New Roman"/>
                <w:szCs w:val="21"/>
              </w:rPr>
            </w:pPr>
            <w:r>
              <w:rPr>
                <w:rFonts w:ascii="Times New Roman" w:hAnsi="Times New Roman" w:cs="Times New Roman"/>
                <w:szCs w:val="21"/>
              </w:rPr>
              <w:t>氨氮</w:t>
            </w:r>
          </w:p>
        </w:tc>
        <w:tc>
          <w:tcPr>
            <w:tcW w:w="3808" w:type="dxa"/>
            <w:tcBorders>
              <w:tl2br w:val="nil"/>
              <w:tr2bl w:val="nil"/>
            </w:tcBorders>
            <w:tcMar>
              <w:top w:w="85" w:type="dxa"/>
              <w:bottom w:w="85" w:type="dxa"/>
            </w:tcMar>
            <w:vAlign w:val="center"/>
          </w:tcPr>
          <w:p w14:paraId="692B6ED5">
            <w:pPr>
              <w:spacing w:line="280" w:lineRule="exact"/>
              <w:jc w:val="center"/>
              <w:rPr>
                <w:rFonts w:ascii="Times New Roman" w:hAnsi="Times New Roman" w:cs="Times New Roman"/>
                <w:szCs w:val="21"/>
              </w:rPr>
            </w:pPr>
            <w:r>
              <w:rPr>
                <w:rFonts w:ascii="Times New Roman" w:hAnsi="Times New Roman" w:cs="Times New Roman"/>
                <w:szCs w:val="21"/>
              </w:rPr>
              <w:t>/</w:t>
            </w:r>
          </w:p>
        </w:tc>
      </w:tr>
      <w:tr w14:paraId="0217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24" w:type="dxa"/>
            <w:vMerge w:val="continue"/>
            <w:tcBorders>
              <w:tl2br w:val="nil"/>
              <w:tr2bl w:val="nil"/>
            </w:tcBorders>
            <w:tcMar>
              <w:top w:w="85" w:type="dxa"/>
              <w:bottom w:w="85" w:type="dxa"/>
            </w:tcMar>
            <w:vAlign w:val="center"/>
          </w:tcPr>
          <w:p w14:paraId="1422B7DF">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3B659B87">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4EDA639B">
            <w:pPr>
              <w:spacing w:line="280" w:lineRule="exact"/>
              <w:jc w:val="center"/>
              <w:rPr>
                <w:rFonts w:ascii="Times New Roman" w:hAnsi="Times New Roman" w:cs="Times New Roman"/>
                <w:szCs w:val="21"/>
              </w:rPr>
            </w:pPr>
            <w:r>
              <w:rPr>
                <w:rFonts w:hint="eastAsia" w:ascii="Times New Roman" w:hAnsi="Times New Roman" w:cs="Times New Roman"/>
                <w:szCs w:val="21"/>
              </w:rPr>
              <w:t>SS</w:t>
            </w:r>
          </w:p>
        </w:tc>
        <w:tc>
          <w:tcPr>
            <w:tcW w:w="3808" w:type="dxa"/>
            <w:tcBorders>
              <w:tl2br w:val="nil"/>
              <w:tr2bl w:val="nil"/>
            </w:tcBorders>
            <w:tcMar>
              <w:top w:w="85" w:type="dxa"/>
              <w:bottom w:w="85" w:type="dxa"/>
            </w:tcMar>
            <w:vAlign w:val="center"/>
          </w:tcPr>
          <w:p w14:paraId="3F79FE47">
            <w:pPr>
              <w:spacing w:line="280" w:lineRule="exact"/>
              <w:jc w:val="center"/>
              <w:rPr>
                <w:rFonts w:ascii="Times New Roman" w:hAnsi="Times New Roman" w:cs="Times New Roman"/>
                <w:szCs w:val="21"/>
              </w:rPr>
            </w:pPr>
            <w:r>
              <w:rPr>
                <w:rFonts w:hint="eastAsia" w:ascii="Times New Roman" w:hAnsi="Times New Roman" w:cs="Times New Roman"/>
                <w:szCs w:val="21"/>
              </w:rPr>
              <w:t>400</w:t>
            </w:r>
            <w:r>
              <w:rPr>
                <w:rFonts w:ascii="Times New Roman" w:hAnsi="Times New Roman" w:cs="Times New Roman"/>
                <w:szCs w:val="21"/>
              </w:rPr>
              <w:t>mg/L</w:t>
            </w:r>
          </w:p>
        </w:tc>
      </w:tr>
      <w:tr w14:paraId="0B2F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24" w:type="dxa"/>
            <w:vMerge w:val="continue"/>
            <w:tcBorders>
              <w:tl2br w:val="nil"/>
              <w:tr2bl w:val="nil"/>
            </w:tcBorders>
            <w:tcMar>
              <w:top w:w="85" w:type="dxa"/>
              <w:bottom w:w="85" w:type="dxa"/>
            </w:tcMar>
            <w:vAlign w:val="center"/>
          </w:tcPr>
          <w:p w14:paraId="02AA563E">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6F285C74">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288E484C">
            <w:pPr>
              <w:spacing w:line="280" w:lineRule="exact"/>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3808" w:type="dxa"/>
            <w:tcBorders>
              <w:tl2br w:val="nil"/>
              <w:tr2bl w:val="nil"/>
            </w:tcBorders>
            <w:tcMar>
              <w:top w:w="85" w:type="dxa"/>
              <w:bottom w:w="85" w:type="dxa"/>
            </w:tcMar>
            <w:vAlign w:val="center"/>
          </w:tcPr>
          <w:p w14:paraId="53CA9B51">
            <w:pPr>
              <w:spacing w:line="280" w:lineRule="exact"/>
              <w:jc w:val="center"/>
              <w:rPr>
                <w:rFonts w:ascii="Times New Roman" w:hAnsi="Times New Roman" w:cs="Times New Roman"/>
                <w:szCs w:val="21"/>
              </w:rPr>
            </w:pPr>
            <w:r>
              <w:rPr>
                <w:rFonts w:ascii="Times New Roman" w:hAnsi="Times New Roman" w:cs="Times New Roman"/>
                <w:szCs w:val="21"/>
              </w:rPr>
              <w:t>300mg/L</w:t>
            </w:r>
          </w:p>
        </w:tc>
      </w:tr>
      <w:tr w14:paraId="6D81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724" w:type="dxa"/>
            <w:vMerge w:val="continue"/>
            <w:tcBorders>
              <w:tl2br w:val="nil"/>
              <w:tr2bl w:val="nil"/>
            </w:tcBorders>
            <w:tcMar>
              <w:top w:w="85" w:type="dxa"/>
              <w:bottom w:w="85" w:type="dxa"/>
            </w:tcMar>
            <w:vAlign w:val="center"/>
          </w:tcPr>
          <w:p w14:paraId="0C4B1922">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7475E07B">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622EAAA3">
            <w:pPr>
              <w:spacing w:line="280" w:lineRule="exact"/>
              <w:jc w:val="center"/>
              <w:rPr>
                <w:rFonts w:ascii="Times New Roman" w:hAnsi="Times New Roman" w:cs="Times New Roman"/>
                <w:szCs w:val="21"/>
              </w:rPr>
            </w:pPr>
            <w:r>
              <w:rPr>
                <w:rFonts w:hint="eastAsia" w:ascii="Times New Roman" w:hAnsi="Times New Roman" w:cs="Times New Roman"/>
                <w:szCs w:val="21"/>
              </w:rPr>
              <w:t>甲苯</w:t>
            </w:r>
          </w:p>
        </w:tc>
        <w:tc>
          <w:tcPr>
            <w:tcW w:w="3808" w:type="dxa"/>
            <w:tcBorders>
              <w:tl2br w:val="nil"/>
              <w:tr2bl w:val="nil"/>
            </w:tcBorders>
            <w:tcMar>
              <w:top w:w="85" w:type="dxa"/>
              <w:bottom w:w="85" w:type="dxa"/>
            </w:tcMar>
            <w:vAlign w:val="center"/>
          </w:tcPr>
          <w:p w14:paraId="05DE4CD6">
            <w:pPr>
              <w:spacing w:line="280" w:lineRule="exact"/>
              <w:jc w:val="center"/>
              <w:rPr>
                <w:rFonts w:ascii="Times New Roman" w:hAnsi="Times New Roman" w:cs="Times New Roman"/>
                <w:szCs w:val="21"/>
              </w:rPr>
            </w:pPr>
            <w:r>
              <w:rPr>
                <w:rFonts w:hint="eastAsia" w:ascii="Times New Roman" w:hAnsi="Times New Roman" w:cs="Times New Roman"/>
                <w:szCs w:val="21"/>
              </w:rPr>
              <w:t>0.5</w:t>
            </w:r>
            <w:r>
              <w:rPr>
                <w:rFonts w:ascii="Times New Roman" w:hAnsi="Times New Roman" w:cs="Times New Roman"/>
                <w:szCs w:val="21"/>
              </w:rPr>
              <w:t>mg/L</w:t>
            </w:r>
          </w:p>
        </w:tc>
      </w:tr>
      <w:tr w14:paraId="37B1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Merge w:val="continue"/>
            <w:tcBorders>
              <w:tl2br w:val="nil"/>
              <w:tr2bl w:val="nil"/>
            </w:tcBorders>
            <w:tcMar>
              <w:top w:w="85" w:type="dxa"/>
              <w:bottom w:w="85" w:type="dxa"/>
            </w:tcMar>
            <w:vAlign w:val="center"/>
          </w:tcPr>
          <w:p w14:paraId="20296710">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31E0CB2B">
            <w:pPr>
              <w:spacing w:line="280" w:lineRule="exact"/>
              <w:jc w:val="center"/>
              <w:rPr>
                <w:rFonts w:ascii="Times New Roman" w:hAnsi="Times New Roman" w:cs="Times New Roman"/>
                <w:szCs w:val="21"/>
              </w:rPr>
            </w:pPr>
          </w:p>
        </w:tc>
        <w:tc>
          <w:tcPr>
            <w:tcW w:w="1096" w:type="dxa"/>
            <w:tcBorders>
              <w:tl2br w:val="nil"/>
              <w:tr2bl w:val="nil"/>
            </w:tcBorders>
            <w:tcMar>
              <w:top w:w="85" w:type="dxa"/>
              <w:bottom w:w="85" w:type="dxa"/>
            </w:tcMar>
            <w:vAlign w:val="center"/>
          </w:tcPr>
          <w:p w14:paraId="200217DE">
            <w:pPr>
              <w:spacing w:line="280" w:lineRule="exact"/>
              <w:jc w:val="center"/>
              <w:rPr>
                <w:rFonts w:ascii="Times New Roman" w:hAnsi="Times New Roman" w:cs="Times New Roman"/>
                <w:szCs w:val="21"/>
              </w:rPr>
            </w:pPr>
            <w:r>
              <w:rPr>
                <w:rFonts w:hint="eastAsia" w:ascii="Times New Roman" w:hAnsi="Times New Roman" w:cs="Times New Roman"/>
                <w:szCs w:val="21"/>
              </w:rPr>
              <w:t>二甲苯</w:t>
            </w:r>
          </w:p>
        </w:tc>
        <w:tc>
          <w:tcPr>
            <w:tcW w:w="3808" w:type="dxa"/>
            <w:tcBorders>
              <w:tl2br w:val="nil"/>
              <w:tr2bl w:val="nil"/>
            </w:tcBorders>
            <w:tcMar>
              <w:top w:w="85" w:type="dxa"/>
              <w:bottom w:w="85" w:type="dxa"/>
            </w:tcMar>
            <w:vAlign w:val="center"/>
          </w:tcPr>
          <w:p w14:paraId="745843C0">
            <w:pPr>
              <w:spacing w:line="280" w:lineRule="exact"/>
              <w:jc w:val="center"/>
              <w:rPr>
                <w:rFonts w:ascii="Times New Roman" w:hAnsi="Times New Roman" w:cs="Times New Roman"/>
                <w:szCs w:val="21"/>
              </w:rPr>
            </w:pPr>
            <w:r>
              <w:rPr>
                <w:rFonts w:hint="eastAsia" w:ascii="Times New Roman" w:hAnsi="Times New Roman" w:cs="Times New Roman"/>
                <w:szCs w:val="21"/>
              </w:rPr>
              <w:t>1.0</w:t>
            </w:r>
            <w:r>
              <w:rPr>
                <w:rFonts w:ascii="Times New Roman" w:hAnsi="Times New Roman" w:cs="Times New Roman"/>
                <w:szCs w:val="21"/>
              </w:rPr>
              <w:t>mg/L</w:t>
            </w:r>
          </w:p>
        </w:tc>
      </w:tr>
      <w:tr w14:paraId="67DE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tcBorders>
              <w:tl2br w:val="nil"/>
              <w:tr2bl w:val="nil"/>
            </w:tcBorders>
            <w:tcMar>
              <w:top w:w="85" w:type="dxa"/>
              <w:bottom w:w="85" w:type="dxa"/>
            </w:tcMar>
            <w:vAlign w:val="center"/>
          </w:tcPr>
          <w:p w14:paraId="688F14A6">
            <w:pPr>
              <w:spacing w:line="280" w:lineRule="exact"/>
              <w:jc w:val="center"/>
              <w:rPr>
                <w:rFonts w:ascii="Times New Roman" w:hAnsi="Times New Roman" w:cs="Times New Roman"/>
                <w:szCs w:val="21"/>
              </w:rPr>
            </w:pPr>
            <w:r>
              <w:rPr>
                <w:rFonts w:ascii="Times New Roman" w:hAnsi="Times New Roman" w:cs="Times New Roman"/>
                <w:szCs w:val="21"/>
              </w:rPr>
              <w:t>噪声</w:t>
            </w:r>
          </w:p>
        </w:tc>
        <w:tc>
          <w:tcPr>
            <w:tcW w:w="2889" w:type="dxa"/>
            <w:vMerge w:val="restart"/>
            <w:tcBorders>
              <w:tl2br w:val="nil"/>
              <w:tr2bl w:val="nil"/>
            </w:tcBorders>
            <w:tcMar>
              <w:top w:w="85" w:type="dxa"/>
              <w:bottom w:w="85" w:type="dxa"/>
            </w:tcMar>
            <w:vAlign w:val="center"/>
          </w:tcPr>
          <w:p w14:paraId="308DA409">
            <w:pPr>
              <w:spacing w:line="280" w:lineRule="exact"/>
              <w:jc w:val="center"/>
              <w:rPr>
                <w:rFonts w:ascii="Times New Roman" w:hAnsi="Times New Roman" w:cs="Times New Roman"/>
                <w:szCs w:val="21"/>
              </w:rPr>
            </w:pPr>
            <w:r>
              <w:rPr>
                <w:rFonts w:ascii="Times New Roman" w:hAnsi="Times New Roman" w:cs="Times New Roman"/>
                <w:szCs w:val="21"/>
              </w:rPr>
              <w:t>《工业企业厂界环境噪声排放标准》（GB12348-2008）3类标准</w:t>
            </w:r>
          </w:p>
        </w:tc>
        <w:tc>
          <w:tcPr>
            <w:tcW w:w="1096" w:type="dxa"/>
            <w:vMerge w:val="restart"/>
            <w:tcBorders>
              <w:tl2br w:val="nil"/>
              <w:tr2bl w:val="nil"/>
            </w:tcBorders>
            <w:tcMar>
              <w:top w:w="85" w:type="dxa"/>
              <w:bottom w:w="85" w:type="dxa"/>
            </w:tcMar>
            <w:vAlign w:val="center"/>
          </w:tcPr>
          <w:p w14:paraId="33753BAD">
            <w:pPr>
              <w:spacing w:line="280" w:lineRule="exact"/>
              <w:jc w:val="center"/>
              <w:rPr>
                <w:rFonts w:ascii="Times New Roman" w:hAnsi="Times New Roman" w:cs="Times New Roman"/>
                <w:szCs w:val="21"/>
              </w:rPr>
            </w:pPr>
            <w:r>
              <w:rPr>
                <w:rFonts w:ascii="Times New Roman" w:hAnsi="Times New Roman" w:cs="Times New Roman"/>
                <w:szCs w:val="21"/>
              </w:rPr>
              <w:t>噪声</w:t>
            </w:r>
          </w:p>
        </w:tc>
        <w:tc>
          <w:tcPr>
            <w:tcW w:w="3808" w:type="dxa"/>
            <w:tcBorders>
              <w:tl2br w:val="nil"/>
              <w:tr2bl w:val="nil"/>
            </w:tcBorders>
            <w:tcMar>
              <w:top w:w="85" w:type="dxa"/>
              <w:bottom w:w="85" w:type="dxa"/>
            </w:tcMar>
            <w:vAlign w:val="center"/>
          </w:tcPr>
          <w:p w14:paraId="09157944">
            <w:pPr>
              <w:spacing w:line="280" w:lineRule="exact"/>
              <w:jc w:val="center"/>
              <w:rPr>
                <w:rFonts w:ascii="Times New Roman" w:hAnsi="Times New Roman" w:cs="Times New Roman"/>
                <w:szCs w:val="21"/>
              </w:rPr>
            </w:pPr>
            <w:r>
              <w:rPr>
                <w:rFonts w:ascii="Times New Roman" w:hAnsi="Times New Roman" w:cs="Times New Roman"/>
                <w:szCs w:val="21"/>
              </w:rPr>
              <w:t>昼间65dB（A）</w:t>
            </w:r>
          </w:p>
        </w:tc>
      </w:tr>
      <w:tr w14:paraId="387B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tcBorders>
              <w:tl2br w:val="nil"/>
              <w:tr2bl w:val="nil"/>
            </w:tcBorders>
            <w:tcMar>
              <w:top w:w="85" w:type="dxa"/>
              <w:bottom w:w="85" w:type="dxa"/>
            </w:tcMar>
            <w:vAlign w:val="center"/>
          </w:tcPr>
          <w:p w14:paraId="138E48B7">
            <w:pPr>
              <w:spacing w:line="280" w:lineRule="exact"/>
              <w:jc w:val="center"/>
              <w:rPr>
                <w:rFonts w:ascii="Times New Roman" w:hAnsi="Times New Roman" w:cs="Times New Roman"/>
                <w:szCs w:val="21"/>
              </w:rPr>
            </w:pPr>
          </w:p>
        </w:tc>
        <w:tc>
          <w:tcPr>
            <w:tcW w:w="2889" w:type="dxa"/>
            <w:vMerge w:val="continue"/>
            <w:tcBorders>
              <w:tl2br w:val="nil"/>
              <w:tr2bl w:val="nil"/>
            </w:tcBorders>
            <w:tcMar>
              <w:top w:w="85" w:type="dxa"/>
              <w:bottom w:w="85" w:type="dxa"/>
            </w:tcMar>
            <w:vAlign w:val="center"/>
          </w:tcPr>
          <w:p w14:paraId="13CE6ECC">
            <w:pPr>
              <w:spacing w:line="280" w:lineRule="exact"/>
              <w:jc w:val="center"/>
              <w:rPr>
                <w:rFonts w:ascii="Times New Roman" w:hAnsi="Times New Roman" w:cs="Times New Roman"/>
                <w:szCs w:val="21"/>
              </w:rPr>
            </w:pPr>
          </w:p>
        </w:tc>
        <w:tc>
          <w:tcPr>
            <w:tcW w:w="1096" w:type="dxa"/>
            <w:vMerge w:val="continue"/>
            <w:tcBorders>
              <w:tl2br w:val="nil"/>
              <w:tr2bl w:val="nil"/>
            </w:tcBorders>
            <w:tcMar>
              <w:top w:w="85" w:type="dxa"/>
              <w:bottom w:w="85" w:type="dxa"/>
            </w:tcMar>
            <w:vAlign w:val="center"/>
          </w:tcPr>
          <w:p w14:paraId="327D68ED">
            <w:pPr>
              <w:spacing w:line="280" w:lineRule="exact"/>
              <w:jc w:val="center"/>
              <w:rPr>
                <w:rFonts w:ascii="Times New Roman" w:hAnsi="Times New Roman" w:cs="Times New Roman"/>
                <w:szCs w:val="21"/>
              </w:rPr>
            </w:pPr>
          </w:p>
        </w:tc>
        <w:tc>
          <w:tcPr>
            <w:tcW w:w="3808" w:type="dxa"/>
            <w:tcBorders>
              <w:tl2br w:val="nil"/>
              <w:tr2bl w:val="nil"/>
            </w:tcBorders>
            <w:tcMar>
              <w:top w:w="85" w:type="dxa"/>
              <w:bottom w:w="85" w:type="dxa"/>
            </w:tcMar>
            <w:vAlign w:val="center"/>
          </w:tcPr>
          <w:p w14:paraId="32026397">
            <w:pPr>
              <w:spacing w:line="280" w:lineRule="exact"/>
              <w:jc w:val="center"/>
              <w:rPr>
                <w:rFonts w:ascii="Times New Roman" w:hAnsi="Times New Roman" w:cs="Times New Roman"/>
                <w:szCs w:val="21"/>
              </w:rPr>
            </w:pPr>
            <w:r>
              <w:rPr>
                <w:rFonts w:ascii="Times New Roman" w:hAnsi="Times New Roman" w:cs="Times New Roman"/>
                <w:szCs w:val="21"/>
              </w:rPr>
              <w:t>夜间55dB（A）</w:t>
            </w:r>
          </w:p>
        </w:tc>
      </w:tr>
      <w:tr w14:paraId="1474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tl2br w:val="nil"/>
              <w:tr2bl w:val="nil"/>
            </w:tcBorders>
            <w:tcMar>
              <w:top w:w="85" w:type="dxa"/>
              <w:bottom w:w="85" w:type="dxa"/>
            </w:tcMar>
            <w:vAlign w:val="center"/>
          </w:tcPr>
          <w:p w14:paraId="75F5D122">
            <w:pPr>
              <w:spacing w:line="280" w:lineRule="exact"/>
              <w:jc w:val="center"/>
              <w:rPr>
                <w:rFonts w:ascii="Times New Roman" w:hAnsi="Times New Roman" w:cs="Times New Roman"/>
                <w:szCs w:val="21"/>
              </w:rPr>
            </w:pPr>
            <w:r>
              <w:rPr>
                <w:rFonts w:ascii="Times New Roman" w:hAnsi="Times New Roman" w:cs="Times New Roman"/>
                <w:szCs w:val="21"/>
              </w:rPr>
              <w:t>固体废物</w:t>
            </w:r>
          </w:p>
        </w:tc>
        <w:tc>
          <w:tcPr>
            <w:tcW w:w="7793" w:type="dxa"/>
            <w:gridSpan w:val="3"/>
            <w:tcBorders>
              <w:tl2br w:val="nil"/>
              <w:tr2bl w:val="nil"/>
            </w:tcBorders>
            <w:tcMar>
              <w:top w:w="85" w:type="dxa"/>
              <w:bottom w:w="85" w:type="dxa"/>
            </w:tcMar>
            <w:vAlign w:val="center"/>
          </w:tcPr>
          <w:p w14:paraId="10C201C1">
            <w:pPr>
              <w:spacing w:line="280" w:lineRule="exact"/>
              <w:jc w:val="center"/>
              <w:rPr>
                <w:rFonts w:ascii="Times New Roman" w:hAnsi="Times New Roman" w:cs="Times New Roman"/>
                <w:szCs w:val="21"/>
              </w:rPr>
            </w:pPr>
            <w:r>
              <w:rPr>
                <w:rFonts w:ascii="Times New Roman" w:hAnsi="Times New Roman" w:cs="Times New Roman"/>
                <w:szCs w:val="21"/>
              </w:rPr>
              <w:t>《一般工业固体废物贮存和填埋污染控制标准》（GB18599-2020）</w:t>
            </w:r>
            <w:r>
              <w:rPr>
                <w:rFonts w:hint="eastAsia" w:ascii="Times New Roman" w:hAnsi="Times New Roman" w:cs="Times New Roman"/>
                <w:szCs w:val="21"/>
              </w:rPr>
              <w:t>、《</w:t>
            </w:r>
            <w:r>
              <w:rPr>
                <w:rFonts w:ascii="Times New Roman" w:hAnsi="Times New Roman" w:cs="Times New Roman"/>
                <w:szCs w:val="21"/>
              </w:rPr>
              <w:t>危险废物贮存污染控制标准》（GB18597-20</w:t>
            </w:r>
            <w:r>
              <w:rPr>
                <w:rFonts w:hint="eastAsia" w:ascii="Times New Roman" w:hAnsi="Times New Roman" w:cs="Times New Roman"/>
                <w:szCs w:val="21"/>
              </w:rPr>
              <w:t>23</w:t>
            </w:r>
            <w:r>
              <w:rPr>
                <w:rFonts w:ascii="Times New Roman" w:hAnsi="Times New Roman" w:cs="Times New Roman"/>
                <w:szCs w:val="21"/>
              </w:rPr>
              <w:t>）</w:t>
            </w:r>
          </w:p>
        </w:tc>
      </w:tr>
      <w:bookmarkEnd w:id="23"/>
      <w:bookmarkEnd w:id="24"/>
      <w:bookmarkEnd w:id="25"/>
    </w:tbl>
    <w:p w14:paraId="33FE115A">
      <w:pPr>
        <w:pStyle w:val="4"/>
        <w:numPr>
          <w:ilvl w:val="2"/>
          <w:numId w:val="19"/>
        </w:numPr>
        <w:tabs>
          <w:tab w:val="clear" w:pos="0"/>
        </w:tabs>
      </w:pPr>
      <w:r>
        <w:t>环境功能属性</w:t>
      </w:r>
    </w:p>
    <w:p w14:paraId="34275B05">
      <w:pPr>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本项目所在区域环境功能属性见</w:t>
      </w:r>
      <w:r>
        <w:rPr>
          <w:rFonts w:hint="eastAsia" w:ascii="Times New Roman" w:hAnsi="Times New Roman" w:eastAsia="宋体" w:cs="Times New Roman"/>
          <w:bCs/>
          <w:kern w:val="0"/>
          <w:sz w:val="24"/>
        </w:rPr>
        <w:t>下</w:t>
      </w:r>
      <w:r>
        <w:rPr>
          <w:rFonts w:ascii="Times New Roman" w:hAnsi="Times New Roman" w:eastAsia="宋体" w:cs="Times New Roman"/>
          <w:bCs/>
          <w:kern w:val="0"/>
          <w:sz w:val="24"/>
        </w:rPr>
        <w:t>表。</w:t>
      </w:r>
    </w:p>
    <w:p w14:paraId="5C453B14">
      <w:pPr>
        <w:numPr>
          <w:ilvl w:val="0"/>
          <w:numId w:val="20"/>
        </w:numPr>
        <w:jc w:val="center"/>
        <w:rPr>
          <w:rFonts w:ascii="Times New Roman" w:hAnsi="Times New Roman" w:eastAsia="宋体" w:cs="Times New Roman"/>
          <w:b/>
          <w:bCs/>
          <w:kern w:val="28"/>
          <w:szCs w:val="32"/>
        </w:rPr>
      </w:pPr>
      <w:r>
        <w:rPr>
          <w:rFonts w:hint="eastAsia" w:ascii="Times New Roman" w:hAnsi="Times New Roman" w:eastAsia="宋体" w:cs="Times New Roman"/>
          <w:b/>
          <w:bCs/>
          <w:kern w:val="28"/>
          <w:szCs w:val="32"/>
        </w:rPr>
        <w:t xml:space="preserve">  </w:t>
      </w:r>
      <w:r>
        <w:rPr>
          <w:rFonts w:ascii="Times New Roman" w:hAnsi="Times New Roman" w:eastAsia="宋体" w:cs="Times New Roman"/>
          <w:b/>
          <w:bCs/>
          <w:kern w:val="28"/>
          <w:szCs w:val="32"/>
        </w:rPr>
        <w:t>本项目所在区域环境功能属性</w:t>
      </w:r>
    </w:p>
    <w:tbl>
      <w:tblPr>
        <w:tblStyle w:val="30"/>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604"/>
        <w:gridCol w:w="5023"/>
      </w:tblGrid>
      <w:tr w14:paraId="6E94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89" w:type="dxa"/>
            <w:vAlign w:val="center"/>
          </w:tcPr>
          <w:p w14:paraId="7EA94F7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编号</w:t>
            </w:r>
          </w:p>
        </w:tc>
        <w:tc>
          <w:tcPr>
            <w:tcW w:w="2604" w:type="dxa"/>
            <w:vAlign w:val="center"/>
          </w:tcPr>
          <w:p w14:paraId="6E0E5E5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5023" w:type="dxa"/>
            <w:vAlign w:val="center"/>
          </w:tcPr>
          <w:p w14:paraId="0B54C20C">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功能属性</w:t>
            </w:r>
          </w:p>
        </w:tc>
      </w:tr>
      <w:tr w14:paraId="75C3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 w:type="dxa"/>
            <w:vAlign w:val="center"/>
          </w:tcPr>
          <w:p w14:paraId="619106A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2604" w:type="dxa"/>
            <w:vAlign w:val="center"/>
          </w:tcPr>
          <w:p w14:paraId="2B9D664C">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水环境功能区</w:t>
            </w:r>
          </w:p>
        </w:tc>
        <w:tc>
          <w:tcPr>
            <w:tcW w:w="5023" w:type="dxa"/>
            <w:vAlign w:val="center"/>
          </w:tcPr>
          <w:p w14:paraId="4D0E7F3B">
            <w:pPr>
              <w:adjustRightInd w:val="0"/>
              <w:snapToGrid w:val="0"/>
              <w:rPr>
                <w:rFonts w:ascii="Times New Roman" w:hAnsi="Times New Roman" w:eastAsia="宋体" w:cs="Times New Roman"/>
                <w:szCs w:val="21"/>
              </w:rPr>
            </w:pPr>
            <w:r>
              <w:rPr>
                <w:rFonts w:ascii="Times New Roman" w:hAnsi="Times New Roman" w:eastAsia="宋体" w:cs="Times New Roman"/>
                <w:szCs w:val="21"/>
              </w:rPr>
              <w:t>执行《地表水环境质量标准》（GB3838-2002）中</w:t>
            </w:r>
            <w:r>
              <w:rPr>
                <w:rFonts w:ascii="Times New Roman" w:hAnsi="Times New Roman" w:cs="Times New Roman"/>
                <w:szCs w:val="21"/>
              </w:rPr>
              <w:t>Ⅳ</w:t>
            </w:r>
            <w:r>
              <w:rPr>
                <w:rFonts w:ascii="Times New Roman" w:hAnsi="Times New Roman" w:eastAsia="宋体" w:cs="Times New Roman"/>
                <w:szCs w:val="21"/>
              </w:rPr>
              <w:t>类标准要求</w:t>
            </w:r>
          </w:p>
        </w:tc>
      </w:tr>
      <w:tr w14:paraId="6F91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 w:type="dxa"/>
            <w:vAlign w:val="center"/>
          </w:tcPr>
          <w:p w14:paraId="53021B7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2604" w:type="dxa"/>
            <w:vAlign w:val="center"/>
          </w:tcPr>
          <w:p w14:paraId="390C0329">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地下水环境功能区</w:t>
            </w:r>
          </w:p>
        </w:tc>
        <w:tc>
          <w:tcPr>
            <w:tcW w:w="5023" w:type="dxa"/>
            <w:vAlign w:val="center"/>
          </w:tcPr>
          <w:p w14:paraId="1E3792F1">
            <w:pPr>
              <w:adjustRightInd w:val="0"/>
              <w:snapToGrid w:val="0"/>
              <w:rPr>
                <w:rFonts w:ascii="Times New Roman" w:hAnsi="Times New Roman" w:eastAsia="宋体" w:cs="Times New Roman"/>
                <w:szCs w:val="21"/>
              </w:rPr>
            </w:pPr>
            <w:r>
              <w:rPr>
                <w:rFonts w:ascii="Times New Roman" w:hAnsi="Times New Roman" w:eastAsia="宋体" w:cs="Times New Roman"/>
                <w:szCs w:val="21"/>
              </w:rPr>
              <w:t>执行《地下水质量标准》（GB/T14848-2017）中的</w:t>
            </w:r>
            <w:r>
              <w:rPr>
                <w:rFonts w:hint="eastAsia" w:ascii="宋体" w:hAnsi="宋体" w:eastAsia="宋体" w:cs="宋体"/>
                <w:szCs w:val="21"/>
              </w:rPr>
              <w:t>Ⅲ</w:t>
            </w:r>
            <w:r>
              <w:rPr>
                <w:rFonts w:ascii="Times New Roman" w:hAnsi="Times New Roman" w:eastAsia="宋体" w:cs="Times New Roman"/>
                <w:szCs w:val="21"/>
              </w:rPr>
              <w:t>类标准</w:t>
            </w:r>
          </w:p>
        </w:tc>
      </w:tr>
      <w:tr w14:paraId="54FB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 w:type="dxa"/>
            <w:vAlign w:val="center"/>
          </w:tcPr>
          <w:p w14:paraId="081AF62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2604" w:type="dxa"/>
            <w:vAlign w:val="center"/>
          </w:tcPr>
          <w:p w14:paraId="4B31154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环境空气质量功能区</w:t>
            </w:r>
          </w:p>
        </w:tc>
        <w:tc>
          <w:tcPr>
            <w:tcW w:w="5023" w:type="dxa"/>
            <w:vAlign w:val="center"/>
          </w:tcPr>
          <w:p w14:paraId="0573EC1E">
            <w:pPr>
              <w:adjustRightInd w:val="0"/>
              <w:snapToGrid w:val="0"/>
              <w:rPr>
                <w:rFonts w:ascii="Times New Roman" w:hAnsi="Times New Roman" w:eastAsia="宋体" w:cs="Times New Roman"/>
                <w:szCs w:val="21"/>
              </w:rPr>
            </w:pPr>
            <w:r>
              <w:rPr>
                <w:rFonts w:ascii="Times New Roman" w:hAnsi="Times New Roman" w:eastAsia="宋体" w:cs="Times New Roman"/>
                <w:szCs w:val="21"/>
              </w:rPr>
              <w:t>位于二类区，执行《环境空气质量标准》（GB3095-2012）</w:t>
            </w:r>
            <w:r>
              <w:rPr>
                <w:rFonts w:hint="eastAsia" w:ascii="Times New Roman" w:hAnsi="Times New Roman" w:eastAsia="宋体" w:cs="Times New Roman"/>
                <w:szCs w:val="21"/>
              </w:rPr>
              <w:t>及其修改单</w:t>
            </w:r>
            <w:r>
              <w:rPr>
                <w:rFonts w:ascii="Times New Roman" w:hAnsi="Times New Roman" w:eastAsia="宋体" w:cs="Times New Roman"/>
                <w:szCs w:val="21"/>
              </w:rPr>
              <w:t>二级标准</w:t>
            </w:r>
          </w:p>
        </w:tc>
      </w:tr>
      <w:tr w14:paraId="3362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 w:type="dxa"/>
            <w:vAlign w:val="center"/>
          </w:tcPr>
          <w:p w14:paraId="3D2F4E8C">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2604" w:type="dxa"/>
            <w:vAlign w:val="center"/>
          </w:tcPr>
          <w:p w14:paraId="15547E9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声环境功能区</w:t>
            </w:r>
          </w:p>
        </w:tc>
        <w:tc>
          <w:tcPr>
            <w:tcW w:w="5023" w:type="dxa"/>
            <w:vAlign w:val="center"/>
          </w:tcPr>
          <w:p w14:paraId="4FE03A66">
            <w:pPr>
              <w:adjustRightInd w:val="0"/>
              <w:snapToGrid w:val="0"/>
              <w:rPr>
                <w:rFonts w:ascii="Times New Roman" w:hAnsi="Times New Roman" w:eastAsia="宋体" w:cs="Times New Roman"/>
                <w:szCs w:val="21"/>
              </w:rPr>
            </w:pPr>
            <w:r>
              <w:rPr>
                <w:rFonts w:ascii="Times New Roman" w:hAnsi="Times New Roman" w:eastAsia="宋体" w:cs="Times New Roman"/>
                <w:szCs w:val="21"/>
              </w:rPr>
              <w:t>执行《声环境质量标准》（GB3096-2008）中的3类标准</w:t>
            </w:r>
          </w:p>
        </w:tc>
      </w:tr>
      <w:tr w14:paraId="6040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 w:type="dxa"/>
            <w:vAlign w:val="center"/>
          </w:tcPr>
          <w:p w14:paraId="504B741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2604" w:type="dxa"/>
            <w:vAlign w:val="center"/>
          </w:tcPr>
          <w:p w14:paraId="592F79C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是否饮用水源保护区</w:t>
            </w:r>
          </w:p>
        </w:tc>
        <w:tc>
          <w:tcPr>
            <w:tcW w:w="5023" w:type="dxa"/>
            <w:vAlign w:val="center"/>
          </w:tcPr>
          <w:p w14:paraId="2418A3ED">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14:paraId="7569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 w:type="dxa"/>
            <w:vAlign w:val="center"/>
          </w:tcPr>
          <w:p w14:paraId="0EAFDFD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2604" w:type="dxa"/>
            <w:vAlign w:val="center"/>
          </w:tcPr>
          <w:p w14:paraId="1A7A73E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是否自然保护区、水土流失重点防治区</w:t>
            </w:r>
          </w:p>
        </w:tc>
        <w:tc>
          <w:tcPr>
            <w:tcW w:w="5023" w:type="dxa"/>
            <w:vAlign w:val="center"/>
          </w:tcPr>
          <w:p w14:paraId="3DD4A7EF">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14:paraId="7B4E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 w:type="dxa"/>
            <w:vAlign w:val="center"/>
          </w:tcPr>
          <w:p w14:paraId="58E4477F">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2604" w:type="dxa"/>
            <w:vAlign w:val="center"/>
          </w:tcPr>
          <w:p w14:paraId="5892DD7D">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是否污水处理厂集水范围</w:t>
            </w:r>
          </w:p>
        </w:tc>
        <w:tc>
          <w:tcPr>
            <w:tcW w:w="5023" w:type="dxa"/>
            <w:vAlign w:val="center"/>
          </w:tcPr>
          <w:p w14:paraId="69047329">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是（</w:t>
            </w:r>
            <w:r>
              <w:rPr>
                <w:rFonts w:hint="eastAsia" w:ascii="Times New Roman" w:hAnsi="Times New Roman" w:eastAsia="宋体" w:cs="Times New Roman"/>
                <w:szCs w:val="21"/>
              </w:rPr>
              <w:t>清丰中州水务有限公司第二污水处理厂</w:t>
            </w:r>
            <w:r>
              <w:rPr>
                <w:rFonts w:ascii="Times New Roman" w:hAnsi="Times New Roman" w:eastAsia="宋体" w:cs="Times New Roman"/>
                <w:szCs w:val="21"/>
              </w:rPr>
              <w:t>）</w:t>
            </w:r>
          </w:p>
        </w:tc>
      </w:tr>
    </w:tbl>
    <w:p w14:paraId="3DCD1D9C">
      <w:pPr>
        <w:pStyle w:val="3"/>
        <w:numPr>
          <w:ilvl w:val="1"/>
          <w:numId w:val="10"/>
        </w:numPr>
        <w:adjustRightInd w:val="0"/>
        <w:snapToGrid w:val="0"/>
      </w:pPr>
      <w:bookmarkStart w:id="26" w:name="_Toc19443"/>
      <w:bookmarkStart w:id="27" w:name="_Toc19149"/>
      <w:r>
        <w:rPr>
          <w:rFonts w:hint="eastAsia"/>
        </w:rPr>
        <w:t>环境影响评价等级</w:t>
      </w:r>
      <w:bookmarkEnd w:id="26"/>
      <w:bookmarkEnd w:id="27"/>
    </w:p>
    <w:p w14:paraId="38867B0A">
      <w:pPr>
        <w:pStyle w:val="4"/>
        <w:numPr>
          <w:ilvl w:val="2"/>
          <w:numId w:val="21"/>
        </w:numPr>
        <w:tabs>
          <w:tab w:val="clear" w:pos="0"/>
        </w:tabs>
        <w:adjustRightInd w:val="0"/>
        <w:snapToGrid w:val="0"/>
      </w:pPr>
      <w:r>
        <w:t>大气环境影响评价等级</w:t>
      </w:r>
    </w:p>
    <w:p w14:paraId="52744D2D">
      <w:pPr>
        <w:adjustRightInd w:val="0"/>
        <w:snapToGrid w:val="0"/>
        <w:spacing w:line="360" w:lineRule="auto"/>
        <w:ind w:firstLine="480" w:firstLineChars="200"/>
        <w:rPr>
          <w:rFonts w:ascii="Times New Roman" w:hAnsi="Times New Roman" w:cs="Times New Roman"/>
          <w:bCs/>
          <w:kern w:val="0"/>
          <w:sz w:val="24"/>
        </w:rPr>
      </w:pPr>
      <w:r>
        <w:rPr>
          <w:rFonts w:ascii="Times New Roman" w:hAnsi="Times New Roman" w:cs="Times New Roman"/>
          <w:bCs/>
          <w:kern w:val="0"/>
          <w:sz w:val="24"/>
        </w:rPr>
        <w:t>（1）评价等级划分依据</w:t>
      </w:r>
    </w:p>
    <w:p w14:paraId="0F492988">
      <w:pPr>
        <w:adjustRightInd w:val="0"/>
        <w:snapToGrid w:val="0"/>
        <w:spacing w:line="360" w:lineRule="auto"/>
        <w:ind w:firstLine="480" w:firstLineChars="200"/>
        <w:rPr>
          <w:rFonts w:ascii="Times New Roman" w:hAnsi="Times New Roman" w:cs="Times New Roman"/>
          <w:bCs/>
          <w:kern w:val="0"/>
          <w:sz w:val="24"/>
        </w:rPr>
      </w:pPr>
      <w:r>
        <w:rPr>
          <w:rFonts w:ascii="Times New Roman" w:hAnsi="Times New Roman" w:cs="Times New Roman"/>
          <w:bCs/>
          <w:kern w:val="0"/>
          <w:sz w:val="24"/>
        </w:rPr>
        <w:t>根据《环境影响评价技术导则 大气环境》（HJ2.2-2018）：“选择项目污染源正常排放的主要污染物及排放参数，采用附录A推荐模型中估算模型分别计算项目污染源的最大环境影响，然后按评价工作分级判据进行分级。”</w:t>
      </w:r>
    </w:p>
    <w:p w14:paraId="168CFFD2">
      <w:pPr>
        <w:adjustRightInd w:val="0"/>
        <w:snapToGrid w:val="0"/>
        <w:spacing w:line="360" w:lineRule="auto"/>
        <w:ind w:firstLine="480" w:firstLineChars="200"/>
        <w:rPr>
          <w:rFonts w:ascii="Times New Roman" w:hAnsi="Times New Roman" w:cs="Times New Roman"/>
          <w:bCs/>
          <w:kern w:val="0"/>
          <w:sz w:val="24"/>
        </w:rPr>
      </w:pPr>
      <w:r>
        <w:rPr>
          <w:rFonts w:ascii="Times New Roman" w:hAnsi="Times New Roman" w:cs="Times New Roman"/>
          <w:bCs/>
          <w:kern w:val="0"/>
          <w:sz w:val="24"/>
        </w:rPr>
        <w:t>根据项目工程的工程分析结果，选取正常排放的污染物及排放参数，采用估算模式计算其各自最大地面浓度占标率Pi及地面浓度达标准限值10%时所对应的最远距离D</w:t>
      </w:r>
      <w:r>
        <w:rPr>
          <w:rFonts w:ascii="Times New Roman" w:hAnsi="Times New Roman" w:cs="Times New Roman"/>
          <w:bCs/>
          <w:kern w:val="0"/>
          <w:sz w:val="24"/>
          <w:vertAlign w:val="subscript"/>
        </w:rPr>
        <w:t>10%</w:t>
      </w:r>
      <w:r>
        <w:rPr>
          <w:rFonts w:ascii="Times New Roman" w:hAnsi="Times New Roman" w:cs="Times New Roman"/>
          <w:bCs/>
          <w:kern w:val="0"/>
          <w:sz w:val="24"/>
        </w:rPr>
        <w:t>，P</w:t>
      </w:r>
      <w:r>
        <w:rPr>
          <w:rFonts w:ascii="Times New Roman" w:hAnsi="Times New Roman" w:cs="Times New Roman"/>
          <w:bCs/>
          <w:kern w:val="0"/>
          <w:sz w:val="24"/>
          <w:vertAlign w:val="subscript"/>
        </w:rPr>
        <w:t>i</w:t>
      </w:r>
      <w:r>
        <w:rPr>
          <w:rFonts w:ascii="Times New Roman" w:hAnsi="Times New Roman" w:cs="Times New Roman"/>
          <w:bCs/>
          <w:kern w:val="0"/>
          <w:sz w:val="24"/>
        </w:rPr>
        <w:t>的计算公式如下：</w:t>
      </w:r>
    </w:p>
    <w:p w14:paraId="09A95FEB">
      <w:pPr>
        <w:adjustRightInd w:val="0"/>
        <w:snapToGrid w:val="0"/>
        <w:spacing w:line="360" w:lineRule="auto"/>
        <w:ind w:firstLine="480" w:firstLineChars="200"/>
        <w:jc w:val="center"/>
        <w:rPr>
          <w:rFonts w:ascii="Times New Roman" w:hAnsi="Times New Roman" w:cs="Times New Roman"/>
          <w:bCs/>
          <w:kern w:val="0"/>
          <w:sz w:val="24"/>
        </w:rPr>
      </w:pPr>
      <w:r>
        <w:rPr>
          <w:rFonts w:ascii="Times New Roman" w:hAnsi="Times New Roman" w:cs="Times New Roman"/>
          <w:bCs/>
          <w:kern w:val="0"/>
          <w:sz w:val="24"/>
        </w:rPr>
        <w:object>
          <v:shape id="_x0000_i1025" o:spt="75" type="#_x0000_t75" style="height:36.05pt;width:79.5pt;" o:ole="t" filled="f" o:preferrelative="t" stroked="f" coordsize="21600,21600">
            <v:path/>
            <v:fill on="f" focussize="0,0"/>
            <v:stroke on="f" joinstyle="miter"/>
            <v:imagedata r:id="rId36" o:title=""/>
            <o:lock v:ext="edit" aspectratio="t"/>
            <w10:wrap type="none"/>
            <w10:anchorlock/>
          </v:shape>
          <o:OLEObject Type="Embed" ProgID="Equation.3" ShapeID="_x0000_i1025" DrawAspect="Content" ObjectID="_1468075725" r:id="rId35">
            <o:LockedField>false</o:LockedField>
          </o:OLEObject>
        </w:object>
      </w:r>
    </w:p>
    <w:p w14:paraId="68F024DC">
      <w:pPr>
        <w:adjustRightInd w:val="0"/>
        <w:snapToGrid w:val="0"/>
        <w:spacing w:line="360" w:lineRule="auto"/>
        <w:ind w:firstLine="480" w:firstLineChars="200"/>
        <w:rPr>
          <w:rFonts w:ascii="Times New Roman" w:hAnsi="Times New Roman" w:cs="Times New Roman"/>
          <w:bCs/>
          <w:kern w:val="0"/>
          <w:sz w:val="24"/>
        </w:rPr>
      </w:pPr>
      <w:r>
        <w:rPr>
          <w:rFonts w:ascii="Times New Roman" w:hAnsi="Times New Roman" w:cs="Times New Roman"/>
          <w:bCs/>
          <w:kern w:val="0"/>
          <w:sz w:val="24"/>
        </w:rPr>
        <w:t>式中：P</w:t>
      </w:r>
      <w:r>
        <w:rPr>
          <w:rFonts w:ascii="Times New Roman" w:hAnsi="Times New Roman" w:cs="Times New Roman"/>
          <w:bCs/>
          <w:kern w:val="0"/>
          <w:sz w:val="24"/>
          <w:vertAlign w:val="subscript"/>
        </w:rPr>
        <w:t>i</w:t>
      </w:r>
      <w:r>
        <w:rPr>
          <w:rFonts w:ascii="Times New Roman" w:hAnsi="Times New Roman" w:cs="Times New Roman"/>
          <w:bCs/>
          <w:kern w:val="0"/>
          <w:sz w:val="24"/>
        </w:rPr>
        <w:t>—第i个污染物的最大地面质量浓度占标率，%；</w:t>
      </w:r>
    </w:p>
    <w:p w14:paraId="023423C8">
      <w:pPr>
        <w:adjustRightInd w:val="0"/>
        <w:snapToGrid w:val="0"/>
        <w:spacing w:line="360" w:lineRule="auto"/>
        <w:ind w:firstLine="1200" w:firstLineChars="500"/>
        <w:rPr>
          <w:rFonts w:ascii="Times New Roman" w:hAnsi="Times New Roman" w:cs="Times New Roman"/>
          <w:bCs/>
          <w:kern w:val="0"/>
          <w:sz w:val="24"/>
        </w:rPr>
      </w:pPr>
      <w:r>
        <w:rPr>
          <w:rFonts w:ascii="Times New Roman" w:hAnsi="Times New Roman" w:cs="Times New Roman"/>
          <w:bCs/>
          <w:kern w:val="0"/>
          <w:sz w:val="24"/>
        </w:rPr>
        <w:t>C</w:t>
      </w:r>
      <w:r>
        <w:rPr>
          <w:rFonts w:ascii="Times New Roman" w:hAnsi="Times New Roman" w:cs="Times New Roman"/>
          <w:bCs/>
          <w:kern w:val="0"/>
          <w:sz w:val="24"/>
          <w:vertAlign w:val="subscript"/>
        </w:rPr>
        <w:t>i</w:t>
      </w:r>
      <w:r>
        <w:rPr>
          <w:rFonts w:ascii="Times New Roman" w:hAnsi="Times New Roman" w:cs="Times New Roman"/>
          <w:bCs/>
          <w:kern w:val="0"/>
          <w:sz w:val="24"/>
        </w:rPr>
        <w:t>—采用估算模式计算出的第i个污染物最大地面质量浓度，mg/m</w:t>
      </w:r>
      <w:r>
        <w:rPr>
          <w:rFonts w:ascii="Times New Roman" w:hAnsi="Times New Roman" w:cs="Times New Roman"/>
          <w:bCs/>
          <w:kern w:val="0"/>
          <w:sz w:val="24"/>
          <w:vertAlign w:val="superscript"/>
        </w:rPr>
        <w:t>3</w:t>
      </w:r>
      <w:r>
        <w:rPr>
          <w:rFonts w:ascii="Times New Roman" w:hAnsi="Times New Roman" w:cs="Times New Roman"/>
          <w:bCs/>
          <w:kern w:val="0"/>
          <w:sz w:val="24"/>
        </w:rPr>
        <w:t>；</w:t>
      </w:r>
    </w:p>
    <w:p w14:paraId="5DBEBEF6">
      <w:pPr>
        <w:adjustRightInd w:val="0"/>
        <w:snapToGrid w:val="0"/>
        <w:spacing w:line="360" w:lineRule="auto"/>
        <w:ind w:firstLine="1200" w:firstLineChars="500"/>
        <w:rPr>
          <w:rFonts w:ascii="Times New Roman" w:hAnsi="Times New Roman" w:cs="Times New Roman"/>
          <w:bCs/>
          <w:kern w:val="0"/>
          <w:sz w:val="24"/>
        </w:rPr>
      </w:pPr>
      <w:r>
        <w:rPr>
          <w:rFonts w:ascii="Times New Roman" w:hAnsi="Times New Roman" w:cs="Times New Roman"/>
          <w:bCs/>
          <w:kern w:val="0"/>
          <w:sz w:val="24"/>
        </w:rPr>
        <w:t>C</w:t>
      </w:r>
      <w:r>
        <w:rPr>
          <w:rFonts w:ascii="Times New Roman" w:hAnsi="Times New Roman" w:cs="Times New Roman"/>
          <w:bCs/>
          <w:kern w:val="0"/>
          <w:sz w:val="24"/>
          <w:vertAlign w:val="subscript"/>
        </w:rPr>
        <w:t>0i</w:t>
      </w:r>
      <w:r>
        <w:rPr>
          <w:rFonts w:ascii="Times New Roman" w:hAnsi="Times New Roman" w:cs="Times New Roman"/>
          <w:bCs/>
          <w:kern w:val="0"/>
          <w:sz w:val="24"/>
        </w:rPr>
        <w:t>—第i个污染物的环境空气质量浓度标准，mg/m</w:t>
      </w:r>
      <w:r>
        <w:rPr>
          <w:rFonts w:ascii="Times New Roman" w:hAnsi="Times New Roman" w:cs="Times New Roman"/>
          <w:bCs/>
          <w:kern w:val="0"/>
          <w:sz w:val="24"/>
          <w:vertAlign w:val="superscript"/>
        </w:rPr>
        <w:t>3</w:t>
      </w:r>
      <w:r>
        <w:rPr>
          <w:rFonts w:ascii="Times New Roman" w:hAnsi="Times New Roman" w:cs="Times New Roman"/>
          <w:bCs/>
          <w:kern w:val="0"/>
          <w:sz w:val="24"/>
        </w:rPr>
        <w:t>，一般选用《环境空气质量标准》（GB3095-2012）中及其修改清单中1h平均取样时间的二级标准的质量浓度限值；对于没有小时浓度限值的污染物，可取日平均浓度限值的三倍值，8h均值的2倍，年均值的6倍。评价工作等级按下表的分级判据进行划分见</w:t>
      </w:r>
      <w:r>
        <w:rPr>
          <w:rFonts w:hint="eastAsia" w:ascii="Times New Roman" w:hAnsi="Times New Roman" w:cs="Times New Roman"/>
          <w:bCs/>
          <w:kern w:val="0"/>
          <w:sz w:val="24"/>
        </w:rPr>
        <w:t>下</w:t>
      </w:r>
      <w:r>
        <w:rPr>
          <w:rFonts w:ascii="Times New Roman" w:hAnsi="Times New Roman" w:cs="Times New Roman"/>
          <w:bCs/>
          <w:kern w:val="0"/>
          <w:sz w:val="24"/>
        </w:rPr>
        <w:t>表。</w:t>
      </w:r>
    </w:p>
    <w:p w14:paraId="47C3BF1D">
      <w:pPr>
        <w:numPr>
          <w:ilvl w:val="0"/>
          <w:numId w:val="22"/>
        </w:numPr>
        <w:adjustRightInd w:val="0"/>
        <w:snapToGrid w:val="0"/>
        <w:jc w:val="center"/>
        <w:rPr>
          <w:rFonts w:ascii="Times New Roman" w:hAnsi="Times New Roman" w:cs="Times New Roman"/>
          <w:b/>
          <w:bCs/>
          <w:kern w:val="28"/>
          <w:szCs w:val="32"/>
        </w:rPr>
      </w:pPr>
      <w:r>
        <w:rPr>
          <w:rFonts w:ascii="Times New Roman" w:hAnsi="Times New Roman" w:cs="Times New Roman"/>
          <w:b/>
          <w:bCs/>
          <w:kern w:val="28"/>
          <w:szCs w:val="32"/>
        </w:rPr>
        <w:t xml:space="preserve">  环境空气评价工作等级划分标准</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5"/>
        <w:gridCol w:w="4307"/>
      </w:tblGrid>
      <w:tr w14:paraId="35F8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5" w:type="dxa"/>
            <w:vAlign w:val="center"/>
          </w:tcPr>
          <w:p w14:paraId="5C7878C3">
            <w:pPr>
              <w:jc w:val="center"/>
              <w:rPr>
                <w:rFonts w:ascii="Times New Roman" w:hAnsi="Times New Roman" w:cs="Times New Roman"/>
                <w:spacing w:val="-2"/>
                <w:szCs w:val="21"/>
              </w:rPr>
            </w:pPr>
            <w:r>
              <w:rPr>
                <w:rFonts w:ascii="Times New Roman" w:hAnsi="Times New Roman" w:cs="Times New Roman"/>
                <w:spacing w:val="-2"/>
                <w:szCs w:val="21"/>
              </w:rPr>
              <w:t>评价工作等级</w:t>
            </w:r>
          </w:p>
        </w:tc>
        <w:tc>
          <w:tcPr>
            <w:tcW w:w="4307" w:type="dxa"/>
            <w:vAlign w:val="center"/>
          </w:tcPr>
          <w:p w14:paraId="62C3871E">
            <w:pPr>
              <w:jc w:val="center"/>
              <w:rPr>
                <w:rFonts w:ascii="Times New Roman" w:hAnsi="Times New Roman" w:cs="Times New Roman"/>
                <w:spacing w:val="-2"/>
                <w:szCs w:val="21"/>
              </w:rPr>
            </w:pPr>
            <w:r>
              <w:rPr>
                <w:rFonts w:ascii="Times New Roman" w:hAnsi="Times New Roman" w:cs="Times New Roman"/>
                <w:spacing w:val="-2"/>
                <w:szCs w:val="21"/>
              </w:rPr>
              <w:t>评价工作分级依据</w:t>
            </w:r>
          </w:p>
        </w:tc>
      </w:tr>
      <w:tr w14:paraId="4BB5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5" w:type="dxa"/>
            <w:vAlign w:val="center"/>
          </w:tcPr>
          <w:p w14:paraId="62D55CC6">
            <w:pPr>
              <w:jc w:val="center"/>
              <w:rPr>
                <w:rFonts w:ascii="Times New Roman" w:hAnsi="Times New Roman" w:cs="Times New Roman"/>
                <w:bCs/>
                <w:spacing w:val="-2"/>
                <w:szCs w:val="21"/>
              </w:rPr>
            </w:pPr>
            <w:r>
              <w:rPr>
                <w:rFonts w:ascii="Times New Roman" w:hAnsi="Times New Roman" w:cs="Times New Roman"/>
                <w:bCs/>
                <w:spacing w:val="-2"/>
                <w:szCs w:val="21"/>
              </w:rPr>
              <w:t>一级</w:t>
            </w:r>
          </w:p>
        </w:tc>
        <w:tc>
          <w:tcPr>
            <w:tcW w:w="4307" w:type="dxa"/>
            <w:vAlign w:val="center"/>
          </w:tcPr>
          <w:p w14:paraId="736A1035">
            <w:pPr>
              <w:jc w:val="center"/>
              <w:rPr>
                <w:rFonts w:ascii="Times New Roman" w:hAnsi="Times New Roman" w:cs="Times New Roman"/>
                <w:bCs/>
                <w:spacing w:val="-2"/>
                <w:szCs w:val="21"/>
              </w:rPr>
            </w:pPr>
            <w:r>
              <w:rPr>
                <w:rFonts w:ascii="Times New Roman" w:hAnsi="Times New Roman" w:cs="Times New Roman"/>
                <w:bCs/>
                <w:spacing w:val="-2"/>
                <w:szCs w:val="21"/>
              </w:rPr>
              <w:t>P</w:t>
            </w:r>
            <w:r>
              <w:rPr>
                <w:rFonts w:ascii="Times New Roman" w:hAnsi="Times New Roman" w:cs="Times New Roman"/>
                <w:bCs/>
                <w:spacing w:val="-2"/>
                <w:szCs w:val="21"/>
                <w:vertAlign w:val="subscript"/>
              </w:rPr>
              <w:t>max</w:t>
            </w:r>
            <w:r>
              <w:rPr>
                <w:rFonts w:ascii="Times New Roman" w:hAnsi="Times New Roman" w:cs="Times New Roman"/>
                <w:bCs/>
                <w:spacing w:val="-2"/>
                <w:szCs w:val="21"/>
              </w:rPr>
              <w:t>≥10%</w:t>
            </w:r>
          </w:p>
        </w:tc>
      </w:tr>
      <w:tr w14:paraId="6AB7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5" w:type="dxa"/>
            <w:vAlign w:val="center"/>
          </w:tcPr>
          <w:p w14:paraId="708EEFEB">
            <w:pPr>
              <w:jc w:val="center"/>
              <w:rPr>
                <w:rFonts w:ascii="Times New Roman" w:hAnsi="Times New Roman" w:cs="Times New Roman"/>
                <w:bCs/>
                <w:spacing w:val="-2"/>
                <w:szCs w:val="21"/>
              </w:rPr>
            </w:pPr>
            <w:r>
              <w:rPr>
                <w:rFonts w:ascii="Times New Roman" w:hAnsi="Times New Roman" w:cs="Times New Roman"/>
                <w:bCs/>
                <w:spacing w:val="-2"/>
                <w:szCs w:val="21"/>
              </w:rPr>
              <w:t>二级</w:t>
            </w:r>
          </w:p>
        </w:tc>
        <w:tc>
          <w:tcPr>
            <w:tcW w:w="4307" w:type="dxa"/>
            <w:vAlign w:val="center"/>
          </w:tcPr>
          <w:p w14:paraId="382C56B9">
            <w:pPr>
              <w:jc w:val="center"/>
              <w:rPr>
                <w:rFonts w:ascii="Times New Roman" w:hAnsi="Times New Roman" w:cs="Times New Roman"/>
                <w:bCs/>
                <w:spacing w:val="-2"/>
                <w:szCs w:val="21"/>
              </w:rPr>
            </w:pPr>
            <w:r>
              <w:rPr>
                <w:rFonts w:ascii="Times New Roman" w:hAnsi="Times New Roman" w:cs="Times New Roman"/>
                <w:bCs/>
                <w:spacing w:val="-2"/>
                <w:szCs w:val="21"/>
              </w:rPr>
              <w:t>1%≤P</w:t>
            </w:r>
            <w:r>
              <w:rPr>
                <w:rFonts w:ascii="Times New Roman" w:hAnsi="Times New Roman" w:cs="Times New Roman"/>
                <w:bCs/>
                <w:spacing w:val="-2"/>
                <w:szCs w:val="21"/>
                <w:vertAlign w:val="subscript"/>
              </w:rPr>
              <w:t>max</w:t>
            </w:r>
            <w:r>
              <w:rPr>
                <w:rFonts w:ascii="Times New Roman" w:hAnsi="Times New Roman" w:cs="Times New Roman"/>
                <w:bCs/>
                <w:spacing w:val="-2"/>
                <w:szCs w:val="21"/>
              </w:rPr>
              <w:t>&lt;10%</w:t>
            </w:r>
          </w:p>
        </w:tc>
      </w:tr>
      <w:tr w14:paraId="5108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5" w:type="dxa"/>
            <w:vAlign w:val="center"/>
          </w:tcPr>
          <w:p w14:paraId="05D39A77">
            <w:pPr>
              <w:jc w:val="center"/>
              <w:rPr>
                <w:rFonts w:ascii="Times New Roman" w:hAnsi="Times New Roman" w:cs="Times New Roman"/>
                <w:bCs/>
                <w:spacing w:val="-2"/>
                <w:szCs w:val="21"/>
              </w:rPr>
            </w:pPr>
            <w:r>
              <w:rPr>
                <w:rFonts w:ascii="Times New Roman" w:hAnsi="Times New Roman" w:cs="Times New Roman"/>
                <w:bCs/>
                <w:spacing w:val="-2"/>
                <w:szCs w:val="21"/>
              </w:rPr>
              <w:t>三级</w:t>
            </w:r>
          </w:p>
        </w:tc>
        <w:tc>
          <w:tcPr>
            <w:tcW w:w="4307" w:type="dxa"/>
            <w:vAlign w:val="center"/>
          </w:tcPr>
          <w:p w14:paraId="00F47969">
            <w:pPr>
              <w:jc w:val="center"/>
              <w:rPr>
                <w:rFonts w:ascii="Times New Roman" w:hAnsi="Times New Roman" w:cs="Times New Roman"/>
                <w:bCs/>
                <w:spacing w:val="-2"/>
                <w:szCs w:val="21"/>
              </w:rPr>
            </w:pPr>
            <w:r>
              <w:rPr>
                <w:rFonts w:ascii="Times New Roman" w:hAnsi="Times New Roman" w:cs="Times New Roman"/>
                <w:bCs/>
                <w:spacing w:val="-2"/>
                <w:szCs w:val="21"/>
              </w:rPr>
              <w:t>P</w:t>
            </w:r>
            <w:r>
              <w:rPr>
                <w:rFonts w:ascii="Times New Roman" w:hAnsi="Times New Roman" w:cs="Times New Roman"/>
                <w:bCs/>
                <w:spacing w:val="-2"/>
                <w:szCs w:val="21"/>
                <w:vertAlign w:val="subscript"/>
              </w:rPr>
              <w:t>max</w:t>
            </w:r>
            <w:r>
              <w:rPr>
                <w:rFonts w:ascii="Times New Roman" w:hAnsi="Times New Roman" w:cs="Times New Roman"/>
                <w:bCs/>
                <w:spacing w:val="-2"/>
                <w:szCs w:val="21"/>
              </w:rPr>
              <w:t>&lt;1%</w:t>
            </w:r>
          </w:p>
        </w:tc>
      </w:tr>
    </w:tbl>
    <w:p w14:paraId="383131F8">
      <w:pPr>
        <w:spacing w:line="360" w:lineRule="auto"/>
        <w:ind w:firstLine="480" w:firstLineChars="200"/>
        <w:rPr>
          <w:rFonts w:ascii="Times New Roman" w:hAnsi="Times New Roman" w:cs="Times New Roman"/>
          <w:sz w:val="24"/>
        </w:rPr>
      </w:pPr>
      <w:r>
        <w:rPr>
          <w:rFonts w:ascii="Times New Roman" w:hAnsi="Times New Roman" w:cs="Times New Roman"/>
          <w:sz w:val="24"/>
        </w:rPr>
        <w:t>（2）污染因子选取</w:t>
      </w:r>
    </w:p>
    <w:p w14:paraId="1FF485C9">
      <w:pPr>
        <w:spacing w:line="360" w:lineRule="auto"/>
        <w:ind w:firstLine="480" w:firstLineChars="200"/>
        <w:rPr>
          <w:rFonts w:ascii="Times New Roman" w:hAnsi="Times New Roman" w:cs="Times New Roman"/>
          <w:sz w:val="24"/>
        </w:rPr>
      </w:pPr>
      <w:r>
        <w:rPr>
          <w:rFonts w:ascii="Times New Roman" w:hAnsi="Times New Roman" w:cs="Times New Roman"/>
          <w:sz w:val="24"/>
        </w:rPr>
        <w:t>本项目确定选取</w:t>
      </w:r>
      <w:r>
        <w:rPr>
          <w:rFonts w:hint="eastAsia" w:ascii="Times New Roman" w:hAnsi="Times New Roman" w:eastAsia="宋体" w:cs="Times New Roman"/>
          <w:color w:val="000000"/>
          <w:sz w:val="24"/>
        </w:rPr>
        <w:t>PM</w:t>
      </w:r>
      <w:r>
        <w:rPr>
          <w:rFonts w:hint="eastAsia" w:ascii="Times New Roman" w:hAnsi="Times New Roman" w:eastAsia="宋体" w:cs="Times New Roman"/>
          <w:color w:val="000000"/>
          <w:sz w:val="24"/>
          <w:vertAlign w:val="subscript"/>
        </w:rPr>
        <w:t>10</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苯、</w:t>
      </w:r>
      <w:r>
        <w:rPr>
          <w:rFonts w:hint="eastAsia" w:ascii="Times New Roman" w:hAnsi="Times New Roman" w:eastAsia="宋体" w:cs="Times New Roman"/>
          <w:bCs/>
          <w:sz w:val="24"/>
        </w:rPr>
        <w:t>甲苯、二甲苯</w:t>
      </w:r>
      <w:r>
        <w:rPr>
          <w:rFonts w:hint="eastAsia" w:cs="Times New Roman"/>
          <w:bCs/>
          <w:sz w:val="24"/>
        </w:rPr>
        <w:t>、</w:t>
      </w:r>
      <w:r>
        <w:rPr>
          <w:rFonts w:ascii="Times New Roman" w:hAnsi="Times New Roman" w:eastAsia="宋体" w:cs="Times New Roman"/>
          <w:color w:val="000000"/>
          <w:sz w:val="24"/>
        </w:rPr>
        <w:t>非甲烷总烃</w:t>
      </w:r>
      <w:r>
        <w:rPr>
          <w:rFonts w:ascii="Times New Roman" w:hAnsi="Times New Roman" w:cs="Times New Roman"/>
          <w:sz w:val="24"/>
        </w:rPr>
        <w:t>计算评价等级。</w:t>
      </w:r>
    </w:p>
    <w:p w14:paraId="1A5FDD88">
      <w:pPr>
        <w:spacing w:line="360" w:lineRule="auto"/>
        <w:ind w:firstLine="480" w:firstLineChars="200"/>
        <w:rPr>
          <w:rFonts w:ascii="Times New Roman" w:hAnsi="Times New Roman" w:cs="Times New Roman"/>
          <w:sz w:val="24"/>
        </w:rPr>
      </w:pPr>
      <w:r>
        <w:rPr>
          <w:rFonts w:ascii="Times New Roman" w:hAnsi="Times New Roman" w:cs="Times New Roman"/>
          <w:sz w:val="24"/>
        </w:rPr>
        <w:t>（3）等级判定</w:t>
      </w:r>
    </w:p>
    <w:p w14:paraId="16D7941B">
      <w:pPr>
        <w:spacing w:line="360" w:lineRule="auto"/>
        <w:ind w:firstLine="480" w:firstLineChars="200"/>
        <w:rPr>
          <w:rFonts w:ascii="Times New Roman" w:hAnsi="Times New Roman" w:cs="Times New Roman"/>
          <w:sz w:val="24"/>
        </w:rPr>
      </w:pPr>
      <w:r>
        <w:rPr>
          <w:rFonts w:ascii="Times New Roman" w:hAnsi="Times New Roman" w:cs="Times New Roman"/>
          <w:sz w:val="24"/>
        </w:rPr>
        <w:t>采用《环境影响评价技术导则 大气环境》（HJ2.2-2018）推荐模式中的AERSCREEN估算模式（估算时已输入地形参数）计算各个废气污染源的最大占标率及其对应的距离，估算模型参数见</w:t>
      </w:r>
      <w:r>
        <w:rPr>
          <w:rFonts w:hint="eastAsia" w:ascii="Times New Roman" w:hAnsi="Times New Roman" w:cs="Times New Roman"/>
          <w:sz w:val="24"/>
        </w:rPr>
        <w:t>下</w:t>
      </w:r>
      <w:r>
        <w:rPr>
          <w:rFonts w:ascii="Times New Roman" w:hAnsi="Times New Roman" w:cs="Times New Roman"/>
          <w:sz w:val="24"/>
        </w:rPr>
        <w:t>表，</w:t>
      </w:r>
      <w:r>
        <w:rPr>
          <w:rFonts w:hint="eastAsia" w:cs="Times New Roman"/>
          <w:sz w:val="24"/>
        </w:rPr>
        <w:t>项目污染物</w:t>
      </w:r>
      <w:r>
        <w:rPr>
          <w:rFonts w:ascii="Times New Roman" w:hAnsi="Times New Roman" w:cs="Times New Roman"/>
          <w:sz w:val="24"/>
        </w:rPr>
        <w:t>估算结果见</w:t>
      </w:r>
      <w:r>
        <w:rPr>
          <w:rFonts w:hint="eastAsia" w:ascii="Times New Roman" w:hAnsi="Times New Roman" w:cs="Times New Roman"/>
          <w:sz w:val="24"/>
        </w:rPr>
        <w:t>下</w:t>
      </w:r>
      <w:r>
        <w:rPr>
          <w:rFonts w:ascii="Times New Roman" w:hAnsi="Times New Roman" w:cs="Times New Roman"/>
          <w:sz w:val="24"/>
        </w:rPr>
        <w:t>表。</w:t>
      </w:r>
    </w:p>
    <w:p w14:paraId="48BD4F09">
      <w:pPr>
        <w:numPr>
          <w:ilvl w:val="0"/>
          <w:numId w:val="22"/>
        </w:numPr>
        <w:jc w:val="center"/>
        <w:rPr>
          <w:rFonts w:ascii="Times New Roman" w:hAnsi="Times New Roman" w:cs="Times New Roman"/>
          <w:b/>
          <w:bCs/>
          <w:kern w:val="28"/>
          <w:szCs w:val="32"/>
        </w:rPr>
      </w:pPr>
      <w:r>
        <w:rPr>
          <w:rFonts w:hint="eastAsia" w:ascii="Times New Roman" w:hAnsi="Times New Roman" w:cs="Times New Roman"/>
          <w:b/>
          <w:bCs/>
          <w:kern w:val="28"/>
          <w:szCs w:val="32"/>
        </w:rPr>
        <w:t xml:space="preserve"> </w:t>
      </w:r>
      <w:r>
        <w:rPr>
          <w:rFonts w:ascii="Times New Roman" w:hAnsi="Times New Roman" w:cs="Times New Roman"/>
          <w:b/>
          <w:bCs/>
          <w:kern w:val="28"/>
          <w:szCs w:val="32"/>
        </w:rPr>
        <w:t xml:space="preserve"> 估算模型参数表</w:t>
      </w:r>
    </w:p>
    <w:tbl>
      <w:tblPr>
        <w:tblStyle w:val="30"/>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3022"/>
        <w:gridCol w:w="2841"/>
      </w:tblGrid>
      <w:tr w14:paraId="0C97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79" w:type="dxa"/>
            <w:gridSpan w:val="2"/>
            <w:tcBorders>
              <w:top w:val="single" w:color="auto" w:sz="4" w:space="0"/>
              <w:left w:val="single" w:color="auto" w:sz="4" w:space="0"/>
              <w:bottom w:val="single" w:color="auto" w:sz="4" w:space="0"/>
              <w:right w:val="single" w:color="auto" w:sz="4" w:space="0"/>
            </w:tcBorders>
            <w:vAlign w:val="center"/>
          </w:tcPr>
          <w:p w14:paraId="6F9EFC3E">
            <w:pPr>
              <w:adjustRightInd w:val="0"/>
              <w:snapToGrid w:val="0"/>
              <w:jc w:val="center"/>
              <w:rPr>
                <w:rFonts w:ascii="Times New Roman" w:hAnsi="Times New Roman" w:cs="Times New Roman"/>
                <w:szCs w:val="21"/>
              </w:rPr>
            </w:pPr>
            <w:r>
              <w:rPr>
                <w:rFonts w:ascii="Times New Roman" w:hAnsi="Times New Roman" w:cs="Times New Roman"/>
                <w:szCs w:val="21"/>
              </w:rPr>
              <w:t>参数</w:t>
            </w:r>
          </w:p>
        </w:tc>
        <w:tc>
          <w:tcPr>
            <w:tcW w:w="2841" w:type="dxa"/>
            <w:tcBorders>
              <w:top w:val="single" w:color="auto" w:sz="4" w:space="0"/>
              <w:left w:val="single" w:color="auto" w:sz="4" w:space="0"/>
              <w:bottom w:val="single" w:color="auto" w:sz="4" w:space="0"/>
              <w:right w:val="single" w:color="auto" w:sz="4" w:space="0"/>
            </w:tcBorders>
            <w:vAlign w:val="center"/>
          </w:tcPr>
          <w:p w14:paraId="79741D77">
            <w:pPr>
              <w:adjustRightInd w:val="0"/>
              <w:snapToGrid w:val="0"/>
              <w:jc w:val="center"/>
              <w:rPr>
                <w:rFonts w:ascii="Times New Roman" w:hAnsi="Times New Roman" w:cs="Times New Roman"/>
                <w:szCs w:val="21"/>
              </w:rPr>
            </w:pPr>
            <w:r>
              <w:rPr>
                <w:rFonts w:ascii="Times New Roman" w:hAnsi="Times New Roman" w:cs="Times New Roman"/>
                <w:szCs w:val="21"/>
              </w:rPr>
              <w:t>取值</w:t>
            </w:r>
          </w:p>
        </w:tc>
      </w:tr>
      <w:tr w14:paraId="1C54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7" w:type="dxa"/>
            <w:vMerge w:val="restart"/>
            <w:tcBorders>
              <w:top w:val="single" w:color="auto" w:sz="4" w:space="0"/>
              <w:left w:val="single" w:color="auto" w:sz="4" w:space="0"/>
              <w:bottom w:val="single" w:color="auto" w:sz="4" w:space="0"/>
              <w:right w:val="single" w:color="auto" w:sz="4" w:space="0"/>
            </w:tcBorders>
            <w:vAlign w:val="center"/>
          </w:tcPr>
          <w:p w14:paraId="7745F5C5">
            <w:pPr>
              <w:adjustRightInd w:val="0"/>
              <w:snapToGrid w:val="0"/>
              <w:jc w:val="center"/>
              <w:rPr>
                <w:rFonts w:ascii="Times New Roman" w:hAnsi="Times New Roman" w:cs="Times New Roman"/>
                <w:szCs w:val="21"/>
              </w:rPr>
            </w:pPr>
            <w:r>
              <w:rPr>
                <w:rFonts w:ascii="Times New Roman" w:hAnsi="Times New Roman" w:cs="Times New Roman"/>
                <w:szCs w:val="21"/>
              </w:rPr>
              <w:t>城市/农村选项</w:t>
            </w:r>
          </w:p>
        </w:tc>
        <w:tc>
          <w:tcPr>
            <w:tcW w:w="3022" w:type="dxa"/>
            <w:tcBorders>
              <w:top w:val="single" w:color="auto" w:sz="4" w:space="0"/>
              <w:left w:val="single" w:color="auto" w:sz="4" w:space="0"/>
              <w:bottom w:val="single" w:color="auto" w:sz="4" w:space="0"/>
              <w:right w:val="single" w:color="auto" w:sz="4" w:space="0"/>
            </w:tcBorders>
            <w:vAlign w:val="center"/>
          </w:tcPr>
          <w:p w14:paraId="3C2FEF00">
            <w:pPr>
              <w:adjustRightInd w:val="0"/>
              <w:snapToGrid w:val="0"/>
              <w:jc w:val="center"/>
              <w:rPr>
                <w:rFonts w:ascii="Times New Roman" w:hAnsi="Times New Roman" w:cs="Times New Roman"/>
                <w:szCs w:val="21"/>
              </w:rPr>
            </w:pPr>
            <w:r>
              <w:rPr>
                <w:rFonts w:ascii="Times New Roman" w:hAnsi="Times New Roman" w:cs="Times New Roman"/>
                <w:szCs w:val="21"/>
              </w:rPr>
              <w:t>城市/农村</w:t>
            </w:r>
          </w:p>
        </w:tc>
        <w:tc>
          <w:tcPr>
            <w:tcW w:w="2841" w:type="dxa"/>
            <w:tcBorders>
              <w:top w:val="single" w:color="auto" w:sz="4" w:space="0"/>
              <w:left w:val="single" w:color="auto" w:sz="4" w:space="0"/>
              <w:bottom w:val="single" w:color="auto" w:sz="4" w:space="0"/>
              <w:right w:val="single" w:color="auto" w:sz="4" w:space="0"/>
            </w:tcBorders>
            <w:vAlign w:val="center"/>
          </w:tcPr>
          <w:p w14:paraId="067D8E91">
            <w:pPr>
              <w:adjustRightInd w:val="0"/>
              <w:snapToGrid w:val="0"/>
              <w:jc w:val="center"/>
              <w:rPr>
                <w:rFonts w:ascii="Times New Roman" w:hAnsi="Times New Roman" w:eastAsia="宋体" w:cs="Times New Roman"/>
                <w:szCs w:val="21"/>
              </w:rPr>
            </w:pPr>
            <w:r>
              <w:rPr>
                <w:rFonts w:hint="eastAsia" w:cs="Times New Roman"/>
                <w:szCs w:val="21"/>
              </w:rPr>
              <w:t>城市</w:t>
            </w:r>
          </w:p>
        </w:tc>
      </w:tr>
      <w:tr w14:paraId="564F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7" w:type="dxa"/>
            <w:vMerge w:val="continue"/>
            <w:tcBorders>
              <w:top w:val="single" w:color="auto" w:sz="4" w:space="0"/>
              <w:left w:val="single" w:color="auto" w:sz="4" w:space="0"/>
              <w:bottom w:val="single" w:color="auto" w:sz="4" w:space="0"/>
              <w:right w:val="single" w:color="auto" w:sz="4" w:space="0"/>
            </w:tcBorders>
            <w:vAlign w:val="center"/>
          </w:tcPr>
          <w:p w14:paraId="3DBA8ADB">
            <w:pPr>
              <w:adjustRightInd w:val="0"/>
              <w:snapToGrid w:val="0"/>
              <w:jc w:val="center"/>
              <w:rPr>
                <w:rFonts w:ascii="Times New Roman" w:hAnsi="Times New Roman" w:cs="Times New Roman"/>
                <w:szCs w:val="21"/>
              </w:rPr>
            </w:pPr>
          </w:p>
        </w:tc>
        <w:tc>
          <w:tcPr>
            <w:tcW w:w="3022" w:type="dxa"/>
            <w:tcBorders>
              <w:top w:val="single" w:color="auto" w:sz="4" w:space="0"/>
              <w:left w:val="single" w:color="auto" w:sz="4" w:space="0"/>
              <w:bottom w:val="single" w:color="auto" w:sz="4" w:space="0"/>
              <w:right w:val="single" w:color="auto" w:sz="4" w:space="0"/>
            </w:tcBorders>
            <w:vAlign w:val="center"/>
          </w:tcPr>
          <w:p w14:paraId="37E0FAAF">
            <w:pPr>
              <w:adjustRightInd w:val="0"/>
              <w:snapToGrid w:val="0"/>
              <w:jc w:val="center"/>
              <w:rPr>
                <w:rFonts w:ascii="Times New Roman" w:hAnsi="Times New Roman" w:cs="Times New Roman"/>
                <w:szCs w:val="21"/>
              </w:rPr>
            </w:pPr>
            <w:r>
              <w:rPr>
                <w:rFonts w:ascii="Times New Roman" w:hAnsi="Times New Roman" w:cs="Times New Roman"/>
                <w:szCs w:val="21"/>
              </w:rPr>
              <w:t>人口数（城市选项时）</w:t>
            </w:r>
          </w:p>
        </w:tc>
        <w:tc>
          <w:tcPr>
            <w:tcW w:w="2841" w:type="dxa"/>
            <w:tcBorders>
              <w:top w:val="single" w:color="auto" w:sz="4" w:space="0"/>
              <w:left w:val="single" w:color="auto" w:sz="4" w:space="0"/>
              <w:bottom w:val="single" w:color="auto" w:sz="4" w:space="0"/>
              <w:right w:val="single" w:color="auto" w:sz="4" w:space="0"/>
            </w:tcBorders>
            <w:vAlign w:val="center"/>
          </w:tcPr>
          <w:p w14:paraId="522474FB">
            <w:pPr>
              <w:adjustRightInd w:val="0"/>
              <w:snapToGrid w:val="0"/>
              <w:jc w:val="center"/>
              <w:rPr>
                <w:rFonts w:ascii="Times New Roman" w:hAnsi="Times New Roman" w:cs="Times New Roman"/>
                <w:szCs w:val="21"/>
              </w:rPr>
            </w:pPr>
            <w:r>
              <w:rPr>
                <w:rFonts w:ascii="Times New Roman" w:hAnsi="Times New Roman" w:cs="Times New Roman"/>
                <w:color w:val="auto"/>
                <w:szCs w:val="21"/>
              </w:rPr>
              <w:t>25</w:t>
            </w:r>
            <w:r>
              <w:rPr>
                <w:rFonts w:hint="eastAsia" w:ascii="Times New Roman" w:hAnsi="Times New Roman" w:cs="Times New Roman"/>
                <w:color w:val="auto"/>
                <w:szCs w:val="21"/>
              </w:rPr>
              <w:t>万</w:t>
            </w:r>
          </w:p>
        </w:tc>
      </w:tr>
      <w:tr w14:paraId="3169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9" w:type="dxa"/>
            <w:gridSpan w:val="2"/>
            <w:tcBorders>
              <w:top w:val="single" w:color="auto" w:sz="4" w:space="0"/>
              <w:left w:val="single" w:color="auto" w:sz="4" w:space="0"/>
              <w:bottom w:val="single" w:color="auto" w:sz="4" w:space="0"/>
              <w:right w:val="single" w:color="auto" w:sz="4" w:space="0"/>
            </w:tcBorders>
            <w:vAlign w:val="center"/>
          </w:tcPr>
          <w:p w14:paraId="335CC9D9">
            <w:pPr>
              <w:adjustRightInd w:val="0"/>
              <w:snapToGrid w:val="0"/>
              <w:jc w:val="center"/>
              <w:rPr>
                <w:rFonts w:ascii="Times New Roman" w:hAnsi="Times New Roman" w:cs="Times New Roman"/>
                <w:szCs w:val="21"/>
              </w:rPr>
            </w:pPr>
            <w:r>
              <w:rPr>
                <w:rFonts w:ascii="Times New Roman" w:hAnsi="Times New Roman" w:cs="Times New Roman"/>
                <w:szCs w:val="21"/>
              </w:rPr>
              <w:t>最高环境温度/℃</w:t>
            </w:r>
          </w:p>
        </w:tc>
        <w:tc>
          <w:tcPr>
            <w:tcW w:w="2841" w:type="dxa"/>
            <w:tcBorders>
              <w:top w:val="single" w:color="auto" w:sz="4" w:space="0"/>
              <w:left w:val="single" w:color="auto" w:sz="4" w:space="0"/>
              <w:bottom w:val="single" w:color="auto" w:sz="4" w:space="0"/>
              <w:right w:val="single" w:color="auto" w:sz="4" w:space="0"/>
            </w:tcBorders>
            <w:vAlign w:val="center"/>
          </w:tcPr>
          <w:p w14:paraId="195A9AF0">
            <w:pPr>
              <w:jc w:val="center"/>
              <w:rPr>
                <w:rFonts w:ascii="Times New Roman" w:hAnsi="Times New Roman" w:eastAsia="宋体" w:cs="Times New Roman"/>
                <w:szCs w:val="21"/>
              </w:rPr>
            </w:pPr>
            <w:r>
              <w:rPr>
                <w:rFonts w:hint="eastAsia" w:ascii="Times New Roman" w:hAnsi="Times New Roman" w:cs="Times New Roman"/>
                <w:bCs/>
                <w:szCs w:val="21"/>
              </w:rPr>
              <w:t>41.4</w:t>
            </w:r>
          </w:p>
        </w:tc>
      </w:tr>
      <w:tr w14:paraId="2F0B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9" w:type="dxa"/>
            <w:gridSpan w:val="2"/>
            <w:tcBorders>
              <w:top w:val="single" w:color="auto" w:sz="4" w:space="0"/>
              <w:left w:val="single" w:color="auto" w:sz="4" w:space="0"/>
              <w:bottom w:val="single" w:color="auto" w:sz="4" w:space="0"/>
              <w:right w:val="single" w:color="auto" w:sz="4" w:space="0"/>
            </w:tcBorders>
            <w:vAlign w:val="center"/>
          </w:tcPr>
          <w:p w14:paraId="7D181653">
            <w:pPr>
              <w:adjustRightInd w:val="0"/>
              <w:snapToGrid w:val="0"/>
              <w:jc w:val="center"/>
              <w:rPr>
                <w:rFonts w:ascii="Times New Roman" w:hAnsi="Times New Roman" w:cs="Times New Roman"/>
                <w:szCs w:val="21"/>
              </w:rPr>
            </w:pPr>
            <w:r>
              <w:rPr>
                <w:rFonts w:ascii="Times New Roman" w:hAnsi="Times New Roman" w:cs="Times New Roman"/>
                <w:szCs w:val="21"/>
              </w:rPr>
              <w:t>最低环境温度/℃</w:t>
            </w:r>
          </w:p>
        </w:tc>
        <w:tc>
          <w:tcPr>
            <w:tcW w:w="2841" w:type="dxa"/>
            <w:tcBorders>
              <w:top w:val="single" w:color="auto" w:sz="4" w:space="0"/>
              <w:left w:val="single" w:color="auto" w:sz="4" w:space="0"/>
              <w:bottom w:val="single" w:color="auto" w:sz="4" w:space="0"/>
              <w:right w:val="single" w:color="auto" w:sz="4" w:space="0"/>
            </w:tcBorders>
            <w:vAlign w:val="center"/>
          </w:tcPr>
          <w:p w14:paraId="305A5FAD">
            <w:pPr>
              <w:jc w:val="center"/>
              <w:rPr>
                <w:rFonts w:ascii="Times New Roman" w:hAnsi="Times New Roman" w:eastAsia="宋体" w:cs="Times New Roman"/>
                <w:szCs w:val="21"/>
              </w:rPr>
            </w:pPr>
            <w:r>
              <w:rPr>
                <w:rFonts w:ascii="Times New Roman" w:hAnsi="Times New Roman" w:cs="Times New Roman"/>
                <w:bCs/>
                <w:szCs w:val="21"/>
              </w:rPr>
              <w:t>-</w:t>
            </w:r>
            <w:r>
              <w:rPr>
                <w:rFonts w:hint="eastAsia" w:ascii="Times New Roman" w:hAnsi="Times New Roman" w:cs="Times New Roman"/>
                <w:bCs/>
                <w:szCs w:val="21"/>
              </w:rPr>
              <w:t>17.1</w:t>
            </w:r>
          </w:p>
        </w:tc>
      </w:tr>
      <w:tr w14:paraId="4553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9" w:type="dxa"/>
            <w:gridSpan w:val="2"/>
            <w:tcBorders>
              <w:top w:val="single" w:color="auto" w:sz="4" w:space="0"/>
              <w:left w:val="single" w:color="auto" w:sz="4" w:space="0"/>
              <w:bottom w:val="single" w:color="auto" w:sz="4" w:space="0"/>
              <w:right w:val="single" w:color="auto" w:sz="4" w:space="0"/>
            </w:tcBorders>
            <w:vAlign w:val="center"/>
          </w:tcPr>
          <w:p w14:paraId="432971EF">
            <w:pPr>
              <w:adjustRightInd w:val="0"/>
              <w:snapToGrid w:val="0"/>
              <w:jc w:val="center"/>
              <w:rPr>
                <w:rFonts w:ascii="Times New Roman" w:hAnsi="Times New Roman" w:cs="Times New Roman"/>
                <w:szCs w:val="21"/>
              </w:rPr>
            </w:pPr>
            <w:r>
              <w:rPr>
                <w:rFonts w:ascii="Times New Roman" w:hAnsi="Times New Roman" w:cs="Times New Roman"/>
                <w:szCs w:val="21"/>
              </w:rPr>
              <w:t>土地利用类型</w:t>
            </w:r>
          </w:p>
        </w:tc>
        <w:tc>
          <w:tcPr>
            <w:tcW w:w="2841" w:type="dxa"/>
            <w:tcBorders>
              <w:top w:val="single" w:color="auto" w:sz="4" w:space="0"/>
              <w:left w:val="single" w:color="auto" w:sz="4" w:space="0"/>
              <w:bottom w:val="single" w:color="auto" w:sz="4" w:space="0"/>
              <w:right w:val="single" w:color="auto" w:sz="4" w:space="0"/>
            </w:tcBorders>
            <w:vAlign w:val="center"/>
          </w:tcPr>
          <w:p w14:paraId="68A12FE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农田</w:t>
            </w:r>
          </w:p>
        </w:tc>
      </w:tr>
      <w:tr w14:paraId="0B2E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9" w:type="dxa"/>
            <w:gridSpan w:val="2"/>
            <w:tcBorders>
              <w:top w:val="single" w:color="auto" w:sz="4" w:space="0"/>
              <w:left w:val="single" w:color="auto" w:sz="4" w:space="0"/>
              <w:bottom w:val="single" w:color="auto" w:sz="4" w:space="0"/>
              <w:right w:val="single" w:color="auto" w:sz="4" w:space="0"/>
            </w:tcBorders>
            <w:vAlign w:val="center"/>
          </w:tcPr>
          <w:p w14:paraId="20D0E3EE">
            <w:pPr>
              <w:adjustRightInd w:val="0"/>
              <w:snapToGrid w:val="0"/>
              <w:jc w:val="center"/>
              <w:rPr>
                <w:rFonts w:ascii="Times New Roman" w:hAnsi="Times New Roman" w:cs="Times New Roman"/>
                <w:szCs w:val="21"/>
              </w:rPr>
            </w:pPr>
            <w:r>
              <w:rPr>
                <w:rFonts w:ascii="Times New Roman" w:hAnsi="Times New Roman" w:cs="Times New Roman"/>
                <w:szCs w:val="21"/>
              </w:rPr>
              <w:t>区域湿度条件</w:t>
            </w:r>
          </w:p>
        </w:tc>
        <w:tc>
          <w:tcPr>
            <w:tcW w:w="2841" w:type="dxa"/>
            <w:tcBorders>
              <w:top w:val="single" w:color="auto" w:sz="4" w:space="0"/>
              <w:left w:val="single" w:color="auto" w:sz="4" w:space="0"/>
              <w:bottom w:val="single" w:color="auto" w:sz="4" w:space="0"/>
              <w:right w:val="single" w:color="auto" w:sz="4" w:space="0"/>
            </w:tcBorders>
            <w:vAlign w:val="center"/>
          </w:tcPr>
          <w:p w14:paraId="1F1ED3A0">
            <w:pPr>
              <w:adjustRightInd w:val="0"/>
              <w:snapToGrid w:val="0"/>
              <w:jc w:val="center"/>
              <w:rPr>
                <w:rFonts w:ascii="Times New Roman" w:hAnsi="Times New Roman" w:eastAsia="宋体" w:cs="Times New Roman"/>
                <w:szCs w:val="21"/>
              </w:rPr>
            </w:pPr>
            <w:r>
              <w:rPr>
                <w:rFonts w:ascii="Times New Roman" w:hAnsi="Times New Roman" w:cs="Times New Roman"/>
                <w:bCs/>
                <w:szCs w:val="21"/>
              </w:rPr>
              <w:t>半湿润和半干旱地区</w:t>
            </w:r>
          </w:p>
        </w:tc>
      </w:tr>
      <w:tr w14:paraId="5A1C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7" w:type="dxa"/>
            <w:vMerge w:val="restart"/>
            <w:tcBorders>
              <w:top w:val="single" w:color="auto" w:sz="4" w:space="0"/>
              <w:left w:val="single" w:color="auto" w:sz="4" w:space="0"/>
              <w:bottom w:val="single" w:color="auto" w:sz="4" w:space="0"/>
              <w:right w:val="single" w:color="auto" w:sz="4" w:space="0"/>
            </w:tcBorders>
            <w:vAlign w:val="center"/>
          </w:tcPr>
          <w:p w14:paraId="561672F3">
            <w:pPr>
              <w:adjustRightInd w:val="0"/>
              <w:snapToGrid w:val="0"/>
              <w:jc w:val="center"/>
              <w:rPr>
                <w:rFonts w:ascii="Times New Roman" w:hAnsi="Times New Roman" w:cs="Times New Roman"/>
                <w:szCs w:val="21"/>
              </w:rPr>
            </w:pPr>
            <w:r>
              <w:rPr>
                <w:rFonts w:ascii="Times New Roman" w:hAnsi="Times New Roman" w:cs="Times New Roman"/>
                <w:szCs w:val="21"/>
              </w:rPr>
              <w:t>是否考虑地形</w:t>
            </w:r>
          </w:p>
        </w:tc>
        <w:tc>
          <w:tcPr>
            <w:tcW w:w="3022" w:type="dxa"/>
            <w:tcBorders>
              <w:top w:val="single" w:color="auto" w:sz="4" w:space="0"/>
              <w:left w:val="single" w:color="auto" w:sz="4" w:space="0"/>
              <w:bottom w:val="single" w:color="auto" w:sz="4" w:space="0"/>
              <w:right w:val="single" w:color="auto" w:sz="4" w:space="0"/>
            </w:tcBorders>
            <w:vAlign w:val="center"/>
          </w:tcPr>
          <w:p w14:paraId="1F50818F">
            <w:pPr>
              <w:adjustRightInd w:val="0"/>
              <w:snapToGrid w:val="0"/>
              <w:jc w:val="center"/>
              <w:rPr>
                <w:rFonts w:ascii="Times New Roman" w:hAnsi="Times New Roman" w:cs="Times New Roman"/>
                <w:szCs w:val="21"/>
              </w:rPr>
            </w:pPr>
            <w:r>
              <w:rPr>
                <w:rFonts w:ascii="Times New Roman" w:hAnsi="Times New Roman" w:cs="Times New Roman"/>
                <w:szCs w:val="21"/>
              </w:rPr>
              <w:t>考虑地形</w:t>
            </w:r>
          </w:p>
        </w:tc>
        <w:tc>
          <w:tcPr>
            <w:tcW w:w="2841" w:type="dxa"/>
            <w:tcBorders>
              <w:top w:val="single" w:color="auto" w:sz="4" w:space="0"/>
              <w:left w:val="single" w:color="auto" w:sz="4" w:space="0"/>
              <w:bottom w:val="single" w:color="auto" w:sz="4" w:space="0"/>
              <w:right w:val="single" w:color="auto" w:sz="4" w:space="0"/>
            </w:tcBorders>
            <w:vAlign w:val="center"/>
          </w:tcPr>
          <w:p w14:paraId="3E006A9D">
            <w:pPr>
              <w:spacing w:line="360" w:lineRule="exact"/>
              <w:jc w:val="center"/>
              <w:rPr>
                <w:rFonts w:ascii="Times New Roman" w:hAnsi="Times New Roman" w:cs="Times New Roman"/>
                <w:szCs w:val="21"/>
              </w:rPr>
            </w:pPr>
            <w:r>
              <w:rPr>
                <w:rFonts w:ascii="Times New Roman" w:hAnsi="Times New Roman" w:cs="Times New Roman"/>
                <w:color w:val="000000"/>
                <w:szCs w:val="21"/>
              </w:rPr>
              <w:t>是</w:t>
            </w:r>
            <w:r>
              <w:rPr>
                <w:rFonts w:ascii="Times New Roman" w:hAnsi="Times New Roman" w:cs="Times New Roman"/>
                <w:color w:val="000000"/>
                <w:szCs w:val="21"/>
              </w:rPr>
              <w:sym w:font="Wingdings" w:char="00FE"/>
            </w:r>
            <w:r>
              <w:rPr>
                <w:rFonts w:ascii="Times New Roman" w:hAnsi="Times New Roman" w:cs="Times New Roman"/>
                <w:color w:val="000000"/>
                <w:szCs w:val="21"/>
              </w:rPr>
              <w:t xml:space="preserve">  否</w:t>
            </w:r>
            <w:r>
              <w:rPr>
                <w:rFonts w:ascii="Times New Roman" w:hAnsi="Times New Roman" w:cs="Times New Roman"/>
                <w:color w:val="000000"/>
                <w:szCs w:val="21"/>
              </w:rPr>
              <w:sym w:font="Wingdings" w:char="00A8"/>
            </w:r>
          </w:p>
        </w:tc>
      </w:tr>
      <w:tr w14:paraId="28BC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7" w:type="dxa"/>
            <w:vMerge w:val="continue"/>
            <w:tcBorders>
              <w:top w:val="single" w:color="auto" w:sz="4" w:space="0"/>
              <w:left w:val="single" w:color="auto" w:sz="4" w:space="0"/>
              <w:bottom w:val="single" w:color="auto" w:sz="4" w:space="0"/>
              <w:right w:val="single" w:color="auto" w:sz="4" w:space="0"/>
            </w:tcBorders>
            <w:vAlign w:val="center"/>
          </w:tcPr>
          <w:p w14:paraId="6E13AD34">
            <w:pPr>
              <w:adjustRightInd w:val="0"/>
              <w:snapToGrid w:val="0"/>
              <w:jc w:val="center"/>
              <w:rPr>
                <w:rFonts w:ascii="Times New Roman" w:hAnsi="Times New Roman" w:cs="Times New Roman"/>
                <w:szCs w:val="21"/>
              </w:rPr>
            </w:pPr>
          </w:p>
        </w:tc>
        <w:tc>
          <w:tcPr>
            <w:tcW w:w="3022" w:type="dxa"/>
            <w:tcBorders>
              <w:top w:val="single" w:color="auto" w:sz="4" w:space="0"/>
              <w:left w:val="single" w:color="auto" w:sz="4" w:space="0"/>
              <w:bottom w:val="single" w:color="auto" w:sz="4" w:space="0"/>
              <w:right w:val="single" w:color="auto" w:sz="4" w:space="0"/>
            </w:tcBorders>
            <w:vAlign w:val="center"/>
          </w:tcPr>
          <w:p w14:paraId="0C882643">
            <w:pPr>
              <w:adjustRightInd w:val="0"/>
              <w:snapToGrid w:val="0"/>
              <w:jc w:val="center"/>
              <w:rPr>
                <w:rFonts w:ascii="Times New Roman" w:hAnsi="Times New Roman" w:cs="Times New Roman"/>
                <w:szCs w:val="21"/>
              </w:rPr>
            </w:pPr>
            <w:r>
              <w:rPr>
                <w:rFonts w:ascii="Times New Roman" w:hAnsi="Times New Roman" w:cs="Times New Roman"/>
                <w:szCs w:val="21"/>
              </w:rPr>
              <w:t>地形数据分辨率/m</w:t>
            </w:r>
          </w:p>
        </w:tc>
        <w:tc>
          <w:tcPr>
            <w:tcW w:w="2841" w:type="dxa"/>
            <w:tcBorders>
              <w:top w:val="single" w:color="auto" w:sz="4" w:space="0"/>
              <w:left w:val="single" w:color="auto" w:sz="4" w:space="0"/>
              <w:bottom w:val="single" w:color="auto" w:sz="4" w:space="0"/>
              <w:right w:val="single" w:color="auto" w:sz="4" w:space="0"/>
            </w:tcBorders>
            <w:vAlign w:val="center"/>
          </w:tcPr>
          <w:p w14:paraId="1F43FC1E">
            <w:pPr>
              <w:spacing w:line="360" w:lineRule="exact"/>
              <w:jc w:val="center"/>
              <w:rPr>
                <w:rFonts w:ascii="Times New Roman" w:hAnsi="Times New Roman" w:cs="Times New Roman"/>
                <w:szCs w:val="21"/>
              </w:rPr>
            </w:pPr>
            <w:r>
              <w:rPr>
                <w:rFonts w:ascii="Times New Roman" w:hAnsi="Times New Roman" w:eastAsia="宋体" w:cs="Times New Roman"/>
                <w:color w:val="000000"/>
                <w:szCs w:val="21"/>
              </w:rPr>
              <w:t>90</w:t>
            </w:r>
          </w:p>
        </w:tc>
      </w:tr>
      <w:tr w14:paraId="2D4D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7" w:type="dxa"/>
            <w:vMerge w:val="restart"/>
            <w:tcBorders>
              <w:top w:val="single" w:color="auto" w:sz="4" w:space="0"/>
              <w:left w:val="single" w:color="auto" w:sz="4" w:space="0"/>
              <w:bottom w:val="single" w:color="auto" w:sz="4" w:space="0"/>
              <w:right w:val="single" w:color="auto" w:sz="4" w:space="0"/>
            </w:tcBorders>
            <w:vAlign w:val="center"/>
          </w:tcPr>
          <w:p w14:paraId="025B1415">
            <w:pPr>
              <w:adjustRightInd w:val="0"/>
              <w:snapToGrid w:val="0"/>
              <w:jc w:val="center"/>
              <w:rPr>
                <w:rFonts w:ascii="Times New Roman" w:hAnsi="Times New Roman" w:cs="Times New Roman"/>
                <w:szCs w:val="21"/>
              </w:rPr>
            </w:pPr>
            <w:r>
              <w:rPr>
                <w:rFonts w:ascii="Times New Roman" w:hAnsi="Times New Roman" w:cs="Times New Roman"/>
                <w:szCs w:val="21"/>
              </w:rPr>
              <w:t>是否考虑岸线熏烟</w:t>
            </w:r>
          </w:p>
        </w:tc>
        <w:tc>
          <w:tcPr>
            <w:tcW w:w="3022" w:type="dxa"/>
            <w:tcBorders>
              <w:top w:val="single" w:color="auto" w:sz="4" w:space="0"/>
              <w:left w:val="single" w:color="auto" w:sz="4" w:space="0"/>
              <w:bottom w:val="single" w:color="auto" w:sz="4" w:space="0"/>
              <w:right w:val="single" w:color="auto" w:sz="4" w:space="0"/>
            </w:tcBorders>
            <w:vAlign w:val="center"/>
          </w:tcPr>
          <w:p w14:paraId="475D07A7">
            <w:pPr>
              <w:adjustRightInd w:val="0"/>
              <w:snapToGrid w:val="0"/>
              <w:jc w:val="center"/>
              <w:rPr>
                <w:rFonts w:ascii="Times New Roman" w:hAnsi="Times New Roman" w:cs="Times New Roman"/>
                <w:szCs w:val="21"/>
              </w:rPr>
            </w:pPr>
            <w:r>
              <w:rPr>
                <w:rFonts w:ascii="Times New Roman" w:hAnsi="Times New Roman" w:cs="Times New Roman"/>
                <w:szCs w:val="21"/>
              </w:rPr>
              <w:t>考虑岸线熏烟</w:t>
            </w:r>
          </w:p>
        </w:tc>
        <w:tc>
          <w:tcPr>
            <w:tcW w:w="2841" w:type="dxa"/>
            <w:tcBorders>
              <w:top w:val="single" w:color="auto" w:sz="4" w:space="0"/>
              <w:left w:val="single" w:color="auto" w:sz="4" w:space="0"/>
              <w:bottom w:val="single" w:color="auto" w:sz="4" w:space="0"/>
              <w:right w:val="single" w:color="auto" w:sz="4" w:space="0"/>
            </w:tcBorders>
            <w:vAlign w:val="center"/>
          </w:tcPr>
          <w:p w14:paraId="54AD1268">
            <w:pPr>
              <w:spacing w:line="360" w:lineRule="exact"/>
              <w:jc w:val="center"/>
              <w:rPr>
                <w:rFonts w:ascii="Times New Roman" w:hAnsi="Times New Roman" w:cs="Times New Roman"/>
                <w:szCs w:val="21"/>
              </w:rPr>
            </w:pPr>
            <w:r>
              <w:rPr>
                <w:rFonts w:ascii="Times New Roman" w:hAnsi="Times New Roman" w:cs="Times New Roman"/>
                <w:color w:val="000000"/>
                <w:szCs w:val="21"/>
              </w:rPr>
              <w:t>是  否</w:t>
            </w:r>
            <w:r>
              <w:rPr>
                <w:rFonts w:ascii="Times New Roman" w:hAnsi="Times New Roman" w:cs="Times New Roman"/>
                <w:color w:val="000000"/>
                <w:szCs w:val="21"/>
              </w:rPr>
              <w:sym w:font="Wingdings" w:char="00FE"/>
            </w:r>
          </w:p>
        </w:tc>
      </w:tr>
      <w:tr w14:paraId="311B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7" w:type="dxa"/>
            <w:vMerge w:val="continue"/>
            <w:tcBorders>
              <w:top w:val="single" w:color="auto" w:sz="4" w:space="0"/>
              <w:left w:val="single" w:color="auto" w:sz="4" w:space="0"/>
              <w:bottom w:val="single" w:color="auto" w:sz="4" w:space="0"/>
              <w:right w:val="single" w:color="auto" w:sz="4" w:space="0"/>
            </w:tcBorders>
            <w:vAlign w:val="center"/>
          </w:tcPr>
          <w:p w14:paraId="17491414">
            <w:pPr>
              <w:adjustRightInd w:val="0"/>
              <w:snapToGrid w:val="0"/>
              <w:jc w:val="center"/>
              <w:rPr>
                <w:rFonts w:ascii="Times New Roman" w:hAnsi="Times New Roman" w:cs="Times New Roman"/>
                <w:szCs w:val="21"/>
              </w:rPr>
            </w:pPr>
          </w:p>
        </w:tc>
        <w:tc>
          <w:tcPr>
            <w:tcW w:w="3022" w:type="dxa"/>
            <w:tcBorders>
              <w:top w:val="single" w:color="auto" w:sz="4" w:space="0"/>
              <w:left w:val="single" w:color="auto" w:sz="4" w:space="0"/>
              <w:bottom w:val="single" w:color="auto" w:sz="4" w:space="0"/>
              <w:right w:val="single" w:color="auto" w:sz="4" w:space="0"/>
            </w:tcBorders>
            <w:vAlign w:val="center"/>
          </w:tcPr>
          <w:p w14:paraId="15F39F88">
            <w:pPr>
              <w:adjustRightInd w:val="0"/>
              <w:snapToGrid w:val="0"/>
              <w:jc w:val="center"/>
              <w:rPr>
                <w:rFonts w:ascii="Times New Roman" w:hAnsi="Times New Roman" w:cs="Times New Roman"/>
                <w:szCs w:val="21"/>
              </w:rPr>
            </w:pPr>
            <w:r>
              <w:rPr>
                <w:rFonts w:ascii="Times New Roman" w:hAnsi="Times New Roman" w:cs="Times New Roman"/>
                <w:szCs w:val="21"/>
              </w:rPr>
              <w:t>岸线距离/km</w:t>
            </w:r>
          </w:p>
        </w:tc>
        <w:tc>
          <w:tcPr>
            <w:tcW w:w="2841" w:type="dxa"/>
            <w:tcBorders>
              <w:top w:val="single" w:color="auto" w:sz="4" w:space="0"/>
              <w:left w:val="single" w:color="auto" w:sz="4" w:space="0"/>
              <w:bottom w:val="single" w:color="auto" w:sz="4" w:space="0"/>
              <w:right w:val="single" w:color="auto" w:sz="4" w:space="0"/>
            </w:tcBorders>
            <w:vAlign w:val="center"/>
          </w:tcPr>
          <w:p w14:paraId="1C14AE2A">
            <w:pPr>
              <w:spacing w:line="360" w:lineRule="exact"/>
              <w:jc w:val="center"/>
              <w:rPr>
                <w:rFonts w:ascii="Times New Roman" w:hAnsi="Times New Roman" w:eastAsia="宋体" w:cs="Times New Roman"/>
                <w:szCs w:val="21"/>
              </w:rPr>
            </w:pPr>
            <w:r>
              <w:rPr>
                <w:rFonts w:ascii="Times New Roman" w:hAnsi="Times New Roman" w:cs="Times New Roman"/>
                <w:color w:val="000000"/>
                <w:szCs w:val="21"/>
              </w:rPr>
              <w:t>/</w:t>
            </w:r>
          </w:p>
        </w:tc>
      </w:tr>
      <w:tr w14:paraId="3F1D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7" w:type="dxa"/>
            <w:vMerge w:val="continue"/>
            <w:tcBorders>
              <w:top w:val="single" w:color="auto" w:sz="4" w:space="0"/>
              <w:left w:val="single" w:color="auto" w:sz="4" w:space="0"/>
              <w:bottom w:val="single" w:color="auto" w:sz="4" w:space="0"/>
              <w:right w:val="single" w:color="auto" w:sz="4" w:space="0"/>
            </w:tcBorders>
            <w:vAlign w:val="center"/>
          </w:tcPr>
          <w:p w14:paraId="5711C326">
            <w:pPr>
              <w:adjustRightInd w:val="0"/>
              <w:snapToGrid w:val="0"/>
              <w:jc w:val="center"/>
              <w:rPr>
                <w:rFonts w:ascii="Times New Roman" w:hAnsi="Times New Roman" w:cs="Times New Roman"/>
                <w:szCs w:val="21"/>
              </w:rPr>
            </w:pPr>
          </w:p>
        </w:tc>
        <w:tc>
          <w:tcPr>
            <w:tcW w:w="3022" w:type="dxa"/>
            <w:tcBorders>
              <w:top w:val="single" w:color="auto" w:sz="4" w:space="0"/>
              <w:left w:val="single" w:color="auto" w:sz="4" w:space="0"/>
              <w:bottom w:val="single" w:color="auto" w:sz="4" w:space="0"/>
              <w:right w:val="single" w:color="auto" w:sz="4" w:space="0"/>
            </w:tcBorders>
            <w:vAlign w:val="center"/>
          </w:tcPr>
          <w:p w14:paraId="6216BF3E">
            <w:pPr>
              <w:adjustRightInd w:val="0"/>
              <w:snapToGrid w:val="0"/>
              <w:jc w:val="center"/>
              <w:rPr>
                <w:rFonts w:ascii="Times New Roman" w:hAnsi="Times New Roman" w:cs="Times New Roman"/>
                <w:szCs w:val="21"/>
              </w:rPr>
            </w:pPr>
            <w:r>
              <w:rPr>
                <w:rFonts w:ascii="Times New Roman" w:hAnsi="Times New Roman" w:cs="Times New Roman"/>
                <w:szCs w:val="21"/>
              </w:rPr>
              <w:t>岸线方向/°</w:t>
            </w:r>
          </w:p>
        </w:tc>
        <w:tc>
          <w:tcPr>
            <w:tcW w:w="2841" w:type="dxa"/>
            <w:tcBorders>
              <w:top w:val="single" w:color="auto" w:sz="4" w:space="0"/>
              <w:left w:val="single" w:color="auto" w:sz="4" w:space="0"/>
              <w:bottom w:val="single" w:color="auto" w:sz="4" w:space="0"/>
              <w:right w:val="single" w:color="auto" w:sz="4" w:space="0"/>
            </w:tcBorders>
            <w:vAlign w:val="center"/>
          </w:tcPr>
          <w:p w14:paraId="1E233422">
            <w:pPr>
              <w:spacing w:line="360" w:lineRule="exact"/>
              <w:jc w:val="center"/>
              <w:rPr>
                <w:rFonts w:ascii="Times New Roman" w:hAnsi="Times New Roman" w:eastAsia="宋体" w:cs="Times New Roman"/>
                <w:szCs w:val="21"/>
              </w:rPr>
            </w:pPr>
            <w:r>
              <w:rPr>
                <w:rFonts w:ascii="Times New Roman" w:hAnsi="Times New Roman" w:cs="Times New Roman"/>
                <w:color w:val="000000"/>
                <w:szCs w:val="21"/>
              </w:rPr>
              <w:t>/</w:t>
            </w:r>
          </w:p>
        </w:tc>
      </w:tr>
    </w:tbl>
    <w:p w14:paraId="28EC88F5">
      <w:pPr>
        <w:numPr>
          <w:ilvl w:val="0"/>
          <w:numId w:val="22"/>
        </w:numPr>
        <w:spacing w:before="156" w:beforeLines="50"/>
        <w:jc w:val="center"/>
        <w:rPr>
          <w:rFonts w:ascii="Times New Roman" w:hAnsi="Times New Roman" w:eastAsia="宋体" w:cs="Times New Roman"/>
          <w:b/>
          <w:bCs/>
          <w:kern w:val="28"/>
          <w:szCs w:val="32"/>
          <w:highlight w:val="none"/>
        </w:rPr>
      </w:pPr>
      <w:bookmarkStart w:id="28" w:name="_Ref15357"/>
      <w:r>
        <w:rPr>
          <w:rFonts w:hint="eastAsia" w:ascii="Times New Roman" w:hAnsi="Times New Roman" w:eastAsia="宋体" w:cs="Times New Roman"/>
          <w:b/>
          <w:bCs/>
          <w:kern w:val="28"/>
          <w:szCs w:val="32"/>
          <w:highlight w:val="none"/>
        </w:rPr>
        <w:t xml:space="preserve">  本</w:t>
      </w:r>
      <w:r>
        <w:rPr>
          <w:rFonts w:ascii="Times New Roman" w:hAnsi="Times New Roman" w:eastAsia="宋体" w:cs="Times New Roman"/>
          <w:b/>
          <w:bCs/>
          <w:kern w:val="28"/>
          <w:szCs w:val="32"/>
          <w:highlight w:val="none"/>
        </w:rPr>
        <w:t>项目各污染物评价级别判断一览表</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423"/>
        <w:gridCol w:w="1354"/>
        <w:gridCol w:w="1292"/>
        <w:gridCol w:w="1279"/>
        <w:gridCol w:w="1337"/>
      </w:tblGrid>
      <w:tr w14:paraId="4B2D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4" w:type="dxa"/>
            <w:gridSpan w:val="3"/>
            <w:tcBorders>
              <w:tl2br w:val="nil"/>
              <w:tr2bl w:val="nil"/>
            </w:tcBorders>
            <w:tcMar>
              <w:top w:w="57" w:type="dxa"/>
              <w:bottom w:w="57" w:type="dxa"/>
            </w:tcMar>
            <w:vAlign w:val="center"/>
          </w:tcPr>
          <w:p w14:paraId="113A201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污染物名称</w:t>
            </w:r>
          </w:p>
        </w:tc>
        <w:tc>
          <w:tcPr>
            <w:tcW w:w="1292" w:type="dxa"/>
            <w:tcBorders>
              <w:tl2br w:val="nil"/>
              <w:tr2bl w:val="nil"/>
            </w:tcBorders>
            <w:tcMar>
              <w:top w:w="57" w:type="dxa"/>
              <w:bottom w:w="57" w:type="dxa"/>
            </w:tcMar>
            <w:vAlign w:val="center"/>
          </w:tcPr>
          <w:p w14:paraId="1A1DC31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w:t>
            </w:r>
            <w:r>
              <w:rPr>
                <w:rFonts w:ascii="Times New Roman" w:hAnsi="Times New Roman" w:eastAsia="宋体" w:cs="Times New Roman"/>
                <w:color w:val="000000" w:themeColor="text1"/>
                <w:szCs w:val="21"/>
                <w:vertAlign w:val="subscript"/>
                <w14:textFill>
                  <w14:solidFill>
                    <w14:schemeClr w14:val="tx1"/>
                  </w14:solidFill>
                </w14:textFill>
              </w:rPr>
              <w:t>max</w:t>
            </w:r>
            <w:r>
              <w:rPr>
                <w:rFonts w:ascii="Times New Roman" w:hAnsi="Times New Roman" w:eastAsia="宋体" w:cs="Times New Roman"/>
                <w:color w:val="000000" w:themeColor="text1"/>
                <w:szCs w:val="21"/>
                <w14:textFill>
                  <w14:solidFill>
                    <w14:schemeClr w14:val="tx1"/>
                  </w14:solidFill>
                </w14:textFill>
              </w:rPr>
              <w:t>（%）</w:t>
            </w:r>
          </w:p>
        </w:tc>
        <w:tc>
          <w:tcPr>
            <w:tcW w:w="1279" w:type="dxa"/>
            <w:tcBorders>
              <w:tl2br w:val="nil"/>
              <w:tr2bl w:val="nil"/>
            </w:tcBorders>
            <w:tcMar>
              <w:top w:w="57" w:type="dxa"/>
              <w:bottom w:w="57" w:type="dxa"/>
            </w:tcMar>
            <w:vAlign w:val="center"/>
          </w:tcPr>
          <w:p w14:paraId="28D340E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D</w:t>
            </w:r>
            <w:r>
              <w:rPr>
                <w:rFonts w:ascii="Times New Roman" w:hAnsi="Times New Roman" w:eastAsia="宋体" w:cs="Times New Roman"/>
                <w:color w:val="000000" w:themeColor="text1"/>
                <w:szCs w:val="21"/>
                <w:vertAlign w:val="subscript"/>
                <w14:textFill>
                  <w14:solidFill>
                    <w14:schemeClr w14:val="tx1"/>
                  </w14:solidFill>
                </w14:textFill>
              </w:rPr>
              <w:t>10%</w:t>
            </w:r>
            <w:r>
              <w:rPr>
                <w:rFonts w:ascii="Times New Roman" w:hAnsi="Times New Roman" w:eastAsia="宋体" w:cs="Times New Roman"/>
                <w:color w:val="000000" w:themeColor="text1"/>
                <w:szCs w:val="21"/>
                <w14:textFill>
                  <w14:solidFill>
                    <w14:schemeClr w14:val="tx1"/>
                  </w14:solidFill>
                </w14:textFill>
              </w:rPr>
              <w:t>（m）</w:t>
            </w:r>
          </w:p>
        </w:tc>
        <w:tc>
          <w:tcPr>
            <w:tcW w:w="1337" w:type="dxa"/>
            <w:tcBorders>
              <w:tl2br w:val="nil"/>
              <w:tr2bl w:val="nil"/>
            </w:tcBorders>
            <w:tcMar>
              <w:top w:w="57" w:type="dxa"/>
              <w:bottom w:w="57" w:type="dxa"/>
            </w:tcMar>
            <w:vAlign w:val="center"/>
          </w:tcPr>
          <w:p w14:paraId="3295CD7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评价级别</w:t>
            </w:r>
          </w:p>
        </w:tc>
      </w:tr>
      <w:tr w14:paraId="61AD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37" w:type="dxa"/>
            <w:vMerge w:val="restart"/>
            <w:tcBorders>
              <w:tl2br w:val="nil"/>
              <w:tr2bl w:val="nil"/>
            </w:tcBorders>
            <w:tcMar>
              <w:top w:w="57" w:type="dxa"/>
              <w:bottom w:w="57" w:type="dxa"/>
            </w:tcMar>
            <w:vAlign w:val="center"/>
          </w:tcPr>
          <w:p w14:paraId="7232119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无组织废气</w:t>
            </w:r>
          </w:p>
        </w:tc>
        <w:tc>
          <w:tcPr>
            <w:tcW w:w="2423" w:type="dxa"/>
            <w:vMerge w:val="restart"/>
            <w:tcBorders>
              <w:tl2br w:val="nil"/>
              <w:tr2bl w:val="nil"/>
            </w:tcBorders>
            <w:tcMar>
              <w:top w:w="57" w:type="dxa"/>
              <w:bottom w:w="57" w:type="dxa"/>
            </w:tcMar>
            <w:vAlign w:val="center"/>
          </w:tcPr>
          <w:p w14:paraId="6339F8E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生产车间</w:t>
            </w:r>
          </w:p>
        </w:tc>
        <w:tc>
          <w:tcPr>
            <w:tcW w:w="1354" w:type="dxa"/>
            <w:tcBorders>
              <w:tl2br w:val="nil"/>
              <w:tr2bl w:val="nil"/>
            </w:tcBorders>
            <w:tcMar>
              <w:top w:w="57" w:type="dxa"/>
              <w:bottom w:w="57" w:type="dxa"/>
            </w:tcMar>
            <w:vAlign w:val="center"/>
          </w:tcPr>
          <w:p w14:paraId="0905427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颗粒物</w:t>
            </w:r>
          </w:p>
        </w:tc>
        <w:tc>
          <w:tcPr>
            <w:tcW w:w="1292" w:type="dxa"/>
            <w:tcBorders>
              <w:tl2br w:val="nil"/>
              <w:tr2bl w:val="nil"/>
            </w:tcBorders>
            <w:tcMar>
              <w:top w:w="57" w:type="dxa"/>
              <w:bottom w:w="57" w:type="dxa"/>
            </w:tcMar>
            <w:vAlign w:val="center"/>
          </w:tcPr>
          <w:p w14:paraId="776D7FC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w:t>
            </w:r>
            <w:r>
              <w:rPr>
                <w:rFonts w:hint="eastAsia" w:ascii="Times New Roman" w:hAnsi="Times New Roman" w:eastAsia="宋体" w:cs="Times New Roman"/>
                <w:color w:val="000000" w:themeColor="text1"/>
                <w:szCs w:val="21"/>
                <w:lang w:val="en-US" w:eastAsia="zh-CN"/>
                <w14:textFill>
                  <w14:solidFill>
                    <w14:schemeClr w14:val="tx1"/>
                  </w14:solidFill>
                </w14:textFill>
              </w:rPr>
              <w:t>13</w:t>
            </w:r>
          </w:p>
        </w:tc>
        <w:tc>
          <w:tcPr>
            <w:tcW w:w="1279" w:type="dxa"/>
            <w:tcBorders>
              <w:tl2br w:val="nil"/>
              <w:tr2bl w:val="nil"/>
            </w:tcBorders>
            <w:tcMar>
              <w:top w:w="57" w:type="dxa"/>
              <w:bottom w:w="57" w:type="dxa"/>
            </w:tcMar>
            <w:vAlign w:val="center"/>
          </w:tcPr>
          <w:p w14:paraId="526CB54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5B28D85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r>
      <w:tr w14:paraId="3B7A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837" w:type="dxa"/>
            <w:vMerge w:val="continue"/>
            <w:tcBorders>
              <w:tl2br w:val="nil"/>
              <w:tr2bl w:val="nil"/>
            </w:tcBorders>
            <w:tcMar>
              <w:top w:w="57" w:type="dxa"/>
              <w:bottom w:w="57" w:type="dxa"/>
            </w:tcMar>
            <w:vAlign w:val="center"/>
          </w:tcPr>
          <w:p w14:paraId="286E6E01">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3F8FA8E0">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1B6FF7AD">
            <w:pPr>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苯</w:t>
            </w:r>
          </w:p>
        </w:tc>
        <w:tc>
          <w:tcPr>
            <w:tcW w:w="1292" w:type="dxa"/>
            <w:tcBorders>
              <w:tl2br w:val="nil"/>
              <w:tr2bl w:val="nil"/>
            </w:tcBorders>
            <w:tcMar>
              <w:top w:w="57" w:type="dxa"/>
              <w:bottom w:w="57" w:type="dxa"/>
            </w:tcMar>
            <w:vAlign w:val="center"/>
          </w:tcPr>
          <w:p w14:paraId="1837A99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0.77</w:t>
            </w:r>
          </w:p>
        </w:tc>
        <w:tc>
          <w:tcPr>
            <w:tcW w:w="1279" w:type="dxa"/>
            <w:tcBorders>
              <w:tl2br w:val="nil"/>
              <w:tr2bl w:val="nil"/>
            </w:tcBorders>
            <w:tcMar>
              <w:top w:w="57" w:type="dxa"/>
              <w:bottom w:w="57" w:type="dxa"/>
            </w:tcMar>
            <w:vAlign w:val="center"/>
          </w:tcPr>
          <w:p w14:paraId="4628808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2D6F864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三级</w:t>
            </w:r>
          </w:p>
        </w:tc>
      </w:tr>
      <w:tr w14:paraId="3C1C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continue"/>
            <w:tcBorders>
              <w:tl2br w:val="nil"/>
              <w:tr2bl w:val="nil"/>
            </w:tcBorders>
            <w:tcMar>
              <w:top w:w="57" w:type="dxa"/>
              <w:bottom w:w="57" w:type="dxa"/>
            </w:tcMar>
            <w:vAlign w:val="center"/>
          </w:tcPr>
          <w:p w14:paraId="5CC8F609">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7D7BB288">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01AC2D8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甲苯</w:t>
            </w:r>
          </w:p>
        </w:tc>
        <w:tc>
          <w:tcPr>
            <w:tcW w:w="1292" w:type="dxa"/>
            <w:tcBorders>
              <w:tl2br w:val="nil"/>
              <w:tr2bl w:val="nil"/>
            </w:tcBorders>
            <w:tcMar>
              <w:top w:w="57" w:type="dxa"/>
              <w:bottom w:w="57" w:type="dxa"/>
            </w:tcMar>
            <w:vAlign w:val="center"/>
          </w:tcPr>
          <w:p w14:paraId="5ABCAF2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34</w:t>
            </w:r>
          </w:p>
        </w:tc>
        <w:tc>
          <w:tcPr>
            <w:tcW w:w="1279" w:type="dxa"/>
            <w:tcBorders>
              <w:tl2br w:val="nil"/>
              <w:tr2bl w:val="nil"/>
            </w:tcBorders>
            <w:tcMar>
              <w:top w:w="57" w:type="dxa"/>
              <w:bottom w:w="57" w:type="dxa"/>
            </w:tcMar>
            <w:vAlign w:val="center"/>
          </w:tcPr>
          <w:p w14:paraId="58D18AE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5885BD0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r>
      <w:tr w14:paraId="7FC5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continue"/>
            <w:tcBorders>
              <w:tl2br w:val="nil"/>
              <w:tr2bl w:val="nil"/>
            </w:tcBorders>
            <w:tcMar>
              <w:top w:w="57" w:type="dxa"/>
              <w:bottom w:w="57" w:type="dxa"/>
            </w:tcMar>
            <w:vAlign w:val="center"/>
          </w:tcPr>
          <w:p w14:paraId="178F7570">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56162DA8">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135CA2E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二甲苯</w:t>
            </w:r>
          </w:p>
        </w:tc>
        <w:tc>
          <w:tcPr>
            <w:tcW w:w="1292" w:type="dxa"/>
            <w:tcBorders>
              <w:tl2br w:val="nil"/>
              <w:tr2bl w:val="nil"/>
            </w:tcBorders>
            <w:tcMar>
              <w:top w:w="57" w:type="dxa"/>
              <w:bottom w:w="57" w:type="dxa"/>
            </w:tcMar>
            <w:vAlign w:val="center"/>
          </w:tcPr>
          <w:p w14:paraId="1518FAB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4.9</w:t>
            </w:r>
          </w:p>
        </w:tc>
        <w:tc>
          <w:tcPr>
            <w:tcW w:w="1279" w:type="dxa"/>
            <w:tcBorders>
              <w:tl2br w:val="nil"/>
              <w:tr2bl w:val="nil"/>
            </w:tcBorders>
            <w:tcMar>
              <w:top w:w="57" w:type="dxa"/>
              <w:bottom w:w="57" w:type="dxa"/>
            </w:tcMar>
            <w:vAlign w:val="center"/>
          </w:tcPr>
          <w:p w14:paraId="5C35E55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49A983E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r>
      <w:tr w14:paraId="5BDB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continue"/>
            <w:tcBorders>
              <w:tl2br w:val="nil"/>
              <w:tr2bl w:val="nil"/>
            </w:tcBorders>
            <w:tcMar>
              <w:top w:w="57" w:type="dxa"/>
              <w:bottom w:w="57" w:type="dxa"/>
            </w:tcMar>
            <w:vAlign w:val="center"/>
          </w:tcPr>
          <w:p w14:paraId="52346EDE">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64E935EE">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1145779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w:t>
            </w:r>
          </w:p>
        </w:tc>
        <w:tc>
          <w:tcPr>
            <w:tcW w:w="1292" w:type="dxa"/>
            <w:tcBorders>
              <w:tl2br w:val="nil"/>
              <w:tr2bl w:val="nil"/>
            </w:tcBorders>
            <w:tcMar>
              <w:top w:w="57" w:type="dxa"/>
              <w:bottom w:w="57" w:type="dxa"/>
            </w:tcMar>
            <w:vAlign w:val="center"/>
          </w:tcPr>
          <w:p w14:paraId="3EA6D04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r>
              <w:rPr>
                <w:rFonts w:hint="eastAsia" w:ascii="Times New Roman" w:hAnsi="Times New Roman" w:eastAsia="宋体" w:cs="Times New Roman"/>
                <w:color w:val="000000" w:themeColor="text1"/>
                <w:szCs w:val="21"/>
                <w:lang w:val="en-US" w:eastAsia="zh-CN"/>
                <w14:textFill>
                  <w14:solidFill>
                    <w14:schemeClr w14:val="tx1"/>
                  </w14:solidFill>
                </w14:textFill>
              </w:rPr>
              <w:t>16</w:t>
            </w:r>
          </w:p>
        </w:tc>
        <w:tc>
          <w:tcPr>
            <w:tcW w:w="1279" w:type="dxa"/>
            <w:tcBorders>
              <w:tl2br w:val="nil"/>
              <w:tr2bl w:val="nil"/>
            </w:tcBorders>
            <w:tcMar>
              <w:top w:w="57" w:type="dxa"/>
              <w:bottom w:w="57" w:type="dxa"/>
            </w:tcMar>
            <w:vAlign w:val="center"/>
          </w:tcPr>
          <w:p w14:paraId="1AD7E48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4964AEA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r>
      <w:tr w14:paraId="1B26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restart"/>
            <w:tcBorders>
              <w:tl2br w:val="nil"/>
              <w:tr2bl w:val="nil"/>
            </w:tcBorders>
            <w:tcMar>
              <w:top w:w="57" w:type="dxa"/>
              <w:bottom w:w="57" w:type="dxa"/>
            </w:tcMar>
            <w:vAlign w:val="center"/>
          </w:tcPr>
          <w:p w14:paraId="313962A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有组织废气</w:t>
            </w:r>
          </w:p>
        </w:tc>
        <w:tc>
          <w:tcPr>
            <w:tcW w:w="2423" w:type="dxa"/>
            <w:tcBorders>
              <w:tl2br w:val="nil"/>
              <w:tr2bl w:val="nil"/>
            </w:tcBorders>
            <w:tcMar>
              <w:top w:w="57" w:type="dxa"/>
              <w:bottom w:w="57" w:type="dxa"/>
            </w:tcMar>
            <w:vAlign w:val="center"/>
          </w:tcPr>
          <w:p w14:paraId="7795247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生产车间</w:t>
            </w:r>
            <w:r>
              <w:rPr>
                <w:rStyle w:val="35"/>
                <w:rFonts w:ascii="Times New Roman" w:hAnsi="Times New Roman" w:eastAsia="宋体" w:cs="Times New Roman"/>
                <w:color w:val="000000" w:themeColor="text1"/>
                <w14:textFill>
                  <w14:solidFill>
                    <w14:schemeClr w14:val="tx1"/>
                  </w14:solidFill>
                </w14:textFill>
              </w:rPr>
              <w:t>实木加工工序</w:t>
            </w:r>
            <w:r>
              <w:rPr>
                <w:rStyle w:val="35"/>
                <w:rFonts w:hint="eastAsia" w:ascii="Times New Roman" w:hAnsi="Times New Roman" w:eastAsia="宋体" w:cs="Times New Roman"/>
                <w:color w:val="000000" w:themeColor="text1"/>
                <w14:textFill>
                  <w14:solidFill>
                    <w14:schemeClr w14:val="tx1"/>
                  </w14:solidFill>
                </w14:textFill>
              </w:rPr>
              <w:t>（DA001）</w:t>
            </w:r>
          </w:p>
        </w:tc>
        <w:tc>
          <w:tcPr>
            <w:tcW w:w="1354" w:type="dxa"/>
            <w:tcBorders>
              <w:tl2br w:val="nil"/>
              <w:tr2bl w:val="nil"/>
            </w:tcBorders>
            <w:tcMar>
              <w:top w:w="57" w:type="dxa"/>
              <w:bottom w:w="57" w:type="dxa"/>
            </w:tcMar>
            <w:vAlign w:val="center"/>
          </w:tcPr>
          <w:p w14:paraId="03D1E97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颗粒物</w:t>
            </w:r>
          </w:p>
        </w:tc>
        <w:tc>
          <w:tcPr>
            <w:tcW w:w="1292" w:type="dxa"/>
            <w:tcBorders>
              <w:tl2br w:val="nil"/>
              <w:tr2bl w:val="nil"/>
            </w:tcBorders>
            <w:tcMar>
              <w:top w:w="57" w:type="dxa"/>
              <w:bottom w:w="57" w:type="dxa"/>
            </w:tcMar>
            <w:vAlign w:val="center"/>
          </w:tcPr>
          <w:p w14:paraId="298D3B9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0.57</w:t>
            </w:r>
          </w:p>
        </w:tc>
        <w:tc>
          <w:tcPr>
            <w:tcW w:w="1279" w:type="dxa"/>
            <w:tcBorders>
              <w:tl2br w:val="nil"/>
              <w:tr2bl w:val="nil"/>
            </w:tcBorders>
            <w:tcMar>
              <w:top w:w="57" w:type="dxa"/>
              <w:bottom w:w="57" w:type="dxa"/>
            </w:tcMar>
            <w:vAlign w:val="center"/>
          </w:tcPr>
          <w:p w14:paraId="1617CDD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4875F23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三</w:t>
            </w:r>
            <w:r>
              <w:rPr>
                <w:rFonts w:ascii="Times New Roman" w:hAnsi="Times New Roman" w:eastAsia="宋体" w:cs="Times New Roman"/>
                <w:color w:val="000000" w:themeColor="text1"/>
                <w:szCs w:val="21"/>
                <w14:textFill>
                  <w14:solidFill>
                    <w14:schemeClr w14:val="tx1"/>
                  </w14:solidFill>
                </w14:textFill>
              </w:rPr>
              <w:t>级</w:t>
            </w:r>
          </w:p>
        </w:tc>
      </w:tr>
      <w:tr w14:paraId="08CF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37" w:type="dxa"/>
            <w:vMerge w:val="continue"/>
            <w:tcBorders>
              <w:tl2br w:val="nil"/>
              <w:tr2bl w:val="nil"/>
            </w:tcBorders>
            <w:tcMar>
              <w:top w:w="57" w:type="dxa"/>
              <w:bottom w:w="57" w:type="dxa"/>
            </w:tcMar>
            <w:vAlign w:val="center"/>
          </w:tcPr>
          <w:p w14:paraId="7E029A2E">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restart"/>
            <w:tcBorders>
              <w:tl2br w:val="nil"/>
              <w:tr2bl w:val="nil"/>
            </w:tcBorders>
            <w:tcMar>
              <w:top w:w="57" w:type="dxa"/>
              <w:bottom w:w="57" w:type="dxa"/>
            </w:tcMar>
            <w:vAlign w:val="center"/>
          </w:tcPr>
          <w:p w14:paraId="5317CFE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拼板冷压、封边、热压、擦色、</w:t>
            </w:r>
            <w:r>
              <w:rPr>
                <w:rFonts w:hint="eastAsia" w:ascii="Times New Roman" w:hAnsi="Times New Roman" w:eastAsia="宋体" w:cs="Times New Roman"/>
                <w:color w:val="000000" w:themeColor="text1"/>
                <w:szCs w:val="21"/>
                <w:lang w:val="en-US" w:eastAsia="zh-CN"/>
                <w14:textFill>
                  <w14:solidFill>
                    <w14:schemeClr w14:val="tx1"/>
                  </w14:solidFill>
                </w14:textFill>
              </w:rPr>
              <w:t>喷</w:t>
            </w:r>
            <w:r>
              <w:rPr>
                <w:rFonts w:ascii="Times New Roman" w:hAnsi="Times New Roman" w:eastAsia="宋体" w:cs="Times New Roman"/>
                <w:color w:val="000000" w:themeColor="text1"/>
                <w:szCs w:val="21"/>
                <w14:textFill>
                  <w14:solidFill>
                    <w14:schemeClr w14:val="tx1"/>
                  </w14:solidFill>
                </w14:textFill>
              </w:rPr>
              <w:t>漆房（含</w:t>
            </w:r>
            <w:r>
              <w:rPr>
                <w:rFonts w:hint="eastAsia" w:ascii="Times New Roman" w:hAnsi="Times New Roman" w:eastAsia="宋体" w:cs="Times New Roman"/>
                <w:color w:val="000000" w:themeColor="text1"/>
                <w:szCs w:val="21"/>
                <w14:textFill>
                  <w14:solidFill>
                    <w14:schemeClr w14:val="tx1"/>
                  </w14:solidFill>
                </w14:textFill>
              </w:rPr>
              <w:t>调漆、</w:t>
            </w:r>
            <w:r>
              <w:rPr>
                <w:rFonts w:ascii="Times New Roman" w:hAnsi="Times New Roman" w:eastAsia="宋体" w:cs="Times New Roman"/>
                <w:color w:val="000000" w:themeColor="text1"/>
                <w:szCs w:val="21"/>
                <w14:textFill>
                  <w14:solidFill>
                    <w14:schemeClr w14:val="tx1"/>
                  </w14:solidFill>
                </w14:textFill>
              </w:rPr>
              <w:t>晾干）</w:t>
            </w:r>
            <w:r>
              <w:rPr>
                <w:rStyle w:val="35"/>
                <w:rFonts w:hint="eastAsia" w:ascii="Times New Roman" w:hAnsi="Times New Roman" w:eastAsia="宋体" w:cs="Times New Roman"/>
                <w:color w:val="000000" w:themeColor="text1"/>
                <w14:textFill>
                  <w14:solidFill>
                    <w14:schemeClr w14:val="tx1"/>
                  </w14:solidFill>
                </w14:textFill>
              </w:rPr>
              <w:t>（DA00</w:t>
            </w:r>
            <w:r>
              <w:rPr>
                <w:rStyle w:val="35"/>
                <w:rFonts w:hint="eastAsia" w:ascii="Times New Roman" w:hAnsi="Times New Roman" w:eastAsia="宋体" w:cs="Times New Roman"/>
                <w:color w:val="000000" w:themeColor="text1"/>
                <w:lang w:val="en-US" w:eastAsia="zh-CN"/>
                <w14:textFill>
                  <w14:solidFill>
                    <w14:schemeClr w14:val="tx1"/>
                  </w14:solidFill>
                </w14:textFill>
              </w:rPr>
              <w:t>2</w:t>
            </w:r>
            <w:r>
              <w:rPr>
                <w:rStyle w:val="35"/>
                <w:rFonts w:hint="eastAsia" w:ascii="Times New Roman" w:hAnsi="Times New Roman" w:eastAsia="宋体" w:cs="Times New Roman"/>
                <w:color w:val="000000" w:themeColor="text1"/>
                <w14:textFill>
                  <w14:solidFill>
                    <w14:schemeClr w14:val="tx1"/>
                  </w14:solidFill>
                </w14:textFill>
              </w:rPr>
              <w:t>）</w:t>
            </w:r>
          </w:p>
        </w:tc>
        <w:tc>
          <w:tcPr>
            <w:tcW w:w="1354" w:type="dxa"/>
            <w:tcBorders>
              <w:tl2br w:val="nil"/>
              <w:tr2bl w:val="nil"/>
            </w:tcBorders>
            <w:tcMar>
              <w:top w:w="57" w:type="dxa"/>
              <w:bottom w:w="57" w:type="dxa"/>
            </w:tcMar>
            <w:vAlign w:val="center"/>
          </w:tcPr>
          <w:p w14:paraId="796EF38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1292" w:type="dxa"/>
            <w:tcBorders>
              <w:tl2br w:val="nil"/>
              <w:tr2bl w:val="nil"/>
            </w:tcBorders>
            <w:tcMar>
              <w:top w:w="57" w:type="dxa"/>
              <w:bottom w:w="57" w:type="dxa"/>
            </w:tcMar>
            <w:vAlign w:val="center"/>
          </w:tcPr>
          <w:p w14:paraId="1771B24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46</w:t>
            </w:r>
          </w:p>
        </w:tc>
        <w:tc>
          <w:tcPr>
            <w:tcW w:w="1279" w:type="dxa"/>
            <w:tcBorders>
              <w:tl2br w:val="nil"/>
              <w:tr2bl w:val="nil"/>
            </w:tcBorders>
            <w:tcMar>
              <w:top w:w="57" w:type="dxa"/>
              <w:bottom w:w="57" w:type="dxa"/>
            </w:tcMar>
            <w:vAlign w:val="center"/>
          </w:tcPr>
          <w:p w14:paraId="00A82E8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1A1F3B7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三级</w:t>
            </w:r>
          </w:p>
        </w:tc>
      </w:tr>
      <w:tr w14:paraId="3990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837" w:type="dxa"/>
            <w:vMerge w:val="continue"/>
            <w:tcBorders>
              <w:tl2br w:val="nil"/>
              <w:tr2bl w:val="nil"/>
            </w:tcBorders>
            <w:tcMar>
              <w:top w:w="57" w:type="dxa"/>
              <w:bottom w:w="57" w:type="dxa"/>
            </w:tcMar>
            <w:vAlign w:val="center"/>
          </w:tcPr>
          <w:p w14:paraId="5FD90698">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12D70A74">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3E80353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苯</w:t>
            </w:r>
          </w:p>
        </w:tc>
        <w:tc>
          <w:tcPr>
            <w:tcW w:w="1292" w:type="dxa"/>
            <w:tcBorders>
              <w:tl2br w:val="nil"/>
              <w:tr2bl w:val="nil"/>
            </w:tcBorders>
            <w:tcMar>
              <w:top w:w="57" w:type="dxa"/>
              <w:bottom w:w="57" w:type="dxa"/>
            </w:tcMar>
            <w:vAlign w:val="center"/>
          </w:tcPr>
          <w:p w14:paraId="56A1D74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0.22</w:t>
            </w:r>
          </w:p>
        </w:tc>
        <w:tc>
          <w:tcPr>
            <w:tcW w:w="1279" w:type="dxa"/>
            <w:tcBorders>
              <w:tl2br w:val="nil"/>
              <w:tr2bl w:val="nil"/>
            </w:tcBorders>
            <w:tcMar>
              <w:top w:w="57" w:type="dxa"/>
              <w:bottom w:w="57" w:type="dxa"/>
            </w:tcMar>
            <w:vAlign w:val="center"/>
          </w:tcPr>
          <w:p w14:paraId="4E1784D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0B3CA91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三级</w:t>
            </w:r>
          </w:p>
        </w:tc>
      </w:tr>
      <w:tr w14:paraId="0EC4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continue"/>
            <w:tcBorders>
              <w:tl2br w:val="nil"/>
              <w:tr2bl w:val="nil"/>
            </w:tcBorders>
            <w:tcMar>
              <w:top w:w="57" w:type="dxa"/>
              <w:bottom w:w="57" w:type="dxa"/>
            </w:tcMar>
            <w:vAlign w:val="center"/>
          </w:tcPr>
          <w:p w14:paraId="1FD60818">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7B0F2D8F">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009C247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甲苯</w:t>
            </w:r>
          </w:p>
        </w:tc>
        <w:tc>
          <w:tcPr>
            <w:tcW w:w="1292" w:type="dxa"/>
            <w:tcBorders>
              <w:tl2br w:val="nil"/>
              <w:tr2bl w:val="nil"/>
            </w:tcBorders>
            <w:tcMar>
              <w:top w:w="57" w:type="dxa"/>
              <w:bottom w:w="57" w:type="dxa"/>
            </w:tcMar>
            <w:vAlign w:val="center"/>
          </w:tcPr>
          <w:p w14:paraId="1A27B17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55</w:t>
            </w:r>
          </w:p>
        </w:tc>
        <w:tc>
          <w:tcPr>
            <w:tcW w:w="1279" w:type="dxa"/>
            <w:tcBorders>
              <w:tl2br w:val="nil"/>
              <w:tr2bl w:val="nil"/>
            </w:tcBorders>
            <w:tcMar>
              <w:top w:w="57" w:type="dxa"/>
              <w:bottom w:w="57" w:type="dxa"/>
            </w:tcMar>
            <w:vAlign w:val="center"/>
          </w:tcPr>
          <w:p w14:paraId="0F255CF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08CBC1A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三级</w:t>
            </w:r>
          </w:p>
        </w:tc>
      </w:tr>
      <w:tr w14:paraId="548A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continue"/>
            <w:tcBorders>
              <w:tl2br w:val="nil"/>
              <w:tr2bl w:val="nil"/>
            </w:tcBorders>
            <w:tcMar>
              <w:top w:w="57" w:type="dxa"/>
              <w:bottom w:w="57" w:type="dxa"/>
            </w:tcMar>
            <w:vAlign w:val="center"/>
          </w:tcPr>
          <w:p w14:paraId="5E804827">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72F2CF2C">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2DCE402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二甲苯</w:t>
            </w:r>
          </w:p>
        </w:tc>
        <w:tc>
          <w:tcPr>
            <w:tcW w:w="1292" w:type="dxa"/>
            <w:tcBorders>
              <w:tl2br w:val="nil"/>
              <w:tr2bl w:val="nil"/>
            </w:tcBorders>
            <w:tcMar>
              <w:top w:w="57" w:type="dxa"/>
              <w:bottom w:w="57" w:type="dxa"/>
            </w:tcMar>
            <w:vAlign w:val="center"/>
          </w:tcPr>
          <w:p w14:paraId="36784B9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1.23</w:t>
            </w:r>
          </w:p>
        </w:tc>
        <w:tc>
          <w:tcPr>
            <w:tcW w:w="1279" w:type="dxa"/>
            <w:tcBorders>
              <w:tl2br w:val="nil"/>
              <w:tr2bl w:val="nil"/>
            </w:tcBorders>
            <w:tcMar>
              <w:top w:w="57" w:type="dxa"/>
              <w:bottom w:w="57" w:type="dxa"/>
            </w:tcMar>
            <w:vAlign w:val="center"/>
          </w:tcPr>
          <w:p w14:paraId="75E3A00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0CB1417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r>
      <w:tr w14:paraId="5867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837" w:type="dxa"/>
            <w:vMerge w:val="continue"/>
            <w:tcBorders>
              <w:tl2br w:val="nil"/>
              <w:tr2bl w:val="nil"/>
            </w:tcBorders>
            <w:tcMar>
              <w:top w:w="57" w:type="dxa"/>
              <w:bottom w:w="57" w:type="dxa"/>
            </w:tcMar>
            <w:vAlign w:val="center"/>
          </w:tcPr>
          <w:p w14:paraId="6CFA434A">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bottom w:val="single" w:color="000000" w:sz="4" w:space="0"/>
              <w:tl2br w:val="nil"/>
              <w:tr2bl w:val="nil"/>
            </w:tcBorders>
            <w:tcMar>
              <w:top w:w="57" w:type="dxa"/>
              <w:bottom w:w="57" w:type="dxa"/>
            </w:tcMar>
            <w:vAlign w:val="center"/>
          </w:tcPr>
          <w:p w14:paraId="3384548A">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bottom w:val="single" w:color="000000" w:sz="4" w:space="0"/>
              <w:tl2br w:val="nil"/>
              <w:tr2bl w:val="nil"/>
            </w:tcBorders>
            <w:tcMar>
              <w:top w:w="57" w:type="dxa"/>
              <w:bottom w:w="57" w:type="dxa"/>
            </w:tcMar>
            <w:vAlign w:val="center"/>
          </w:tcPr>
          <w:p w14:paraId="71C9D77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w:t>
            </w:r>
          </w:p>
        </w:tc>
        <w:tc>
          <w:tcPr>
            <w:tcW w:w="1292" w:type="dxa"/>
            <w:tcBorders>
              <w:bottom w:val="single" w:color="000000" w:sz="4" w:space="0"/>
              <w:tl2br w:val="nil"/>
              <w:tr2bl w:val="nil"/>
            </w:tcBorders>
            <w:tcMar>
              <w:top w:w="57" w:type="dxa"/>
              <w:bottom w:w="57" w:type="dxa"/>
            </w:tcMar>
            <w:vAlign w:val="center"/>
          </w:tcPr>
          <w:p w14:paraId="0B5D9AB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95</w:t>
            </w:r>
          </w:p>
        </w:tc>
        <w:tc>
          <w:tcPr>
            <w:tcW w:w="1279" w:type="dxa"/>
            <w:tcBorders>
              <w:bottom w:val="single" w:color="000000" w:sz="4" w:space="0"/>
              <w:tl2br w:val="nil"/>
              <w:tr2bl w:val="nil"/>
            </w:tcBorders>
            <w:tcMar>
              <w:top w:w="57" w:type="dxa"/>
              <w:bottom w:w="57" w:type="dxa"/>
            </w:tcMar>
            <w:vAlign w:val="center"/>
          </w:tcPr>
          <w:p w14:paraId="048D949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bottom w:val="single" w:color="000000" w:sz="4" w:space="0"/>
              <w:tl2br w:val="nil"/>
              <w:tr2bl w:val="nil"/>
            </w:tcBorders>
            <w:tcMar>
              <w:top w:w="57" w:type="dxa"/>
              <w:bottom w:w="57" w:type="dxa"/>
            </w:tcMar>
            <w:vAlign w:val="center"/>
          </w:tcPr>
          <w:p w14:paraId="727D21A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三级</w:t>
            </w:r>
          </w:p>
        </w:tc>
      </w:tr>
    </w:tbl>
    <w:p w14:paraId="5B06DFC7">
      <w:pPr>
        <w:autoSpaceDE w:val="0"/>
        <w:autoSpaceDN w:val="0"/>
        <w:adjustRightInd w:val="0"/>
        <w:snapToGrid w:val="0"/>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bCs/>
          <w:sz w:val="24"/>
          <w:szCs w:val="22"/>
        </w:rPr>
        <w:t>采用ARESCREEN对本项目点源和面源下风向的污染物浓度和占标率进行计算，</w:t>
      </w:r>
      <w:r>
        <w:rPr>
          <w:rFonts w:ascii="Times New Roman" w:hAnsi="Times New Roman" w:eastAsia="宋体" w:cs="Times New Roman"/>
          <w:sz w:val="24"/>
        </w:rPr>
        <w:t>由计算结果可知，本项目存在多个污染源，其中占标率最大的污染因子为</w:t>
      </w:r>
      <w:r>
        <w:rPr>
          <w:rFonts w:hint="eastAsia" w:ascii="Times New Roman" w:hAnsi="Times New Roman" w:eastAsia="宋体" w:cs="Times New Roman"/>
          <w:sz w:val="24"/>
        </w:rPr>
        <w:t>无组织排放颗粒物，</w:t>
      </w:r>
      <w:r>
        <w:rPr>
          <w:rFonts w:ascii="Times New Roman" w:hAnsi="Times New Roman" w:eastAsia="宋体" w:cs="Times New Roman"/>
          <w:sz w:val="24"/>
        </w:rPr>
        <w:t>其占标</w:t>
      </w:r>
      <w:r>
        <w:rPr>
          <w:rFonts w:ascii="Times New Roman" w:hAnsi="Times New Roman" w:eastAsia="宋体" w:cs="Times New Roman"/>
          <w:sz w:val="24"/>
          <w:highlight w:val="none"/>
        </w:rPr>
        <w:t>率为</w:t>
      </w:r>
      <w:r>
        <w:rPr>
          <w:rFonts w:hint="eastAsia" w:ascii="Times New Roman" w:hAnsi="Times New Roman" w:eastAsia="宋体" w:cs="Times New Roman"/>
          <w:sz w:val="24"/>
          <w:highlight w:val="none"/>
        </w:rPr>
        <w:t>9.</w:t>
      </w:r>
      <w:r>
        <w:rPr>
          <w:rFonts w:hint="eastAsia" w:ascii="Times New Roman" w:hAnsi="Times New Roman" w:eastAsia="宋体" w:cs="Times New Roman"/>
          <w:sz w:val="24"/>
          <w:highlight w:val="none"/>
          <w:lang w:val="en-US" w:eastAsia="zh-CN"/>
        </w:rPr>
        <w:t>13</w:t>
      </w:r>
      <w:r>
        <w:rPr>
          <w:rFonts w:ascii="Times New Roman" w:hAnsi="Times New Roman" w:eastAsia="宋体" w:cs="Times New Roman"/>
          <w:sz w:val="24"/>
          <w:highlight w:val="none"/>
        </w:rPr>
        <w:t>%，大气</w:t>
      </w:r>
      <w:r>
        <w:rPr>
          <w:rFonts w:ascii="Times New Roman" w:hAnsi="Times New Roman" w:eastAsia="宋体" w:cs="Times New Roman"/>
          <w:sz w:val="24"/>
        </w:rPr>
        <w:t>环境影响评价等级为</w:t>
      </w:r>
      <w:r>
        <w:rPr>
          <w:rFonts w:hint="eastAsia" w:ascii="Times New Roman" w:hAnsi="Times New Roman" w:eastAsia="宋体" w:cs="Times New Roman"/>
          <w:sz w:val="24"/>
        </w:rPr>
        <w:t>二</w:t>
      </w:r>
      <w:r>
        <w:rPr>
          <w:rFonts w:ascii="Times New Roman" w:hAnsi="Times New Roman" w:eastAsia="宋体" w:cs="Times New Roman"/>
          <w:sz w:val="24"/>
        </w:rPr>
        <w:t>级。</w:t>
      </w:r>
    </w:p>
    <w:bookmarkEnd w:id="28"/>
    <w:p w14:paraId="4E222D65">
      <w:pPr>
        <w:pStyle w:val="4"/>
        <w:numPr>
          <w:ilvl w:val="2"/>
          <w:numId w:val="21"/>
        </w:numPr>
        <w:tabs>
          <w:tab w:val="clear" w:pos="0"/>
        </w:tabs>
        <w:adjustRightInd w:val="0"/>
        <w:snapToGrid w:val="0"/>
      </w:pPr>
      <w:r>
        <w:t>水环境影响评价等级</w:t>
      </w:r>
    </w:p>
    <w:p w14:paraId="756159A9">
      <w:pPr>
        <w:pStyle w:val="63"/>
        <w:adjustRightInd w:val="0"/>
        <w:snapToGrid w:val="0"/>
        <w:ind w:firstLine="480"/>
      </w:pPr>
      <w:r>
        <w:t>按照《环境影响评价技</w:t>
      </w:r>
      <w:r>
        <w:rPr>
          <w:rFonts w:ascii="Times New Roman" w:hAnsi="Times New Roman"/>
        </w:rPr>
        <w:t>术导则 地表水环境》（HJ2.3-2018）</w:t>
      </w:r>
      <w:r>
        <w:t>要求，地表水环境影响评价工作等级按照影响类型、排放方式、排放量或影响情况、受纳水体环境质量现状、水环境保护目标等综合确定。</w:t>
      </w:r>
    </w:p>
    <w:p w14:paraId="787ED081">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生活污水经厂区内的化粪池处理、水帘废水经厂区污水处理站处理后一并通过厂区总排口接管排入清丰中州水务有限公司第二污水处理厂集中处理，达标尾水排入潴龙河</w:t>
      </w:r>
      <w:r>
        <w:rPr>
          <w:rFonts w:ascii="Times New Roman" w:hAnsi="Times New Roman" w:eastAsia="宋体" w:cs="Times New Roman"/>
          <w:sz w:val="24"/>
        </w:rPr>
        <w:t>。</w:t>
      </w:r>
    </w:p>
    <w:p w14:paraId="32BE742F">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bCs/>
          <w:sz w:val="24"/>
          <w:szCs w:val="21"/>
        </w:rPr>
        <w:t>因此本项目废水的排放方式为间接排放。</w:t>
      </w:r>
      <w:r>
        <w:rPr>
          <w:rFonts w:ascii="Times New Roman" w:hAnsi="Times New Roman" w:cs="Times New Roman"/>
          <w:sz w:val="24"/>
        </w:rPr>
        <w:t>根据《环境影响评价技术导则 地面水》（HJ2.3-</w:t>
      </w:r>
      <w:r>
        <w:rPr>
          <w:rFonts w:hint="eastAsia" w:ascii="Times New Roman" w:hAnsi="Times New Roman" w:cs="Times New Roman"/>
          <w:sz w:val="24"/>
        </w:rPr>
        <w:t>2018</w:t>
      </w:r>
      <w:r>
        <w:rPr>
          <w:rFonts w:ascii="Times New Roman" w:hAnsi="Times New Roman" w:cs="Times New Roman"/>
          <w:sz w:val="24"/>
        </w:rPr>
        <w:t>）的有关规定，水环境影响评价工作等级定为三级B。</w:t>
      </w:r>
    </w:p>
    <w:p w14:paraId="5802B848">
      <w:pPr>
        <w:pStyle w:val="4"/>
        <w:numPr>
          <w:ilvl w:val="2"/>
          <w:numId w:val="21"/>
        </w:numPr>
        <w:tabs>
          <w:tab w:val="clear" w:pos="0"/>
        </w:tabs>
        <w:adjustRightInd w:val="0"/>
        <w:snapToGrid w:val="0"/>
      </w:pPr>
      <w:r>
        <w:t>声环境影响评价等级</w:t>
      </w:r>
    </w:p>
    <w:p w14:paraId="4E13A18B">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本项目厂址处于声环境质量3类声环境功能区，运营期对周边居民区声环境质量增加量小于3dB(A)，受影响人口较小，根据《环境影响评价技术导则 声环境》（HJ 2.4-20</w:t>
      </w:r>
      <w:r>
        <w:rPr>
          <w:rFonts w:hint="eastAsia" w:ascii="Times New Roman" w:hAnsi="Times New Roman" w:cs="Times New Roman"/>
          <w:sz w:val="24"/>
        </w:rPr>
        <w:t>21</w:t>
      </w:r>
      <w:r>
        <w:rPr>
          <w:rFonts w:ascii="Times New Roman" w:hAnsi="Times New Roman" w:cs="Times New Roman"/>
          <w:sz w:val="24"/>
        </w:rPr>
        <w:t>）规定，本次声环境影响评价工作等定为三级，见</w:t>
      </w:r>
      <w:r>
        <w:rPr>
          <w:rFonts w:hint="eastAsia" w:ascii="Times New Roman" w:hAnsi="Times New Roman" w:cs="Times New Roman"/>
          <w:sz w:val="24"/>
        </w:rPr>
        <w:t>下</w:t>
      </w:r>
      <w:r>
        <w:rPr>
          <w:rFonts w:ascii="Times New Roman" w:hAnsi="Times New Roman" w:cs="Times New Roman"/>
          <w:sz w:val="24"/>
        </w:rPr>
        <w:t>表。</w:t>
      </w:r>
    </w:p>
    <w:p w14:paraId="1CF0E396">
      <w:pPr>
        <w:numPr>
          <w:ilvl w:val="0"/>
          <w:numId w:val="22"/>
        </w:numPr>
        <w:adjustRightInd w:val="0"/>
        <w:snapToGrid w:val="0"/>
        <w:jc w:val="center"/>
        <w:rPr>
          <w:rFonts w:ascii="Times New Roman" w:hAnsi="Times New Roman" w:eastAsia="宋体" w:cs="Times New Roman"/>
          <w:b/>
          <w:szCs w:val="22"/>
        </w:rPr>
      </w:pPr>
      <w:r>
        <w:rPr>
          <w:rFonts w:hint="eastAsia" w:ascii="Times New Roman" w:hAnsi="Times New Roman" w:eastAsia="宋体" w:cs="Times New Roman"/>
          <w:b/>
          <w:szCs w:val="22"/>
        </w:rPr>
        <w:t xml:space="preserve">  </w:t>
      </w:r>
      <w:r>
        <w:rPr>
          <w:rFonts w:ascii="Times New Roman" w:hAnsi="Times New Roman" w:eastAsia="宋体" w:cs="Times New Roman"/>
          <w:b/>
          <w:szCs w:val="22"/>
        </w:rPr>
        <w:t>声环境评价工作等级判定表</w:t>
      </w:r>
    </w:p>
    <w:tbl>
      <w:tblPr>
        <w:tblStyle w:val="30"/>
        <w:tblW w:w="8363" w:type="dxa"/>
        <w:tblInd w:w="0" w:type="dxa"/>
        <w:shd w:val="clear" w:color="auto" w:fill="FFFFFF"/>
        <w:tblLayout w:type="fixed"/>
        <w:tblCellMar>
          <w:top w:w="0" w:type="dxa"/>
          <w:left w:w="0" w:type="dxa"/>
          <w:bottom w:w="0" w:type="dxa"/>
          <w:right w:w="0" w:type="dxa"/>
        </w:tblCellMar>
      </w:tblPr>
      <w:tblGrid>
        <w:gridCol w:w="1252"/>
        <w:gridCol w:w="1061"/>
        <w:gridCol w:w="1723"/>
        <w:gridCol w:w="2689"/>
        <w:gridCol w:w="1638"/>
      </w:tblGrid>
      <w:tr w14:paraId="35F194D9">
        <w:tblPrEx>
          <w:shd w:val="clear" w:color="auto" w:fill="FFFFFF"/>
          <w:tblCellMar>
            <w:top w:w="0" w:type="dxa"/>
            <w:left w:w="0" w:type="dxa"/>
            <w:bottom w:w="0" w:type="dxa"/>
            <w:right w:w="0" w:type="dxa"/>
          </w:tblCellMar>
        </w:tblPrEx>
        <w:trPr>
          <w:trHeight w:val="340" w:hRule="atLeast"/>
          <w:tblHeader/>
        </w:trPr>
        <w:tc>
          <w:tcPr>
            <w:tcW w:w="231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22F6F95">
            <w:pPr>
              <w:widowControl/>
              <w:jc w:val="center"/>
              <w:textAlignment w:val="center"/>
              <w:rPr>
                <w:rFonts w:ascii="Times New Roman" w:hAnsi="Times New Roman" w:cs="Times New Roman"/>
                <w:szCs w:val="18"/>
              </w:rPr>
            </w:pPr>
            <w:r>
              <w:rPr>
                <w:rFonts w:ascii="Times New Roman" w:hAnsi="Times New Roman" w:cs="Times New Roman"/>
                <w:szCs w:val="18"/>
              </w:rPr>
              <w:t>影响因素评价等级</w:t>
            </w:r>
          </w:p>
        </w:tc>
        <w:tc>
          <w:tcPr>
            <w:tcW w:w="1723" w:type="dxa"/>
            <w:tcBorders>
              <w:top w:val="single" w:color="auto" w:sz="8" w:space="0"/>
              <w:left w:val="single" w:color="auto" w:sz="8" w:space="0"/>
              <w:bottom w:val="single" w:color="auto" w:sz="8" w:space="0"/>
              <w:right w:val="single" w:color="auto" w:sz="8" w:space="0"/>
            </w:tcBorders>
            <w:shd w:val="clear" w:color="auto" w:fill="auto"/>
            <w:vAlign w:val="center"/>
          </w:tcPr>
          <w:p w14:paraId="72825FDE">
            <w:pPr>
              <w:widowControl/>
              <w:jc w:val="center"/>
              <w:textAlignment w:val="center"/>
              <w:rPr>
                <w:rFonts w:ascii="Times New Roman" w:hAnsi="Times New Roman" w:cs="Times New Roman"/>
                <w:szCs w:val="18"/>
              </w:rPr>
            </w:pPr>
            <w:r>
              <w:rPr>
                <w:rFonts w:ascii="Times New Roman" w:hAnsi="Times New Roman" w:cs="Times New Roman"/>
                <w:szCs w:val="18"/>
              </w:rPr>
              <w:t>声环境功能区</w:t>
            </w:r>
          </w:p>
        </w:tc>
        <w:tc>
          <w:tcPr>
            <w:tcW w:w="2689" w:type="dxa"/>
            <w:tcBorders>
              <w:top w:val="single" w:color="auto" w:sz="8" w:space="0"/>
              <w:left w:val="single" w:color="auto" w:sz="8" w:space="0"/>
              <w:bottom w:val="single" w:color="auto" w:sz="8" w:space="0"/>
              <w:right w:val="single" w:color="auto" w:sz="8" w:space="0"/>
            </w:tcBorders>
            <w:shd w:val="clear" w:color="auto" w:fill="auto"/>
            <w:vAlign w:val="center"/>
          </w:tcPr>
          <w:p w14:paraId="4BEBBB79">
            <w:pPr>
              <w:widowControl/>
              <w:jc w:val="center"/>
              <w:textAlignment w:val="center"/>
              <w:rPr>
                <w:rFonts w:ascii="Times New Roman" w:hAnsi="Times New Roman" w:cs="Times New Roman"/>
                <w:szCs w:val="18"/>
              </w:rPr>
            </w:pPr>
            <w:r>
              <w:rPr>
                <w:rFonts w:ascii="Times New Roman" w:hAnsi="Times New Roman" w:cs="Times New Roman"/>
                <w:szCs w:val="18"/>
              </w:rPr>
              <w:t>环境敏感目标噪声级增量</w:t>
            </w:r>
          </w:p>
        </w:tc>
        <w:tc>
          <w:tcPr>
            <w:tcW w:w="1638" w:type="dxa"/>
            <w:tcBorders>
              <w:top w:val="single" w:color="auto" w:sz="8" w:space="0"/>
              <w:left w:val="single" w:color="auto" w:sz="8" w:space="0"/>
              <w:bottom w:val="single" w:color="auto" w:sz="8" w:space="0"/>
              <w:right w:val="single" w:color="auto" w:sz="8" w:space="0"/>
            </w:tcBorders>
            <w:shd w:val="clear" w:color="auto" w:fill="auto"/>
            <w:vAlign w:val="center"/>
          </w:tcPr>
          <w:p w14:paraId="1AFF0005">
            <w:pPr>
              <w:widowControl/>
              <w:jc w:val="center"/>
              <w:textAlignment w:val="center"/>
              <w:rPr>
                <w:rFonts w:ascii="Times New Roman" w:hAnsi="Times New Roman" w:cs="Times New Roman"/>
                <w:szCs w:val="18"/>
              </w:rPr>
            </w:pPr>
            <w:r>
              <w:rPr>
                <w:rFonts w:ascii="Times New Roman" w:hAnsi="Times New Roman" w:cs="Times New Roman"/>
                <w:szCs w:val="18"/>
              </w:rPr>
              <w:t>影响人口数量变化</w:t>
            </w:r>
          </w:p>
        </w:tc>
      </w:tr>
      <w:tr w14:paraId="4DB3DF2F">
        <w:tblPrEx>
          <w:shd w:val="clear" w:color="auto" w:fill="FFFFFF"/>
          <w:tblCellMar>
            <w:top w:w="0" w:type="dxa"/>
            <w:left w:w="0" w:type="dxa"/>
            <w:bottom w:w="0" w:type="dxa"/>
            <w:right w:w="0" w:type="dxa"/>
          </w:tblCellMar>
        </w:tblPrEx>
        <w:trPr>
          <w:trHeight w:val="340" w:hRule="atLeast"/>
        </w:trPr>
        <w:tc>
          <w:tcPr>
            <w:tcW w:w="125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361BAD6">
            <w:pPr>
              <w:widowControl/>
              <w:jc w:val="center"/>
              <w:textAlignment w:val="center"/>
              <w:rPr>
                <w:rFonts w:ascii="Times New Roman" w:hAnsi="Times New Roman" w:cs="Times New Roman"/>
                <w:szCs w:val="18"/>
              </w:rPr>
            </w:pPr>
            <w:r>
              <w:rPr>
                <w:rFonts w:ascii="Times New Roman" w:hAnsi="Times New Roman" w:cs="Times New Roman"/>
                <w:szCs w:val="18"/>
              </w:rPr>
              <w:t>评价等级</w:t>
            </w:r>
          </w:p>
          <w:p w14:paraId="793F11BE">
            <w:pPr>
              <w:widowControl/>
              <w:jc w:val="center"/>
              <w:textAlignment w:val="center"/>
              <w:rPr>
                <w:rFonts w:ascii="Times New Roman" w:hAnsi="Times New Roman" w:cs="Times New Roman"/>
                <w:szCs w:val="18"/>
              </w:rPr>
            </w:pPr>
            <w:r>
              <w:rPr>
                <w:rFonts w:ascii="Times New Roman" w:hAnsi="Times New Roman" w:cs="Times New Roman"/>
                <w:szCs w:val="18"/>
              </w:rPr>
              <w:t>判据</w:t>
            </w:r>
          </w:p>
        </w:tc>
        <w:tc>
          <w:tcPr>
            <w:tcW w:w="1061" w:type="dxa"/>
            <w:tcBorders>
              <w:top w:val="single" w:color="auto" w:sz="8" w:space="0"/>
              <w:left w:val="single" w:color="auto" w:sz="8" w:space="0"/>
              <w:bottom w:val="single" w:color="auto" w:sz="8" w:space="0"/>
              <w:right w:val="single" w:color="auto" w:sz="8" w:space="0"/>
            </w:tcBorders>
            <w:shd w:val="clear" w:color="auto" w:fill="auto"/>
            <w:vAlign w:val="center"/>
          </w:tcPr>
          <w:p w14:paraId="42FFAAC1">
            <w:pPr>
              <w:widowControl/>
              <w:jc w:val="center"/>
              <w:textAlignment w:val="center"/>
              <w:rPr>
                <w:rFonts w:ascii="Times New Roman" w:hAnsi="Times New Roman" w:cs="Times New Roman"/>
                <w:szCs w:val="18"/>
              </w:rPr>
            </w:pPr>
            <w:r>
              <w:rPr>
                <w:rFonts w:ascii="Times New Roman" w:hAnsi="Times New Roman" w:cs="Times New Roman"/>
                <w:szCs w:val="18"/>
              </w:rPr>
              <w:t>一级</w:t>
            </w:r>
          </w:p>
        </w:tc>
        <w:tc>
          <w:tcPr>
            <w:tcW w:w="1723" w:type="dxa"/>
            <w:tcBorders>
              <w:top w:val="single" w:color="auto" w:sz="8" w:space="0"/>
              <w:left w:val="single" w:color="auto" w:sz="8" w:space="0"/>
              <w:bottom w:val="single" w:color="auto" w:sz="8" w:space="0"/>
              <w:right w:val="single" w:color="auto" w:sz="8" w:space="0"/>
            </w:tcBorders>
            <w:shd w:val="clear" w:color="auto" w:fill="auto"/>
            <w:vAlign w:val="center"/>
          </w:tcPr>
          <w:p w14:paraId="6DD9D6CD">
            <w:pPr>
              <w:widowControl/>
              <w:jc w:val="center"/>
              <w:textAlignment w:val="center"/>
              <w:rPr>
                <w:rFonts w:ascii="Times New Roman" w:hAnsi="Times New Roman" w:cs="Times New Roman"/>
                <w:szCs w:val="18"/>
              </w:rPr>
            </w:pPr>
            <w:r>
              <w:rPr>
                <w:rFonts w:ascii="Times New Roman" w:hAnsi="Times New Roman" w:cs="Times New Roman"/>
                <w:szCs w:val="18"/>
              </w:rPr>
              <w:t>0类</w:t>
            </w:r>
          </w:p>
        </w:tc>
        <w:tc>
          <w:tcPr>
            <w:tcW w:w="2689" w:type="dxa"/>
            <w:tcBorders>
              <w:top w:val="single" w:color="auto" w:sz="8" w:space="0"/>
              <w:left w:val="single" w:color="auto" w:sz="8" w:space="0"/>
              <w:bottom w:val="single" w:color="auto" w:sz="8" w:space="0"/>
              <w:right w:val="single" w:color="auto" w:sz="8" w:space="0"/>
            </w:tcBorders>
            <w:shd w:val="clear" w:color="auto" w:fill="auto"/>
            <w:vAlign w:val="center"/>
          </w:tcPr>
          <w:p w14:paraId="42EC844D">
            <w:pPr>
              <w:widowControl/>
              <w:jc w:val="center"/>
              <w:textAlignment w:val="center"/>
              <w:rPr>
                <w:rFonts w:ascii="Times New Roman" w:hAnsi="Times New Roman" w:cs="Times New Roman"/>
                <w:szCs w:val="18"/>
              </w:rPr>
            </w:pPr>
            <w:r>
              <w:rPr>
                <w:rFonts w:ascii="Times New Roman" w:hAnsi="Times New Roman" w:cs="Times New Roman"/>
                <w:szCs w:val="18"/>
              </w:rPr>
              <w:t>＞5dB（A）</w:t>
            </w:r>
          </w:p>
        </w:tc>
        <w:tc>
          <w:tcPr>
            <w:tcW w:w="1638" w:type="dxa"/>
            <w:tcBorders>
              <w:top w:val="single" w:color="auto" w:sz="8" w:space="0"/>
              <w:left w:val="single" w:color="auto" w:sz="8" w:space="0"/>
              <w:bottom w:val="single" w:color="auto" w:sz="8" w:space="0"/>
              <w:right w:val="single" w:color="auto" w:sz="8" w:space="0"/>
            </w:tcBorders>
            <w:shd w:val="clear" w:color="auto" w:fill="auto"/>
            <w:vAlign w:val="center"/>
          </w:tcPr>
          <w:p w14:paraId="70390C48">
            <w:pPr>
              <w:widowControl/>
              <w:jc w:val="center"/>
              <w:textAlignment w:val="center"/>
              <w:rPr>
                <w:rFonts w:ascii="Times New Roman" w:hAnsi="Times New Roman" w:cs="Times New Roman"/>
                <w:szCs w:val="18"/>
              </w:rPr>
            </w:pPr>
            <w:r>
              <w:rPr>
                <w:rFonts w:ascii="Times New Roman" w:hAnsi="Times New Roman" w:cs="Times New Roman"/>
                <w:szCs w:val="18"/>
              </w:rPr>
              <w:t>显著增多</w:t>
            </w:r>
          </w:p>
        </w:tc>
      </w:tr>
      <w:tr w14:paraId="57F07CFD">
        <w:tblPrEx>
          <w:shd w:val="clear" w:color="auto" w:fill="FFFFFF"/>
          <w:tblCellMar>
            <w:top w:w="0" w:type="dxa"/>
            <w:left w:w="0" w:type="dxa"/>
            <w:bottom w:w="0" w:type="dxa"/>
            <w:right w:w="0" w:type="dxa"/>
          </w:tblCellMar>
        </w:tblPrEx>
        <w:trPr>
          <w:trHeight w:val="340" w:hRule="atLeast"/>
        </w:trPr>
        <w:tc>
          <w:tcPr>
            <w:tcW w:w="125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377D0EB">
            <w:pPr>
              <w:widowControl/>
              <w:jc w:val="center"/>
              <w:textAlignment w:val="center"/>
              <w:rPr>
                <w:rFonts w:ascii="Times New Roman" w:hAnsi="Times New Roman" w:cs="Times New Roman"/>
                <w:szCs w:val="18"/>
              </w:rPr>
            </w:pPr>
          </w:p>
        </w:tc>
        <w:tc>
          <w:tcPr>
            <w:tcW w:w="1061" w:type="dxa"/>
            <w:tcBorders>
              <w:top w:val="single" w:color="auto" w:sz="8" w:space="0"/>
              <w:left w:val="single" w:color="auto" w:sz="8" w:space="0"/>
              <w:bottom w:val="single" w:color="auto" w:sz="8" w:space="0"/>
              <w:right w:val="single" w:color="auto" w:sz="8" w:space="0"/>
            </w:tcBorders>
            <w:shd w:val="clear" w:color="auto" w:fill="auto"/>
            <w:vAlign w:val="center"/>
          </w:tcPr>
          <w:p w14:paraId="0751F781">
            <w:pPr>
              <w:widowControl/>
              <w:jc w:val="center"/>
              <w:textAlignment w:val="center"/>
              <w:rPr>
                <w:rFonts w:ascii="Times New Roman" w:hAnsi="Times New Roman" w:cs="Times New Roman"/>
                <w:szCs w:val="18"/>
              </w:rPr>
            </w:pPr>
            <w:r>
              <w:rPr>
                <w:rFonts w:ascii="Times New Roman" w:hAnsi="Times New Roman" w:cs="Times New Roman"/>
                <w:szCs w:val="18"/>
              </w:rPr>
              <w:t>二级</w:t>
            </w:r>
          </w:p>
        </w:tc>
        <w:tc>
          <w:tcPr>
            <w:tcW w:w="1723" w:type="dxa"/>
            <w:tcBorders>
              <w:top w:val="single" w:color="auto" w:sz="8" w:space="0"/>
              <w:left w:val="single" w:color="auto" w:sz="8" w:space="0"/>
              <w:bottom w:val="single" w:color="auto" w:sz="8" w:space="0"/>
              <w:right w:val="single" w:color="auto" w:sz="8" w:space="0"/>
            </w:tcBorders>
            <w:shd w:val="clear" w:color="auto" w:fill="auto"/>
            <w:vAlign w:val="center"/>
          </w:tcPr>
          <w:p w14:paraId="2A1619D2">
            <w:pPr>
              <w:widowControl/>
              <w:jc w:val="center"/>
              <w:textAlignment w:val="center"/>
              <w:rPr>
                <w:rFonts w:ascii="Times New Roman" w:hAnsi="Times New Roman" w:cs="Times New Roman"/>
                <w:szCs w:val="18"/>
              </w:rPr>
            </w:pPr>
            <w:r>
              <w:rPr>
                <w:rFonts w:ascii="Times New Roman" w:hAnsi="Times New Roman" w:cs="Times New Roman"/>
                <w:szCs w:val="18"/>
              </w:rPr>
              <w:t>1类，2类</w:t>
            </w:r>
          </w:p>
        </w:tc>
        <w:tc>
          <w:tcPr>
            <w:tcW w:w="2689" w:type="dxa"/>
            <w:tcBorders>
              <w:top w:val="single" w:color="auto" w:sz="8" w:space="0"/>
              <w:left w:val="single" w:color="auto" w:sz="8" w:space="0"/>
              <w:bottom w:val="single" w:color="auto" w:sz="8" w:space="0"/>
              <w:right w:val="single" w:color="auto" w:sz="8" w:space="0"/>
            </w:tcBorders>
            <w:shd w:val="clear" w:color="auto" w:fill="auto"/>
            <w:vAlign w:val="center"/>
          </w:tcPr>
          <w:p w14:paraId="736ED52E">
            <w:pPr>
              <w:widowControl/>
              <w:jc w:val="center"/>
              <w:textAlignment w:val="center"/>
              <w:rPr>
                <w:rFonts w:ascii="Times New Roman" w:hAnsi="Times New Roman" w:cs="Times New Roman"/>
                <w:szCs w:val="18"/>
              </w:rPr>
            </w:pPr>
            <w:r>
              <w:rPr>
                <w:rFonts w:ascii="Times New Roman" w:hAnsi="Times New Roman" w:cs="Times New Roman"/>
                <w:szCs w:val="18"/>
              </w:rPr>
              <w:t>≥3dB（A），≤5dB（A）</w:t>
            </w:r>
          </w:p>
        </w:tc>
        <w:tc>
          <w:tcPr>
            <w:tcW w:w="1638" w:type="dxa"/>
            <w:tcBorders>
              <w:top w:val="single" w:color="auto" w:sz="8" w:space="0"/>
              <w:left w:val="single" w:color="auto" w:sz="8" w:space="0"/>
              <w:bottom w:val="single" w:color="auto" w:sz="8" w:space="0"/>
              <w:right w:val="single" w:color="auto" w:sz="8" w:space="0"/>
            </w:tcBorders>
            <w:shd w:val="clear" w:color="auto" w:fill="auto"/>
            <w:vAlign w:val="center"/>
          </w:tcPr>
          <w:p w14:paraId="2F92BEF9">
            <w:pPr>
              <w:widowControl/>
              <w:jc w:val="center"/>
              <w:textAlignment w:val="center"/>
              <w:rPr>
                <w:rFonts w:ascii="Times New Roman" w:hAnsi="Times New Roman" w:cs="Times New Roman"/>
                <w:szCs w:val="18"/>
              </w:rPr>
            </w:pPr>
            <w:r>
              <w:rPr>
                <w:rFonts w:ascii="Times New Roman" w:hAnsi="Times New Roman" w:cs="Times New Roman"/>
                <w:szCs w:val="18"/>
              </w:rPr>
              <w:t>较多</w:t>
            </w:r>
          </w:p>
        </w:tc>
      </w:tr>
      <w:tr w14:paraId="2F789F76">
        <w:tblPrEx>
          <w:shd w:val="clear" w:color="auto" w:fill="FFFFFF"/>
          <w:tblCellMar>
            <w:top w:w="0" w:type="dxa"/>
            <w:left w:w="0" w:type="dxa"/>
            <w:bottom w:w="0" w:type="dxa"/>
            <w:right w:w="0" w:type="dxa"/>
          </w:tblCellMar>
        </w:tblPrEx>
        <w:trPr>
          <w:trHeight w:val="340" w:hRule="atLeast"/>
        </w:trPr>
        <w:tc>
          <w:tcPr>
            <w:tcW w:w="125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492A9B1">
            <w:pPr>
              <w:widowControl/>
              <w:jc w:val="center"/>
              <w:textAlignment w:val="center"/>
              <w:rPr>
                <w:rFonts w:ascii="Times New Roman" w:hAnsi="Times New Roman" w:cs="Times New Roman"/>
                <w:szCs w:val="18"/>
              </w:rPr>
            </w:pPr>
          </w:p>
        </w:tc>
        <w:tc>
          <w:tcPr>
            <w:tcW w:w="1061" w:type="dxa"/>
            <w:tcBorders>
              <w:top w:val="single" w:color="auto" w:sz="8" w:space="0"/>
              <w:left w:val="single" w:color="auto" w:sz="8" w:space="0"/>
              <w:bottom w:val="single" w:color="auto" w:sz="8" w:space="0"/>
              <w:right w:val="single" w:color="auto" w:sz="8" w:space="0"/>
            </w:tcBorders>
            <w:shd w:val="clear" w:color="auto" w:fill="auto"/>
            <w:vAlign w:val="center"/>
          </w:tcPr>
          <w:p w14:paraId="4DC5AD53">
            <w:pPr>
              <w:widowControl/>
              <w:jc w:val="center"/>
              <w:textAlignment w:val="center"/>
              <w:rPr>
                <w:rFonts w:ascii="Times New Roman" w:hAnsi="Times New Roman" w:cs="Times New Roman"/>
                <w:szCs w:val="18"/>
              </w:rPr>
            </w:pPr>
            <w:r>
              <w:rPr>
                <w:rFonts w:ascii="Times New Roman" w:hAnsi="Times New Roman" w:cs="Times New Roman"/>
                <w:szCs w:val="18"/>
              </w:rPr>
              <w:t>三级</w:t>
            </w:r>
          </w:p>
        </w:tc>
        <w:tc>
          <w:tcPr>
            <w:tcW w:w="1723" w:type="dxa"/>
            <w:tcBorders>
              <w:top w:val="single" w:color="auto" w:sz="8" w:space="0"/>
              <w:left w:val="single" w:color="auto" w:sz="8" w:space="0"/>
              <w:bottom w:val="single" w:color="auto" w:sz="8" w:space="0"/>
              <w:right w:val="single" w:color="auto" w:sz="8" w:space="0"/>
            </w:tcBorders>
            <w:shd w:val="clear" w:color="auto" w:fill="auto"/>
            <w:vAlign w:val="center"/>
          </w:tcPr>
          <w:p w14:paraId="1B70418E">
            <w:pPr>
              <w:widowControl/>
              <w:jc w:val="center"/>
              <w:textAlignment w:val="center"/>
              <w:rPr>
                <w:rFonts w:ascii="Times New Roman" w:hAnsi="Times New Roman" w:cs="Times New Roman"/>
                <w:szCs w:val="18"/>
              </w:rPr>
            </w:pPr>
            <w:r>
              <w:rPr>
                <w:rFonts w:ascii="Times New Roman" w:hAnsi="Times New Roman" w:cs="Times New Roman"/>
                <w:szCs w:val="18"/>
              </w:rPr>
              <w:t>3类，4类</w:t>
            </w:r>
          </w:p>
        </w:tc>
        <w:tc>
          <w:tcPr>
            <w:tcW w:w="2689" w:type="dxa"/>
            <w:tcBorders>
              <w:top w:val="single" w:color="auto" w:sz="8" w:space="0"/>
              <w:left w:val="single" w:color="auto" w:sz="8" w:space="0"/>
              <w:bottom w:val="single" w:color="auto" w:sz="8" w:space="0"/>
              <w:right w:val="single" w:color="auto" w:sz="8" w:space="0"/>
            </w:tcBorders>
            <w:shd w:val="clear" w:color="auto" w:fill="auto"/>
            <w:vAlign w:val="center"/>
          </w:tcPr>
          <w:p w14:paraId="01EA8624">
            <w:pPr>
              <w:widowControl/>
              <w:jc w:val="center"/>
              <w:textAlignment w:val="center"/>
              <w:rPr>
                <w:rFonts w:ascii="Times New Roman" w:hAnsi="Times New Roman" w:cs="Times New Roman"/>
                <w:szCs w:val="18"/>
              </w:rPr>
            </w:pPr>
            <w:r>
              <w:rPr>
                <w:rFonts w:ascii="Times New Roman" w:hAnsi="Times New Roman" w:cs="Times New Roman"/>
                <w:szCs w:val="18"/>
              </w:rPr>
              <w:t>＜3dB（A）</w:t>
            </w:r>
          </w:p>
        </w:tc>
        <w:tc>
          <w:tcPr>
            <w:tcW w:w="1638" w:type="dxa"/>
            <w:tcBorders>
              <w:top w:val="single" w:color="auto" w:sz="8" w:space="0"/>
              <w:left w:val="single" w:color="auto" w:sz="8" w:space="0"/>
              <w:bottom w:val="single" w:color="auto" w:sz="8" w:space="0"/>
              <w:right w:val="single" w:color="auto" w:sz="8" w:space="0"/>
            </w:tcBorders>
            <w:shd w:val="clear" w:color="auto" w:fill="auto"/>
            <w:vAlign w:val="center"/>
          </w:tcPr>
          <w:p w14:paraId="1F0DC3A3">
            <w:pPr>
              <w:widowControl/>
              <w:jc w:val="center"/>
              <w:textAlignment w:val="center"/>
              <w:rPr>
                <w:rFonts w:ascii="Times New Roman" w:hAnsi="Times New Roman" w:cs="Times New Roman"/>
                <w:szCs w:val="18"/>
              </w:rPr>
            </w:pPr>
            <w:r>
              <w:rPr>
                <w:rFonts w:ascii="Times New Roman" w:hAnsi="Times New Roman" w:cs="Times New Roman"/>
                <w:szCs w:val="18"/>
              </w:rPr>
              <w:t>不大</w:t>
            </w:r>
          </w:p>
        </w:tc>
      </w:tr>
      <w:tr w14:paraId="58E4C39F">
        <w:tblPrEx>
          <w:shd w:val="clear" w:color="auto" w:fill="FFFFFF"/>
          <w:tblCellMar>
            <w:top w:w="0" w:type="dxa"/>
            <w:left w:w="0" w:type="dxa"/>
            <w:bottom w:w="0" w:type="dxa"/>
            <w:right w:w="0" w:type="dxa"/>
          </w:tblCellMar>
        </w:tblPrEx>
        <w:trPr>
          <w:trHeight w:val="340" w:hRule="atLeast"/>
        </w:trPr>
        <w:tc>
          <w:tcPr>
            <w:tcW w:w="231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3A3A880">
            <w:pPr>
              <w:widowControl/>
              <w:jc w:val="center"/>
              <w:textAlignment w:val="center"/>
              <w:rPr>
                <w:rFonts w:ascii="Times New Roman" w:hAnsi="Times New Roman" w:cs="Times New Roman"/>
                <w:szCs w:val="18"/>
              </w:rPr>
            </w:pPr>
            <w:r>
              <w:rPr>
                <w:rFonts w:ascii="Times New Roman" w:hAnsi="Times New Roman" w:cs="Times New Roman"/>
                <w:szCs w:val="18"/>
              </w:rPr>
              <w:t>本项目</w:t>
            </w:r>
          </w:p>
        </w:tc>
        <w:tc>
          <w:tcPr>
            <w:tcW w:w="1723" w:type="dxa"/>
            <w:tcBorders>
              <w:top w:val="single" w:color="auto" w:sz="8" w:space="0"/>
              <w:left w:val="single" w:color="auto" w:sz="8" w:space="0"/>
              <w:bottom w:val="single" w:color="auto" w:sz="8" w:space="0"/>
              <w:right w:val="single" w:color="auto" w:sz="8" w:space="0"/>
            </w:tcBorders>
            <w:shd w:val="clear" w:color="auto" w:fill="auto"/>
            <w:vAlign w:val="center"/>
          </w:tcPr>
          <w:p w14:paraId="40BC7DFD">
            <w:pPr>
              <w:widowControl/>
              <w:jc w:val="center"/>
              <w:textAlignment w:val="center"/>
              <w:rPr>
                <w:rFonts w:ascii="Times New Roman" w:hAnsi="Times New Roman" w:cs="Times New Roman"/>
                <w:szCs w:val="18"/>
              </w:rPr>
            </w:pPr>
            <w:r>
              <w:rPr>
                <w:rFonts w:ascii="Times New Roman" w:hAnsi="Times New Roman" w:cs="Times New Roman"/>
                <w:szCs w:val="18"/>
              </w:rPr>
              <w:t>3类</w:t>
            </w:r>
          </w:p>
        </w:tc>
        <w:tc>
          <w:tcPr>
            <w:tcW w:w="2689" w:type="dxa"/>
            <w:tcBorders>
              <w:top w:val="single" w:color="auto" w:sz="8" w:space="0"/>
              <w:left w:val="single" w:color="auto" w:sz="8" w:space="0"/>
              <w:bottom w:val="single" w:color="auto" w:sz="8" w:space="0"/>
              <w:right w:val="single" w:color="auto" w:sz="8" w:space="0"/>
            </w:tcBorders>
            <w:shd w:val="clear" w:color="auto" w:fill="auto"/>
            <w:vAlign w:val="center"/>
          </w:tcPr>
          <w:p w14:paraId="7100CDFD">
            <w:pPr>
              <w:widowControl/>
              <w:jc w:val="center"/>
              <w:textAlignment w:val="center"/>
              <w:rPr>
                <w:rFonts w:ascii="Times New Roman" w:hAnsi="Times New Roman" w:cs="Times New Roman"/>
                <w:szCs w:val="18"/>
              </w:rPr>
            </w:pPr>
            <w:r>
              <w:rPr>
                <w:rFonts w:ascii="Times New Roman" w:hAnsi="Times New Roman" w:cs="Times New Roman"/>
                <w:szCs w:val="18"/>
              </w:rPr>
              <w:t>＜3dB（A）</w:t>
            </w:r>
          </w:p>
        </w:tc>
        <w:tc>
          <w:tcPr>
            <w:tcW w:w="1638" w:type="dxa"/>
            <w:tcBorders>
              <w:top w:val="single" w:color="auto" w:sz="8" w:space="0"/>
              <w:left w:val="single" w:color="auto" w:sz="8" w:space="0"/>
              <w:bottom w:val="single" w:color="auto" w:sz="8" w:space="0"/>
              <w:right w:val="single" w:color="auto" w:sz="8" w:space="0"/>
            </w:tcBorders>
            <w:shd w:val="clear" w:color="auto" w:fill="auto"/>
            <w:vAlign w:val="center"/>
          </w:tcPr>
          <w:p w14:paraId="68936236">
            <w:pPr>
              <w:widowControl/>
              <w:jc w:val="center"/>
              <w:textAlignment w:val="center"/>
              <w:rPr>
                <w:rFonts w:ascii="Times New Roman" w:hAnsi="Times New Roman" w:cs="Times New Roman"/>
                <w:szCs w:val="18"/>
              </w:rPr>
            </w:pPr>
            <w:r>
              <w:rPr>
                <w:rFonts w:ascii="Times New Roman" w:hAnsi="Times New Roman" w:cs="Times New Roman"/>
                <w:szCs w:val="18"/>
              </w:rPr>
              <w:t>不大</w:t>
            </w:r>
          </w:p>
        </w:tc>
      </w:tr>
      <w:tr w14:paraId="45935274">
        <w:tblPrEx>
          <w:shd w:val="clear" w:color="auto" w:fill="FFFFFF"/>
          <w:tblCellMar>
            <w:top w:w="0" w:type="dxa"/>
            <w:left w:w="0" w:type="dxa"/>
            <w:bottom w:w="0" w:type="dxa"/>
            <w:right w:w="0" w:type="dxa"/>
          </w:tblCellMar>
        </w:tblPrEx>
        <w:trPr>
          <w:trHeight w:val="340" w:hRule="atLeast"/>
        </w:trPr>
        <w:tc>
          <w:tcPr>
            <w:tcW w:w="231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FC082C7">
            <w:pPr>
              <w:widowControl/>
              <w:jc w:val="center"/>
              <w:textAlignment w:val="center"/>
              <w:rPr>
                <w:rFonts w:ascii="Times New Roman" w:hAnsi="Times New Roman" w:cs="Times New Roman"/>
                <w:szCs w:val="18"/>
              </w:rPr>
            </w:pPr>
            <w:r>
              <w:rPr>
                <w:rFonts w:ascii="Times New Roman" w:hAnsi="Times New Roman" w:cs="Times New Roman"/>
                <w:szCs w:val="18"/>
              </w:rPr>
              <w:t>单独评价等级</w:t>
            </w:r>
          </w:p>
        </w:tc>
        <w:tc>
          <w:tcPr>
            <w:tcW w:w="1723" w:type="dxa"/>
            <w:tcBorders>
              <w:top w:val="single" w:color="auto" w:sz="8" w:space="0"/>
              <w:left w:val="single" w:color="auto" w:sz="8" w:space="0"/>
              <w:bottom w:val="single" w:color="auto" w:sz="8" w:space="0"/>
              <w:right w:val="single" w:color="auto" w:sz="8" w:space="0"/>
            </w:tcBorders>
            <w:shd w:val="clear" w:color="auto" w:fill="auto"/>
            <w:vAlign w:val="center"/>
          </w:tcPr>
          <w:p w14:paraId="2D2BEF4E">
            <w:pPr>
              <w:widowControl/>
              <w:jc w:val="center"/>
              <w:textAlignment w:val="center"/>
              <w:rPr>
                <w:rFonts w:ascii="Times New Roman" w:hAnsi="Times New Roman" w:cs="Times New Roman"/>
                <w:szCs w:val="18"/>
              </w:rPr>
            </w:pPr>
            <w:r>
              <w:rPr>
                <w:rFonts w:ascii="Times New Roman" w:hAnsi="Times New Roman" w:cs="Times New Roman"/>
                <w:szCs w:val="18"/>
              </w:rPr>
              <w:t>三级</w:t>
            </w:r>
          </w:p>
        </w:tc>
        <w:tc>
          <w:tcPr>
            <w:tcW w:w="2689" w:type="dxa"/>
            <w:tcBorders>
              <w:top w:val="single" w:color="auto" w:sz="8" w:space="0"/>
              <w:left w:val="single" w:color="auto" w:sz="8" w:space="0"/>
              <w:bottom w:val="single" w:color="auto" w:sz="8" w:space="0"/>
              <w:right w:val="single" w:color="auto" w:sz="8" w:space="0"/>
            </w:tcBorders>
            <w:shd w:val="clear" w:color="auto" w:fill="auto"/>
            <w:vAlign w:val="center"/>
          </w:tcPr>
          <w:p w14:paraId="4FFBB3F5">
            <w:pPr>
              <w:widowControl/>
              <w:jc w:val="center"/>
              <w:textAlignment w:val="center"/>
              <w:rPr>
                <w:rFonts w:ascii="Times New Roman" w:hAnsi="Times New Roman" w:cs="Times New Roman"/>
                <w:szCs w:val="18"/>
              </w:rPr>
            </w:pPr>
            <w:r>
              <w:rPr>
                <w:rFonts w:ascii="Times New Roman" w:hAnsi="Times New Roman" w:cs="Times New Roman"/>
                <w:szCs w:val="18"/>
              </w:rPr>
              <w:t>三级</w:t>
            </w:r>
          </w:p>
        </w:tc>
        <w:tc>
          <w:tcPr>
            <w:tcW w:w="1638" w:type="dxa"/>
            <w:tcBorders>
              <w:top w:val="single" w:color="auto" w:sz="8" w:space="0"/>
              <w:left w:val="single" w:color="auto" w:sz="8" w:space="0"/>
              <w:bottom w:val="single" w:color="auto" w:sz="8" w:space="0"/>
              <w:right w:val="single" w:color="auto" w:sz="8" w:space="0"/>
            </w:tcBorders>
            <w:shd w:val="clear" w:color="auto" w:fill="auto"/>
            <w:vAlign w:val="center"/>
          </w:tcPr>
          <w:p w14:paraId="7DC8B5D5">
            <w:pPr>
              <w:widowControl/>
              <w:jc w:val="center"/>
              <w:textAlignment w:val="center"/>
              <w:rPr>
                <w:rFonts w:ascii="Times New Roman" w:hAnsi="Times New Roman" w:cs="Times New Roman"/>
                <w:szCs w:val="18"/>
              </w:rPr>
            </w:pPr>
            <w:r>
              <w:rPr>
                <w:rFonts w:ascii="Times New Roman" w:hAnsi="Times New Roman" w:cs="Times New Roman"/>
                <w:szCs w:val="18"/>
              </w:rPr>
              <w:t>三级</w:t>
            </w:r>
          </w:p>
        </w:tc>
      </w:tr>
      <w:tr w14:paraId="64740C89">
        <w:tblPrEx>
          <w:shd w:val="clear" w:color="auto" w:fill="FFFFFF"/>
          <w:tblCellMar>
            <w:top w:w="0" w:type="dxa"/>
            <w:left w:w="0" w:type="dxa"/>
            <w:bottom w:w="0" w:type="dxa"/>
            <w:right w:w="0" w:type="dxa"/>
          </w:tblCellMar>
        </w:tblPrEx>
        <w:trPr>
          <w:trHeight w:val="340" w:hRule="atLeast"/>
        </w:trPr>
        <w:tc>
          <w:tcPr>
            <w:tcW w:w="231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EA02ED1">
            <w:pPr>
              <w:widowControl/>
              <w:jc w:val="center"/>
              <w:textAlignment w:val="center"/>
              <w:rPr>
                <w:rFonts w:ascii="Times New Roman" w:hAnsi="Times New Roman" w:cs="Times New Roman"/>
                <w:szCs w:val="18"/>
              </w:rPr>
            </w:pPr>
            <w:r>
              <w:rPr>
                <w:rFonts w:ascii="Times New Roman" w:hAnsi="Times New Roman" w:cs="Times New Roman"/>
                <w:szCs w:val="18"/>
              </w:rPr>
              <w:t>评价工作等级确定</w:t>
            </w:r>
          </w:p>
        </w:tc>
        <w:tc>
          <w:tcPr>
            <w:tcW w:w="6050"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16991AFD">
            <w:pPr>
              <w:widowControl/>
              <w:jc w:val="center"/>
              <w:textAlignment w:val="center"/>
              <w:rPr>
                <w:rFonts w:ascii="Times New Roman" w:hAnsi="Times New Roman" w:cs="Times New Roman"/>
                <w:szCs w:val="18"/>
              </w:rPr>
            </w:pPr>
            <w:r>
              <w:rPr>
                <w:rFonts w:ascii="Times New Roman" w:hAnsi="Times New Roman" w:cs="Times New Roman"/>
                <w:szCs w:val="18"/>
              </w:rPr>
              <w:t>三级</w:t>
            </w:r>
          </w:p>
        </w:tc>
      </w:tr>
    </w:tbl>
    <w:p w14:paraId="2AD348EE">
      <w:pPr>
        <w:pStyle w:val="4"/>
        <w:numPr>
          <w:ilvl w:val="2"/>
          <w:numId w:val="21"/>
        </w:numPr>
        <w:tabs>
          <w:tab w:val="clear" w:pos="0"/>
        </w:tabs>
        <w:adjustRightInd w:val="0"/>
        <w:snapToGrid w:val="0"/>
      </w:pPr>
      <w:r>
        <w:t>地下水环境影响评价等级</w:t>
      </w:r>
    </w:p>
    <w:p w14:paraId="5EB844E4">
      <w:pPr>
        <w:adjustRightInd w:val="0"/>
        <w:snapToGrid w:val="0"/>
        <w:spacing w:line="360" w:lineRule="auto"/>
        <w:ind w:firstLine="480"/>
        <w:rPr>
          <w:rFonts w:ascii="Times New Roman" w:hAnsi="Times New Roman"/>
          <w:bCs/>
          <w:sz w:val="24"/>
        </w:rPr>
      </w:pPr>
      <w:r>
        <w:rPr>
          <w:rFonts w:ascii="Times New Roman" w:hAnsi="Times New Roman"/>
          <w:bCs/>
          <w:sz w:val="24"/>
        </w:rPr>
        <w:t>（1）建设项目</w:t>
      </w:r>
      <w:r>
        <w:rPr>
          <w:rStyle w:val="35"/>
          <w:rFonts w:ascii="Times New Roman" w:hAnsi="Times New Roman"/>
          <w:bCs/>
          <w:sz w:val="24"/>
          <w:szCs w:val="24"/>
        </w:rPr>
        <w:t>类别</w:t>
      </w:r>
    </w:p>
    <w:p w14:paraId="06955CB6">
      <w:pPr>
        <w:adjustRightInd w:val="0"/>
        <w:snapToGrid w:val="0"/>
        <w:spacing w:line="360" w:lineRule="auto"/>
        <w:ind w:firstLine="480"/>
        <w:rPr>
          <w:rFonts w:ascii="Times New Roman" w:hAnsi="Times New Roman"/>
          <w:bCs/>
          <w:sz w:val="24"/>
        </w:rPr>
      </w:pPr>
      <w:r>
        <w:rPr>
          <w:rFonts w:ascii="Times New Roman" w:hAnsi="Times New Roman"/>
          <w:bCs/>
          <w:sz w:val="24"/>
        </w:rPr>
        <w:t>根据2016年1月7日实施的《环境影响评价技术导则  地下水环境》（HJ610-2016）</w:t>
      </w:r>
      <w:r>
        <w:rPr>
          <w:rFonts w:hint="eastAsia" w:ascii="Times New Roman" w:hAnsi="Times New Roman"/>
          <w:bCs/>
          <w:sz w:val="24"/>
        </w:rPr>
        <w:t>，</w:t>
      </w:r>
      <w:r>
        <w:rPr>
          <w:rFonts w:ascii="Times New Roman" w:hAnsi="Times New Roman"/>
          <w:bCs/>
          <w:sz w:val="24"/>
        </w:rPr>
        <w:t>本项目属于“地下水环境评价行业分类表中：N轻工109、锯材、木片加工、家具制造，本项目属于有喷漆工艺的家具制造，此类报告书地下水环境影响评价项目类别属于Ⅲ类。</w:t>
      </w:r>
    </w:p>
    <w:p w14:paraId="2E27612B">
      <w:pPr>
        <w:adjustRightInd w:val="0"/>
        <w:snapToGrid w:val="0"/>
        <w:spacing w:line="360" w:lineRule="auto"/>
        <w:ind w:firstLine="480"/>
        <w:rPr>
          <w:rFonts w:ascii="Times New Roman" w:hAnsi="Times New Roman"/>
          <w:bCs/>
          <w:sz w:val="24"/>
        </w:rPr>
      </w:pPr>
      <w:r>
        <w:rPr>
          <w:rFonts w:ascii="Times New Roman" w:hAnsi="Times New Roman"/>
          <w:bCs/>
          <w:sz w:val="24"/>
        </w:rPr>
        <w:t>（2）建设项目场地的地下水环境敏感程度</w:t>
      </w:r>
    </w:p>
    <w:p w14:paraId="75B0C65D">
      <w:pPr>
        <w:adjustRightInd w:val="0"/>
        <w:snapToGrid w:val="0"/>
        <w:spacing w:line="360" w:lineRule="auto"/>
        <w:ind w:firstLine="480"/>
        <w:rPr>
          <w:rFonts w:ascii="Times New Roman" w:hAnsi="Times New Roman"/>
          <w:bCs/>
          <w:sz w:val="24"/>
        </w:rPr>
      </w:pPr>
      <w:r>
        <w:rPr>
          <w:rFonts w:ascii="Times New Roman" w:hAnsi="Times New Roman"/>
          <w:bCs/>
          <w:sz w:val="24"/>
        </w:rPr>
        <w:t>根据《环境影响评价技术导则  地下水环境》（HJ610-2016）地下水敏感程度可分为敏感、较敏感、不敏感三级，地下水敏感程度分级表见</w:t>
      </w:r>
      <w:r>
        <w:rPr>
          <w:rFonts w:hint="eastAsia" w:ascii="Times New Roman" w:hAnsi="Times New Roman"/>
          <w:bCs/>
          <w:sz w:val="24"/>
        </w:rPr>
        <w:t>下</w:t>
      </w:r>
      <w:r>
        <w:rPr>
          <w:rFonts w:ascii="Times New Roman" w:hAnsi="Times New Roman"/>
          <w:bCs/>
          <w:sz w:val="24"/>
        </w:rPr>
        <w:t>表。</w:t>
      </w:r>
    </w:p>
    <w:p w14:paraId="0A000046">
      <w:pPr>
        <w:numPr>
          <w:ilvl w:val="0"/>
          <w:numId w:val="22"/>
        </w:numPr>
        <w:adjustRightInd w:val="0"/>
        <w:snapToGrid w:val="0"/>
        <w:jc w:val="center"/>
        <w:rPr>
          <w:b/>
          <w:bCs/>
        </w:rPr>
      </w:pPr>
      <w:bookmarkStart w:id="29" w:name="_Ref478121195"/>
      <w:r>
        <w:rPr>
          <w:rFonts w:hint="eastAsia"/>
          <w:b/>
          <w:bCs/>
        </w:rPr>
        <w:t xml:space="preserve">  </w:t>
      </w:r>
      <w:bookmarkEnd w:id="29"/>
      <w:r>
        <w:rPr>
          <w:b/>
          <w:bCs/>
        </w:rPr>
        <w:t>地下水敏感程度分级表</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7255"/>
      </w:tblGrid>
      <w:tr w14:paraId="0979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264" w:type="dxa"/>
            <w:tcBorders>
              <w:tl2br w:val="nil"/>
              <w:tr2bl w:val="nil"/>
            </w:tcBorders>
            <w:vAlign w:val="center"/>
          </w:tcPr>
          <w:p w14:paraId="755548D8">
            <w:pPr>
              <w:adjustRightInd w:val="0"/>
              <w:snapToGrid w:val="0"/>
              <w:jc w:val="center"/>
              <w:rPr>
                <w:rFonts w:ascii="Times New Roman" w:hAnsi="Times New Roman" w:eastAsia="宋体"/>
                <w:bCs/>
                <w:kern w:val="0"/>
                <w:szCs w:val="21"/>
                <w:lang w:val="en-GB"/>
              </w:rPr>
            </w:pPr>
            <w:r>
              <w:rPr>
                <w:rFonts w:ascii="Times New Roman" w:hAnsi="Times New Roman" w:eastAsia="宋体"/>
                <w:bCs/>
                <w:kern w:val="0"/>
                <w:szCs w:val="21"/>
                <w:lang w:val="en-GB"/>
              </w:rPr>
              <w:t>敏感程度</w:t>
            </w:r>
          </w:p>
        </w:tc>
        <w:tc>
          <w:tcPr>
            <w:tcW w:w="7255" w:type="dxa"/>
            <w:tcBorders>
              <w:tl2br w:val="nil"/>
              <w:tr2bl w:val="nil"/>
            </w:tcBorders>
            <w:vAlign w:val="center"/>
          </w:tcPr>
          <w:p w14:paraId="4C0FC4E7">
            <w:pPr>
              <w:adjustRightInd w:val="0"/>
              <w:snapToGrid w:val="0"/>
              <w:jc w:val="center"/>
              <w:rPr>
                <w:rFonts w:ascii="Times New Roman" w:hAnsi="Times New Roman" w:eastAsia="宋体"/>
                <w:bCs/>
                <w:kern w:val="0"/>
                <w:szCs w:val="21"/>
                <w:lang w:val="en-GB"/>
              </w:rPr>
            </w:pPr>
            <w:r>
              <w:rPr>
                <w:rFonts w:ascii="Times New Roman" w:hAnsi="Times New Roman" w:eastAsia="宋体"/>
                <w:bCs/>
                <w:kern w:val="0"/>
                <w:szCs w:val="21"/>
                <w:lang w:val="en-GB"/>
              </w:rPr>
              <w:t>地下水环境敏感特征</w:t>
            </w:r>
          </w:p>
        </w:tc>
      </w:tr>
      <w:tr w14:paraId="437A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4" w:type="dxa"/>
            <w:tcBorders>
              <w:tl2br w:val="nil"/>
              <w:tr2bl w:val="nil"/>
            </w:tcBorders>
            <w:vAlign w:val="center"/>
          </w:tcPr>
          <w:p w14:paraId="4B014244">
            <w:pPr>
              <w:jc w:val="center"/>
              <w:rPr>
                <w:rFonts w:ascii="Times New Roman" w:hAnsi="Times New Roman" w:eastAsia="宋体"/>
                <w:bCs/>
                <w:kern w:val="0"/>
                <w:szCs w:val="21"/>
                <w:lang w:val="en-GB"/>
              </w:rPr>
            </w:pPr>
            <w:r>
              <w:rPr>
                <w:rFonts w:ascii="Times New Roman" w:hAnsi="Times New Roman" w:eastAsia="宋体"/>
                <w:bCs/>
                <w:kern w:val="0"/>
                <w:szCs w:val="21"/>
                <w:lang w:val="en-GB"/>
              </w:rPr>
              <w:t>敏感</w:t>
            </w:r>
          </w:p>
        </w:tc>
        <w:tc>
          <w:tcPr>
            <w:tcW w:w="7255" w:type="dxa"/>
            <w:tcBorders>
              <w:tl2br w:val="nil"/>
              <w:tr2bl w:val="nil"/>
            </w:tcBorders>
            <w:vAlign w:val="center"/>
          </w:tcPr>
          <w:p w14:paraId="6FF5148F">
            <w:pPr>
              <w:jc w:val="center"/>
              <w:rPr>
                <w:rFonts w:ascii="Times New Roman" w:hAnsi="Times New Roman" w:eastAsia="宋体"/>
                <w:bCs/>
                <w:kern w:val="0"/>
                <w:szCs w:val="21"/>
                <w:lang w:val="en-GB"/>
              </w:rPr>
            </w:pPr>
            <w:r>
              <w:rPr>
                <w:rFonts w:ascii="Times New Roman" w:hAnsi="Times New Roman" w:eastAsia="宋体"/>
                <w:bCs/>
                <w:kern w:val="0"/>
                <w:szCs w:val="21"/>
                <w:lang w:val="en-GB"/>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09B1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4" w:type="dxa"/>
            <w:tcBorders>
              <w:tl2br w:val="nil"/>
              <w:tr2bl w:val="nil"/>
            </w:tcBorders>
            <w:vAlign w:val="center"/>
          </w:tcPr>
          <w:p w14:paraId="67E6B45E">
            <w:pPr>
              <w:jc w:val="center"/>
              <w:rPr>
                <w:rFonts w:ascii="Times New Roman" w:hAnsi="Times New Roman" w:eastAsia="宋体"/>
                <w:bCs/>
                <w:kern w:val="0"/>
                <w:szCs w:val="21"/>
                <w:lang w:val="en-GB"/>
              </w:rPr>
            </w:pPr>
            <w:r>
              <w:rPr>
                <w:rFonts w:ascii="Times New Roman" w:hAnsi="Times New Roman" w:eastAsia="宋体"/>
                <w:bCs/>
                <w:kern w:val="0"/>
                <w:szCs w:val="21"/>
                <w:lang w:val="en-GB"/>
              </w:rPr>
              <w:t>较敏感</w:t>
            </w:r>
          </w:p>
        </w:tc>
        <w:tc>
          <w:tcPr>
            <w:tcW w:w="7255" w:type="dxa"/>
            <w:tcBorders>
              <w:tl2br w:val="nil"/>
              <w:tr2bl w:val="nil"/>
            </w:tcBorders>
            <w:vAlign w:val="center"/>
          </w:tcPr>
          <w:p w14:paraId="77A03E29">
            <w:pPr>
              <w:jc w:val="center"/>
              <w:rPr>
                <w:rFonts w:ascii="Times New Roman" w:hAnsi="Times New Roman" w:eastAsia="宋体"/>
                <w:bCs/>
                <w:kern w:val="0"/>
                <w:szCs w:val="21"/>
                <w:lang w:val="en-GB"/>
              </w:rPr>
            </w:pPr>
            <w:r>
              <w:rPr>
                <w:rFonts w:ascii="Times New Roman" w:hAnsi="Times New Roman" w:eastAsia="宋体"/>
                <w:bCs/>
                <w:kern w:val="0"/>
                <w:szCs w:val="21"/>
                <w:lang w:val="en-GB"/>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14:paraId="3B71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4" w:type="dxa"/>
            <w:tcBorders>
              <w:tl2br w:val="nil"/>
              <w:tr2bl w:val="nil"/>
            </w:tcBorders>
            <w:vAlign w:val="center"/>
          </w:tcPr>
          <w:p w14:paraId="339DC847">
            <w:pPr>
              <w:jc w:val="center"/>
              <w:rPr>
                <w:rFonts w:ascii="Times New Roman" w:hAnsi="Times New Roman" w:eastAsia="宋体"/>
                <w:bCs/>
                <w:kern w:val="0"/>
                <w:szCs w:val="21"/>
                <w:lang w:val="en-GB"/>
              </w:rPr>
            </w:pPr>
            <w:r>
              <w:rPr>
                <w:rFonts w:ascii="Times New Roman" w:hAnsi="Times New Roman" w:eastAsia="宋体"/>
                <w:bCs/>
                <w:kern w:val="0"/>
                <w:szCs w:val="21"/>
                <w:lang w:val="en-GB"/>
              </w:rPr>
              <w:t>不敏感</w:t>
            </w:r>
          </w:p>
        </w:tc>
        <w:tc>
          <w:tcPr>
            <w:tcW w:w="7255" w:type="dxa"/>
            <w:tcBorders>
              <w:tl2br w:val="nil"/>
              <w:tr2bl w:val="nil"/>
            </w:tcBorders>
            <w:vAlign w:val="center"/>
          </w:tcPr>
          <w:p w14:paraId="13815DD2">
            <w:pPr>
              <w:jc w:val="center"/>
              <w:rPr>
                <w:rFonts w:ascii="Times New Roman" w:hAnsi="Times New Roman" w:eastAsia="宋体"/>
                <w:bCs/>
                <w:kern w:val="0"/>
                <w:szCs w:val="21"/>
                <w:lang w:val="en-GB"/>
              </w:rPr>
            </w:pPr>
            <w:r>
              <w:rPr>
                <w:rFonts w:ascii="Times New Roman" w:hAnsi="Times New Roman" w:eastAsia="宋体"/>
                <w:bCs/>
                <w:kern w:val="0"/>
                <w:szCs w:val="21"/>
                <w:lang w:val="en-GB"/>
              </w:rPr>
              <w:t>上述地区之外的其它区域</w:t>
            </w:r>
          </w:p>
        </w:tc>
      </w:tr>
      <w:tr w14:paraId="1245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19" w:type="dxa"/>
            <w:gridSpan w:val="2"/>
            <w:tcBorders>
              <w:tl2br w:val="nil"/>
              <w:tr2bl w:val="nil"/>
            </w:tcBorders>
            <w:vAlign w:val="center"/>
          </w:tcPr>
          <w:p w14:paraId="2C96E17D">
            <w:pPr>
              <w:jc w:val="center"/>
              <w:rPr>
                <w:rFonts w:ascii="Times New Roman" w:hAnsi="Times New Roman" w:eastAsia="宋体"/>
                <w:bCs/>
                <w:kern w:val="0"/>
                <w:szCs w:val="21"/>
                <w:lang w:val="en-GB"/>
              </w:rPr>
            </w:pPr>
            <w:r>
              <w:rPr>
                <w:rFonts w:ascii="Times New Roman" w:hAnsi="Times New Roman" w:eastAsia="宋体"/>
                <w:bCs/>
                <w:kern w:val="0"/>
                <w:szCs w:val="21"/>
                <w:lang w:val="en-GB"/>
              </w:rPr>
              <w:t>注：a“环境敏感区”是指《建设项目环境影响评价分类管理名录》中所界定的涉及地下水的环境敏感区</w:t>
            </w:r>
          </w:p>
        </w:tc>
      </w:tr>
    </w:tbl>
    <w:p w14:paraId="1D324FA8">
      <w:pPr>
        <w:adjustRightInd w:val="0"/>
        <w:snapToGrid w:val="0"/>
        <w:spacing w:line="360" w:lineRule="auto"/>
        <w:ind w:firstLine="480"/>
        <w:rPr>
          <w:rFonts w:ascii="Times New Roman" w:hAnsi="Times New Roman" w:eastAsia="宋体" w:cs="Times New Roman"/>
          <w:b/>
          <w:bCs w:val="0"/>
          <w:color w:val="auto"/>
          <w:sz w:val="24"/>
          <w:u w:val="single"/>
        </w:rPr>
      </w:pPr>
      <w:r>
        <w:rPr>
          <w:rFonts w:ascii="Times New Roman" w:hAnsi="Times New Roman" w:eastAsia="宋体" w:cs="Times New Roman"/>
          <w:b/>
          <w:bCs w:val="0"/>
          <w:color w:val="auto"/>
          <w:sz w:val="24"/>
          <w:u w:val="single"/>
        </w:rPr>
        <w:t>经现场调查，项目场地及调查区范围内无集中式饮用水水源</w:t>
      </w:r>
      <w:r>
        <w:rPr>
          <w:rFonts w:hint="eastAsia" w:ascii="Times New Roman" w:hAnsi="Times New Roman" w:eastAsia="宋体" w:cs="Times New Roman"/>
          <w:b/>
          <w:bCs w:val="0"/>
          <w:color w:val="auto"/>
          <w:sz w:val="24"/>
          <w:u w:val="single"/>
        </w:rPr>
        <w:t>（</w:t>
      </w:r>
      <w:r>
        <w:rPr>
          <w:rFonts w:ascii="Times New Roman" w:hAnsi="Times New Roman" w:eastAsia="宋体" w:cs="Times New Roman"/>
          <w:b/>
          <w:bCs w:val="0"/>
          <w:color w:val="auto"/>
          <w:sz w:val="24"/>
          <w:u w:val="single"/>
        </w:rPr>
        <w:t>包括已建成的在用、备用、应急水源，在建和规划的饮用水水源</w:t>
      </w:r>
      <w:r>
        <w:rPr>
          <w:rFonts w:hint="eastAsia" w:ascii="Times New Roman" w:hAnsi="Times New Roman" w:eastAsia="宋体" w:cs="Times New Roman"/>
          <w:b/>
          <w:bCs w:val="0"/>
          <w:color w:val="auto"/>
          <w:sz w:val="24"/>
          <w:u w:val="single"/>
        </w:rPr>
        <w:t>）</w:t>
      </w:r>
      <w:r>
        <w:rPr>
          <w:rFonts w:ascii="Times New Roman" w:hAnsi="Times New Roman" w:eastAsia="宋体" w:cs="Times New Roman"/>
          <w:b/>
          <w:bCs w:val="0"/>
          <w:color w:val="auto"/>
          <w:sz w:val="24"/>
          <w:u w:val="single"/>
        </w:rPr>
        <w:t>准保护区；无除集中式饮用水水源以外的国家或地方政府设定的与地下水环境相关的其它保护区（如热水、矿泉水、温泉等特殊地下水资源保护区）。</w:t>
      </w:r>
      <w:r>
        <w:rPr>
          <w:rFonts w:hint="eastAsia" w:ascii="Times New Roman" w:hAnsi="Times New Roman" w:eastAsia="宋体" w:cs="Times New Roman"/>
          <w:b/>
          <w:bCs w:val="0"/>
          <w:color w:val="auto"/>
          <w:sz w:val="24"/>
          <w:u w:val="single"/>
        </w:rPr>
        <w:t>距离本项目较近的骆家村及附近村庄目前已实现集中供水，</w:t>
      </w:r>
      <w:r>
        <w:rPr>
          <w:rFonts w:hint="eastAsia" w:ascii="Times New Roman" w:hAnsi="Times New Roman" w:eastAsia="宋体" w:cs="Times New Roman"/>
          <w:b/>
          <w:bCs w:val="0"/>
          <w:color w:val="auto"/>
          <w:sz w:val="24"/>
          <w:u w:val="single"/>
          <w:lang w:val="en-US" w:eastAsia="zh-CN"/>
        </w:rPr>
        <w:t>但存在个别</w:t>
      </w:r>
      <w:r>
        <w:rPr>
          <w:rFonts w:hint="eastAsia" w:ascii="Times New Roman" w:hAnsi="Times New Roman" w:eastAsia="宋体" w:cs="Times New Roman"/>
          <w:b/>
          <w:bCs w:val="0"/>
          <w:color w:val="auto"/>
          <w:sz w:val="24"/>
          <w:u w:val="single"/>
        </w:rPr>
        <w:t>分散式饮用水水源地，</w:t>
      </w:r>
      <w:r>
        <w:rPr>
          <w:rFonts w:ascii="Times New Roman" w:hAnsi="Times New Roman" w:eastAsia="宋体" w:cs="Times New Roman"/>
          <w:b/>
          <w:bCs w:val="0"/>
          <w:color w:val="auto"/>
          <w:sz w:val="24"/>
          <w:u w:val="single"/>
        </w:rPr>
        <w:t>故拟建项目</w:t>
      </w:r>
      <w:r>
        <w:rPr>
          <w:rFonts w:hint="eastAsia" w:ascii="Times New Roman" w:hAnsi="Times New Roman" w:eastAsia="宋体" w:cs="Times New Roman"/>
          <w:b/>
          <w:bCs w:val="0"/>
          <w:color w:val="auto"/>
          <w:sz w:val="24"/>
          <w:u w:val="single"/>
        </w:rPr>
        <w:t>地下水</w:t>
      </w:r>
      <w:r>
        <w:rPr>
          <w:rFonts w:ascii="Times New Roman" w:hAnsi="Times New Roman" w:eastAsia="宋体" w:cs="Times New Roman"/>
          <w:b/>
          <w:bCs w:val="0"/>
          <w:color w:val="auto"/>
          <w:sz w:val="24"/>
          <w:u w:val="single"/>
        </w:rPr>
        <w:t>敏感程度为</w:t>
      </w:r>
      <w:r>
        <w:rPr>
          <w:rFonts w:hint="eastAsia" w:ascii="Times New Roman" w:hAnsi="Times New Roman" w:eastAsia="宋体" w:cs="Times New Roman"/>
          <w:b/>
          <w:bCs w:val="0"/>
          <w:color w:val="auto"/>
          <w:sz w:val="24"/>
          <w:u w:val="single"/>
        </w:rPr>
        <w:t>“</w:t>
      </w:r>
      <w:r>
        <w:rPr>
          <w:rFonts w:hint="eastAsia" w:ascii="Times New Roman" w:hAnsi="Times New Roman" w:eastAsia="宋体" w:cs="Times New Roman"/>
          <w:b/>
          <w:bCs w:val="0"/>
          <w:color w:val="auto"/>
          <w:sz w:val="24"/>
          <w:u w:val="single"/>
          <w:lang w:val="en-US" w:eastAsia="zh-CN"/>
        </w:rPr>
        <w:t>较</w:t>
      </w:r>
      <w:r>
        <w:rPr>
          <w:rFonts w:hint="eastAsia" w:ascii="Times New Roman" w:hAnsi="Times New Roman" w:eastAsia="宋体" w:cs="Times New Roman"/>
          <w:b/>
          <w:bCs w:val="0"/>
          <w:color w:val="auto"/>
          <w:sz w:val="24"/>
          <w:u w:val="single"/>
        </w:rPr>
        <w:t>敏感”</w:t>
      </w:r>
      <w:r>
        <w:rPr>
          <w:rFonts w:ascii="Times New Roman" w:hAnsi="Times New Roman" w:eastAsia="宋体" w:cs="Times New Roman"/>
          <w:b/>
          <w:bCs w:val="0"/>
          <w:color w:val="auto"/>
          <w:sz w:val="24"/>
          <w:u w:val="single"/>
        </w:rPr>
        <w:t>。</w:t>
      </w:r>
    </w:p>
    <w:p w14:paraId="70C897BA">
      <w:pPr>
        <w:adjustRightInd w:val="0"/>
        <w:snapToGrid w:val="0"/>
        <w:spacing w:line="360" w:lineRule="auto"/>
        <w:ind w:firstLine="480"/>
        <w:rPr>
          <w:rFonts w:ascii="Times New Roman" w:hAnsi="Times New Roman" w:eastAsia="宋体" w:cs="Times New Roman"/>
          <w:b/>
          <w:bCs w:val="0"/>
          <w:sz w:val="24"/>
          <w:u w:val="single"/>
        </w:rPr>
      </w:pPr>
      <w:r>
        <w:rPr>
          <w:rFonts w:ascii="Times New Roman" w:hAnsi="Times New Roman" w:eastAsia="宋体" w:cs="Times New Roman"/>
          <w:b/>
          <w:bCs w:val="0"/>
          <w:sz w:val="24"/>
          <w:u w:val="single"/>
        </w:rPr>
        <w:t>（3）评价工作等级</w:t>
      </w:r>
    </w:p>
    <w:p w14:paraId="30D8789F">
      <w:pPr>
        <w:adjustRightInd w:val="0"/>
        <w:snapToGrid w:val="0"/>
        <w:spacing w:line="360" w:lineRule="auto"/>
        <w:ind w:firstLine="480"/>
        <w:rPr>
          <w:rFonts w:ascii="Times New Roman" w:hAnsi="Times New Roman" w:eastAsia="宋体" w:cs="Times New Roman"/>
          <w:b/>
          <w:bCs w:val="0"/>
          <w:sz w:val="24"/>
          <w:u w:val="single"/>
        </w:rPr>
      </w:pPr>
      <w:r>
        <w:rPr>
          <w:rFonts w:ascii="Times New Roman" w:hAnsi="Times New Roman" w:eastAsia="宋体" w:cs="Times New Roman"/>
          <w:b/>
          <w:bCs w:val="0"/>
          <w:sz w:val="24"/>
          <w:u w:val="single"/>
        </w:rPr>
        <w:t>根据上述建设项目所属的地下水环境影响评价项目类别及建设项目的地下水环境敏感程度，综合判定项目厂址区地下水环境敏感程度为“</w:t>
      </w:r>
      <w:r>
        <w:rPr>
          <w:rFonts w:hint="eastAsia" w:ascii="Times New Roman" w:hAnsi="Times New Roman" w:eastAsia="宋体" w:cs="Times New Roman"/>
          <w:b/>
          <w:bCs w:val="0"/>
          <w:color w:val="auto"/>
          <w:sz w:val="24"/>
          <w:u w:val="single"/>
          <w:lang w:val="en-US" w:eastAsia="zh-CN"/>
        </w:rPr>
        <w:t>较</w:t>
      </w:r>
      <w:r>
        <w:rPr>
          <w:rFonts w:ascii="Times New Roman" w:hAnsi="Times New Roman" w:eastAsia="宋体" w:cs="Times New Roman"/>
          <w:b/>
          <w:bCs w:val="0"/>
          <w:sz w:val="24"/>
          <w:u w:val="single"/>
        </w:rPr>
        <w:t>敏感”，地下水环境影响评价项目类别为Ⅲ类。因此项目属于三级评价。</w:t>
      </w:r>
    </w:p>
    <w:p w14:paraId="437E9103">
      <w:pPr>
        <w:adjustRightInd w:val="0"/>
        <w:snapToGrid w:val="0"/>
        <w:spacing w:line="360" w:lineRule="auto"/>
        <w:ind w:firstLine="480"/>
        <w:rPr>
          <w:rFonts w:ascii="Times New Roman" w:hAnsi="Times New Roman" w:eastAsia="宋体" w:cs="Times New Roman"/>
          <w:b/>
          <w:bCs w:val="0"/>
          <w:sz w:val="24"/>
          <w:u w:val="single"/>
        </w:rPr>
      </w:pPr>
      <w:r>
        <w:rPr>
          <w:rFonts w:ascii="Times New Roman" w:hAnsi="Times New Roman" w:eastAsia="宋体" w:cs="Times New Roman"/>
          <w:b/>
          <w:bCs w:val="0"/>
          <w:sz w:val="24"/>
          <w:u w:val="single"/>
        </w:rPr>
        <w:t>建设项目地下水环境影响评价工作等级划分情况见</w:t>
      </w:r>
      <w:r>
        <w:rPr>
          <w:rFonts w:hint="eastAsia" w:ascii="Times New Roman" w:hAnsi="Times New Roman" w:eastAsia="宋体" w:cs="Times New Roman"/>
          <w:b/>
          <w:bCs w:val="0"/>
          <w:sz w:val="24"/>
          <w:u w:val="single"/>
        </w:rPr>
        <w:t>下</w:t>
      </w:r>
      <w:r>
        <w:rPr>
          <w:rFonts w:ascii="Times New Roman" w:hAnsi="Times New Roman" w:eastAsia="宋体" w:cs="Times New Roman"/>
          <w:b/>
          <w:bCs w:val="0"/>
          <w:sz w:val="24"/>
          <w:u w:val="single"/>
        </w:rPr>
        <w:t>表。</w:t>
      </w:r>
      <w:bookmarkStart w:id="30" w:name="_Ref478121227"/>
    </w:p>
    <w:p w14:paraId="67097468">
      <w:pPr>
        <w:numPr>
          <w:ilvl w:val="0"/>
          <w:numId w:val="22"/>
        </w:numPr>
        <w:adjustRightInd w:val="0"/>
        <w:snapToGrid w:val="0"/>
        <w:jc w:val="center"/>
        <w:rPr>
          <w:rFonts w:ascii="Times New Roman" w:hAnsi="Times New Roman" w:eastAsia="宋体" w:cs="Times New Roman"/>
          <w:b/>
          <w:bCs w:val="0"/>
          <w:kern w:val="0"/>
          <w:szCs w:val="21"/>
          <w:u w:val="single"/>
          <w:lang w:val="en-GB"/>
        </w:rPr>
      </w:pPr>
      <w:r>
        <w:rPr>
          <w:rFonts w:hint="eastAsia" w:ascii="Times New Roman" w:hAnsi="Times New Roman" w:eastAsia="宋体" w:cs="Times New Roman"/>
          <w:b/>
          <w:bCs w:val="0"/>
          <w:kern w:val="0"/>
          <w:szCs w:val="21"/>
          <w:u w:val="single"/>
        </w:rPr>
        <w:t xml:space="preserve"> </w:t>
      </w:r>
      <w:bookmarkEnd w:id="30"/>
      <w:r>
        <w:rPr>
          <w:rFonts w:ascii="Times New Roman" w:hAnsi="Times New Roman" w:eastAsia="宋体" w:cs="Times New Roman"/>
          <w:b/>
          <w:bCs w:val="0"/>
          <w:kern w:val="0"/>
          <w:szCs w:val="21"/>
          <w:u w:val="single"/>
          <w:lang w:val="en-GB"/>
        </w:rPr>
        <w:t xml:space="preserve"> 本项目地下水环境影响评价工作等级划分一览表</w:t>
      </w:r>
    </w:p>
    <w:tbl>
      <w:tblPr>
        <w:tblStyle w:val="3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1888"/>
        <w:gridCol w:w="1888"/>
        <w:gridCol w:w="1888"/>
      </w:tblGrid>
      <w:tr w14:paraId="1AC5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282" w:type="dxa"/>
            <w:tcBorders>
              <w:tl2br w:val="single" w:color="auto" w:sz="4" w:space="0"/>
            </w:tcBorders>
            <w:vAlign w:val="center"/>
          </w:tcPr>
          <w:p w14:paraId="6B9695A8">
            <w:pPr>
              <w:spacing w:line="360" w:lineRule="exact"/>
              <w:jc w:val="center"/>
              <w:rPr>
                <w:rFonts w:ascii="Times New Roman" w:hAnsi="Times New Roman" w:eastAsia="宋体"/>
                <w:b/>
                <w:bCs w:val="0"/>
                <w:kern w:val="0"/>
                <w:szCs w:val="21"/>
                <w:u w:val="single"/>
                <w:lang w:val="en-GB"/>
              </w:rPr>
            </w:pPr>
            <w:r>
              <w:rPr>
                <w:rFonts w:ascii="Times New Roman" w:hAnsi="Times New Roman" w:eastAsia="宋体"/>
                <w:b/>
                <w:bCs w:val="0"/>
                <w:kern w:val="0"/>
                <w:szCs w:val="21"/>
                <w:u w:val="single"/>
                <w:lang w:val="en-GB"/>
              </w:rPr>
              <w:t xml:space="preserve">            环评类别</w:t>
            </w:r>
          </w:p>
          <w:p w14:paraId="3D63D0E3">
            <w:pPr>
              <w:spacing w:line="360" w:lineRule="exact"/>
              <w:rPr>
                <w:rFonts w:ascii="Times New Roman" w:hAnsi="Times New Roman" w:eastAsia="宋体"/>
                <w:b/>
                <w:bCs w:val="0"/>
                <w:kern w:val="0"/>
                <w:szCs w:val="21"/>
                <w:u w:val="single"/>
                <w:lang w:val="en-GB"/>
              </w:rPr>
            </w:pPr>
            <w:r>
              <w:rPr>
                <w:rFonts w:ascii="Times New Roman" w:hAnsi="Times New Roman" w:eastAsia="宋体"/>
                <w:b/>
                <w:bCs w:val="0"/>
                <w:kern w:val="0"/>
                <w:szCs w:val="21"/>
                <w:u w:val="single"/>
                <w:lang w:val="en-GB"/>
              </w:rPr>
              <w:t>环境敏感程度</w:t>
            </w:r>
          </w:p>
        </w:tc>
        <w:tc>
          <w:tcPr>
            <w:tcW w:w="1888" w:type="dxa"/>
            <w:tcBorders>
              <w:tl2br w:val="nil"/>
              <w:tr2bl w:val="nil"/>
            </w:tcBorders>
            <w:vAlign w:val="center"/>
          </w:tcPr>
          <w:p w14:paraId="647549BC">
            <w:pPr>
              <w:spacing w:line="360" w:lineRule="exact"/>
              <w:jc w:val="center"/>
              <w:rPr>
                <w:rFonts w:ascii="Times New Roman" w:hAnsi="Times New Roman" w:eastAsia="宋体"/>
                <w:b/>
                <w:bCs w:val="0"/>
                <w:kern w:val="0"/>
                <w:szCs w:val="21"/>
                <w:u w:val="single"/>
                <w:lang w:val="en-GB"/>
              </w:rPr>
            </w:pPr>
            <w:r>
              <w:rPr>
                <w:rFonts w:ascii="Times New Roman" w:hAnsi="Times New Roman" w:eastAsia="宋体"/>
                <w:b/>
                <w:bCs w:val="0"/>
                <w:kern w:val="0"/>
                <w:szCs w:val="21"/>
                <w:u w:val="single"/>
                <w:lang w:val="en-GB"/>
              </w:rPr>
              <w:t>地下水环境影响评价项目类别</w:t>
            </w:r>
          </w:p>
        </w:tc>
        <w:tc>
          <w:tcPr>
            <w:tcW w:w="1888" w:type="dxa"/>
            <w:tcBorders>
              <w:tl2br w:val="nil"/>
              <w:tr2bl w:val="nil"/>
            </w:tcBorders>
            <w:vAlign w:val="center"/>
          </w:tcPr>
          <w:p w14:paraId="5A5D54C0">
            <w:pPr>
              <w:spacing w:line="360" w:lineRule="exact"/>
              <w:jc w:val="center"/>
              <w:rPr>
                <w:rFonts w:ascii="Times New Roman" w:hAnsi="Times New Roman" w:eastAsia="宋体"/>
                <w:b/>
                <w:bCs w:val="0"/>
                <w:kern w:val="0"/>
                <w:szCs w:val="21"/>
                <w:u w:val="single"/>
                <w:lang w:val="en-GB"/>
              </w:rPr>
            </w:pPr>
            <w:r>
              <w:rPr>
                <w:rFonts w:ascii="Times New Roman" w:hAnsi="Times New Roman" w:eastAsia="宋体"/>
                <w:b/>
                <w:bCs w:val="0"/>
                <w:kern w:val="0"/>
                <w:szCs w:val="21"/>
                <w:u w:val="single"/>
              </w:rPr>
              <w:t>地下水环境敏感程度分级</w:t>
            </w:r>
          </w:p>
        </w:tc>
        <w:tc>
          <w:tcPr>
            <w:tcW w:w="1888" w:type="dxa"/>
            <w:tcBorders>
              <w:tl2br w:val="nil"/>
              <w:tr2bl w:val="nil"/>
            </w:tcBorders>
            <w:vAlign w:val="center"/>
          </w:tcPr>
          <w:p w14:paraId="068764FD">
            <w:pPr>
              <w:spacing w:line="360" w:lineRule="exact"/>
              <w:jc w:val="center"/>
              <w:rPr>
                <w:rFonts w:ascii="Times New Roman" w:hAnsi="Times New Roman" w:eastAsia="宋体"/>
                <w:b/>
                <w:bCs w:val="0"/>
                <w:kern w:val="0"/>
                <w:szCs w:val="21"/>
                <w:u w:val="single"/>
                <w:lang w:val="en-GB"/>
              </w:rPr>
            </w:pPr>
            <w:r>
              <w:rPr>
                <w:rFonts w:ascii="Times New Roman" w:hAnsi="Times New Roman" w:eastAsia="宋体"/>
                <w:b/>
                <w:bCs w:val="0"/>
                <w:kern w:val="0"/>
                <w:szCs w:val="21"/>
                <w:u w:val="single"/>
                <w:lang w:val="en-GB"/>
              </w:rPr>
              <w:t>地下水环境影响评价工作等级</w:t>
            </w:r>
          </w:p>
        </w:tc>
      </w:tr>
      <w:tr w14:paraId="268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blHeader/>
          <w:jc w:val="center"/>
        </w:trPr>
        <w:tc>
          <w:tcPr>
            <w:tcW w:w="3282" w:type="dxa"/>
            <w:tcBorders>
              <w:tl2br w:val="nil"/>
              <w:tr2bl w:val="nil"/>
            </w:tcBorders>
            <w:vAlign w:val="center"/>
          </w:tcPr>
          <w:p w14:paraId="506A44FB">
            <w:pPr>
              <w:spacing w:line="360" w:lineRule="exact"/>
              <w:jc w:val="center"/>
              <w:rPr>
                <w:rFonts w:ascii="Times New Roman" w:hAnsi="Times New Roman" w:eastAsia="宋体"/>
                <w:b/>
                <w:bCs w:val="0"/>
                <w:kern w:val="0"/>
                <w:szCs w:val="21"/>
                <w:u w:val="single"/>
                <w:lang w:val="en-GB"/>
              </w:rPr>
            </w:pPr>
            <w:r>
              <w:rPr>
                <w:rFonts w:ascii="Times New Roman" w:hAnsi="Times New Roman" w:eastAsia="宋体"/>
                <w:b/>
                <w:bCs w:val="0"/>
                <w:kern w:val="0"/>
                <w:szCs w:val="21"/>
                <w:u w:val="single"/>
                <w:lang w:val="en-GB"/>
              </w:rPr>
              <w:t>项目场地</w:t>
            </w:r>
          </w:p>
        </w:tc>
        <w:tc>
          <w:tcPr>
            <w:tcW w:w="1888" w:type="dxa"/>
            <w:tcBorders>
              <w:tl2br w:val="nil"/>
              <w:tr2bl w:val="nil"/>
            </w:tcBorders>
            <w:vAlign w:val="center"/>
          </w:tcPr>
          <w:p w14:paraId="1F7EE4C4">
            <w:pPr>
              <w:spacing w:line="360" w:lineRule="exact"/>
              <w:jc w:val="center"/>
              <w:rPr>
                <w:rFonts w:ascii="Times New Roman" w:hAnsi="Times New Roman" w:eastAsia="宋体"/>
                <w:b/>
                <w:bCs w:val="0"/>
                <w:kern w:val="0"/>
                <w:szCs w:val="21"/>
                <w:u w:val="single"/>
                <w:lang w:val="en-GB"/>
              </w:rPr>
            </w:pPr>
            <w:r>
              <w:rPr>
                <w:rFonts w:ascii="Times New Roman" w:hAnsi="Times New Roman" w:eastAsia="宋体"/>
                <w:b/>
                <w:bCs w:val="0"/>
                <w:kern w:val="0"/>
                <w:szCs w:val="21"/>
                <w:u w:val="single"/>
                <w:lang w:val="en-GB"/>
              </w:rPr>
              <w:t>Ⅲ类</w:t>
            </w:r>
          </w:p>
        </w:tc>
        <w:tc>
          <w:tcPr>
            <w:tcW w:w="1888" w:type="dxa"/>
            <w:tcBorders>
              <w:tl2br w:val="nil"/>
              <w:tr2bl w:val="nil"/>
            </w:tcBorders>
            <w:vAlign w:val="center"/>
          </w:tcPr>
          <w:p w14:paraId="01E3C29F">
            <w:pPr>
              <w:spacing w:line="360" w:lineRule="exact"/>
              <w:jc w:val="center"/>
              <w:rPr>
                <w:rFonts w:ascii="Times New Roman" w:hAnsi="Times New Roman" w:eastAsia="宋体"/>
                <w:b/>
                <w:bCs w:val="0"/>
                <w:kern w:val="0"/>
                <w:szCs w:val="21"/>
                <w:u w:val="single"/>
                <w:lang w:val="en-GB"/>
              </w:rPr>
            </w:pPr>
            <w:r>
              <w:rPr>
                <w:rFonts w:hint="eastAsia" w:ascii="Times New Roman" w:hAnsi="Times New Roman" w:eastAsia="宋体"/>
                <w:b/>
                <w:bCs w:val="0"/>
                <w:kern w:val="0"/>
                <w:szCs w:val="21"/>
                <w:u w:val="single"/>
                <w:lang w:val="en-GB" w:eastAsia="zh-CN"/>
              </w:rPr>
              <w:t>较</w:t>
            </w:r>
            <w:r>
              <w:rPr>
                <w:rFonts w:ascii="Times New Roman" w:hAnsi="Times New Roman" w:eastAsia="宋体"/>
                <w:b/>
                <w:bCs w:val="0"/>
                <w:kern w:val="0"/>
                <w:szCs w:val="21"/>
                <w:u w:val="single"/>
                <w:lang w:val="en-GB"/>
              </w:rPr>
              <w:t>敏感</w:t>
            </w:r>
          </w:p>
        </w:tc>
        <w:tc>
          <w:tcPr>
            <w:tcW w:w="1888" w:type="dxa"/>
            <w:tcBorders>
              <w:tl2br w:val="nil"/>
              <w:tr2bl w:val="nil"/>
            </w:tcBorders>
            <w:vAlign w:val="center"/>
          </w:tcPr>
          <w:p w14:paraId="0B76861A">
            <w:pPr>
              <w:spacing w:line="360" w:lineRule="exact"/>
              <w:jc w:val="center"/>
              <w:rPr>
                <w:rFonts w:ascii="Times New Roman" w:hAnsi="Times New Roman" w:eastAsia="宋体"/>
                <w:b/>
                <w:bCs w:val="0"/>
                <w:kern w:val="0"/>
                <w:szCs w:val="21"/>
                <w:u w:val="single"/>
                <w:lang w:val="en-GB"/>
              </w:rPr>
            </w:pPr>
            <w:r>
              <w:rPr>
                <w:rFonts w:ascii="Times New Roman" w:hAnsi="Times New Roman" w:eastAsia="宋体"/>
                <w:b/>
                <w:bCs w:val="0"/>
                <w:kern w:val="0"/>
                <w:szCs w:val="21"/>
                <w:u w:val="single"/>
                <w:lang w:val="en-GB"/>
              </w:rPr>
              <w:t>三</w:t>
            </w:r>
          </w:p>
        </w:tc>
      </w:tr>
    </w:tbl>
    <w:p w14:paraId="1CC67681">
      <w:pPr>
        <w:adjustRightInd w:val="0"/>
        <w:snapToGrid w:val="0"/>
        <w:spacing w:line="360" w:lineRule="auto"/>
        <w:ind w:firstLine="480"/>
        <w:rPr>
          <w:rFonts w:ascii="Times New Roman" w:hAnsi="Times New Roman"/>
          <w:b/>
          <w:bCs w:val="0"/>
          <w:sz w:val="24"/>
          <w:u w:val="single"/>
        </w:rPr>
      </w:pPr>
      <w:r>
        <w:rPr>
          <w:rFonts w:ascii="Times New Roman" w:hAnsi="Times New Roman"/>
          <w:b/>
          <w:bCs w:val="0"/>
          <w:sz w:val="24"/>
          <w:u w:val="single"/>
        </w:rPr>
        <w:t>综合以上分析，地下水评价工作等级确定为三级。</w:t>
      </w:r>
    </w:p>
    <w:p w14:paraId="09B5CC5D">
      <w:pPr>
        <w:pStyle w:val="4"/>
        <w:numPr>
          <w:ilvl w:val="2"/>
          <w:numId w:val="21"/>
        </w:numPr>
        <w:tabs>
          <w:tab w:val="clear" w:pos="0"/>
        </w:tabs>
        <w:adjustRightInd w:val="0"/>
        <w:snapToGrid w:val="0"/>
      </w:pPr>
      <w:r>
        <w:t>土壤环境影响评价等级</w:t>
      </w:r>
    </w:p>
    <w:p w14:paraId="167AB277">
      <w:pPr>
        <w:spacing w:line="360" w:lineRule="auto"/>
        <w:ind w:firstLine="480" w:firstLineChars="200"/>
        <w:rPr>
          <w:rFonts w:ascii="Times New Roman" w:hAnsi="Times New Roman" w:cs="Times New Roman"/>
          <w:sz w:val="24"/>
        </w:rPr>
      </w:pPr>
      <w:r>
        <w:rPr>
          <w:rFonts w:ascii="Times New Roman" w:hAnsi="Times New Roman" w:cs="Times New Roman"/>
          <w:sz w:val="24"/>
        </w:rPr>
        <w:t>根据《环境影响评价技术导则土壤环境（试行）》（HJ964-2018），土壤环境影响评价工作等级依据建设项目类别和土壤环境敏感程度进行判定。</w:t>
      </w:r>
    </w:p>
    <w:p w14:paraId="3E96B8B5">
      <w:pPr>
        <w:spacing w:line="360" w:lineRule="auto"/>
        <w:ind w:firstLine="482" w:firstLineChars="200"/>
        <w:rPr>
          <w:rFonts w:ascii="Times New Roman" w:hAnsi="Times New Roman" w:cs="Times New Roman"/>
          <w:b/>
          <w:bCs/>
          <w:sz w:val="24"/>
          <w:u w:val="single"/>
        </w:rPr>
      </w:pPr>
      <w:bookmarkStart w:id="31" w:name="_Toc28639"/>
      <w:r>
        <w:rPr>
          <w:rFonts w:hint="eastAsia" w:ascii="Times New Roman" w:hAnsi="Times New Roman" w:cs="Times New Roman"/>
          <w:b/>
          <w:bCs/>
          <w:sz w:val="24"/>
          <w:u w:val="single"/>
        </w:rPr>
        <w:t>（1）</w:t>
      </w:r>
      <w:r>
        <w:rPr>
          <w:rFonts w:ascii="Times New Roman" w:hAnsi="Times New Roman" w:cs="Times New Roman"/>
          <w:b/>
          <w:bCs/>
          <w:sz w:val="24"/>
          <w:u w:val="single"/>
        </w:rPr>
        <w:t>土壤环境影响评价项目类别</w:t>
      </w:r>
      <w:bookmarkEnd w:id="31"/>
    </w:p>
    <w:p w14:paraId="3A9143B5">
      <w:pPr>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根据《环境影响评价技术导则土壤环境（试行）》（HJ964-2018）附录A表A.1，本项目属于“制造业-设备制造、金属制品、汽车制造及其他制品制造”属于Ⅰ类项目。</w:t>
      </w:r>
    </w:p>
    <w:p w14:paraId="4DC66D38">
      <w:pPr>
        <w:spacing w:line="360" w:lineRule="auto"/>
        <w:ind w:firstLine="482" w:firstLineChars="200"/>
        <w:rPr>
          <w:rFonts w:ascii="Times New Roman" w:hAnsi="Times New Roman" w:cs="Times New Roman"/>
          <w:b/>
          <w:bCs/>
          <w:sz w:val="24"/>
          <w:u w:val="single"/>
        </w:rPr>
      </w:pPr>
      <w:r>
        <w:rPr>
          <w:rFonts w:hint="eastAsia" w:ascii="Times New Roman" w:hAnsi="Times New Roman" w:cs="Times New Roman"/>
          <w:b/>
          <w:bCs/>
          <w:sz w:val="24"/>
          <w:u w:val="single"/>
        </w:rPr>
        <w:t>（2）</w:t>
      </w:r>
      <w:r>
        <w:rPr>
          <w:rFonts w:ascii="Times New Roman" w:hAnsi="Times New Roman" w:cs="Times New Roman"/>
          <w:b/>
          <w:bCs/>
          <w:sz w:val="24"/>
          <w:u w:val="single"/>
        </w:rPr>
        <w:t>占地规模</w:t>
      </w:r>
    </w:p>
    <w:p w14:paraId="479D13FC">
      <w:pPr>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本项目占地面积约</w:t>
      </w:r>
      <w:r>
        <w:rPr>
          <w:rFonts w:hint="eastAsia" w:ascii="Times New Roman" w:hAnsi="Times New Roman" w:cs="Times New Roman"/>
          <w:b/>
          <w:bCs/>
          <w:sz w:val="24"/>
          <w:u w:val="single"/>
        </w:rPr>
        <w:t>8000</w:t>
      </w:r>
      <w:r>
        <w:rPr>
          <w:rFonts w:ascii="Times New Roman" w:hAnsi="Times New Roman" w:eastAsia="宋体" w:cs="Times New Roman"/>
          <w:b/>
          <w:bCs/>
          <w:sz w:val="24"/>
          <w:u w:val="single"/>
        </w:rPr>
        <w:t>m</w:t>
      </w:r>
      <w:r>
        <w:rPr>
          <w:rFonts w:ascii="Times New Roman" w:hAnsi="Times New Roman" w:eastAsia="宋体" w:cs="Times New Roman"/>
          <w:b/>
          <w:bCs/>
          <w:sz w:val="24"/>
          <w:u w:val="single"/>
          <w:vertAlign w:val="superscript"/>
        </w:rPr>
        <w:t>2</w:t>
      </w:r>
      <w:r>
        <w:rPr>
          <w:rFonts w:ascii="Times New Roman" w:hAnsi="Times New Roman" w:eastAsia="宋体" w:cs="Times New Roman"/>
          <w:b/>
          <w:bCs/>
          <w:sz w:val="24"/>
          <w:u w:val="single"/>
        </w:rPr>
        <w:t>，约为</w:t>
      </w:r>
      <w:r>
        <w:rPr>
          <w:rFonts w:hint="eastAsia" w:ascii="Times New Roman" w:hAnsi="Times New Roman" w:cs="Times New Roman"/>
          <w:b/>
          <w:bCs/>
          <w:sz w:val="24"/>
          <w:u w:val="single"/>
        </w:rPr>
        <w:t>0.8</w:t>
      </w:r>
      <w:r>
        <w:rPr>
          <w:rFonts w:ascii="Times New Roman" w:hAnsi="Times New Roman" w:cs="Times New Roman"/>
          <w:b/>
          <w:bCs/>
          <w:sz w:val="24"/>
          <w:u w:val="single"/>
        </w:rPr>
        <w:t>公顷</w:t>
      </w:r>
      <w:r>
        <w:rPr>
          <w:rFonts w:ascii="Times New Roman" w:hAnsi="Times New Roman" w:eastAsia="宋体" w:cs="Times New Roman"/>
          <w:b/>
          <w:bCs/>
          <w:sz w:val="24"/>
          <w:u w:val="single"/>
        </w:rPr>
        <w:t>，占地规模属于小型。</w:t>
      </w:r>
    </w:p>
    <w:p w14:paraId="62E06FD1">
      <w:pPr>
        <w:spacing w:line="360" w:lineRule="auto"/>
        <w:ind w:firstLine="482" w:firstLineChars="200"/>
        <w:rPr>
          <w:rFonts w:ascii="Times New Roman" w:hAnsi="Times New Roman" w:cs="Times New Roman"/>
          <w:b/>
          <w:bCs/>
          <w:sz w:val="24"/>
          <w:u w:val="single"/>
        </w:rPr>
      </w:pPr>
      <w:bookmarkStart w:id="32" w:name="_Toc15400"/>
      <w:r>
        <w:rPr>
          <w:rFonts w:hint="eastAsia" w:ascii="Times New Roman" w:hAnsi="Times New Roman" w:cs="Times New Roman"/>
          <w:b/>
          <w:bCs/>
          <w:sz w:val="24"/>
          <w:u w:val="single"/>
        </w:rPr>
        <w:t>（3）</w:t>
      </w:r>
      <w:r>
        <w:rPr>
          <w:rFonts w:ascii="Times New Roman" w:hAnsi="Times New Roman" w:cs="Times New Roman"/>
          <w:b/>
          <w:bCs/>
          <w:sz w:val="24"/>
          <w:u w:val="single"/>
        </w:rPr>
        <w:t>土壤环境敏感程度</w:t>
      </w:r>
    </w:p>
    <w:p w14:paraId="6C7D6767">
      <w:pPr>
        <w:pStyle w:val="17"/>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经查阅生态环境部环境工程评估中心培训资料《环境影响评价技术导则土壤环境关键要点解析》（李秀宇 2019.9.16于贵阳），位于工业园区的项目，项目所在地土壤敏感程度应直接为不敏感。</w:t>
      </w:r>
      <w:r>
        <w:rPr>
          <w:rFonts w:hint="eastAsia" w:ascii="Times New Roman" w:hAnsi="Times New Roman" w:cs="Times New Roman"/>
          <w:b/>
          <w:bCs/>
          <w:sz w:val="24"/>
          <w:szCs w:val="24"/>
          <w:u w:val="single"/>
        </w:rPr>
        <w:t>本项目位于清丰县产业集聚区，项目</w:t>
      </w:r>
      <w:r>
        <w:rPr>
          <w:rFonts w:ascii="Times New Roman" w:hAnsi="Times New Roman" w:cs="Times New Roman"/>
          <w:b/>
          <w:bCs/>
          <w:sz w:val="24"/>
          <w:szCs w:val="24"/>
          <w:u w:val="single"/>
        </w:rPr>
        <w:t>所在地土壤敏感程度为不敏感</w:t>
      </w:r>
      <w:r>
        <w:rPr>
          <w:rFonts w:hint="eastAsia" w:ascii="Times New Roman" w:hAnsi="Times New Roman" w:cs="Times New Roman"/>
          <w:b/>
          <w:bCs/>
          <w:sz w:val="24"/>
          <w:szCs w:val="24"/>
          <w:u w:val="single"/>
        </w:rPr>
        <w:t>。</w:t>
      </w:r>
    </w:p>
    <w:p w14:paraId="14DE9915">
      <w:pPr>
        <w:spacing w:line="360" w:lineRule="auto"/>
        <w:ind w:firstLine="482" w:firstLineChars="200"/>
        <w:rPr>
          <w:rFonts w:ascii="Times New Roman" w:hAnsi="Times New Roman" w:cs="Times New Roman"/>
          <w:b/>
          <w:bCs/>
          <w:sz w:val="24"/>
          <w:u w:val="single"/>
        </w:rPr>
      </w:pPr>
      <w:r>
        <w:rPr>
          <w:rFonts w:hint="eastAsia" w:ascii="Times New Roman" w:hAnsi="Times New Roman" w:cs="Times New Roman"/>
          <w:b/>
          <w:bCs/>
          <w:sz w:val="24"/>
          <w:u w:val="single"/>
        </w:rPr>
        <w:t>（4）</w:t>
      </w:r>
      <w:r>
        <w:rPr>
          <w:rFonts w:ascii="Times New Roman" w:hAnsi="Times New Roman" w:cs="Times New Roman"/>
          <w:b/>
          <w:bCs/>
          <w:sz w:val="24"/>
          <w:u w:val="single"/>
        </w:rPr>
        <w:t>土壤环境评价工作等级</w:t>
      </w:r>
    </w:p>
    <w:bookmarkEnd w:id="32"/>
    <w:p w14:paraId="04587166">
      <w:pPr>
        <w:numPr>
          <w:ilvl w:val="0"/>
          <w:numId w:val="22"/>
        </w:numPr>
        <w:adjustRightInd w:val="0"/>
        <w:snapToGrid w:val="0"/>
        <w:jc w:val="center"/>
        <w:rPr>
          <w:rFonts w:ascii="Times New Roman" w:hAnsi="Times New Roman" w:eastAsia="宋体" w:cs="Times New Roman"/>
          <w:b/>
          <w:bCs/>
          <w:kern w:val="28"/>
          <w:szCs w:val="32"/>
          <w:u w:val="single"/>
        </w:rPr>
      </w:pPr>
      <w:r>
        <w:rPr>
          <w:rFonts w:hint="eastAsia" w:ascii="Times New Roman" w:hAnsi="Times New Roman" w:eastAsia="宋体" w:cs="Times New Roman"/>
          <w:b/>
          <w:bCs/>
          <w:kern w:val="0"/>
          <w:szCs w:val="21"/>
          <w:u w:val="single"/>
        </w:rPr>
        <w:t xml:space="preserve"> </w:t>
      </w:r>
      <w:r>
        <w:rPr>
          <w:rFonts w:ascii="Times New Roman" w:hAnsi="Times New Roman" w:eastAsia="宋体" w:cs="Times New Roman"/>
          <w:b/>
          <w:bCs/>
          <w:kern w:val="0"/>
          <w:szCs w:val="21"/>
          <w:u w:val="single"/>
          <w:lang w:val="en-GB"/>
        </w:rPr>
        <w:t xml:space="preserve"> </w:t>
      </w:r>
      <w:r>
        <w:rPr>
          <w:rFonts w:ascii="Times New Roman" w:hAnsi="Times New Roman" w:eastAsia="宋体" w:cs="Times New Roman"/>
          <w:b/>
          <w:bCs/>
          <w:kern w:val="28"/>
          <w:szCs w:val="32"/>
          <w:u w:val="single"/>
        </w:rPr>
        <w:t>污染影响型评价工作等级划分表</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0"/>
        <w:gridCol w:w="725"/>
        <w:gridCol w:w="722"/>
        <w:gridCol w:w="733"/>
        <w:gridCol w:w="728"/>
        <w:gridCol w:w="728"/>
        <w:gridCol w:w="728"/>
        <w:gridCol w:w="728"/>
        <w:gridCol w:w="726"/>
        <w:gridCol w:w="671"/>
      </w:tblGrid>
      <w:tr w14:paraId="150B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0" w:type="dxa"/>
            <w:vMerge w:val="restart"/>
            <w:tcBorders>
              <w:tl2br w:val="nil"/>
              <w:tr2bl w:val="nil"/>
            </w:tcBorders>
            <w:vAlign w:val="center"/>
          </w:tcPr>
          <w:p w14:paraId="5BCFCF70">
            <w:pPr>
              <w:adjustRightInd w:val="0"/>
              <w:snapToGrid w:val="0"/>
              <w:jc w:val="right"/>
              <w:rPr>
                <w:rFonts w:ascii="Times New Roman" w:hAnsi="Times New Roman" w:eastAsia="宋体" w:cs="Times New Roman"/>
                <w:b/>
                <w:bCs/>
                <w:szCs w:val="21"/>
                <w:u w:val="single"/>
              </w:rPr>
            </w:pPr>
            <w:r>
              <w:rPr>
                <w:rFonts w:ascii="Times New Roman" w:hAnsi="Times New Roman" w:eastAsia="宋体" w:cs="Times New Roman"/>
                <w:b/>
                <w:bCs/>
                <w:szCs w:val="21"/>
                <w:u w:val="single"/>
              </w:rPr>
              <mc:AlternateContent>
                <mc:Choice Requires="wps">
                  <w:drawing>
                    <wp:anchor distT="0" distB="0" distL="114300" distR="114300" simplePos="0" relativeHeight="251666432" behindDoc="0" locked="0" layoutInCell="1" allowOverlap="1">
                      <wp:simplePos x="0" y="0"/>
                      <wp:positionH relativeFrom="column">
                        <wp:posOffset>434340</wp:posOffset>
                      </wp:positionH>
                      <wp:positionV relativeFrom="paragraph">
                        <wp:posOffset>6350</wp:posOffset>
                      </wp:positionV>
                      <wp:extent cx="792480" cy="512445"/>
                      <wp:effectExtent l="2540" t="3810" r="5080" b="17145"/>
                      <wp:wrapNone/>
                      <wp:docPr id="34" name="直接箭头连接符 12"/>
                      <wp:cNvGraphicFramePr/>
                      <a:graphic xmlns:a="http://schemas.openxmlformats.org/drawingml/2006/main">
                        <a:graphicData uri="http://schemas.microsoft.com/office/word/2010/wordprocessingShape">
                          <wps:wsp>
                            <wps:cNvCnPr/>
                            <wps:spPr>
                              <a:xfrm>
                                <a:off x="0" y="0"/>
                                <a:ext cx="792480" cy="512445"/>
                              </a:xfrm>
                              <a:prstGeom prst="straightConnector1">
                                <a:avLst/>
                              </a:prstGeom>
                              <a:ln w="6350" cap="flat" cmpd="sng">
                                <a:solidFill>
                                  <a:srgbClr val="000000"/>
                                </a:solidFill>
                                <a:prstDash val="solid"/>
                                <a:miter/>
                                <a:headEnd type="none" w="med" len="med"/>
                                <a:tailEnd type="none" w="med" len="med"/>
                              </a:ln>
                              <a:effectLst/>
                            </wps:spPr>
                            <wps:bodyPr/>
                          </wps:wsp>
                        </a:graphicData>
                      </a:graphic>
                    </wp:anchor>
                  </w:drawing>
                </mc:Choice>
                <mc:Fallback>
                  <w:pict>
                    <v:shape id="直接箭头连接符 12" o:spid="_x0000_s1026" o:spt="32" type="#_x0000_t32" style="position:absolute;left:0pt;margin-left:34.2pt;margin-top:0.5pt;height:40.35pt;width:62.4pt;z-index:251666432;mso-width-relative:page;mso-height-relative:page;" filled="f" stroked="t" coordsize="21600,21600" o:gfxdata="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co3BdYAAAAHAQAADwAAAAAAAAABACAAAAAi&#10;AAAAZHJzL2Rvd25yZXYueG1sUEsBAhQAFAAAAAgAh07iQF4y/lcMAgAACgQAAA4AAAAAAAAAAQAg&#10;AAAAJQEAAGRycy9lMm9Eb2MueG1sUEsFBgAAAAAGAAYAWQEAAKMFAAAAAA==&#10;">
                      <v:fill on="f" focussize="0,0"/>
                      <v:stroke weight="0.5pt" color="#000000" joinstyle="miter"/>
                      <v:imagedata o:title=""/>
                      <o:lock v:ext="edit" aspectratio="f"/>
                    </v:shape>
                  </w:pict>
                </mc:Fallback>
              </mc:AlternateContent>
            </w:r>
            <w:r>
              <w:rPr>
                <w:rFonts w:ascii="Times New Roman" w:hAnsi="Times New Roman" w:eastAsia="宋体" w:cs="Times New Roman"/>
                <w:b/>
                <w:bCs/>
                <w:szCs w:val="21"/>
                <w:u w:val="single"/>
              </w:rPr>
              <w:t>占地规模</w:t>
            </w:r>
          </w:p>
          <w:p w14:paraId="46235A72">
            <w:pPr>
              <w:adjustRightInd w:val="0"/>
              <w:snapToGrid w:val="0"/>
              <w:jc w:val="left"/>
              <w:rPr>
                <w:rFonts w:ascii="Times New Roman" w:hAnsi="Times New Roman" w:eastAsia="宋体" w:cs="Times New Roman"/>
                <w:b/>
                <w:bCs/>
                <w:szCs w:val="21"/>
                <w:u w:val="single"/>
              </w:rPr>
            </w:pPr>
            <w:r>
              <w:rPr>
                <w:rFonts w:ascii="Times New Roman" w:hAnsi="Times New Roman" w:eastAsia="宋体" w:cs="Times New Roman"/>
                <w:b/>
                <w:bCs/>
                <w:szCs w:val="21"/>
                <w:u w:val="single"/>
              </w:rPr>
              <mc:AlternateContent>
                <mc:Choice Requires="wps">
                  <w:drawing>
                    <wp:anchor distT="0" distB="0" distL="114300" distR="114300" simplePos="0" relativeHeight="251667456" behindDoc="0" locked="0" layoutInCell="1" allowOverlap="1">
                      <wp:simplePos x="0" y="0"/>
                      <wp:positionH relativeFrom="column">
                        <wp:posOffset>-73025</wp:posOffset>
                      </wp:positionH>
                      <wp:positionV relativeFrom="paragraph">
                        <wp:posOffset>110490</wp:posOffset>
                      </wp:positionV>
                      <wp:extent cx="1268095" cy="235585"/>
                      <wp:effectExtent l="635" t="4445" r="7620" b="7620"/>
                      <wp:wrapNone/>
                      <wp:docPr id="61" name="直接连接符 16"/>
                      <wp:cNvGraphicFramePr/>
                      <a:graphic xmlns:a="http://schemas.openxmlformats.org/drawingml/2006/main">
                        <a:graphicData uri="http://schemas.microsoft.com/office/word/2010/wordprocessingShape">
                          <wps:wsp>
                            <wps:cNvCnPr/>
                            <wps:spPr>
                              <a:xfrm flipH="1" flipV="1">
                                <a:off x="0" y="0"/>
                                <a:ext cx="1268095" cy="23558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直接连接符 16" o:spid="_x0000_s1026" o:spt="20" style="position:absolute;left:0pt;flip:x y;margin-left:-5.75pt;margin-top:8.7pt;height:18.55pt;width:99.85pt;z-index:251667456;mso-width-relative:page;mso-height-relative:page;" filled="f" stroked="t" coordsize="21600,21600" o:gfxdata="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5Ak6tgAAAAJAQAADwAAAAAAAAABACAAAAAiAAAA&#10;ZHJzL2Rvd25yZXYueG1sUEsBAhQAFAAAAAgAh07iQHsA43sHAgAA7gMAAA4AAAAAAAAAAQAgAAAA&#10;JwEAAGRycy9lMm9Eb2MueG1sUEsFBgAAAAAGAAYAWQEAAKAFAAAAAA==&#10;">
                      <v:fill on="f" focussize="0,0"/>
                      <v:stroke weight="0.5pt" color="#000000" miterlimit="8" joinstyle="miter"/>
                      <v:imagedata o:title=""/>
                      <o:lock v:ext="edit" aspectratio="f"/>
                    </v:line>
                  </w:pict>
                </mc:Fallback>
              </mc:AlternateContent>
            </w:r>
            <w:r>
              <w:rPr>
                <w:rFonts w:ascii="Times New Roman" w:hAnsi="Times New Roman" w:eastAsia="宋体" w:cs="Times New Roman"/>
                <w:b/>
                <w:bCs/>
                <w:szCs w:val="21"/>
                <w:u w:val="single"/>
              </w:rPr>
              <w:t>评价工作等级</w:t>
            </w:r>
          </w:p>
          <w:p w14:paraId="0058ED40">
            <w:pPr>
              <w:adjustRightInd w:val="0"/>
              <w:snapToGrid w:val="0"/>
              <w:jc w:val="left"/>
              <w:rPr>
                <w:rFonts w:ascii="Times New Roman" w:hAnsi="Times New Roman" w:eastAsia="宋体" w:cs="Times New Roman"/>
                <w:b/>
                <w:bCs/>
                <w:szCs w:val="21"/>
                <w:u w:val="single"/>
              </w:rPr>
            </w:pPr>
            <w:r>
              <w:rPr>
                <w:rFonts w:ascii="Times New Roman" w:hAnsi="Times New Roman" w:eastAsia="宋体" w:cs="Times New Roman"/>
                <w:b/>
                <w:bCs/>
                <w:szCs w:val="21"/>
                <w:u w:val="single"/>
              </w:rPr>
              <w:t>敏感程度</w:t>
            </w:r>
          </w:p>
        </w:tc>
        <w:tc>
          <w:tcPr>
            <w:tcW w:w="2180" w:type="dxa"/>
            <w:gridSpan w:val="3"/>
            <w:tcBorders>
              <w:tl2br w:val="nil"/>
              <w:tr2bl w:val="nil"/>
            </w:tcBorders>
            <w:vAlign w:val="center"/>
          </w:tcPr>
          <w:p w14:paraId="3930E67F">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I类</w:t>
            </w:r>
          </w:p>
        </w:tc>
        <w:tc>
          <w:tcPr>
            <w:tcW w:w="2184" w:type="dxa"/>
            <w:gridSpan w:val="3"/>
            <w:tcBorders>
              <w:tl2br w:val="nil"/>
              <w:tr2bl w:val="nil"/>
            </w:tcBorders>
            <w:vAlign w:val="center"/>
          </w:tcPr>
          <w:p w14:paraId="4F877D01">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II类</w:t>
            </w:r>
          </w:p>
        </w:tc>
        <w:tc>
          <w:tcPr>
            <w:tcW w:w="2125" w:type="dxa"/>
            <w:gridSpan w:val="3"/>
            <w:tcBorders>
              <w:tl2br w:val="nil"/>
              <w:tr2bl w:val="nil"/>
            </w:tcBorders>
            <w:vAlign w:val="center"/>
          </w:tcPr>
          <w:p w14:paraId="7FACC5B7">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III类</w:t>
            </w:r>
          </w:p>
        </w:tc>
      </w:tr>
      <w:tr w14:paraId="14C5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0" w:type="dxa"/>
            <w:vMerge w:val="continue"/>
            <w:tcBorders>
              <w:tl2br w:val="nil"/>
              <w:tr2bl w:val="nil"/>
            </w:tcBorders>
            <w:vAlign w:val="center"/>
          </w:tcPr>
          <w:p w14:paraId="0BF51F94">
            <w:pPr>
              <w:adjustRightInd w:val="0"/>
              <w:snapToGrid w:val="0"/>
              <w:jc w:val="center"/>
              <w:rPr>
                <w:rFonts w:ascii="Times New Roman" w:hAnsi="Times New Roman" w:eastAsia="宋体" w:cs="Times New Roman"/>
                <w:b/>
                <w:bCs/>
                <w:szCs w:val="21"/>
                <w:u w:val="single"/>
              </w:rPr>
            </w:pPr>
          </w:p>
        </w:tc>
        <w:tc>
          <w:tcPr>
            <w:tcW w:w="725" w:type="dxa"/>
            <w:tcBorders>
              <w:tl2br w:val="nil"/>
              <w:tr2bl w:val="nil"/>
            </w:tcBorders>
            <w:vAlign w:val="center"/>
          </w:tcPr>
          <w:p w14:paraId="1F512279">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大</w:t>
            </w:r>
          </w:p>
        </w:tc>
        <w:tc>
          <w:tcPr>
            <w:tcW w:w="722" w:type="dxa"/>
            <w:tcBorders>
              <w:tl2br w:val="nil"/>
              <w:tr2bl w:val="nil"/>
            </w:tcBorders>
            <w:vAlign w:val="center"/>
          </w:tcPr>
          <w:p w14:paraId="3C15C277">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中</w:t>
            </w:r>
          </w:p>
        </w:tc>
        <w:tc>
          <w:tcPr>
            <w:tcW w:w="733" w:type="dxa"/>
            <w:tcBorders>
              <w:tl2br w:val="nil"/>
              <w:tr2bl w:val="nil"/>
            </w:tcBorders>
            <w:vAlign w:val="center"/>
          </w:tcPr>
          <w:p w14:paraId="28B44F53">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小</w:t>
            </w:r>
          </w:p>
        </w:tc>
        <w:tc>
          <w:tcPr>
            <w:tcW w:w="728" w:type="dxa"/>
            <w:tcBorders>
              <w:tl2br w:val="nil"/>
              <w:tr2bl w:val="nil"/>
            </w:tcBorders>
            <w:vAlign w:val="center"/>
          </w:tcPr>
          <w:p w14:paraId="16C13489">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大</w:t>
            </w:r>
          </w:p>
        </w:tc>
        <w:tc>
          <w:tcPr>
            <w:tcW w:w="728" w:type="dxa"/>
            <w:tcBorders>
              <w:tl2br w:val="nil"/>
              <w:tr2bl w:val="nil"/>
            </w:tcBorders>
            <w:vAlign w:val="center"/>
          </w:tcPr>
          <w:p w14:paraId="5B0DB1F3">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中</w:t>
            </w:r>
          </w:p>
        </w:tc>
        <w:tc>
          <w:tcPr>
            <w:tcW w:w="728" w:type="dxa"/>
            <w:tcBorders>
              <w:tl2br w:val="nil"/>
              <w:tr2bl w:val="nil"/>
            </w:tcBorders>
            <w:vAlign w:val="center"/>
          </w:tcPr>
          <w:p w14:paraId="655C7C4C">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小</w:t>
            </w:r>
          </w:p>
        </w:tc>
        <w:tc>
          <w:tcPr>
            <w:tcW w:w="728" w:type="dxa"/>
            <w:tcBorders>
              <w:tl2br w:val="nil"/>
              <w:tr2bl w:val="nil"/>
            </w:tcBorders>
            <w:vAlign w:val="center"/>
          </w:tcPr>
          <w:p w14:paraId="60BAAA2B">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大</w:t>
            </w:r>
          </w:p>
        </w:tc>
        <w:tc>
          <w:tcPr>
            <w:tcW w:w="726" w:type="dxa"/>
            <w:tcBorders>
              <w:tl2br w:val="nil"/>
              <w:tr2bl w:val="nil"/>
            </w:tcBorders>
            <w:vAlign w:val="center"/>
          </w:tcPr>
          <w:p w14:paraId="41DBE4E9">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中</w:t>
            </w:r>
          </w:p>
        </w:tc>
        <w:tc>
          <w:tcPr>
            <w:tcW w:w="671" w:type="dxa"/>
            <w:tcBorders>
              <w:tl2br w:val="nil"/>
              <w:tr2bl w:val="nil"/>
            </w:tcBorders>
            <w:vAlign w:val="center"/>
          </w:tcPr>
          <w:p w14:paraId="0317E364">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小</w:t>
            </w:r>
          </w:p>
        </w:tc>
      </w:tr>
      <w:tr w14:paraId="2CF6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0" w:type="dxa"/>
            <w:tcBorders>
              <w:tl2br w:val="nil"/>
              <w:tr2bl w:val="nil"/>
            </w:tcBorders>
            <w:vAlign w:val="center"/>
          </w:tcPr>
          <w:p w14:paraId="3B45E881">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敏感</w:t>
            </w:r>
          </w:p>
        </w:tc>
        <w:tc>
          <w:tcPr>
            <w:tcW w:w="725" w:type="dxa"/>
            <w:tcBorders>
              <w:tl2br w:val="nil"/>
              <w:tr2bl w:val="nil"/>
            </w:tcBorders>
            <w:vAlign w:val="center"/>
          </w:tcPr>
          <w:p w14:paraId="5E6C336A">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一级</w:t>
            </w:r>
          </w:p>
        </w:tc>
        <w:tc>
          <w:tcPr>
            <w:tcW w:w="722" w:type="dxa"/>
            <w:tcBorders>
              <w:tl2br w:val="nil"/>
              <w:tr2bl w:val="nil"/>
            </w:tcBorders>
            <w:vAlign w:val="center"/>
          </w:tcPr>
          <w:p w14:paraId="52F666DE">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一级</w:t>
            </w:r>
          </w:p>
        </w:tc>
        <w:tc>
          <w:tcPr>
            <w:tcW w:w="733" w:type="dxa"/>
            <w:tcBorders>
              <w:tl2br w:val="nil"/>
              <w:tr2bl w:val="nil"/>
            </w:tcBorders>
            <w:vAlign w:val="center"/>
          </w:tcPr>
          <w:p w14:paraId="5E2081CA">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一级</w:t>
            </w:r>
          </w:p>
        </w:tc>
        <w:tc>
          <w:tcPr>
            <w:tcW w:w="728" w:type="dxa"/>
            <w:tcBorders>
              <w:tl2br w:val="nil"/>
              <w:tr2bl w:val="nil"/>
            </w:tcBorders>
            <w:vAlign w:val="center"/>
          </w:tcPr>
          <w:p w14:paraId="55080471">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二级</w:t>
            </w:r>
          </w:p>
        </w:tc>
        <w:tc>
          <w:tcPr>
            <w:tcW w:w="728" w:type="dxa"/>
            <w:tcBorders>
              <w:tl2br w:val="nil"/>
              <w:tr2bl w:val="nil"/>
            </w:tcBorders>
            <w:vAlign w:val="center"/>
          </w:tcPr>
          <w:p w14:paraId="1CB35D9B">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二级</w:t>
            </w:r>
          </w:p>
        </w:tc>
        <w:tc>
          <w:tcPr>
            <w:tcW w:w="728" w:type="dxa"/>
            <w:tcBorders>
              <w:tl2br w:val="nil"/>
              <w:tr2bl w:val="nil"/>
            </w:tcBorders>
            <w:vAlign w:val="center"/>
          </w:tcPr>
          <w:p w14:paraId="29865F8A">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二级</w:t>
            </w:r>
          </w:p>
        </w:tc>
        <w:tc>
          <w:tcPr>
            <w:tcW w:w="728" w:type="dxa"/>
            <w:tcBorders>
              <w:tl2br w:val="nil"/>
              <w:tr2bl w:val="nil"/>
            </w:tcBorders>
            <w:vAlign w:val="center"/>
          </w:tcPr>
          <w:p w14:paraId="7874E146">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三级</w:t>
            </w:r>
          </w:p>
        </w:tc>
        <w:tc>
          <w:tcPr>
            <w:tcW w:w="726" w:type="dxa"/>
            <w:tcBorders>
              <w:tl2br w:val="nil"/>
              <w:tr2bl w:val="nil"/>
            </w:tcBorders>
            <w:vAlign w:val="center"/>
          </w:tcPr>
          <w:p w14:paraId="7C87A247">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三级</w:t>
            </w:r>
          </w:p>
        </w:tc>
        <w:tc>
          <w:tcPr>
            <w:tcW w:w="671" w:type="dxa"/>
            <w:tcBorders>
              <w:tl2br w:val="nil"/>
              <w:tr2bl w:val="nil"/>
            </w:tcBorders>
            <w:vAlign w:val="center"/>
          </w:tcPr>
          <w:p w14:paraId="7D0F13B4">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三级</w:t>
            </w:r>
          </w:p>
        </w:tc>
      </w:tr>
      <w:tr w14:paraId="361A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0" w:type="dxa"/>
            <w:tcBorders>
              <w:tl2br w:val="nil"/>
              <w:tr2bl w:val="nil"/>
            </w:tcBorders>
            <w:vAlign w:val="center"/>
          </w:tcPr>
          <w:p w14:paraId="019E610E">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较敏感</w:t>
            </w:r>
          </w:p>
        </w:tc>
        <w:tc>
          <w:tcPr>
            <w:tcW w:w="725" w:type="dxa"/>
            <w:tcBorders>
              <w:tl2br w:val="nil"/>
              <w:tr2bl w:val="nil"/>
            </w:tcBorders>
            <w:vAlign w:val="center"/>
          </w:tcPr>
          <w:p w14:paraId="25DFCB04">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一级</w:t>
            </w:r>
          </w:p>
        </w:tc>
        <w:tc>
          <w:tcPr>
            <w:tcW w:w="722" w:type="dxa"/>
            <w:tcBorders>
              <w:tl2br w:val="nil"/>
              <w:tr2bl w:val="nil"/>
            </w:tcBorders>
            <w:vAlign w:val="center"/>
          </w:tcPr>
          <w:p w14:paraId="1F9717E5">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一级</w:t>
            </w:r>
          </w:p>
        </w:tc>
        <w:tc>
          <w:tcPr>
            <w:tcW w:w="733" w:type="dxa"/>
            <w:tcBorders>
              <w:tl2br w:val="nil"/>
              <w:tr2bl w:val="nil"/>
            </w:tcBorders>
            <w:vAlign w:val="center"/>
          </w:tcPr>
          <w:p w14:paraId="50D6DF79">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二级</w:t>
            </w:r>
          </w:p>
        </w:tc>
        <w:tc>
          <w:tcPr>
            <w:tcW w:w="728" w:type="dxa"/>
            <w:tcBorders>
              <w:tl2br w:val="nil"/>
              <w:tr2bl w:val="nil"/>
            </w:tcBorders>
            <w:vAlign w:val="center"/>
          </w:tcPr>
          <w:p w14:paraId="219B810B">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二级</w:t>
            </w:r>
          </w:p>
        </w:tc>
        <w:tc>
          <w:tcPr>
            <w:tcW w:w="728" w:type="dxa"/>
            <w:tcBorders>
              <w:tl2br w:val="nil"/>
              <w:tr2bl w:val="nil"/>
            </w:tcBorders>
            <w:vAlign w:val="center"/>
          </w:tcPr>
          <w:p w14:paraId="2C67B0E5">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二级</w:t>
            </w:r>
          </w:p>
        </w:tc>
        <w:tc>
          <w:tcPr>
            <w:tcW w:w="728" w:type="dxa"/>
            <w:tcBorders>
              <w:tl2br w:val="nil"/>
              <w:tr2bl w:val="nil"/>
            </w:tcBorders>
            <w:vAlign w:val="center"/>
          </w:tcPr>
          <w:p w14:paraId="763168DB">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三级</w:t>
            </w:r>
          </w:p>
        </w:tc>
        <w:tc>
          <w:tcPr>
            <w:tcW w:w="728" w:type="dxa"/>
            <w:tcBorders>
              <w:tl2br w:val="nil"/>
              <w:tr2bl w:val="nil"/>
            </w:tcBorders>
            <w:vAlign w:val="center"/>
          </w:tcPr>
          <w:p w14:paraId="7B377FE3">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三级</w:t>
            </w:r>
          </w:p>
        </w:tc>
        <w:tc>
          <w:tcPr>
            <w:tcW w:w="726" w:type="dxa"/>
            <w:tcBorders>
              <w:tl2br w:val="nil"/>
              <w:tr2bl w:val="nil"/>
            </w:tcBorders>
            <w:vAlign w:val="center"/>
          </w:tcPr>
          <w:p w14:paraId="3D82F137">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三级</w:t>
            </w:r>
          </w:p>
        </w:tc>
        <w:tc>
          <w:tcPr>
            <w:tcW w:w="671" w:type="dxa"/>
            <w:tcBorders>
              <w:tl2br w:val="nil"/>
              <w:tr2bl w:val="nil"/>
            </w:tcBorders>
            <w:vAlign w:val="center"/>
          </w:tcPr>
          <w:p w14:paraId="4DD435F0">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w:t>
            </w:r>
          </w:p>
        </w:tc>
      </w:tr>
      <w:tr w14:paraId="6F9F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0" w:type="dxa"/>
            <w:tcBorders>
              <w:tl2br w:val="nil"/>
              <w:tr2bl w:val="nil"/>
            </w:tcBorders>
            <w:vAlign w:val="center"/>
          </w:tcPr>
          <w:p w14:paraId="27577579">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不敏感</w:t>
            </w:r>
          </w:p>
        </w:tc>
        <w:tc>
          <w:tcPr>
            <w:tcW w:w="725" w:type="dxa"/>
            <w:tcBorders>
              <w:tl2br w:val="nil"/>
              <w:tr2bl w:val="nil"/>
            </w:tcBorders>
            <w:vAlign w:val="center"/>
          </w:tcPr>
          <w:p w14:paraId="617488C7">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一级</w:t>
            </w:r>
          </w:p>
        </w:tc>
        <w:tc>
          <w:tcPr>
            <w:tcW w:w="722" w:type="dxa"/>
            <w:tcBorders>
              <w:tl2br w:val="nil"/>
              <w:tr2bl w:val="nil"/>
            </w:tcBorders>
            <w:vAlign w:val="center"/>
          </w:tcPr>
          <w:p w14:paraId="1065DED8">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二级</w:t>
            </w:r>
          </w:p>
        </w:tc>
        <w:tc>
          <w:tcPr>
            <w:tcW w:w="733" w:type="dxa"/>
            <w:tcBorders>
              <w:tl2br w:val="nil"/>
              <w:tr2bl w:val="nil"/>
            </w:tcBorders>
            <w:vAlign w:val="center"/>
          </w:tcPr>
          <w:p w14:paraId="6BEC23EB">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二级</w:t>
            </w:r>
          </w:p>
        </w:tc>
        <w:tc>
          <w:tcPr>
            <w:tcW w:w="728" w:type="dxa"/>
            <w:tcBorders>
              <w:tl2br w:val="nil"/>
              <w:tr2bl w:val="nil"/>
            </w:tcBorders>
            <w:vAlign w:val="center"/>
          </w:tcPr>
          <w:p w14:paraId="4FFADD9D">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二级</w:t>
            </w:r>
          </w:p>
        </w:tc>
        <w:tc>
          <w:tcPr>
            <w:tcW w:w="728" w:type="dxa"/>
            <w:tcBorders>
              <w:tl2br w:val="nil"/>
              <w:tr2bl w:val="nil"/>
            </w:tcBorders>
            <w:vAlign w:val="center"/>
          </w:tcPr>
          <w:p w14:paraId="4F236E7E">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三级</w:t>
            </w:r>
          </w:p>
        </w:tc>
        <w:tc>
          <w:tcPr>
            <w:tcW w:w="728" w:type="dxa"/>
            <w:tcBorders>
              <w:tl2br w:val="nil"/>
              <w:tr2bl w:val="nil"/>
            </w:tcBorders>
            <w:vAlign w:val="center"/>
          </w:tcPr>
          <w:p w14:paraId="67AE794D">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三级</w:t>
            </w:r>
          </w:p>
        </w:tc>
        <w:tc>
          <w:tcPr>
            <w:tcW w:w="728" w:type="dxa"/>
            <w:tcBorders>
              <w:tl2br w:val="nil"/>
              <w:tr2bl w:val="nil"/>
            </w:tcBorders>
            <w:vAlign w:val="center"/>
          </w:tcPr>
          <w:p w14:paraId="636269B5">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三级</w:t>
            </w:r>
          </w:p>
        </w:tc>
        <w:tc>
          <w:tcPr>
            <w:tcW w:w="726" w:type="dxa"/>
            <w:tcBorders>
              <w:tl2br w:val="nil"/>
              <w:tr2bl w:val="nil"/>
            </w:tcBorders>
            <w:vAlign w:val="center"/>
          </w:tcPr>
          <w:p w14:paraId="4D6E101A">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w:t>
            </w:r>
          </w:p>
        </w:tc>
        <w:tc>
          <w:tcPr>
            <w:tcW w:w="671" w:type="dxa"/>
            <w:tcBorders>
              <w:tl2br w:val="nil"/>
              <w:tr2bl w:val="nil"/>
            </w:tcBorders>
            <w:vAlign w:val="center"/>
          </w:tcPr>
          <w:p w14:paraId="61AA36C1">
            <w:pPr>
              <w:adjustRightInd w:val="0"/>
              <w:snapToGrid w:val="0"/>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w:t>
            </w:r>
          </w:p>
        </w:tc>
      </w:tr>
      <w:tr w14:paraId="19D0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9" w:type="dxa"/>
            <w:gridSpan w:val="10"/>
            <w:tcBorders>
              <w:tl2br w:val="nil"/>
              <w:tr2bl w:val="nil"/>
            </w:tcBorders>
            <w:vAlign w:val="center"/>
          </w:tcPr>
          <w:p w14:paraId="4319B098">
            <w:pPr>
              <w:adjustRightInd w:val="0"/>
              <w:snapToGrid w:val="0"/>
              <w:jc w:val="left"/>
              <w:rPr>
                <w:rFonts w:ascii="Times New Roman" w:hAnsi="Times New Roman" w:eastAsia="宋体" w:cs="Times New Roman"/>
                <w:b/>
                <w:bCs/>
                <w:szCs w:val="21"/>
                <w:u w:val="single"/>
              </w:rPr>
            </w:pPr>
            <w:r>
              <w:rPr>
                <w:rFonts w:ascii="Times New Roman" w:hAnsi="Times New Roman" w:eastAsia="宋体" w:cs="Times New Roman"/>
                <w:b/>
                <w:bCs/>
                <w:szCs w:val="21"/>
                <w:u w:val="single"/>
              </w:rPr>
              <w:t>注：“—”表示可不开展土壤环境影响评价工作</w:t>
            </w:r>
          </w:p>
        </w:tc>
      </w:tr>
    </w:tbl>
    <w:p w14:paraId="370455E4">
      <w:pPr>
        <w:spacing w:line="360" w:lineRule="auto"/>
        <w:ind w:firstLine="482" w:firstLineChars="200"/>
        <w:rPr>
          <w:rFonts w:ascii="Times New Roman" w:hAnsi="Times New Roman" w:eastAsia="宋体" w:cs="Times New Roman"/>
          <w:b/>
          <w:bCs/>
          <w:sz w:val="24"/>
          <w:u w:val="single"/>
        </w:rPr>
      </w:pPr>
      <w:r>
        <w:rPr>
          <w:rFonts w:ascii="Times New Roman" w:hAnsi="Times New Roman" w:cs="Times New Roman"/>
          <w:b/>
          <w:bCs/>
          <w:sz w:val="24"/>
          <w:u w:val="single"/>
        </w:rPr>
        <w:t>本项目为</w:t>
      </w:r>
      <w:r>
        <w:rPr>
          <w:rFonts w:ascii="Times New Roman" w:hAnsi="Times New Roman" w:eastAsia="宋体" w:cs="Times New Roman"/>
          <w:b/>
          <w:bCs/>
          <w:sz w:val="24"/>
          <w:u w:val="single"/>
        </w:rPr>
        <w:t>Ⅰ类</w:t>
      </w:r>
      <w:r>
        <w:rPr>
          <w:rFonts w:ascii="Times New Roman" w:hAnsi="Times New Roman" w:cs="Times New Roman"/>
          <w:b/>
          <w:bCs/>
          <w:sz w:val="24"/>
          <w:u w:val="single"/>
        </w:rPr>
        <w:t>项目，占地规模为小型（≤5hm</w:t>
      </w:r>
      <w:r>
        <w:rPr>
          <w:rFonts w:ascii="Times New Roman" w:hAnsi="Times New Roman" w:cs="Times New Roman"/>
          <w:b/>
          <w:bCs/>
          <w:sz w:val="24"/>
          <w:u w:val="single"/>
          <w:vertAlign w:val="superscript"/>
        </w:rPr>
        <w:t>2</w:t>
      </w:r>
      <w:r>
        <w:rPr>
          <w:rFonts w:ascii="Times New Roman" w:hAnsi="Times New Roman" w:cs="Times New Roman"/>
          <w:b/>
          <w:bCs/>
          <w:sz w:val="24"/>
          <w:u w:val="single"/>
        </w:rPr>
        <w:t>），土壤环境敏感程度为不敏感，则土壤环境影响评价等级为二级。</w:t>
      </w:r>
    </w:p>
    <w:p w14:paraId="2FFC3D91">
      <w:pPr>
        <w:pStyle w:val="4"/>
        <w:numPr>
          <w:ilvl w:val="2"/>
          <w:numId w:val="21"/>
        </w:numPr>
        <w:tabs>
          <w:tab w:val="clear" w:pos="0"/>
        </w:tabs>
        <w:adjustRightInd w:val="0"/>
        <w:snapToGrid w:val="0"/>
      </w:pPr>
      <w:r>
        <w:t>生态环境影响评价等级</w:t>
      </w:r>
    </w:p>
    <w:p w14:paraId="2C8DB53E">
      <w:pPr>
        <w:pStyle w:val="74"/>
        <w:numPr>
          <w:ilvl w:val="255"/>
          <w:numId w:val="0"/>
        </w:numPr>
        <w:tabs>
          <w:tab w:val="left" w:pos="1108"/>
        </w:tabs>
        <w:adjustRightInd w:val="0"/>
        <w:snapToGrid w:val="0"/>
        <w:spacing w:line="360" w:lineRule="auto"/>
        <w:ind w:firstLine="480" w:firstLineChars="200"/>
        <w:jc w:val="left"/>
        <w:rPr>
          <w:rFonts w:ascii="Times New Roman" w:hAnsi="Times New Roman" w:cs="Times New Roman"/>
          <w:sz w:val="24"/>
          <w:szCs w:val="22"/>
        </w:rPr>
      </w:pPr>
      <w:r>
        <w:rPr>
          <w:rFonts w:ascii="Times New Roman" w:hAnsi="Times New Roman" w:cs="Times New Roman"/>
          <w:sz w:val="24"/>
          <w:szCs w:val="22"/>
        </w:rPr>
        <w:t>根据《环境影响评价技术导则 生态影响》（HJ 19-2022），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14:paraId="4E230E91">
      <w:pPr>
        <w:adjustRightInd w:val="0"/>
        <w:snapToGrid w:val="0"/>
        <w:spacing w:line="360" w:lineRule="auto"/>
        <w:ind w:firstLine="480" w:firstLineChars="200"/>
        <w:rPr>
          <w:rFonts w:ascii="Times New Roman" w:hAnsi="Times New Roman" w:cs="Times New Roman"/>
          <w:sz w:val="24"/>
          <w:szCs w:val="22"/>
        </w:rPr>
      </w:pPr>
      <w:r>
        <w:rPr>
          <w:rFonts w:ascii="Times New Roman" w:hAnsi="Times New Roman" w:cs="Times New Roman"/>
          <w:sz w:val="24"/>
          <w:szCs w:val="22"/>
        </w:rPr>
        <w:t>本项目</w:t>
      </w:r>
      <w:r>
        <w:rPr>
          <w:rFonts w:hint="eastAsia" w:cs="Times New Roman"/>
          <w:sz w:val="24"/>
          <w:szCs w:val="22"/>
        </w:rPr>
        <w:t>厂址位于</w:t>
      </w:r>
      <w:r>
        <w:rPr>
          <w:rFonts w:hint="eastAsia" w:ascii="Times New Roman" w:hAnsi="Times New Roman" w:eastAsia="宋体" w:cs="Times New Roman"/>
          <w:bCs/>
          <w:kern w:val="0"/>
          <w:sz w:val="24"/>
        </w:rPr>
        <w:t>清丰县产业集聚区</w:t>
      </w:r>
      <w:r>
        <w:rPr>
          <w:rFonts w:hint="eastAsia" w:ascii="Times New Roman" w:hAnsi="Times New Roman" w:cs="Times New Roman"/>
          <w:bCs/>
          <w:kern w:val="0"/>
          <w:sz w:val="24"/>
        </w:rPr>
        <w:t>，属于</w:t>
      </w:r>
      <w:r>
        <w:rPr>
          <w:rFonts w:ascii="Times New Roman" w:hAnsi="Times New Roman" w:cs="Times New Roman"/>
          <w:sz w:val="24"/>
          <w:szCs w:val="22"/>
        </w:rPr>
        <w:t>已批准规划环评的产业园区内且符合规划环评要求</w:t>
      </w:r>
      <w:r>
        <w:rPr>
          <w:rFonts w:hint="eastAsia" w:ascii="Times New Roman" w:hAnsi="Times New Roman" w:cs="Times New Roman"/>
          <w:sz w:val="24"/>
          <w:szCs w:val="22"/>
        </w:rPr>
        <w:t>，</w:t>
      </w:r>
      <w:r>
        <w:rPr>
          <w:rFonts w:hint="eastAsia" w:ascii="Times New Roman" w:hAnsi="Times New Roman" w:cs="Times New Roman"/>
          <w:bCs/>
          <w:kern w:val="0"/>
          <w:sz w:val="24"/>
        </w:rPr>
        <w:t>周围以企业为主，不涉及生态敏感区，只进行生态影响简单分析。</w:t>
      </w:r>
    </w:p>
    <w:p w14:paraId="1A7EAFF1">
      <w:pPr>
        <w:pStyle w:val="4"/>
        <w:numPr>
          <w:ilvl w:val="2"/>
          <w:numId w:val="21"/>
        </w:numPr>
        <w:tabs>
          <w:tab w:val="clear" w:pos="0"/>
        </w:tabs>
        <w:adjustRightInd w:val="0"/>
        <w:snapToGrid w:val="0"/>
      </w:pPr>
      <w:r>
        <w:t>环境风险评价等级</w:t>
      </w:r>
    </w:p>
    <w:p w14:paraId="6C2FA269">
      <w:pPr>
        <w:adjustRightInd w:val="0"/>
        <w:snapToGrid w:val="0"/>
        <w:spacing w:line="360" w:lineRule="auto"/>
        <w:ind w:firstLine="480" w:firstLineChars="200"/>
        <w:rPr>
          <w:rFonts w:ascii="Times New Roman" w:hAnsi="Times New Roman" w:cs="Times New Roman"/>
          <w:sz w:val="24"/>
          <w:szCs w:val="22"/>
        </w:rPr>
      </w:pPr>
      <w:r>
        <w:rPr>
          <w:rFonts w:ascii="Times New Roman" w:hAnsi="Times New Roman" w:cs="Times New Roman"/>
          <w:sz w:val="24"/>
          <w:szCs w:val="22"/>
        </w:rPr>
        <w:t>1、风险评价等级划分</w:t>
      </w:r>
    </w:p>
    <w:p w14:paraId="63DFC612">
      <w:pPr>
        <w:adjustRightInd w:val="0"/>
        <w:snapToGrid w:val="0"/>
        <w:spacing w:line="360" w:lineRule="auto"/>
        <w:ind w:firstLine="480" w:firstLineChars="200"/>
        <w:rPr>
          <w:rFonts w:ascii="Times New Roman" w:hAnsi="Times New Roman" w:cs="Times New Roman"/>
          <w:sz w:val="24"/>
          <w:szCs w:val="22"/>
        </w:rPr>
      </w:pPr>
      <w:r>
        <w:rPr>
          <w:rFonts w:ascii="Times New Roman" w:hAnsi="Times New Roman" w:cs="Times New Roman"/>
          <w:sz w:val="24"/>
          <w:szCs w:val="22"/>
        </w:rPr>
        <w:t>由《建设项目环境风险评价技术导则》（HJ 169-2018）可知，根据建设项目涉及的物质及工艺系统危险性和所在地的环境敏感性确定环境风险潜势，按</w:t>
      </w:r>
      <w:r>
        <w:rPr>
          <w:rFonts w:hint="eastAsia" w:ascii="Times New Roman" w:hAnsi="Times New Roman" w:cs="Times New Roman"/>
          <w:sz w:val="24"/>
          <w:szCs w:val="22"/>
        </w:rPr>
        <w:t>下</w:t>
      </w:r>
      <w:r>
        <w:rPr>
          <w:rFonts w:ascii="Times New Roman" w:hAnsi="Times New Roman" w:cs="Times New Roman"/>
          <w:sz w:val="24"/>
          <w:szCs w:val="22"/>
        </w:rPr>
        <w:t>表确定风险评价工作等级。</w:t>
      </w:r>
    </w:p>
    <w:p w14:paraId="01B8F6F5">
      <w:pPr>
        <w:numPr>
          <w:ilvl w:val="0"/>
          <w:numId w:val="22"/>
        </w:numPr>
        <w:adjustRightInd w:val="0"/>
        <w:snapToGrid w:val="0"/>
        <w:jc w:val="center"/>
        <w:rPr>
          <w:rFonts w:ascii="Times New Roman" w:hAnsi="Times New Roman" w:cs="Times New Roman"/>
          <w:b/>
          <w:bCs/>
          <w:kern w:val="28"/>
          <w:szCs w:val="32"/>
        </w:rPr>
      </w:pPr>
      <w:r>
        <w:rPr>
          <w:rFonts w:hint="eastAsia" w:ascii="Times New Roman" w:hAnsi="Times New Roman" w:cs="Times New Roman"/>
          <w:b/>
          <w:bCs/>
          <w:kern w:val="28"/>
          <w:szCs w:val="32"/>
        </w:rPr>
        <w:t xml:space="preserve">  </w:t>
      </w:r>
      <w:r>
        <w:rPr>
          <w:rFonts w:ascii="Times New Roman" w:hAnsi="Times New Roman" w:cs="Times New Roman"/>
          <w:b/>
          <w:bCs/>
          <w:kern w:val="28"/>
          <w:szCs w:val="32"/>
        </w:rPr>
        <w:t xml:space="preserve"> 环境风险评价工作等级划分</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2"/>
        <w:gridCol w:w="1702"/>
        <w:gridCol w:w="1702"/>
        <w:gridCol w:w="1711"/>
      </w:tblGrid>
      <w:tr w14:paraId="4D86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394633CA">
            <w:pPr>
              <w:adjustRightInd w:val="0"/>
              <w:snapToGrid w:val="0"/>
              <w:jc w:val="center"/>
              <w:rPr>
                <w:rFonts w:ascii="Times New Roman" w:hAnsi="Times New Roman" w:cs="Times New Roman"/>
                <w:szCs w:val="21"/>
              </w:rPr>
            </w:pPr>
            <w:r>
              <w:rPr>
                <w:rFonts w:ascii="Times New Roman" w:hAnsi="Times New Roman" w:cs="Times New Roman"/>
                <w:szCs w:val="21"/>
              </w:rPr>
              <w:t>环境风险潜势</w:t>
            </w:r>
          </w:p>
        </w:tc>
        <w:tc>
          <w:tcPr>
            <w:tcW w:w="1702" w:type="dxa"/>
          </w:tcPr>
          <w:p w14:paraId="0664CDEC">
            <w:pPr>
              <w:adjustRightInd w:val="0"/>
              <w:snapToGrid w:val="0"/>
              <w:jc w:val="center"/>
              <w:rPr>
                <w:rFonts w:ascii="Times New Roman" w:hAnsi="Times New Roman" w:cs="Times New Roman"/>
                <w:szCs w:val="21"/>
              </w:rPr>
            </w:pPr>
            <w:r>
              <w:rPr>
                <w:rFonts w:ascii="Times New Roman" w:hAnsi="Times New Roman" w:cs="Times New Roman"/>
                <w:szCs w:val="21"/>
              </w:rPr>
              <w:t>IV、IV</w:t>
            </w:r>
            <w:r>
              <w:rPr>
                <w:rFonts w:ascii="Times New Roman" w:hAnsi="Times New Roman" w:cs="Times New Roman"/>
                <w:szCs w:val="21"/>
                <w:vertAlign w:val="superscript"/>
              </w:rPr>
              <w:t>+</w:t>
            </w:r>
          </w:p>
        </w:tc>
        <w:tc>
          <w:tcPr>
            <w:tcW w:w="1702" w:type="dxa"/>
          </w:tcPr>
          <w:p w14:paraId="2A9ACF83">
            <w:pPr>
              <w:adjustRightInd w:val="0"/>
              <w:snapToGrid w:val="0"/>
              <w:jc w:val="center"/>
              <w:rPr>
                <w:rFonts w:ascii="Times New Roman" w:hAnsi="Times New Roman" w:cs="Times New Roman"/>
                <w:szCs w:val="21"/>
              </w:rPr>
            </w:pPr>
            <w:r>
              <w:rPr>
                <w:rFonts w:ascii="Times New Roman" w:hAnsi="Times New Roman" w:cs="Times New Roman"/>
                <w:szCs w:val="21"/>
              </w:rPr>
              <w:t>III</w:t>
            </w:r>
          </w:p>
        </w:tc>
        <w:tc>
          <w:tcPr>
            <w:tcW w:w="1702" w:type="dxa"/>
          </w:tcPr>
          <w:p w14:paraId="3D204088">
            <w:pPr>
              <w:adjustRightInd w:val="0"/>
              <w:snapToGrid w:val="0"/>
              <w:jc w:val="center"/>
              <w:rPr>
                <w:rFonts w:ascii="Times New Roman" w:hAnsi="Times New Roman" w:cs="Times New Roman"/>
                <w:szCs w:val="21"/>
              </w:rPr>
            </w:pPr>
            <w:r>
              <w:rPr>
                <w:rFonts w:ascii="Times New Roman" w:hAnsi="Times New Roman" w:cs="Times New Roman"/>
                <w:szCs w:val="21"/>
              </w:rPr>
              <w:t>II</w:t>
            </w:r>
          </w:p>
        </w:tc>
        <w:tc>
          <w:tcPr>
            <w:tcW w:w="1711" w:type="dxa"/>
          </w:tcPr>
          <w:p w14:paraId="67F6F96B">
            <w:pPr>
              <w:adjustRightInd w:val="0"/>
              <w:snapToGrid w:val="0"/>
              <w:jc w:val="center"/>
              <w:rPr>
                <w:rFonts w:ascii="Times New Roman" w:hAnsi="Times New Roman" w:cs="Times New Roman"/>
                <w:szCs w:val="21"/>
              </w:rPr>
            </w:pPr>
            <w:r>
              <w:rPr>
                <w:rFonts w:ascii="Times New Roman" w:hAnsi="Times New Roman" w:cs="Times New Roman"/>
                <w:szCs w:val="21"/>
              </w:rPr>
              <w:t>I</w:t>
            </w:r>
          </w:p>
        </w:tc>
      </w:tr>
      <w:tr w14:paraId="4B5D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F3171C7">
            <w:pPr>
              <w:adjustRightInd w:val="0"/>
              <w:snapToGrid w:val="0"/>
              <w:jc w:val="center"/>
              <w:rPr>
                <w:rFonts w:ascii="Times New Roman" w:hAnsi="Times New Roman" w:cs="Times New Roman"/>
                <w:szCs w:val="21"/>
              </w:rPr>
            </w:pPr>
            <w:r>
              <w:rPr>
                <w:rFonts w:ascii="Times New Roman" w:hAnsi="Times New Roman" w:cs="Times New Roman"/>
                <w:szCs w:val="21"/>
              </w:rPr>
              <w:t>评价工作等级</w:t>
            </w:r>
          </w:p>
        </w:tc>
        <w:tc>
          <w:tcPr>
            <w:tcW w:w="1702" w:type="dxa"/>
          </w:tcPr>
          <w:p w14:paraId="08036EC4">
            <w:pPr>
              <w:adjustRightInd w:val="0"/>
              <w:snapToGrid w:val="0"/>
              <w:jc w:val="center"/>
              <w:rPr>
                <w:rFonts w:ascii="Times New Roman" w:hAnsi="Times New Roman" w:cs="Times New Roman"/>
                <w:szCs w:val="21"/>
              </w:rPr>
            </w:pPr>
            <w:r>
              <w:rPr>
                <w:rFonts w:ascii="Times New Roman" w:hAnsi="Times New Roman" w:cs="Times New Roman"/>
                <w:szCs w:val="21"/>
              </w:rPr>
              <w:t>一</w:t>
            </w:r>
          </w:p>
        </w:tc>
        <w:tc>
          <w:tcPr>
            <w:tcW w:w="1702" w:type="dxa"/>
          </w:tcPr>
          <w:p w14:paraId="6BB8DFBC">
            <w:pPr>
              <w:adjustRightInd w:val="0"/>
              <w:snapToGrid w:val="0"/>
              <w:jc w:val="center"/>
              <w:rPr>
                <w:rFonts w:ascii="Times New Roman" w:hAnsi="Times New Roman" w:cs="Times New Roman"/>
                <w:szCs w:val="21"/>
              </w:rPr>
            </w:pPr>
            <w:r>
              <w:rPr>
                <w:rFonts w:ascii="Times New Roman" w:hAnsi="Times New Roman" w:cs="Times New Roman"/>
                <w:szCs w:val="21"/>
              </w:rPr>
              <w:t>二</w:t>
            </w:r>
          </w:p>
        </w:tc>
        <w:tc>
          <w:tcPr>
            <w:tcW w:w="1702" w:type="dxa"/>
          </w:tcPr>
          <w:p w14:paraId="73FB7927">
            <w:pPr>
              <w:adjustRightInd w:val="0"/>
              <w:snapToGrid w:val="0"/>
              <w:jc w:val="center"/>
              <w:rPr>
                <w:rFonts w:ascii="Times New Roman" w:hAnsi="Times New Roman" w:cs="Times New Roman"/>
                <w:szCs w:val="21"/>
              </w:rPr>
            </w:pPr>
            <w:r>
              <w:rPr>
                <w:rFonts w:ascii="Times New Roman" w:hAnsi="Times New Roman" w:cs="Times New Roman"/>
                <w:szCs w:val="21"/>
              </w:rPr>
              <w:t>三</w:t>
            </w:r>
          </w:p>
        </w:tc>
        <w:tc>
          <w:tcPr>
            <w:tcW w:w="1711" w:type="dxa"/>
          </w:tcPr>
          <w:p w14:paraId="00A655D7">
            <w:pPr>
              <w:adjustRightInd w:val="0"/>
              <w:snapToGrid w:val="0"/>
              <w:jc w:val="center"/>
              <w:rPr>
                <w:rFonts w:ascii="Times New Roman" w:hAnsi="Times New Roman" w:cs="Times New Roman"/>
                <w:szCs w:val="21"/>
              </w:rPr>
            </w:pPr>
            <w:r>
              <w:rPr>
                <w:rFonts w:ascii="Times New Roman" w:hAnsi="Times New Roman" w:cs="Times New Roman"/>
                <w:szCs w:val="21"/>
              </w:rPr>
              <w:t>简单分析a</w:t>
            </w:r>
          </w:p>
        </w:tc>
      </w:tr>
      <w:tr w14:paraId="0ABD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9" w:type="dxa"/>
            <w:gridSpan w:val="5"/>
          </w:tcPr>
          <w:p w14:paraId="3C126D9D">
            <w:pPr>
              <w:adjustRightInd w:val="0"/>
              <w:snapToGrid w:val="0"/>
              <w:jc w:val="center"/>
              <w:rPr>
                <w:rFonts w:ascii="Times New Roman" w:hAnsi="Times New Roman" w:cs="Times New Roman"/>
                <w:szCs w:val="21"/>
              </w:rPr>
            </w:pPr>
            <w:r>
              <w:rPr>
                <w:rFonts w:ascii="Times New Roman" w:hAnsi="Times New Roman" w:cs="Times New Roman"/>
                <w:szCs w:val="21"/>
              </w:rPr>
              <w:t>a是相对于详细评价工作内容而言，在描述危险物质、环境影响途径、环境危害后果、风险防范措施等方面给出定性的说明。</w:t>
            </w:r>
          </w:p>
        </w:tc>
      </w:tr>
    </w:tbl>
    <w:p w14:paraId="00C602F0">
      <w:pPr>
        <w:spacing w:line="360" w:lineRule="auto"/>
        <w:ind w:firstLine="480" w:firstLineChars="200"/>
        <w:rPr>
          <w:rFonts w:ascii="Times New Roman" w:hAnsi="Times New Roman" w:cs="Times New Roman"/>
          <w:sz w:val="24"/>
          <w:szCs w:val="22"/>
        </w:rPr>
      </w:pPr>
      <w:r>
        <w:rPr>
          <w:rFonts w:ascii="Times New Roman" w:hAnsi="Times New Roman" w:cs="Times New Roman"/>
          <w:sz w:val="24"/>
          <w:szCs w:val="22"/>
        </w:rPr>
        <w:t>2、环境风险潜势划分及判定方法</w:t>
      </w:r>
    </w:p>
    <w:p w14:paraId="27D41FE2">
      <w:pPr>
        <w:spacing w:line="360" w:lineRule="auto"/>
        <w:ind w:firstLine="480" w:firstLineChars="200"/>
        <w:rPr>
          <w:rFonts w:ascii="Times New Roman" w:hAnsi="Times New Roman" w:cs="Times New Roman"/>
          <w:sz w:val="24"/>
          <w:szCs w:val="22"/>
        </w:rPr>
      </w:pPr>
      <w:r>
        <w:rPr>
          <w:rFonts w:ascii="Times New Roman" w:hAnsi="Times New Roman" w:cs="Times New Roman"/>
          <w:sz w:val="24"/>
          <w:szCs w:val="22"/>
        </w:rPr>
        <w:t>建设项目环境风险潜势划分为Ⅰ、Ⅱ、Ⅲ、Ⅳ、Ⅳ</w:t>
      </w:r>
      <w:r>
        <w:rPr>
          <w:rFonts w:ascii="Times New Roman" w:hAnsi="Times New Roman" w:cs="Times New Roman"/>
          <w:sz w:val="24"/>
          <w:szCs w:val="22"/>
          <w:vertAlign w:val="superscript"/>
        </w:rPr>
        <w:t>+</w:t>
      </w:r>
      <w:r>
        <w:rPr>
          <w:rFonts w:ascii="Times New Roman" w:hAnsi="Times New Roman" w:cs="Times New Roman"/>
          <w:sz w:val="24"/>
          <w:szCs w:val="22"/>
        </w:rPr>
        <w:t>级。风险潜势判定工作方法详见</w:t>
      </w:r>
      <w:r>
        <w:rPr>
          <w:rFonts w:hint="eastAsia" w:ascii="Times New Roman" w:hAnsi="Times New Roman" w:cs="Times New Roman"/>
          <w:sz w:val="24"/>
          <w:szCs w:val="22"/>
        </w:rPr>
        <w:t>下</w:t>
      </w:r>
      <w:r>
        <w:rPr>
          <w:rFonts w:ascii="Times New Roman" w:hAnsi="Times New Roman" w:cs="Times New Roman"/>
          <w:sz w:val="24"/>
          <w:szCs w:val="22"/>
        </w:rPr>
        <w:t>图。</w:t>
      </w:r>
    </w:p>
    <w:p w14:paraId="365048CB">
      <w:pPr>
        <w:spacing w:line="360" w:lineRule="auto"/>
        <w:rPr>
          <w:rFonts w:ascii="Times New Roman" w:hAnsi="Times New Roman" w:cs="Times New Roman"/>
          <w:szCs w:val="22"/>
        </w:rPr>
      </w:pPr>
      <w:r>
        <w:rPr>
          <w:rFonts w:ascii="Times New Roman" w:hAnsi="Times New Roman" w:cs="Times New Roman"/>
          <w:szCs w:val="22"/>
        </w:rPr>
        <mc:AlternateContent>
          <mc:Choice Requires="wpc">
            <w:drawing>
              <wp:inline distT="0" distB="0" distL="114300" distR="114300">
                <wp:extent cx="5111115" cy="3302635"/>
                <wp:effectExtent l="0" t="0" r="0" b="0"/>
                <wp:docPr id="26" name="画布 26"/>
                <wp:cNvGraphicFramePr/>
                <a:graphic xmlns:a="http://schemas.openxmlformats.org/drawingml/2006/main">
                  <a:graphicData uri="http://schemas.microsoft.com/office/word/2010/wordprocessingCanvas">
                    <wpc:wpc>
                      <wpc:bg>
                        <a:noFill/>
                      </wpc:bg>
                      <wpc:whole>
                        <a:ln>
                          <a:noFill/>
                        </a:ln>
                      </wpc:whole>
                      <wps:wsp>
                        <wps:cNvPr id="6" name="矩形 6"/>
                        <wps:cNvSpPr>
                          <a:spLocks noChangeArrowheads="1"/>
                        </wps:cNvSpPr>
                        <wps:spPr bwMode="auto">
                          <a:xfrm>
                            <a:off x="352425" y="545465"/>
                            <a:ext cx="304800" cy="447675"/>
                          </a:xfrm>
                          <a:prstGeom prst="rect">
                            <a:avLst/>
                          </a:prstGeom>
                          <a:noFill/>
                          <a:ln>
                            <a:noFill/>
                          </a:ln>
                          <a:effectLst/>
                        </wps:spPr>
                        <wps:txbx>
                          <w:txbxContent>
                            <w:p w14:paraId="3B4D29DA">
                              <w:pPr>
                                <w:rPr>
                                  <w:rFonts w:ascii="Calibri" w:hAnsi="Calibri" w:cs="Times New Roman"/>
                                  <w:szCs w:val="22"/>
                                </w:rPr>
                              </w:pPr>
                              <w:r>
                                <w:rPr>
                                  <w:rFonts w:ascii="Calibri" w:hAnsi="Calibri" w:cs="Times New Roman"/>
                                  <w:szCs w:val="22"/>
                                </w:rPr>
                                <w:t>Q</w:t>
                              </w:r>
                            </w:p>
                          </w:txbxContent>
                        </wps:txbx>
                        <wps:bodyPr rot="0" vert="horz" wrap="square" lIns="91440" tIns="45720" rIns="91440" bIns="45720" anchor="ctr" anchorCtr="0" upright="1">
                          <a:noAutofit/>
                        </wps:bodyPr>
                      </wps:wsp>
                      <wps:wsp>
                        <wps:cNvPr id="35" name="直接连接符 7"/>
                        <wps:cNvCnPr>
                          <a:cxnSpLocks noChangeShapeType="1"/>
                        </wps:cNvCnPr>
                        <wps:spPr bwMode="auto">
                          <a:xfrm>
                            <a:off x="1133475" y="774065"/>
                            <a:ext cx="0" cy="1228725"/>
                          </a:xfrm>
                          <a:prstGeom prst="line">
                            <a:avLst/>
                          </a:prstGeom>
                          <a:noFill/>
                          <a:ln w="6350" algn="ctr">
                            <a:solidFill>
                              <a:srgbClr val="000000"/>
                            </a:solidFill>
                            <a:miter lim="800000"/>
                          </a:ln>
                          <a:effectLst/>
                        </wps:spPr>
                        <wps:bodyPr/>
                      </wps:wsp>
                      <wps:wsp>
                        <wps:cNvPr id="36" name="直接箭头连接符 8"/>
                        <wps:cNvCnPr>
                          <a:cxnSpLocks noChangeShapeType="1"/>
                        </wps:cNvCnPr>
                        <wps:spPr bwMode="auto">
                          <a:xfrm>
                            <a:off x="474980" y="221615"/>
                            <a:ext cx="2917190" cy="0"/>
                          </a:xfrm>
                          <a:prstGeom prst="straightConnector1">
                            <a:avLst/>
                          </a:prstGeom>
                          <a:noFill/>
                          <a:ln w="6350" algn="ctr">
                            <a:solidFill>
                              <a:srgbClr val="000000"/>
                            </a:solidFill>
                            <a:miter lim="800000"/>
                            <a:tailEnd type="triangle" w="med" len="med"/>
                          </a:ln>
                          <a:effectLst/>
                        </wps:spPr>
                        <wps:bodyPr/>
                      </wps:wsp>
                      <wps:wsp>
                        <wps:cNvPr id="9" name="直接连接符 9"/>
                        <wps:cNvCnPr>
                          <a:cxnSpLocks noChangeShapeType="1"/>
                        </wps:cNvCnPr>
                        <wps:spPr bwMode="auto">
                          <a:xfrm flipV="1">
                            <a:off x="474980" y="224790"/>
                            <a:ext cx="0" cy="406400"/>
                          </a:xfrm>
                          <a:prstGeom prst="line">
                            <a:avLst/>
                          </a:prstGeom>
                          <a:noFill/>
                          <a:ln w="6350" algn="ctr">
                            <a:solidFill>
                              <a:srgbClr val="000000"/>
                            </a:solidFill>
                            <a:miter lim="800000"/>
                          </a:ln>
                          <a:effectLst/>
                        </wps:spPr>
                        <wps:bodyPr/>
                      </wps:wsp>
                      <wps:wsp>
                        <wps:cNvPr id="10" name="矩形 10"/>
                        <wps:cNvSpPr>
                          <a:spLocks noChangeArrowheads="1"/>
                        </wps:cNvSpPr>
                        <wps:spPr bwMode="auto">
                          <a:xfrm>
                            <a:off x="404495" y="252730"/>
                            <a:ext cx="610870" cy="271145"/>
                          </a:xfrm>
                          <a:prstGeom prst="rect">
                            <a:avLst/>
                          </a:prstGeom>
                          <a:noFill/>
                          <a:ln>
                            <a:noFill/>
                          </a:ln>
                          <a:effectLst/>
                        </wps:spPr>
                        <wps:txbx>
                          <w:txbxContent>
                            <w:p w14:paraId="06E427C6">
                              <w:pPr>
                                <w:rPr>
                                  <w:rFonts w:ascii="Times New Roman" w:hAnsi="Times New Roman" w:cs="Times New Roman"/>
                                  <w:szCs w:val="22"/>
                                </w:rPr>
                              </w:pPr>
                              <w:r>
                                <w:rPr>
                                  <w:rFonts w:ascii="Times New Roman" w:hAnsi="Times New Roman" w:cs="Times New Roman"/>
                                  <w:szCs w:val="22"/>
                                </w:rPr>
                                <w:t>Q＜1</w:t>
                              </w:r>
                            </w:p>
                          </w:txbxContent>
                        </wps:txbx>
                        <wps:bodyPr rot="0" vert="horz" wrap="square" lIns="91440" tIns="45720" rIns="91440" bIns="45720" anchor="ctr" anchorCtr="0" upright="1">
                          <a:noAutofit/>
                        </wps:bodyPr>
                      </wps:wsp>
                      <wps:wsp>
                        <wps:cNvPr id="11" name="矩形 11"/>
                        <wps:cNvSpPr>
                          <a:spLocks noChangeArrowheads="1"/>
                        </wps:cNvSpPr>
                        <wps:spPr bwMode="auto">
                          <a:xfrm>
                            <a:off x="3384550" y="71755"/>
                            <a:ext cx="1174115" cy="293370"/>
                          </a:xfrm>
                          <a:prstGeom prst="rect">
                            <a:avLst/>
                          </a:prstGeom>
                          <a:noFill/>
                          <a:ln>
                            <a:noFill/>
                          </a:ln>
                          <a:effectLst/>
                        </wps:spPr>
                        <wps:txbx>
                          <w:txbxContent>
                            <w:p w14:paraId="11096320">
                              <w:pPr>
                                <w:rPr>
                                  <w:rFonts w:ascii="Times New Roman" w:hAnsi="Times New Roman" w:cs="Times New Roman"/>
                                  <w:szCs w:val="22"/>
                                </w:rPr>
                              </w:pPr>
                              <w:r>
                                <w:rPr>
                                  <w:rFonts w:ascii="Times New Roman" w:hAnsi="Times New Roman" w:cs="Times New Roman"/>
                                  <w:szCs w:val="22"/>
                                </w:rPr>
                                <w:t>项目风险潜势为Ⅰ</w:t>
                              </w:r>
                            </w:p>
                          </w:txbxContent>
                        </wps:txbx>
                        <wps:bodyPr rot="0" vert="horz" wrap="square" lIns="91440" tIns="45720" rIns="91440" bIns="45720" anchor="ctr" anchorCtr="0" upright="1">
                          <a:noAutofit/>
                        </wps:bodyPr>
                      </wps:wsp>
                      <wps:wsp>
                        <wps:cNvPr id="12" name="矩形 12"/>
                        <wps:cNvSpPr>
                          <a:spLocks noChangeArrowheads="1"/>
                        </wps:cNvSpPr>
                        <wps:spPr bwMode="auto">
                          <a:xfrm>
                            <a:off x="542290" y="687705"/>
                            <a:ext cx="610235" cy="378460"/>
                          </a:xfrm>
                          <a:prstGeom prst="rect">
                            <a:avLst/>
                          </a:prstGeom>
                          <a:noFill/>
                          <a:ln>
                            <a:noFill/>
                          </a:ln>
                          <a:effectLst/>
                        </wps:spPr>
                        <wps:txbx>
                          <w:txbxContent>
                            <w:p w14:paraId="7F808AA3">
                              <w:pPr>
                                <w:rPr>
                                  <w:rFonts w:ascii="Times New Roman" w:hAnsi="Times New Roman" w:cs="Times New Roman"/>
                                  <w:szCs w:val="22"/>
                                </w:rPr>
                              </w:pPr>
                              <w:r>
                                <w:rPr>
                                  <w:rFonts w:ascii="Times New Roman" w:hAnsi="Times New Roman" w:cs="Times New Roman"/>
                                  <w:szCs w:val="22"/>
                                </w:rPr>
                                <w:t>Q≥1</w:t>
                              </w:r>
                            </w:p>
                          </w:txbxContent>
                        </wps:txbx>
                        <wps:bodyPr rot="0" vert="horz" wrap="square" lIns="91440" tIns="45720" rIns="91440" bIns="45720" anchor="ctr" anchorCtr="0" upright="1">
                          <a:noAutofit/>
                        </wps:bodyPr>
                      </wps:wsp>
                      <wps:wsp>
                        <wps:cNvPr id="13" name="直接箭头连接符 13"/>
                        <wps:cNvCnPr>
                          <a:cxnSpLocks noChangeShapeType="1"/>
                        </wps:cNvCnPr>
                        <wps:spPr bwMode="auto">
                          <a:xfrm>
                            <a:off x="609600" y="774065"/>
                            <a:ext cx="523875" cy="0"/>
                          </a:xfrm>
                          <a:prstGeom prst="straightConnector1">
                            <a:avLst/>
                          </a:prstGeom>
                          <a:noFill/>
                          <a:ln w="6350" algn="ctr">
                            <a:solidFill>
                              <a:srgbClr val="000000"/>
                            </a:solidFill>
                            <a:miter lim="800000"/>
                            <a:tailEnd type="triangle" w="med" len="med"/>
                          </a:ln>
                          <a:effectLst/>
                        </wps:spPr>
                        <wps:bodyPr/>
                      </wps:wsp>
                      <wps:wsp>
                        <wps:cNvPr id="14" name="矩形 14"/>
                        <wps:cNvSpPr>
                          <a:spLocks noChangeArrowheads="1"/>
                        </wps:cNvSpPr>
                        <wps:spPr bwMode="auto">
                          <a:xfrm>
                            <a:off x="352425" y="1764030"/>
                            <a:ext cx="371475" cy="447040"/>
                          </a:xfrm>
                          <a:prstGeom prst="rect">
                            <a:avLst/>
                          </a:prstGeom>
                          <a:noFill/>
                          <a:ln>
                            <a:noFill/>
                          </a:ln>
                          <a:effectLst/>
                        </wps:spPr>
                        <wps:txbx>
                          <w:txbxContent>
                            <w:p w14:paraId="79F2A4C3">
                              <w:pPr>
                                <w:rPr>
                                  <w:rFonts w:ascii="Times New Roman" w:hAnsi="Times New Roman" w:cs="Times New Roman"/>
                                  <w:szCs w:val="22"/>
                                </w:rPr>
                              </w:pPr>
                              <w:r>
                                <w:rPr>
                                  <w:rFonts w:ascii="Times New Roman" w:hAnsi="Times New Roman" w:cs="Times New Roman"/>
                                  <w:szCs w:val="22"/>
                                </w:rPr>
                                <w:t>M</w:t>
                              </w:r>
                            </w:p>
                          </w:txbxContent>
                        </wps:txbx>
                        <wps:bodyPr rot="0" vert="horz" wrap="square" lIns="91440" tIns="45720" rIns="91440" bIns="45720" anchor="ctr" anchorCtr="0" upright="1">
                          <a:noAutofit/>
                        </wps:bodyPr>
                      </wps:wsp>
                      <wps:wsp>
                        <wps:cNvPr id="15" name="直接箭头连接符 15"/>
                        <wps:cNvCnPr>
                          <a:cxnSpLocks noChangeShapeType="1"/>
                        </wps:cNvCnPr>
                        <wps:spPr bwMode="auto">
                          <a:xfrm>
                            <a:off x="657225" y="2002790"/>
                            <a:ext cx="476250" cy="0"/>
                          </a:xfrm>
                          <a:prstGeom prst="straightConnector1">
                            <a:avLst/>
                          </a:prstGeom>
                          <a:noFill/>
                          <a:ln w="6350" algn="ctr">
                            <a:solidFill>
                              <a:srgbClr val="000000"/>
                            </a:solidFill>
                            <a:miter lim="800000"/>
                            <a:tailEnd type="triangle" w="med" len="med"/>
                          </a:ln>
                          <a:effectLst/>
                        </wps:spPr>
                        <wps:bodyPr/>
                      </wps:wsp>
                      <wps:wsp>
                        <wps:cNvPr id="16" name="直接箭头连接符 16"/>
                        <wps:cNvCnPr>
                          <a:cxnSpLocks noChangeShapeType="1"/>
                        </wps:cNvCnPr>
                        <wps:spPr bwMode="auto">
                          <a:xfrm>
                            <a:off x="1133475" y="1363345"/>
                            <a:ext cx="391160" cy="0"/>
                          </a:xfrm>
                          <a:prstGeom prst="straightConnector1">
                            <a:avLst/>
                          </a:prstGeom>
                          <a:noFill/>
                          <a:ln w="6350" algn="ctr">
                            <a:solidFill>
                              <a:srgbClr val="000000"/>
                            </a:solidFill>
                            <a:miter lim="800000"/>
                            <a:tailEnd type="triangle" w="med" len="med"/>
                          </a:ln>
                          <a:effectLst/>
                        </wps:spPr>
                        <wps:bodyPr/>
                      </wps:wsp>
                      <wps:wsp>
                        <wps:cNvPr id="17" name="矩形 17"/>
                        <wps:cNvSpPr>
                          <a:spLocks noChangeArrowheads="1"/>
                        </wps:cNvSpPr>
                        <wps:spPr bwMode="auto">
                          <a:xfrm>
                            <a:off x="1475105" y="1197610"/>
                            <a:ext cx="325120" cy="314325"/>
                          </a:xfrm>
                          <a:prstGeom prst="rect">
                            <a:avLst/>
                          </a:prstGeom>
                          <a:noFill/>
                          <a:ln>
                            <a:noFill/>
                          </a:ln>
                          <a:effectLst/>
                        </wps:spPr>
                        <wps:txbx>
                          <w:txbxContent>
                            <w:p w14:paraId="5AA690FC">
                              <w:pPr>
                                <w:rPr>
                                  <w:rFonts w:ascii="Times New Roman" w:hAnsi="Times New Roman" w:cs="Times New Roman"/>
                                  <w:szCs w:val="22"/>
                                </w:rPr>
                              </w:pPr>
                              <w:r>
                                <w:rPr>
                                  <w:rFonts w:ascii="Times New Roman" w:hAnsi="Times New Roman" w:cs="Times New Roman"/>
                                  <w:szCs w:val="22"/>
                                </w:rPr>
                                <w:t>P</w:t>
                              </w:r>
                            </w:p>
                          </w:txbxContent>
                        </wps:txbx>
                        <wps:bodyPr rot="0" vert="horz" wrap="square" lIns="91440" tIns="45720" rIns="91440" bIns="45720" anchor="ctr" anchorCtr="0" upright="1">
                          <a:noAutofit/>
                        </wps:bodyPr>
                      </wps:wsp>
                      <wps:wsp>
                        <wps:cNvPr id="18" name="矩形 18"/>
                        <wps:cNvSpPr>
                          <a:spLocks noChangeArrowheads="1"/>
                        </wps:cNvSpPr>
                        <wps:spPr bwMode="auto">
                          <a:xfrm>
                            <a:off x="1477010" y="2002790"/>
                            <a:ext cx="288290" cy="421640"/>
                          </a:xfrm>
                          <a:prstGeom prst="rect">
                            <a:avLst/>
                          </a:prstGeom>
                          <a:noFill/>
                          <a:ln>
                            <a:noFill/>
                          </a:ln>
                          <a:effectLst/>
                        </wps:spPr>
                        <wps:txbx>
                          <w:txbxContent>
                            <w:p w14:paraId="6507990C">
                              <w:pPr>
                                <w:rPr>
                                  <w:rFonts w:ascii="Times New Roman" w:hAnsi="Times New Roman" w:cs="Times New Roman"/>
                                  <w:szCs w:val="22"/>
                                </w:rPr>
                              </w:pPr>
                              <w:r>
                                <w:rPr>
                                  <w:rFonts w:ascii="Times New Roman" w:hAnsi="Times New Roman" w:cs="Times New Roman"/>
                                  <w:szCs w:val="22"/>
                                </w:rPr>
                                <w:t>E</w:t>
                              </w:r>
                            </w:p>
                          </w:txbxContent>
                        </wps:txbx>
                        <wps:bodyPr rot="0" vert="horz" wrap="square" lIns="91440" tIns="45720" rIns="91440" bIns="45720" anchor="ctr" anchorCtr="0" upright="1">
                          <a:noAutofit/>
                        </wps:bodyPr>
                      </wps:wsp>
                      <wps:wsp>
                        <wps:cNvPr id="19" name="直接箭头连接符 19"/>
                        <wps:cNvCnPr>
                          <a:cxnSpLocks noChangeShapeType="1"/>
                        </wps:cNvCnPr>
                        <wps:spPr bwMode="auto">
                          <a:xfrm>
                            <a:off x="1765300" y="2244725"/>
                            <a:ext cx="1311910" cy="0"/>
                          </a:xfrm>
                          <a:prstGeom prst="straightConnector1">
                            <a:avLst/>
                          </a:prstGeom>
                          <a:noFill/>
                          <a:ln w="6350" algn="ctr">
                            <a:solidFill>
                              <a:srgbClr val="000000"/>
                            </a:solidFill>
                            <a:miter lim="800000"/>
                            <a:tailEnd type="triangle" w="med" len="med"/>
                          </a:ln>
                          <a:effectLst/>
                        </wps:spPr>
                        <wps:bodyPr/>
                      </wps:wsp>
                      <wps:wsp>
                        <wps:cNvPr id="37" name="矩形 20"/>
                        <wps:cNvSpPr>
                          <a:spLocks noChangeArrowheads="1"/>
                        </wps:cNvSpPr>
                        <wps:spPr bwMode="auto">
                          <a:xfrm>
                            <a:off x="1791970" y="1930400"/>
                            <a:ext cx="1181735" cy="361950"/>
                          </a:xfrm>
                          <a:prstGeom prst="rect">
                            <a:avLst/>
                          </a:prstGeom>
                          <a:noFill/>
                          <a:ln>
                            <a:noFill/>
                          </a:ln>
                          <a:effectLst/>
                        </wps:spPr>
                        <wps:txbx>
                          <w:txbxContent>
                            <w:p w14:paraId="69B0E59E">
                              <w:pPr>
                                <w:rPr>
                                  <w:rFonts w:ascii="宋体" w:hAnsi="宋体" w:cs="宋体"/>
                                  <w:szCs w:val="22"/>
                                </w:rPr>
                              </w:pPr>
                              <w:r>
                                <w:rPr>
                                  <w:rFonts w:hint="eastAsia" w:ascii="宋体" w:hAnsi="宋体" w:cs="宋体"/>
                                  <w:szCs w:val="22"/>
                                </w:rPr>
                                <w:t>环境敏感程度</w:t>
                              </w:r>
                            </w:p>
                          </w:txbxContent>
                        </wps:txbx>
                        <wps:bodyPr rot="0" vert="horz" wrap="square" lIns="91440" tIns="45720" rIns="91440" bIns="45720" anchor="ctr" anchorCtr="0" upright="1">
                          <a:noAutofit/>
                        </wps:bodyPr>
                      </wps:wsp>
                      <wps:wsp>
                        <wps:cNvPr id="38" name="直接箭头连接符 21"/>
                        <wps:cNvCnPr>
                          <a:cxnSpLocks noChangeShapeType="1"/>
                        </wps:cNvCnPr>
                        <wps:spPr bwMode="auto">
                          <a:xfrm>
                            <a:off x="1703070" y="1362710"/>
                            <a:ext cx="1374140" cy="0"/>
                          </a:xfrm>
                          <a:prstGeom prst="straightConnector1">
                            <a:avLst/>
                          </a:prstGeom>
                          <a:noFill/>
                          <a:ln w="6350" algn="ctr">
                            <a:solidFill>
                              <a:srgbClr val="000000"/>
                            </a:solidFill>
                            <a:miter lim="800000"/>
                            <a:tailEnd type="triangle" w="med" len="med"/>
                          </a:ln>
                          <a:effectLst/>
                        </wps:spPr>
                        <wps:bodyPr/>
                      </wps:wsp>
                      <wps:wsp>
                        <wps:cNvPr id="39" name="直接连接符 22"/>
                        <wps:cNvCnPr>
                          <a:cxnSpLocks noChangeShapeType="1"/>
                        </wps:cNvCnPr>
                        <wps:spPr bwMode="auto">
                          <a:xfrm>
                            <a:off x="3077210" y="1363345"/>
                            <a:ext cx="635" cy="881380"/>
                          </a:xfrm>
                          <a:prstGeom prst="line">
                            <a:avLst/>
                          </a:prstGeom>
                          <a:noFill/>
                          <a:ln w="6350" algn="ctr">
                            <a:solidFill>
                              <a:srgbClr val="000000"/>
                            </a:solidFill>
                            <a:miter lim="800000"/>
                          </a:ln>
                          <a:effectLst/>
                        </wps:spPr>
                        <wps:bodyPr/>
                      </wps:wsp>
                      <wps:wsp>
                        <wps:cNvPr id="40" name="直接箭头连接符 23"/>
                        <wps:cNvCnPr>
                          <a:cxnSpLocks noChangeShapeType="1"/>
                        </wps:cNvCnPr>
                        <wps:spPr bwMode="auto">
                          <a:xfrm>
                            <a:off x="3077210" y="1764030"/>
                            <a:ext cx="316230" cy="0"/>
                          </a:xfrm>
                          <a:prstGeom prst="straightConnector1">
                            <a:avLst/>
                          </a:prstGeom>
                          <a:noFill/>
                          <a:ln w="6350" algn="ctr">
                            <a:solidFill>
                              <a:srgbClr val="000000"/>
                            </a:solidFill>
                            <a:miter lim="800000"/>
                            <a:tailEnd type="triangle" w="med" len="med"/>
                          </a:ln>
                          <a:effectLst/>
                        </wps:spPr>
                        <wps:bodyPr/>
                      </wps:wsp>
                      <wps:wsp>
                        <wps:cNvPr id="24" name="矩形 24"/>
                        <wps:cNvSpPr>
                          <a:spLocks noChangeArrowheads="1"/>
                        </wps:cNvSpPr>
                        <wps:spPr bwMode="auto">
                          <a:xfrm>
                            <a:off x="3392170" y="1363345"/>
                            <a:ext cx="1649095" cy="767080"/>
                          </a:xfrm>
                          <a:prstGeom prst="rect">
                            <a:avLst/>
                          </a:prstGeom>
                          <a:noFill/>
                          <a:ln>
                            <a:noFill/>
                          </a:ln>
                          <a:effectLst/>
                        </wps:spPr>
                        <wps:txbx>
                          <w:txbxContent>
                            <w:p w14:paraId="16AA1DF5">
                              <w:pPr>
                                <w:rPr>
                                  <w:rFonts w:ascii="Times New Roman" w:hAnsi="Times New Roman" w:cs="Times New Roman"/>
                                  <w:szCs w:val="22"/>
                                </w:rPr>
                              </w:pPr>
                              <w:r>
                                <w:rPr>
                                  <w:rFonts w:ascii="Times New Roman" w:hAnsi="Times New Roman" w:cs="Times New Roman"/>
                                  <w:szCs w:val="22"/>
                                </w:rPr>
                                <w:t>项目风险潜势判定</w:t>
                              </w:r>
                            </w:p>
                            <w:p w14:paraId="50C40D6B">
                              <w:pPr>
                                <w:rPr>
                                  <w:rFonts w:ascii="Times New Roman" w:hAnsi="Times New Roman" w:cs="Times New Roman"/>
                                  <w:szCs w:val="22"/>
                                </w:rPr>
                              </w:pPr>
                              <w:r>
                                <w:rPr>
                                  <w:rFonts w:ascii="Times New Roman" w:hAnsi="Times New Roman" w:cs="Times New Roman"/>
                                  <w:szCs w:val="22"/>
                                </w:rPr>
                                <w:t>（Ⅰ、Ⅱ、Ⅲ、Ⅳ/Ⅳ</w:t>
                              </w:r>
                              <w:r>
                                <w:rPr>
                                  <w:rFonts w:ascii="Times New Roman" w:hAnsi="Times New Roman" w:cs="Times New Roman"/>
                                  <w:szCs w:val="22"/>
                                  <w:vertAlign w:val="superscript"/>
                                </w:rPr>
                                <w:t>+</w:t>
                              </w:r>
                              <w:r>
                                <w:rPr>
                                  <w:rFonts w:ascii="Times New Roman" w:hAnsi="Times New Roman" w:cs="Times New Roman"/>
                                  <w:szCs w:val="22"/>
                                </w:rPr>
                                <w:t>）</w:t>
                              </w:r>
                            </w:p>
                          </w:txbxContent>
                        </wps:txbx>
                        <wps:bodyPr rot="0" vert="horz" wrap="square" lIns="91440" tIns="45720" rIns="91440" bIns="45720" anchor="ctr" anchorCtr="0" upright="1">
                          <a:noAutofit/>
                        </wps:bodyPr>
                      </wps:wsp>
                      <wps:wsp>
                        <wps:cNvPr id="25" name="文本框 25"/>
                        <wps:cNvSpPr txBox="1">
                          <a:spLocks noChangeArrowheads="1"/>
                        </wps:cNvSpPr>
                        <wps:spPr bwMode="auto">
                          <a:xfrm>
                            <a:off x="232410" y="2403475"/>
                            <a:ext cx="4869180" cy="863600"/>
                          </a:xfrm>
                          <a:prstGeom prst="rect">
                            <a:avLst/>
                          </a:prstGeom>
                          <a:noFill/>
                          <a:ln>
                            <a:noFill/>
                          </a:ln>
                          <a:effectLst/>
                        </wps:spPr>
                        <wps:txbx>
                          <w:txbxContent>
                            <w:p w14:paraId="37384A7C">
                              <w:pPr>
                                <w:rPr>
                                  <w:rFonts w:ascii="Times New Roman" w:hAnsi="Times New Roman" w:cs="Times New Roman"/>
                                  <w:szCs w:val="22"/>
                                </w:rPr>
                              </w:pPr>
                              <w:r>
                                <w:rPr>
                                  <w:rFonts w:ascii="Times New Roman" w:hAnsi="Times New Roman" w:cs="Times New Roman"/>
                                  <w:szCs w:val="22"/>
                                </w:rPr>
                                <w:t>其中：Q：危险物质数量与临界量比值；</w:t>
                              </w:r>
                            </w:p>
                            <w:p w14:paraId="376F6C54">
                              <w:pPr>
                                <w:rPr>
                                  <w:rFonts w:ascii="Times New Roman" w:hAnsi="Times New Roman" w:cs="Times New Roman"/>
                                  <w:szCs w:val="22"/>
                                </w:rPr>
                              </w:pPr>
                              <w:r>
                                <w:rPr>
                                  <w:rFonts w:ascii="Times New Roman" w:hAnsi="Times New Roman" w:cs="Times New Roman"/>
                                  <w:szCs w:val="22"/>
                                </w:rPr>
                                <w:t xml:space="preserve">      P：危险物质及工艺系统危险性；</w:t>
                              </w:r>
                            </w:p>
                            <w:p w14:paraId="325FD1A9">
                              <w:pPr>
                                <w:rPr>
                                  <w:rFonts w:ascii="Times New Roman" w:hAnsi="Times New Roman" w:cs="Times New Roman"/>
                                  <w:szCs w:val="22"/>
                                </w:rPr>
                              </w:pPr>
                              <w:r>
                                <w:rPr>
                                  <w:rFonts w:ascii="Times New Roman" w:hAnsi="Times New Roman" w:cs="Times New Roman"/>
                                  <w:szCs w:val="22"/>
                                </w:rPr>
                                <w:t xml:space="preserve">      M：行业及生产工艺特点；</w:t>
                              </w:r>
                            </w:p>
                            <w:p w14:paraId="7359B406">
                              <w:pPr>
                                <w:rPr>
                                  <w:rFonts w:ascii="Times New Roman" w:hAnsi="Times New Roman" w:cs="Times New Roman"/>
                                  <w:szCs w:val="22"/>
                                </w:rPr>
                              </w:pPr>
                              <w:r>
                                <w:rPr>
                                  <w:rFonts w:ascii="Times New Roman" w:hAnsi="Times New Roman" w:cs="Times New Roman"/>
                                  <w:szCs w:val="22"/>
                                </w:rPr>
                                <w:t xml:space="preserve">      E：环境敏感度。</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60.05pt;width:402.45pt;" coordsize="5111115,3302635" editas="canvas" o:gfxdata="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">
                <o:lock v:ext="edit" aspectratio="f"/>
                <v:shape id="_x0000_s1026" o:spid="_x0000_s1026" style="position:absolute;left:0;top:0;height:3302635;width:5111115;" filled="f" stroked="f" coordsize="21600,21600" o:gfxdata="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DU&#10;nTdN1wAAAAUBAAAPAAAAAAAAAAEAIAAAACIAAABkcnMvZG93bnJldi54bWxQSwECFAAUAAAACACH&#10;TuJAjx9UUicGAAAdLwAADgAAAAAAAAABACAAAAAmAQAAZHJzL2Uyb0RvYy54bWxQSwUGAAAAAAYA&#10;BgBZAQAAvwkAAAAA&#10;">
                  <v:fill on="f" focussize="0,0"/>
                  <v:stroke on="f"/>
                  <v:imagedata o:title=""/>
                  <o:lock v:ext="edit" aspectratio="f"/>
                </v:shape>
                <v:rect id="_x0000_s1026" o:spid="_x0000_s1026" o:spt="1" style="position:absolute;left:352425;top:545465;height:447675;width:304800;v-text-anchor:middle;" filled="f" stroked="f" coordsize="21600,21600" o:gfxdata="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BJOJtIAAAAFAQAADwAA&#10;AAAAAAABACAAAAAiAAAAZHJzL2Rvd25yZXYueG1sUEsBAhQAFAAAAAgAh07iQLTDk9kcAgAAIQQA&#10;AA4AAAAAAAAAAQAgAAAAIQEAAGRycy9lMm9Eb2MueG1sUEsFBgAAAAAGAAYAWQEAAK8FAAAAAA==&#10;">
                  <v:fill on="f" focussize="0,0"/>
                  <v:stroke on="f"/>
                  <v:imagedata o:title=""/>
                  <o:lock v:ext="edit" aspectratio="f"/>
                  <v:textbox>
                    <w:txbxContent>
                      <w:p w14:paraId="3B4D29DA">
                        <w:pPr>
                          <w:rPr>
                            <w:rFonts w:ascii="Calibri" w:hAnsi="Calibri" w:cs="Times New Roman"/>
                            <w:szCs w:val="22"/>
                          </w:rPr>
                        </w:pPr>
                        <w:r>
                          <w:rPr>
                            <w:rFonts w:ascii="Calibri" w:hAnsi="Calibri" w:cs="Times New Roman"/>
                            <w:szCs w:val="22"/>
                          </w:rPr>
                          <w:t>Q</w:t>
                        </w:r>
                      </w:p>
                    </w:txbxContent>
                  </v:textbox>
                </v:rect>
                <v:line id="直接连接符 7" o:spid="_x0000_s1026" o:spt="20" style="position:absolute;left:1133475;top:774065;height:1228725;width:0;" filled="f" stroked="t" coordsize="21600,21600" o:gfxdata="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sOXg1AAAAAUBAAAPAAAAAAAAAAEAIAAAACIAAABkcnMvZG93&#10;bnJldi54bWxQSwECFAAUAAAACACHTuJAIISeLgQCAADcAwAADgAAAAAAAAABACAAAAAjAQAAZHJz&#10;L2Uyb0RvYy54bWxQSwUGAAAAAAYABgBZAQAAmQUAAAAA&#10;">
                  <v:fill on="f" focussize="0,0"/>
                  <v:stroke weight="0.5pt" color="#000000" miterlimit="8" joinstyle="miter"/>
                  <v:imagedata o:title=""/>
                  <o:lock v:ext="edit" aspectratio="f"/>
                </v:line>
                <v:shape id="直接箭头连接符 8" o:spid="_x0000_s1026" o:spt="32" type="#_x0000_t32" style="position:absolute;left:474980;top:221615;height:0;width:2917190;" filled="f" stroked="t" coordsize="21600,21600" o:gfxdata="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6QUv9QAAAAFAQAADwAAAAAAAAABACAAAAAiAAAAZHJzL2Rvd25yZXYueG1sUEsBAhQA&#10;FAAAAAgAh07iQNglh/4vAgAAHQQAAA4AAAAAAAAAAQAgAAAAIwEAAGRycy9lMm9Eb2MueG1sUEsF&#10;BgAAAAAGAAYAWQEAAMQFAAAAAA==&#10;">
                  <v:fill on="f" focussize="0,0"/>
                  <v:stroke weight="0.5pt" color="#000000" miterlimit="8" joinstyle="miter" endarrow="block"/>
                  <v:imagedata o:title=""/>
                  <o:lock v:ext="edit" aspectratio="f"/>
                </v:shape>
                <v:line id="_x0000_s1026" o:spid="_x0000_s1026" o:spt="20" style="position:absolute;left:474980;top:224790;flip:y;height:406400;width:0;" filled="f" stroked="t" coordsize="21600,21600" o:gfxdata="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q0q19UAAAAFAQAADwAAAAAAAAABACAAAAAiAAAAZHJz&#10;L2Rvd25yZXYueG1sUEsBAhQAFAAAAAgAh07iQOg29YoHAgAA4wMAAA4AAAAAAAAAAQAgAAAAJAEA&#10;AGRycy9lMm9Eb2MueG1sUEsFBgAAAAAGAAYAWQEAAJ0FAAAAAA==&#10;">
                  <v:fill on="f" focussize="0,0"/>
                  <v:stroke weight="0.5pt" color="#000000" miterlimit="8" joinstyle="miter"/>
                  <v:imagedata o:title=""/>
                  <o:lock v:ext="edit" aspectratio="f"/>
                </v:line>
                <v:rect id="_x0000_s1026" o:spid="_x0000_s1026" o:spt="1" style="position:absolute;left:404495;top:252730;height:271145;width:610870;v-text-anchor:middle;" filled="f" stroked="f" coordsize="21600,21600" o:gfxdata="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BJOJtIAAAAFAQAADwAA&#10;AAAAAAABACAAAAAiAAAAZHJzL2Rvd25yZXYueG1sUEsBAhQAFAAAAAgAh07iQIuCoXgcAgAAIwQA&#10;AA4AAAAAAAAAAQAgAAAAIQEAAGRycy9lMm9Eb2MueG1sUEsFBgAAAAAGAAYAWQEAAK8FAAAAAA==&#10;">
                  <v:fill on="f" focussize="0,0"/>
                  <v:stroke on="f"/>
                  <v:imagedata o:title=""/>
                  <o:lock v:ext="edit" aspectratio="f"/>
                  <v:textbox>
                    <w:txbxContent>
                      <w:p w14:paraId="06E427C6">
                        <w:pPr>
                          <w:rPr>
                            <w:rFonts w:ascii="Times New Roman" w:hAnsi="Times New Roman" w:cs="Times New Roman"/>
                            <w:szCs w:val="22"/>
                          </w:rPr>
                        </w:pPr>
                        <w:r>
                          <w:rPr>
                            <w:rFonts w:ascii="Times New Roman" w:hAnsi="Times New Roman" w:cs="Times New Roman"/>
                            <w:szCs w:val="22"/>
                          </w:rPr>
                          <w:t>Q＜1</w:t>
                        </w:r>
                      </w:p>
                    </w:txbxContent>
                  </v:textbox>
                </v:rect>
                <v:rect id="_x0000_s1026" o:spid="_x0000_s1026" o:spt="1" style="position:absolute;left:3384550;top:71755;height:293370;width:1174115;v-text-anchor:middle;" filled="f" stroked="f" coordsize="21600,21600" o:gfxdata="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BJOJtIAAAAFAQAA&#10;DwAAAAAAAAABACAAAAAiAAAAZHJzL2Rvd25yZXYueG1sUEsBAhQAFAAAAAgAh07iQOaVUfUfAgAA&#10;JAQAAA4AAAAAAAAAAQAgAAAAIQEAAGRycy9lMm9Eb2MueG1sUEsFBgAAAAAGAAYAWQEAALIFAAAA&#10;AA==&#10;">
                  <v:fill on="f" focussize="0,0"/>
                  <v:stroke on="f"/>
                  <v:imagedata o:title=""/>
                  <o:lock v:ext="edit" aspectratio="f"/>
                  <v:textbox>
                    <w:txbxContent>
                      <w:p w14:paraId="11096320">
                        <w:pPr>
                          <w:rPr>
                            <w:rFonts w:ascii="Times New Roman" w:hAnsi="Times New Roman" w:cs="Times New Roman"/>
                            <w:szCs w:val="22"/>
                          </w:rPr>
                        </w:pPr>
                        <w:r>
                          <w:rPr>
                            <w:rFonts w:ascii="Times New Roman" w:hAnsi="Times New Roman" w:cs="Times New Roman"/>
                            <w:szCs w:val="22"/>
                          </w:rPr>
                          <w:t>项目风险潜势为Ⅰ</w:t>
                        </w:r>
                      </w:p>
                    </w:txbxContent>
                  </v:textbox>
                </v:rect>
                <v:rect id="_x0000_s1026" o:spid="_x0000_s1026" o:spt="1" style="position:absolute;left:542290;top:687705;height:378460;width:610235;v-text-anchor:middle;" filled="f" stroked="f" coordsize="21600,21600" o:gfxdata="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BJOJtIAAAAFAQAA&#10;DwAAAAAAAAABACAAAAAiAAAAZHJzL2Rvd25yZXYueG1sUEsBAhQAFAAAAAgAh07iQM1FVcEfAgAA&#10;IwQAAA4AAAAAAAAAAQAgAAAAIQEAAGRycy9lMm9Eb2MueG1sUEsFBgAAAAAGAAYAWQEAALIFAAAA&#10;AA==&#10;">
                  <v:fill on="f" focussize="0,0"/>
                  <v:stroke on="f"/>
                  <v:imagedata o:title=""/>
                  <o:lock v:ext="edit" aspectratio="f"/>
                  <v:textbox>
                    <w:txbxContent>
                      <w:p w14:paraId="7F808AA3">
                        <w:pPr>
                          <w:rPr>
                            <w:rFonts w:ascii="Times New Roman" w:hAnsi="Times New Roman" w:cs="Times New Roman"/>
                            <w:szCs w:val="22"/>
                          </w:rPr>
                        </w:pPr>
                        <w:r>
                          <w:rPr>
                            <w:rFonts w:ascii="Times New Roman" w:hAnsi="Times New Roman" w:cs="Times New Roman"/>
                            <w:szCs w:val="22"/>
                          </w:rPr>
                          <w:t>Q≥1</w:t>
                        </w:r>
                      </w:p>
                    </w:txbxContent>
                  </v:textbox>
                </v:rect>
                <v:shape id="_x0000_s1026" o:spid="_x0000_s1026" o:spt="32" type="#_x0000_t32" style="position:absolute;left:609600;top:774065;height:0;width:523875;" filled="f" stroked="t" coordsize="21600,21600" o:gfxdata="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BS/1AAAAAUBAAAPAAAAAAAAAAEAIAAAACIAAABkcnMvZG93bnJldi54bWxQSwECFAAU&#10;AAAACACHTuJAjjmzvy4CAAAdBAAADgAAAAAAAAABACAAAAAjAQAAZHJzL2Uyb0RvYy54bWxQSwUG&#10;AAAAAAYABgBZAQAAwwUAAAAA&#10;">
                  <v:fill on="f" focussize="0,0"/>
                  <v:stroke weight="0.5pt" color="#000000" miterlimit="8" joinstyle="miter" endarrow="block"/>
                  <v:imagedata o:title=""/>
                  <o:lock v:ext="edit" aspectratio="f"/>
                </v:shape>
                <v:rect id="_x0000_s1026" o:spid="_x0000_s1026" o:spt="1" style="position:absolute;left:352425;top:1764030;height:447040;width:371475;v-text-anchor:middle;" filled="f" stroked="f" coordsize="21600,21600" o:gfxdata="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BJOJtIAAAAFAQAADwAA&#10;AAAAAAABACAAAAAiAAAAZHJzL2Rvd25yZXYueG1sUEsBAhQAFAAAAAgAh07iQNnNAtAcAgAAJAQA&#10;AA4AAAAAAAAAAQAgAAAAIQEAAGRycy9lMm9Eb2MueG1sUEsFBgAAAAAGAAYAWQEAAK8FAAAAAA==&#10;">
                  <v:fill on="f" focussize="0,0"/>
                  <v:stroke on="f"/>
                  <v:imagedata o:title=""/>
                  <o:lock v:ext="edit" aspectratio="f"/>
                  <v:textbox>
                    <w:txbxContent>
                      <w:p w14:paraId="79F2A4C3">
                        <w:pPr>
                          <w:rPr>
                            <w:rFonts w:ascii="Times New Roman" w:hAnsi="Times New Roman" w:cs="Times New Roman"/>
                            <w:szCs w:val="22"/>
                          </w:rPr>
                        </w:pPr>
                        <w:r>
                          <w:rPr>
                            <w:rFonts w:ascii="Times New Roman" w:hAnsi="Times New Roman" w:cs="Times New Roman"/>
                            <w:szCs w:val="22"/>
                          </w:rPr>
                          <w:t>M</w:t>
                        </w:r>
                      </w:p>
                    </w:txbxContent>
                  </v:textbox>
                </v:rect>
                <v:shape id="_x0000_s1026" o:spid="_x0000_s1026" o:spt="32" type="#_x0000_t32" style="position:absolute;left:657225;top:2002790;height:0;width:476250;" filled="f" stroked="t" coordsize="21600,21600" o:gfxdata="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6QUv9QAAAAFAQAADwAAAAAAAAABACAAAAAiAAAAZHJzL2Rvd25yZXYueG1sUEsBAhQAFAAA&#10;AAgAh07iQLJEViYsAgAAHgQAAA4AAAAAAAAAAQAgAAAAIwEAAGRycy9lMm9Eb2MueG1sUEsFBgAA&#10;AAAGAAYAWQEAAMEFAAAAAA==&#10;">
                  <v:fill on="f" focussize="0,0"/>
                  <v:stroke weight="0.5pt" color="#000000" miterlimit="8" joinstyle="miter" endarrow="block"/>
                  <v:imagedata o:title=""/>
                  <o:lock v:ext="edit" aspectratio="f"/>
                </v:shape>
                <v:shape id="_x0000_s1026" o:spid="_x0000_s1026" o:spt="32" type="#_x0000_t32" style="position:absolute;left:1133475;top:1363345;height:0;width:391160;" filled="f" stroked="t" coordsize="21600,21600" o:gfxdata="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BS/1AAAAAUBAAAPAAAAAAAAAAEAIAAAACIAAABkcnMvZG93bnJldi54bWxQSwECFAAU&#10;AAAACACHTuJA39CpzS4CAAAfBAAADgAAAAAAAAABACAAAAAjAQAAZHJzL2Uyb0RvYy54bWxQSwUG&#10;AAAAAAYABgBZAQAAwwUAAAAA&#10;">
                  <v:fill on="f" focussize="0,0"/>
                  <v:stroke weight="0.5pt" color="#000000" miterlimit="8" joinstyle="miter" endarrow="block"/>
                  <v:imagedata o:title=""/>
                  <o:lock v:ext="edit" aspectratio="f"/>
                </v:shape>
                <v:rect id="_x0000_s1026" o:spid="_x0000_s1026" o:spt="1" style="position:absolute;left:1475105;top:1197610;height:314325;width:325120;v-text-anchor:middle;" filled="f" stroked="f" coordsize="21600,21600" o:gfxdata="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BJOJtIAAAAFAQAADwAA&#10;AAAAAAABACAAAAAiAAAAZHJzL2Rvd25yZXYueG1sUEsBAhQAFAAAAAgAh07iQC3FwgIcAgAAJQQA&#10;AA4AAAAAAAAAAQAgAAAAIQEAAGRycy9lMm9Eb2MueG1sUEsFBgAAAAAGAAYAWQEAAK8FAAAAAA==&#10;">
                  <v:fill on="f" focussize="0,0"/>
                  <v:stroke on="f"/>
                  <v:imagedata o:title=""/>
                  <o:lock v:ext="edit" aspectratio="f"/>
                  <v:textbox>
                    <w:txbxContent>
                      <w:p w14:paraId="5AA690FC">
                        <w:pPr>
                          <w:rPr>
                            <w:rFonts w:ascii="Times New Roman" w:hAnsi="Times New Roman" w:cs="Times New Roman"/>
                            <w:szCs w:val="22"/>
                          </w:rPr>
                        </w:pPr>
                        <w:r>
                          <w:rPr>
                            <w:rFonts w:ascii="Times New Roman" w:hAnsi="Times New Roman" w:cs="Times New Roman"/>
                            <w:szCs w:val="22"/>
                          </w:rPr>
                          <w:t>P</w:t>
                        </w:r>
                      </w:p>
                    </w:txbxContent>
                  </v:textbox>
                </v:rect>
                <v:rect id="_x0000_s1026" o:spid="_x0000_s1026" o:spt="1" style="position:absolute;left:1477010;top:2002790;height:421640;width:288290;v-text-anchor:middle;" filled="f" stroked="f" coordsize="21600,21600" o:gfxdata="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BJOJtIAAAAFAQAADwAA&#10;AAAAAAABACAAAAAiAAAAZHJzL2Rvd25yZXYueG1sUEsBAhQAFAAAAAgAh07iQGqmhhMcAgAAJQQA&#10;AA4AAAAAAAAAAQAgAAAAIQEAAGRycy9lMm9Eb2MueG1sUEsFBgAAAAAGAAYAWQEAAK8FAAAAAA==&#10;">
                  <v:fill on="f" focussize="0,0"/>
                  <v:stroke on="f"/>
                  <v:imagedata o:title=""/>
                  <o:lock v:ext="edit" aspectratio="f"/>
                  <v:textbox>
                    <w:txbxContent>
                      <w:p w14:paraId="6507990C">
                        <w:pPr>
                          <w:rPr>
                            <w:rFonts w:ascii="Times New Roman" w:hAnsi="Times New Roman" w:cs="Times New Roman"/>
                            <w:szCs w:val="22"/>
                          </w:rPr>
                        </w:pPr>
                        <w:r>
                          <w:rPr>
                            <w:rFonts w:ascii="Times New Roman" w:hAnsi="Times New Roman" w:cs="Times New Roman"/>
                            <w:szCs w:val="22"/>
                          </w:rPr>
                          <w:t>E</w:t>
                        </w:r>
                      </w:p>
                    </w:txbxContent>
                  </v:textbox>
                </v:rect>
                <v:shape id="_x0000_s1026" o:spid="_x0000_s1026" o:spt="32" type="#_x0000_t32" style="position:absolute;left:1765300;top:2244725;height:0;width:1311910;" filled="f" stroked="t" coordsize="21600,21600" o:gfxdata="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kFL/UAAAABQEAAA8AAAAAAAAAAQAgAAAAIgAAAGRycy9kb3ducmV2LnhtbFBLAQIU&#10;ABQAAAAIAIdO4kDZlD4tMAIAACAEAAAOAAAAAAAAAAEAIAAAACMBAABkcnMvZTJvRG9jLnhtbFBL&#10;BQYAAAAABgAGAFkBAADFBQAAAAA=&#10;">
                  <v:fill on="f" focussize="0,0"/>
                  <v:stroke weight="0.5pt" color="#000000" miterlimit="8" joinstyle="miter" endarrow="block"/>
                  <v:imagedata o:title=""/>
                  <o:lock v:ext="edit" aspectratio="f"/>
                </v:shape>
                <v:rect id="矩形 20" o:spid="_x0000_s1026" o:spt="1" style="position:absolute;left:1791970;top:1930400;height:361950;width:1181735;v-text-anchor:middle;" filled="f" stroked="f" coordsize="21600,21600" o:gfxdata="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STibSAAAABQEA&#10;AA8AAAAAAAAAAQAgAAAAIgAAAGRycy9kb3ducmV2LnhtbFBLAQIUABQAAAAIAIdO4kATTKDzIAIA&#10;ACYEAAAOAAAAAAAAAAEAIAAAACEBAABkcnMvZTJvRG9jLnhtbFBLBQYAAAAABgAGAFkBAACzBQAA&#10;AAA=&#10;">
                  <v:fill on="f" focussize="0,0"/>
                  <v:stroke on="f"/>
                  <v:imagedata o:title=""/>
                  <o:lock v:ext="edit" aspectratio="f"/>
                  <v:textbox>
                    <w:txbxContent>
                      <w:p w14:paraId="69B0E59E">
                        <w:pPr>
                          <w:rPr>
                            <w:rFonts w:ascii="宋体" w:hAnsi="宋体" w:cs="宋体"/>
                            <w:szCs w:val="22"/>
                          </w:rPr>
                        </w:pPr>
                        <w:r>
                          <w:rPr>
                            <w:rFonts w:hint="eastAsia" w:ascii="宋体" w:hAnsi="宋体" w:cs="宋体"/>
                            <w:szCs w:val="22"/>
                          </w:rPr>
                          <w:t>环境敏感程度</w:t>
                        </w:r>
                      </w:p>
                    </w:txbxContent>
                  </v:textbox>
                </v:rect>
                <v:shape id="直接箭头连接符 21" o:spid="_x0000_s1026" o:spt="32" type="#_x0000_t32" style="position:absolute;left:1703070;top:1362710;height:0;width:1374140;" filled="f" stroked="t" coordsize="21600,21600" o:gfxdata="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BS/1AAAAAUBAAAPAAAAAAAAAAEAIAAAACIAAABkcnMvZG93bnJldi54bWxQSwECFAAU&#10;AAAACACHTuJAyU/QZi4CAAAgBAAADgAAAAAAAAABACAAAAAjAQAAZHJzL2Uyb0RvYy54bWxQSwUG&#10;AAAAAAYABgBZAQAAwwUAAAAA&#10;">
                  <v:fill on="f" focussize="0,0"/>
                  <v:stroke weight="0.5pt" color="#000000" miterlimit="8" joinstyle="miter" endarrow="block"/>
                  <v:imagedata o:title=""/>
                  <o:lock v:ext="edit" aspectratio="f"/>
                </v:shape>
                <v:line id="直接连接符 22" o:spid="_x0000_s1026" o:spt="20" style="position:absolute;left:3077210;top:1363345;height:881380;width:635;" filled="f" stroked="t" coordsize="21600,21600" o:gfxdata="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sOXg1AAAAAUBAAAPAAAAAAAAAAEAIAAAACIAAABkcnMvZG93&#10;bnJldi54bWxQSwECFAAUAAAACACHTuJAUADY/AQCAADfAwAADgAAAAAAAAABACAAAAAjAQAAZHJz&#10;L2Uyb0RvYy54bWxQSwUGAAAAAAYABgBZAQAAmQUAAAAA&#10;">
                  <v:fill on="f" focussize="0,0"/>
                  <v:stroke weight="0.5pt" color="#000000" miterlimit="8" joinstyle="miter"/>
                  <v:imagedata o:title=""/>
                  <o:lock v:ext="edit" aspectratio="f"/>
                </v:line>
                <v:shape id="直接箭头连接符 23" o:spid="_x0000_s1026" o:spt="32" type="#_x0000_t32" style="position:absolute;left:3077210;top:1764030;height:0;width:316230;" filled="f" stroked="t" coordsize="21600,21600" o:gfxdata="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kFL/UAAAABQEAAA8AAAAAAAAAAQAgAAAAIgAAAGRycy9kb3ducmV2LnhtbFBLAQIUABQA&#10;AAAIAIdO4kBs38TnLQIAAB8EAAAOAAAAAAAAAAEAIAAAACMBAABkcnMvZTJvRG9jLnhtbFBLBQYA&#10;AAAABgAGAFkBAADCBQAAAAA=&#10;">
                  <v:fill on="f" focussize="0,0"/>
                  <v:stroke weight="0.5pt" color="#000000" miterlimit="8" joinstyle="miter" endarrow="block"/>
                  <v:imagedata o:title=""/>
                  <o:lock v:ext="edit" aspectratio="f"/>
                </v:shape>
                <v:rect id="_x0000_s1026" o:spid="_x0000_s1026" o:spt="1" style="position:absolute;left:3392170;top:1363345;height:767080;width:1649095;v-text-anchor:middle;" filled="f" stroked="f" coordsize="21600,21600" o:gfxdata="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BJOJtIAAAAF&#10;AQAADwAAAAAAAAABACAAAAAiAAAAZHJzL2Rvd25yZXYueG1sUEsBAhQAFAAAAAgAh07iQA5VIO8i&#10;AgAAJgQAAA4AAAAAAAAAAQAgAAAAIQEAAGRycy9lMm9Eb2MueG1sUEsFBgAAAAAGAAYAWQEAALUF&#10;AAAAAA==&#10;">
                  <v:fill on="f" focussize="0,0"/>
                  <v:stroke on="f"/>
                  <v:imagedata o:title=""/>
                  <o:lock v:ext="edit" aspectratio="f"/>
                  <v:textbox>
                    <w:txbxContent>
                      <w:p w14:paraId="16AA1DF5">
                        <w:pPr>
                          <w:rPr>
                            <w:rFonts w:ascii="Times New Roman" w:hAnsi="Times New Roman" w:cs="Times New Roman"/>
                            <w:szCs w:val="22"/>
                          </w:rPr>
                        </w:pPr>
                        <w:r>
                          <w:rPr>
                            <w:rFonts w:ascii="Times New Roman" w:hAnsi="Times New Roman" w:cs="Times New Roman"/>
                            <w:szCs w:val="22"/>
                          </w:rPr>
                          <w:t>项目风险潜势判定</w:t>
                        </w:r>
                      </w:p>
                      <w:p w14:paraId="50C40D6B">
                        <w:pPr>
                          <w:rPr>
                            <w:rFonts w:ascii="Times New Roman" w:hAnsi="Times New Roman" w:cs="Times New Roman"/>
                            <w:szCs w:val="22"/>
                          </w:rPr>
                        </w:pPr>
                        <w:r>
                          <w:rPr>
                            <w:rFonts w:ascii="Times New Roman" w:hAnsi="Times New Roman" w:cs="Times New Roman"/>
                            <w:szCs w:val="22"/>
                          </w:rPr>
                          <w:t>（Ⅰ、Ⅱ、Ⅲ、Ⅳ/Ⅳ</w:t>
                        </w:r>
                        <w:r>
                          <w:rPr>
                            <w:rFonts w:ascii="Times New Roman" w:hAnsi="Times New Roman" w:cs="Times New Roman"/>
                            <w:szCs w:val="22"/>
                            <w:vertAlign w:val="superscript"/>
                          </w:rPr>
                          <w:t>+</w:t>
                        </w:r>
                        <w:r>
                          <w:rPr>
                            <w:rFonts w:ascii="Times New Roman" w:hAnsi="Times New Roman" w:cs="Times New Roman"/>
                            <w:szCs w:val="22"/>
                          </w:rPr>
                          <w:t>）</w:t>
                        </w:r>
                      </w:p>
                    </w:txbxContent>
                  </v:textbox>
                </v:rect>
                <v:shape id="_x0000_s1026" o:spid="_x0000_s1026" o:spt="202" type="#_x0000_t202" style="position:absolute;left:232410;top:2403475;height:863600;width:4869180;" filled="f" stroked="f" coordsize="21600,21600" o:gfxdata="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EJOj9QAAAAFAQAADwAAAAAAAAABACAAAAAiAAAAZHJzL2Rvd25yZXYueG1sUEsBAhQAFAAAAAgA&#10;h07iQGRiCBIpAgAAMAQAAA4AAAAAAAAAAQAgAAAAIwEAAGRycy9lMm9Eb2MueG1sUEsFBgAAAAAG&#10;AAYAWQEAAL4FAAAAAA==&#10;">
                  <v:fill on="f" focussize="0,0"/>
                  <v:stroke on="f"/>
                  <v:imagedata o:title=""/>
                  <o:lock v:ext="edit" aspectratio="f"/>
                  <v:textbox>
                    <w:txbxContent>
                      <w:p w14:paraId="37384A7C">
                        <w:pPr>
                          <w:rPr>
                            <w:rFonts w:ascii="Times New Roman" w:hAnsi="Times New Roman" w:cs="Times New Roman"/>
                            <w:szCs w:val="22"/>
                          </w:rPr>
                        </w:pPr>
                        <w:r>
                          <w:rPr>
                            <w:rFonts w:ascii="Times New Roman" w:hAnsi="Times New Roman" w:cs="Times New Roman"/>
                            <w:szCs w:val="22"/>
                          </w:rPr>
                          <w:t>其中：Q：危险物质数量与临界量比值；</w:t>
                        </w:r>
                      </w:p>
                      <w:p w14:paraId="376F6C54">
                        <w:pPr>
                          <w:rPr>
                            <w:rFonts w:ascii="Times New Roman" w:hAnsi="Times New Roman" w:cs="Times New Roman"/>
                            <w:szCs w:val="22"/>
                          </w:rPr>
                        </w:pPr>
                        <w:r>
                          <w:rPr>
                            <w:rFonts w:ascii="Times New Roman" w:hAnsi="Times New Roman" w:cs="Times New Roman"/>
                            <w:szCs w:val="22"/>
                          </w:rPr>
                          <w:t xml:space="preserve">      P：危险物质及工艺系统危险性；</w:t>
                        </w:r>
                      </w:p>
                      <w:p w14:paraId="325FD1A9">
                        <w:pPr>
                          <w:rPr>
                            <w:rFonts w:ascii="Times New Roman" w:hAnsi="Times New Roman" w:cs="Times New Roman"/>
                            <w:szCs w:val="22"/>
                          </w:rPr>
                        </w:pPr>
                        <w:r>
                          <w:rPr>
                            <w:rFonts w:ascii="Times New Roman" w:hAnsi="Times New Roman" w:cs="Times New Roman"/>
                            <w:szCs w:val="22"/>
                          </w:rPr>
                          <w:t xml:space="preserve">      M：行业及生产工艺特点；</w:t>
                        </w:r>
                      </w:p>
                      <w:p w14:paraId="7359B406">
                        <w:pPr>
                          <w:rPr>
                            <w:rFonts w:ascii="Times New Roman" w:hAnsi="Times New Roman" w:cs="Times New Roman"/>
                            <w:szCs w:val="22"/>
                          </w:rPr>
                        </w:pPr>
                        <w:r>
                          <w:rPr>
                            <w:rFonts w:ascii="Times New Roman" w:hAnsi="Times New Roman" w:cs="Times New Roman"/>
                            <w:szCs w:val="22"/>
                          </w:rPr>
                          <w:t xml:space="preserve">      E：环境敏感度。</w:t>
                        </w:r>
                      </w:p>
                    </w:txbxContent>
                  </v:textbox>
                </v:shape>
                <w10:wrap type="none"/>
                <w10:anchorlock/>
              </v:group>
            </w:pict>
          </mc:Fallback>
        </mc:AlternateContent>
      </w:r>
    </w:p>
    <w:p w14:paraId="4E08F048">
      <w:pPr>
        <w:spacing w:line="360" w:lineRule="auto"/>
        <w:jc w:val="center"/>
        <w:rPr>
          <w:rFonts w:ascii="Times New Roman" w:hAnsi="Times New Roman" w:cs="Times New Roman"/>
          <w:b/>
          <w:szCs w:val="21"/>
        </w:rPr>
      </w:pPr>
      <w:r>
        <w:rPr>
          <w:rFonts w:ascii="Times New Roman" w:hAnsi="Times New Roman" w:cs="Times New Roman"/>
          <w:b/>
          <w:szCs w:val="21"/>
        </w:rPr>
        <w:t>图2.5-</w:t>
      </w:r>
      <w:r>
        <w:rPr>
          <w:rFonts w:hint="eastAsia" w:ascii="Times New Roman" w:hAnsi="Times New Roman" w:cs="Times New Roman"/>
          <w:b/>
          <w:szCs w:val="21"/>
        </w:rPr>
        <w:t>1</w:t>
      </w:r>
      <w:r>
        <w:rPr>
          <w:rFonts w:ascii="Times New Roman" w:hAnsi="Times New Roman" w:cs="Times New Roman"/>
          <w:b/>
          <w:szCs w:val="21"/>
        </w:rPr>
        <w:t xml:space="preserve">  风险潜势判定工作方法</w:t>
      </w:r>
    </w:p>
    <w:p w14:paraId="0D892527">
      <w:pPr>
        <w:spacing w:line="360" w:lineRule="auto"/>
        <w:ind w:firstLine="480" w:firstLineChars="200"/>
        <w:rPr>
          <w:rFonts w:ascii="Times New Roman" w:hAnsi="Times New Roman" w:cs="Times New Roman"/>
          <w:sz w:val="24"/>
        </w:rPr>
      </w:pPr>
      <w:r>
        <w:rPr>
          <w:rFonts w:ascii="Times New Roman" w:hAnsi="Times New Roman" w:cs="Times New Roman"/>
          <w:sz w:val="24"/>
        </w:rPr>
        <w:t>3、Q值计算</w:t>
      </w:r>
    </w:p>
    <w:p w14:paraId="4F16D450">
      <w:pPr>
        <w:spacing w:line="360" w:lineRule="auto"/>
        <w:ind w:firstLine="480" w:firstLineChars="200"/>
        <w:rPr>
          <w:rFonts w:ascii="Times New Roman" w:hAnsi="Times New Roman" w:cs="Times New Roman"/>
          <w:sz w:val="24"/>
        </w:rPr>
      </w:pPr>
      <w:r>
        <w:rPr>
          <w:rFonts w:ascii="Times New Roman" w:hAnsi="Times New Roman" w:cs="Times New Roman"/>
          <w:sz w:val="24"/>
        </w:rPr>
        <w:t>根据《建设项目环境风险评价技术导则》（HJ169-2018）附录C中的C.1危险物质数量与临界量比值（Q）规定，当只涉及一种危险物质时，计算该物质的总量与其临界量比值，即为Q；当存在多种危险物质时，则按下式计算物质总量与其临界量比值（Q）：</w:t>
      </w:r>
    </w:p>
    <w:p w14:paraId="4375D682">
      <w:pPr>
        <w:ind w:firstLine="480"/>
        <w:jc w:val="center"/>
        <w:rPr>
          <w:rFonts w:ascii="Times New Roman" w:hAnsi="Times New Roman" w:cs="Times New Roman"/>
          <w:sz w:val="24"/>
        </w:rPr>
      </w:pPr>
      <m:oMathPara>
        <m:oMath>
          <m:r>
            <m:rPr>
              <m:sty m:val="p"/>
            </m:rPr>
            <w:rPr>
              <w:rFonts w:ascii="Cambria Math" w:hAnsi="Cambria Math" w:eastAsia="宋体" w:cs="Times New Roman"/>
              <w:sz w:val="24"/>
            </w:rPr>
            <m:t>Q=</m:t>
          </m:r>
          <m:f>
            <m:fPr>
              <m:ctrlPr>
                <w:rPr>
                  <w:rFonts w:ascii="Cambria Math" w:hAnsi="Cambria Math" w:eastAsia="宋体" w:cs="Times New Roman"/>
                  <w:sz w:val="24"/>
                </w:rPr>
              </m:ctrlPr>
            </m:fPr>
            <m:num>
              <m:sSub>
                <m:sSubPr>
                  <m:ctrlPr>
                    <w:rPr>
                      <w:rFonts w:ascii="Cambria Math" w:hAnsi="Cambria Math" w:eastAsia="宋体" w:cs="Times New Roman"/>
                      <w:i/>
                      <w:sz w:val="24"/>
                    </w:rPr>
                  </m:ctrlPr>
                </m:sSubPr>
                <m:e>
                  <m:r>
                    <m:rPr/>
                    <w:rPr>
                      <w:rFonts w:ascii="Cambria Math" w:hAnsi="Cambria Math" w:eastAsia="宋体" w:cs="Times New Roman"/>
                      <w:sz w:val="24"/>
                    </w:rPr>
                    <m:t>q</m:t>
                  </m:r>
                  <m:ctrlPr>
                    <w:rPr>
                      <w:rFonts w:ascii="Cambria Math" w:hAnsi="Cambria Math" w:eastAsia="宋体" w:cs="Times New Roman"/>
                      <w:i/>
                      <w:sz w:val="24"/>
                    </w:rPr>
                  </m:ctrlPr>
                </m:e>
                <m:sub>
                  <m:r>
                    <m:rPr/>
                    <w:rPr>
                      <w:rFonts w:ascii="Cambria Math" w:hAnsi="Cambria Math" w:eastAsia="宋体" w:cs="Times New Roman"/>
                      <w:sz w:val="24"/>
                    </w:rPr>
                    <m:t>1</m:t>
                  </m:r>
                  <m:ctrlPr>
                    <w:rPr>
                      <w:rFonts w:ascii="Cambria Math" w:hAnsi="Cambria Math" w:eastAsia="宋体" w:cs="Times New Roman"/>
                      <w:i/>
                      <w:sz w:val="24"/>
                    </w:rPr>
                  </m:ctrlPr>
                </m:sub>
              </m:sSub>
              <m:ctrlPr>
                <w:rPr>
                  <w:rFonts w:ascii="Cambria Math" w:hAnsi="Cambria Math" w:eastAsia="宋体" w:cs="Times New Roman"/>
                  <w:sz w:val="24"/>
                </w:rPr>
              </m:ctrlPr>
            </m:num>
            <m:den>
              <m:sSub>
                <m:sSubPr>
                  <m:ctrlPr>
                    <w:rPr>
                      <w:rFonts w:ascii="Cambria Math" w:hAnsi="Cambria Math" w:eastAsia="宋体" w:cs="Times New Roman"/>
                      <w:i/>
                      <w:sz w:val="24"/>
                    </w:rPr>
                  </m:ctrlPr>
                </m:sSubPr>
                <m:e>
                  <m:r>
                    <m:rPr/>
                    <w:rPr>
                      <w:rFonts w:ascii="Cambria Math" w:hAnsi="Cambria Math" w:eastAsia="宋体" w:cs="Times New Roman"/>
                      <w:sz w:val="24"/>
                    </w:rPr>
                    <m:t>Q</m:t>
                  </m:r>
                  <m:ctrlPr>
                    <w:rPr>
                      <w:rFonts w:ascii="Cambria Math" w:hAnsi="Cambria Math" w:eastAsia="宋体" w:cs="Times New Roman"/>
                      <w:i/>
                      <w:sz w:val="24"/>
                    </w:rPr>
                  </m:ctrlPr>
                </m:e>
                <m:sub>
                  <m:r>
                    <m:rPr/>
                    <w:rPr>
                      <w:rFonts w:ascii="Cambria Math" w:hAnsi="Cambria Math" w:eastAsia="宋体" w:cs="Times New Roman"/>
                      <w:sz w:val="24"/>
                    </w:rPr>
                    <m:t>1</m:t>
                  </m:r>
                  <m:ctrlPr>
                    <w:rPr>
                      <w:rFonts w:ascii="Cambria Math" w:hAnsi="Cambria Math" w:eastAsia="宋体" w:cs="Times New Roman"/>
                      <w:i/>
                      <w:sz w:val="24"/>
                    </w:rPr>
                  </m:ctrlPr>
                </m:sub>
              </m:sSub>
              <m:ctrlPr>
                <w:rPr>
                  <w:rFonts w:ascii="Cambria Math" w:hAnsi="Cambria Math" w:eastAsia="宋体" w:cs="Times New Roman"/>
                  <w:sz w:val="24"/>
                </w:rPr>
              </m:ctrlPr>
            </m:den>
          </m:f>
          <m:r>
            <m:rPr/>
            <w:rPr>
              <w:rFonts w:ascii="Cambria Math" w:hAnsi="Cambria Math" w:eastAsia="宋体" w:cs="Times New Roman"/>
              <w:sz w:val="24"/>
            </w:rPr>
            <m:t>+</m:t>
          </m:r>
          <m:f>
            <m:fPr>
              <m:ctrlPr>
                <w:rPr>
                  <w:rFonts w:ascii="Cambria Math" w:hAnsi="Cambria Math" w:eastAsia="宋体" w:cs="Times New Roman"/>
                  <w:sz w:val="24"/>
                </w:rPr>
              </m:ctrlPr>
            </m:fPr>
            <m:num>
              <m:sSub>
                <m:sSubPr>
                  <m:ctrlPr>
                    <w:rPr>
                      <w:rFonts w:ascii="Cambria Math" w:hAnsi="Cambria Math" w:eastAsia="宋体" w:cs="Times New Roman"/>
                      <w:i/>
                      <w:sz w:val="24"/>
                    </w:rPr>
                  </m:ctrlPr>
                </m:sSubPr>
                <m:e>
                  <m:r>
                    <m:rPr/>
                    <w:rPr>
                      <w:rFonts w:ascii="Cambria Math" w:hAnsi="Cambria Math" w:eastAsia="宋体" w:cs="Times New Roman"/>
                      <w:sz w:val="24"/>
                    </w:rPr>
                    <m:t>q</m:t>
                  </m:r>
                  <m:ctrlPr>
                    <w:rPr>
                      <w:rFonts w:ascii="Cambria Math" w:hAnsi="Cambria Math" w:eastAsia="宋体" w:cs="Times New Roman"/>
                      <w:i/>
                      <w:sz w:val="24"/>
                    </w:rPr>
                  </m:ctrlPr>
                </m:e>
                <m:sub>
                  <m:r>
                    <m:rPr/>
                    <w:rPr>
                      <w:rFonts w:ascii="Cambria Math" w:hAnsi="Cambria Math" w:eastAsia="宋体" w:cs="Times New Roman"/>
                      <w:sz w:val="24"/>
                    </w:rPr>
                    <m:t>2</m:t>
                  </m:r>
                  <m:ctrlPr>
                    <w:rPr>
                      <w:rFonts w:ascii="Cambria Math" w:hAnsi="Cambria Math" w:eastAsia="宋体" w:cs="Times New Roman"/>
                      <w:i/>
                      <w:sz w:val="24"/>
                    </w:rPr>
                  </m:ctrlPr>
                </m:sub>
              </m:sSub>
              <m:ctrlPr>
                <w:rPr>
                  <w:rFonts w:ascii="Cambria Math" w:hAnsi="Cambria Math" w:eastAsia="宋体" w:cs="Times New Roman"/>
                  <w:sz w:val="24"/>
                </w:rPr>
              </m:ctrlPr>
            </m:num>
            <m:den>
              <m:sSub>
                <m:sSubPr>
                  <m:ctrlPr>
                    <w:rPr>
                      <w:rFonts w:ascii="Cambria Math" w:hAnsi="Cambria Math" w:eastAsia="宋体" w:cs="Times New Roman"/>
                      <w:i/>
                      <w:sz w:val="24"/>
                    </w:rPr>
                  </m:ctrlPr>
                </m:sSubPr>
                <m:e>
                  <m:r>
                    <m:rPr/>
                    <w:rPr>
                      <w:rFonts w:ascii="Cambria Math" w:hAnsi="Cambria Math" w:eastAsia="宋体" w:cs="Times New Roman"/>
                      <w:sz w:val="24"/>
                    </w:rPr>
                    <m:t>Q</m:t>
                  </m:r>
                  <m:ctrlPr>
                    <w:rPr>
                      <w:rFonts w:ascii="Cambria Math" w:hAnsi="Cambria Math" w:eastAsia="宋体" w:cs="Times New Roman"/>
                      <w:i/>
                      <w:sz w:val="24"/>
                    </w:rPr>
                  </m:ctrlPr>
                </m:e>
                <m:sub>
                  <m:r>
                    <m:rPr/>
                    <w:rPr>
                      <w:rFonts w:ascii="Cambria Math" w:hAnsi="Cambria Math" w:eastAsia="宋体" w:cs="Times New Roman"/>
                      <w:sz w:val="24"/>
                    </w:rPr>
                    <m:t>2</m:t>
                  </m:r>
                  <m:ctrlPr>
                    <w:rPr>
                      <w:rFonts w:ascii="Cambria Math" w:hAnsi="Cambria Math" w:eastAsia="宋体" w:cs="Times New Roman"/>
                      <w:i/>
                      <w:sz w:val="24"/>
                    </w:rPr>
                  </m:ctrlPr>
                </m:sub>
              </m:sSub>
              <m:ctrlPr>
                <w:rPr>
                  <w:rFonts w:ascii="Cambria Math" w:hAnsi="Cambria Math" w:eastAsia="宋体" w:cs="Times New Roman"/>
                  <w:sz w:val="24"/>
                </w:rPr>
              </m:ctrlPr>
            </m:den>
          </m:f>
          <m:r>
            <m:rPr/>
            <w:rPr>
              <w:rFonts w:ascii="Cambria Math" w:hAnsi="Cambria Math" w:eastAsia="宋体" w:cs="Times New Roman"/>
              <w:sz w:val="24"/>
            </w:rPr>
            <m:t>+…</m:t>
          </m:r>
          <m:f>
            <m:fPr>
              <m:ctrlPr>
                <w:rPr>
                  <w:rFonts w:ascii="Cambria Math" w:hAnsi="Cambria Math" w:eastAsia="宋体" w:cs="Times New Roman"/>
                  <w:sz w:val="24"/>
                </w:rPr>
              </m:ctrlPr>
            </m:fPr>
            <m:num>
              <m:sSub>
                <m:sSubPr>
                  <m:ctrlPr>
                    <w:rPr>
                      <w:rFonts w:ascii="Cambria Math" w:hAnsi="Cambria Math" w:eastAsia="宋体" w:cs="Times New Roman"/>
                      <w:i/>
                      <w:sz w:val="24"/>
                    </w:rPr>
                  </m:ctrlPr>
                </m:sSubPr>
                <m:e>
                  <m:r>
                    <m:rPr/>
                    <w:rPr>
                      <w:rFonts w:ascii="Cambria Math" w:hAnsi="Cambria Math" w:eastAsia="宋体" w:cs="Times New Roman"/>
                      <w:sz w:val="24"/>
                    </w:rPr>
                    <m:t>q</m:t>
                  </m:r>
                  <m:ctrlPr>
                    <w:rPr>
                      <w:rFonts w:ascii="Cambria Math" w:hAnsi="Cambria Math" w:eastAsia="宋体" w:cs="Times New Roman"/>
                      <w:i/>
                      <w:sz w:val="24"/>
                    </w:rPr>
                  </m:ctrlPr>
                </m:e>
                <m:sub>
                  <m:r>
                    <m:rPr/>
                    <w:rPr>
                      <w:rFonts w:ascii="Cambria Math" w:hAnsi="Cambria Math" w:eastAsia="宋体" w:cs="Times New Roman"/>
                      <w:sz w:val="24"/>
                    </w:rPr>
                    <m:t>n</m:t>
                  </m:r>
                  <m:ctrlPr>
                    <w:rPr>
                      <w:rFonts w:ascii="Cambria Math" w:hAnsi="Cambria Math" w:eastAsia="宋体" w:cs="Times New Roman"/>
                      <w:i/>
                      <w:sz w:val="24"/>
                    </w:rPr>
                  </m:ctrlPr>
                </m:sub>
              </m:sSub>
              <m:ctrlPr>
                <w:rPr>
                  <w:rFonts w:ascii="Cambria Math" w:hAnsi="Cambria Math" w:eastAsia="宋体" w:cs="Times New Roman"/>
                  <w:sz w:val="24"/>
                </w:rPr>
              </m:ctrlPr>
            </m:num>
            <m:den>
              <m:sSub>
                <m:sSubPr>
                  <m:ctrlPr>
                    <w:rPr>
                      <w:rFonts w:ascii="Cambria Math" w:hAnsi="Cambria Math" w:eastAsia="宋体" w:cs="Times New Roman"/>
                      <w:i/>
                      <w:sz w:val="24"/>
                    </w:rPr>
                  </m:ctrlPr>
                </m:sSubPr>
                <m:e>
                  <m:r>
                    <m:rPr/>
                    <w:rPr>
                      <w:rFonts w:ascii="Cambria Math" w:hAnsi="Cambria Math" w:eastAsia="宋体" w:cs="Times New Roman"/>
                      <w:sz w:val="24"/>
                    </w:rPr>
                    <m:t>Q</m:t>
                  </m:r>
                  <m:ctrlPr>
                    <w:rPr>
                      <w:rFonts w:ascii="Cambria Math" w:hAnsi="Cambria Math" w:eastAsia="宋体" w:cs="Times New Roman"/>
                      <w:i/>
                      <w:sz w:val="24"/>
                    </w:rPr>
                  </m:ctrlPr>
                </m:e>
                <m:sub>
                  <m:r>
                    <m:rPr/>
                    <w:rPr>
                      <w:rFonts w:ascii="Cambria Math" w:hAnsi="Cambria Math" w:eastAsia="宋体" w:cs="Times New Roman"/>
                      <w:sz w:val="24"/>
                    </w:rPr>
                    <m:t>n</m:t>
                  </m:r>
                  <m:ctrlPr>
                    <w:rPr>
                      <w:rFonts w:ascii="Cambria Math" w:hAnsi="Cambria Math" w:eastAsia="宋体" w:cs="Times New Roman"/>
                      <w:i/>
                      <w:sz w:val="24"/>
                    </w:rPr>
                  </m:ctrlPr>
                </m:sub>
              </m:sSub>
              <m:ctrlPr>
                <w:rPr>
                  <w:rFonts w:ascii="Cambria Math" w:hAnsi="Cambria Math" w:eastAsia="宋体" w:cs="Times New Roman"/>
                  <w:sz w:val="24"/>
                </w:rPr>
              </m:ctrlPr>
            </m:den>
          </m:f>
        </m:oMath>
      </m:oMathPara>
    </w:p>
    <w:p w14:paraId="78FDA284">
      <w:pPr>
        <w:spacing w:line="360" w:lineRule="auto"/>
        <w:ind w:firstLine="480" w:firstLineChars="200"/>
        <w:rPr>
          <w:rFonts w:ascii="Times New Roman" w:hAnsi="Times New Roman" w:cs="Times New Roman"/>
          <w:sz w:val="24"/>
        </w:rPr>
      </w:pPr>
      <w:r>
        <w:rPr>
          <w:rFonts w:ascii="Times New Roman" w:hAnsi="Times New Roman" w:cs="Times New Roman"/>
          <w:sz w:val="24"/>
        </w:rPr>
        <w:t>式中：q</w:t>
      </w:r>
      <w:r>
        <w:rPr>
          <w:rFonts w:ascii="Times New Roman" w:hAnsi="Times New Roman" w:cs="Times New Roman"/>
          <w:sz w:val="24"/>
          <w:vertAlign w:val="subscript"/>
        </w:rPr>
        <w:t>1</w:t>
      </w:r>
      <w:r>
        <w:rPr>
          <w:rFonts w:ascii="Times New Roman" w:hAnsi="Times New Roman" w:cs="Times New Roman"/>
          <w:sz w:val="24"/>
        </w:rPr>
        <w:t>，q</w:t>
      </w:r>
      <w:r>
        <w:rPr>
          <w:rFonts w:ascii="Times New Roman" w:hAnsi="Times New Roman" w:cs="Times New Roman"/>
          <w:sz w:val="24"/>
          <w:vertAlign w:val="subscript"/>
        </w:rPr>
        <w:t>2</w:t>
      </w:r>
      <w:r>
        <w:rPr>
          <w:rFonts w:ascii="Times New Roman" w:hAnsi="Times New Roman" w:cs="Times New Roman"/>
          <w:sz w:val="24"/>
        </w:rPr>
        <w:t>，…，q</w:t>
      </w:r>
      <w:r>
        <w:rPr>
          <w:rFonts w:ascii="Times New Roman" w:hAnsi="Times New Roman" w:cs="Times New Roman"/>
          <w:sz w:val="24"/>
          <w:vertAlign w:val="subscript"/>
        </w:rPr>
        <w:t>n</w:t>
      </w:r>
      <w:r>
        <w:rPr>
          <w:rFonts w:ascii="Times New Roman" w:hAnsi="Times New Roman" w:cs="Times New Roman"/>
          <w:sz w:val="24"/>
        </w:rPr>
        <w:t>——每种危险物质实际存在总量，t。</w:t>
      </w:r>
    </w:p>
    <w:p w14:paraId="390E1F03">
      <w:pPr>
        <w:spacing w:line="360" w:lineRule="auto"/>
        <w:ind w:firstLine="1200" w:firstLineChars="500"/>
        <w:rPr>
          <w:rFonts w:ascii="Times New Roman" w:hAnsi="Times New Roman" w:cs="Times New Roman"/>
          <w:sz w:val="24"/>
        </w:rPr>
      </w:pPr>
      <w:r>
        <w:rPr>
          <w:rFonts w:ascii="Times New Roman" w:hAnsi="Times New Roman" w:cs="Times New Roman"/>
          <w:sz w:val="24"/>
        </w:rPr>
        <w:t>Q</w:t>
      </w:r>
      <w:r>
        <w:rPr>
          <w:rFonts w:ascii="Times New Roman" w:hAnsi="Times New Roman" w:cs="Times New Roman"/>
          <w:sz w:val="24"/>
          <w:vertAlign w:val="subscript"/>
        </w:rPr>
        <w:t>1</w:t>
      </w:r>
      <w:r>
        <w:rPr>
          <w:rFonts w:ascii="Times New Roman" w:hAnsi="Times New Roman" w:cs="Times New Roman"/>
          <w:sz w:val="24"/>
        </w:rPr>
        <w:t>，Q</w:t>
      </w:r>
      <w:r>
        <w:rPr>
          <w:rFonts w:ascii="Times New Roman" w:hAnsi="Times New Roman" w:cs="Times New Roman"/>
          <w:sz w:val="24"/>
          <w:vertAlign w:val="subscript"/>
        </w:rPr>
        <w:t>2</w:t>
      </w:r>
      <w:r>
        <w:rPr>
          <w:rFonts w:ascii="Times New Roman" w:hAnsi="Times New Roman" w:cs="Times New Roman"/>
          <w:sz w:val="24"/>
        </w:rPr>
        <w:t>，…，Q</w:t>
      </w:r>
      <w:r>
        <w:rPr>
          <w:rFonts w:ascii="Times New Roman" w:hAnsi="Times New Roman" w:cs="Times New Roman"/>
          <w:sz w:val="24"/>
          <w:vertAlign w:val="subscript"/>
        </w:rPr>
        <w:t>n</w:t>
      </w:r>
      <w:r>
        <w:rPr>
          <w:rFonts w:ascii="Times New Roman" w:hAnsi="Times New Roman" w:cs="Times New Roman"/>
          <w:sz w:val="24"/>
        </w:rPr>
        <w:t>——与各危险物质相对应的生产场所或贮存区的临界量，t。</w:t>
      </w:r>
    </w:p>
    <w:p w14:paraId="491FCA91">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本项目涉及的危险物质种类的q值和Q值</w:t>
      </w:r>
      <w:r>
        <w:rPr>
          <w:rFonts w:ascii="Times New Roman" w:hAnsi="Times New Roman" w:eastAsia="宋体" w:cs="Times New Roman"/>
          <w:color w:val="auto"/>
          <w:sz w:val="24"/>
        </w:rPr>
        <w:t>见表7.</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。本</w:t>
      </w:r>
      <w:r>
        <w:rPr>
          <w:rFonts w:ascii="Times New Roman" w:hAnsi="Times New Roman" w:eastAsia="宋体" w:cs="Times New Roman"/>
          <w:color w:val="auto"/>
          <w:sz w:val="24"/>
          <w:highlight w:val="none"/>
        </w:rPr>
        <w:t>项目Q=0.0</w:t>
      </w:r>
      <w:r>
        <w:rPr>
          <w:rFonts w:hint="eastAsia" w:ascii="Times New Roman" w:hAnsi="Times New Roman" w:eastAsia="宋体" w:cs="Times New Roman"/>
          <w:color w:val="auto"/>
          <w:sz w:val="24"/>
          <w:highlight w:val="none"/>
          <w:lang w:val="en-US" w:eastAsia="zh-CN"/>
        </w:rPr>
        <w:t>5864</w:t>
      </w:r>
      <w:r>
        <w:rPr>
          <w:rFonts w:ascii="Times New Roman" w:hAnsi="Times New Roman" w:eastAsia="宋体" w:cs="Times New Roman"/>
          <w:color w:val="auto"/>
          <w:sz w:val="24"/>
          <w:highlight w:val="none"/>
        </w:rPr>
        <w:t>（Q＜1），确定本项目环境风险潜势为Ⅰ。则本项目环境风险评价工作等级为“</w:t>
      </w:r>
      <w:r>
        <w:rPr>
          <w:rFonts w:ascii="Times New Roman" w:hAnsi="Times New Roman" w:eastAsia="宋体" w:cs="Times New Roman"/>
          <w:sz w:val="24"/>
          <w:highlight w:val="none"/>
        </w:rPr>
        <w:t>简单分析”，评价主要内容包括评价依据、环境敏感目标概况、环境风险识别、</w:t>
      </w:r>
      <w:r>
        <w:rPr>
          <w:rFonts w:ascii="Times New Roman" w:hAnsi="Times New Roman" w:eastAsia="宋体" w:cs="Times New Roman"/>
          <w:sz w:val="24"/>
        </w:rPr>
        <w:t>环境风险分析、环境风险防范措施及应急要求、分析结论等。</w:t>
      </w:r>
    </w:p>
    <w:p w14:paraId="2D9DCE0D">
      <w:pPr>
        <w:pStyle w:val="3"/>
        <w:numPr>
          <w:ilvl w:val="1"/>
          <w:numId w:val="10"/>
        </w:numPr>
      </w:pPr>
      <w:bookmarkStart w:id="33" w:name="_Toc31446"/>
      <w:bookmarkStart w:id="34" w:name="_Toc18316"/>
      <w:r>
        <w:t>环境影响评价范围</w:t>
      </w:r>
      <w:bookmarkEnd w:id="33"/>
      <w:bookmarkEnd w:id="34"/>
    </w:p>
    <w:p w14:paraId="1118B352">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根据项目的污染源特征及选址地区气象条件、自然环境状况确定项目各要素评价范围见</w:t>
      </w:r>
      <w:r>
        <w:rPr>
          <w:rFonts w:hint="eastAsia" w:ascii="Times New Roman" w:hAnsi="Times New Roman" w:cs="Times New Roman"/>
          <w:sz w:val="24"/>
        </w:rPr>
        <w:t>下</w:t>
      </w:r>
      <w:r>
        <w:rPr>
          <w:rFonts w:ascii="Times New Roman" w:hAnsi="Times New Roman" w:cs="Times New Roman"/>
          <w:sz w:val="24"/>
        </w:rPr>
        <w:t>表。</w:t>
      </w:r>
    </w:p>
    <w:p w14:paraId="6456A80E">
      <w:pPr>
        <w:numPr>
          <w:ilvl w:val="0"/>
          <w:numId w:val="23"/>
        </w:numPr>
        <w:tabs>
          <w:tab w:val="left" w:pos="0"/>
          <w:tab w:val="left" w:pos="1140"/>
        </w:tabs>
        <w:snapToGrid w:val="0"/>
        <w:jc w:val="center"/>
        <w:rPr>
          <w:rFonts w:ascii="Times New Roman" w:hAnsi="Times New Roman" w:cs="Times New Roman"/>
          <w:b/>
          <w:szCs w:val="21"/>
        </w:rPr>
      </w:pPr>
      <w:r>
        <w:rPr>
          <w:rFonts w:ascii="Times New Roman" w:hAnsi="Times New Roman" w:cs="Times New Roman"/>
          <w:b/>
          <w:szCs w:val="21"/>
        </w:rPr>
        <w:t>评价范围表</w:t>
      </w:r>
    </w:p>
    <w:tbl>
      <w:tblPr>
        <w:tblStyle w:val="30"/>
        <w:tblW w:w="8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4"/>
        <w:gridCol w:w="1156"/>
        <w:gridCol w:w="5574"/>
      </w:tblGrid>
      <w:tr w14:paraId="00C0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584" w:type="dxa"/>
            <w:vAlign w:val="center"/>
          </w:tcPr>
          <w:p w14:paraId="50C66485">
            <w:pPr>
              <w:pStyle w:val="65"/>
              <w:rPr>
                <w:lang w:val="zh-CN"/>
              </w:rPr>
            </w:pPr>
            <w:r>
              <w:rPr>
                <w:lang w:val="zh-CN"/>
              </w:rPr>
              <w:t>评价要素</w:t>
            </w:r>
          </w:p>
        </w:tc>
        <w:tc>
          <w:tcPr>
            <w:tcW w:w="1156" w:type="dxa"/>
            <w:vAlign w:val="center"/>
          </w:tcPr>
          <w:p w14:paraId="2303F23C">
            <w:pPr>
              <w:pStyle w:val="65"/>
              <w:rPr>
                <w:lang w:val="zh-CN"/>
              </w:rPr>
            </w:pPr>
            <w:r>
              <w:rPr>
                <w:lang w:val="zh-CN"/>
              </w:rPr>
              <w:t>评价等级</w:t>
            </w:r>
          </w:p>
        </w:tc>
        <w:tc>
          <w:tcPr>
            <w:tcW w:w="5574" w:type="dxa"/>
            <w:vAlign w:val="center"/>
          </w:tcPr>
          <w:p w14:paraId="6CBA909F">
            <w:pPr>
              <w:pStyle w:val="65"/>
              <w:rPr>
                <w:lang w:val="zh-CN"/>
              </w:rPr>
            </w:pPr>
            <w:r>
              <w:rPr>
                <w:lang w:val="zh-CN"/>
              </w:rPr>
              <w:t>评价范围</w:t>
            </w:r>
          </w:p>
        </w:tc>
      </w:tr>
      <w:tr w14:paraId="7FF5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84" w:type="dxa"/>
            <w:vAlign w:val="center"/>
          </w:tcPr>
          <w:p w14:paraId="08D0A458">
            <w:pPr>
              <w:pStyle w:val="65"/>
            </w:pPr>
            <w:r>
              <w:rPr>
                <w:lang w:val="zh-CN"/>
              </w:rPr>
              <w:t>大气</w:t>
            </w:r>
            <w:r>
              <w:t>环境</w:t>
            </w:r>
          </w:p>
        </w:tc>
        <w:tc>
          <w:tcPr>
            <w:tcW w:w="1156" w:type="dxa"/>
            <w:vAlign w:val="center"/>
          </w:tcPr>
          <w:p w14:paraId="7E391EBD">
            <w:pPr>
              <w:pStyle w:val="65"/>
              <w:rPr>
                <w:lang w:val="zh-CN"/>
              </w:rPr>
            </w:pPr>
            <w:r>
              <w:rPr>
                <w:rFonts w:hint="eastAsia"/>
                <w:lang w:val="zh-CN"/>
              </w:rPr>
              <w:t>二</w:t>
            </w:r>
            <w:r>
              <w:rPr>
                <w:lang w:val="zh-CN"/>
              </w:rPr>
              <w:t>级</w:t>
            </w:r>
          </w:p>
        </w:tc>
        <w:tc>
          <w:tcPr>
            <w:tcW w:w="5574" w:type="dxa"/>
            <w:vAlign w:val="center"/>
          </w:tcPr>
          <w:p w14:paraId="615DCC19">
            <w:pPr>
              <w:pStyle w:val="65"/>
              <w:rPr>
                <w:lang w:val="zh-CN"/>
              </w:rPr>
            </w:pPr>
            <w:r>
              <w:t>根据项目周边环境保护目标的分布情况和项目的大气污染物排放特征</w:t>
            </w:r>
            <w:r>
              <w:rPr>
                <w:color w:val="auto"/>
              </w:rPr>
              <w:t>，本项目</w:t>
            </w:r>
            <w:r>
              <w:rPr>
                <w:color w:val="auto"/>
                <w:lang w:val="zh-CN"/>
              </w:rPr>
              <w:t>以</w:t>
            </w:r>
            <w:r>
              <w:rPr>
                <w:color w:val="auto"/>
              </w:rPr>
              <w:t>厂址为中心区域，</w:t>
            </w:r>
            <w:r>
              <w:rPr>
                <w:rFonts w:hint="eastAsia"/>
                <w:color w:val="auto"/>
              </w:rPr>
              <w:t>边长为5km的矩形区域为评价范围</w:t>
            </w:r>
          </w:p>
        </w:tc>
      </w:tr>
      <w:tr w14:paraId="5AE2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84" w:type="dxa"/>
            <w:vAlign w:val="center"/>
          </w:tcPr>
          <w:p w14:paraId="0C0C8928">
            <w:pPr>
              <w:pStyle w:val="65"/>
            </w:pPr>
            <w:r>
              <w:t>地表</w:t>
            </w:r>
            <w:r>
              <w:rPr>
                <w:lang w:val="zh-CN"/>
              </w:rPr>
              <w:t>水</w:t>
            </w:r>
            <w:r>
              <w:t>环境</w:t>
            </w:r>
          </w:p>
        </w:tc>
        <w:tc>
          <w:tcPr>
            <w:tcW w:w="1156" w:type="dxa"/>
            <w:vAlign w:val="center"/>
          </w:tcPr>
          <w:p w14:paraId="434CC23D">
            <w:pPr>
              <w:pStyle w:val="65"/>
              <w:rPr>
                <w:lang w:val="zh-CN"/>
              </w:rPr>
            </w:pPr>
            <w:r>
              <w:rPr>
                <w:lang w:val="zh-CN"/>
              </w:rPr>
              <w:t>三级B</w:t>
            </w:r>
          </w:p>
        </w:tc>
        <w:tc>
          <w:tcPr>
            <w:tcW w:w="5574" w:type="dxa"/>
            <w:vAlign w:val="center"/>
          </w:tcPr>
          <w:p w14:paraId="2F93FF74">
            <w:pPr>
              <w:pStyle w:val="65"/>
            </w:pPr>
            <w:r>
              <w:t>本项目地表水现状评价范围为</w:t>
            </w:r>
            <w:r>
              <w:rPr>
                <w:rFonts w:hint="eastAsia"/>
              </w:rPr>
              <w:t>清丰中州水务有限公司第二污水处理厂纳污口上游500m至清丰中州水务有限公司第二污水处理厂</w:t>
            </w:r>
            <w:r>
              <w:t>纳污口下游2500m</w:t>
            </w:r>
            <w:r>
              <w:rPr>
                <w:rFonts w:hint="eastAsia"/>
              </w:rPr>
              <w:t>，</w:t>
            </w:r>
            <w:r>
              <w:rPr>
                <w:bCs/>
              </w:rPr>
              <w:t>约</w:t>
            </w:r>
            <w:r>
              <w:rPr>
                <w:rFonts w:hint="eastAsia"/>
                <w:bCs/>
              </w:rPr>
              <w:t>3</w:t>
            </w:r>
            <w:r>
              <w:rPr>
                <w:bCs/>
              </w:rPr>
              <w:t>km河段</w:t>
            </w:r>
          </w:p>
        </w:tc>
      </w:tr>
      <w:tr w14:paraId="5C41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84" w:type="dxa"/>
            <w:vAlign w:val="center"/>
          </w:tcPr>
          <w:p w14:paraId="578DE61F">
            <w:pPr>
              <w:pStyle w:val="65"/>
            </w:pPr>
            <w:r>
              <w:rPr>
                <w:lang w:val="zh-CN"/>
              </w:rPr>
              <w:t>地下水</w:t>
            </w:r>
            <w:r>
              <w:t>环境</w:t>
            </w:r>
          </w:p>
        </w:tc>
        <w:tc>
          <w:tcPr>
            <w:tcW w:w="1156" w:type="dxa"/>
            <w:vAlign w:val="center"/>
          </w:tcPr>
          <w:p w14:paraId="66C8FFFA">
            <w:pPr>
              <w:pStyle w:val="65"/>
              <w:rPr>
                <w:lang w:val="zh-CN"/>
              </w:rPr>
            </w:pPr>
            <w:r>
              <w:rPr>
                <w:rFonts w:hint="eastAsia"/>
                <w:lang w:val="en-US" w:eastAsia="zh-CN"/>
              </w:rPr>
              <w:t>三</w:t>
            </w:r>
            <w:r>
              <w:rPr>
                <w:rFonts w:hint="eastAsia"/>
              </w:rPr>
              <w:t>级</w:t>
            </w:r>
          </w:p>
        </w:tc>
        <w:tc>
          <w:tcPr>
            <w:tcW w:w="5574" w:type="dxa"/>
            <w:vAlign w:val="center"/>
          </w:tcPr>
          <w:p w14:paraId="56B340D4">
            <w:pPr>
              <w:pStyle w:val="65"/>
            </w:pPr>
            <w:r>
              <w:rPr>
                <w:bCs/>
              </w:rPr>
              <w:t>按地下水流向，项目厂址上游1km、下游2km、两侧各1km，面积共6km</w:t>
            </w:r>
            <w:r>
              <w:rPr>
                <w:bCs/>
                <w:vertAlign w:val="superscript"/>
              </w:rPr>
              <w:t>2</w:t>
            </w:r>
            <w:r>
              <w:rPr>
                <w:bCs/>
              </w:rPr>
              <w:t>的浅层地下水</w:t>
            </w:r>
          </w:p>
        </w:tc>
      </w:tr>
      <w:tr w14:paraId="7C10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84" w:type="dxa"/>
            <w:vAlign w:val="center"/>
          </w:tcPr>
          <w:p w14:paraId="41F16C8F">
            <w:pPr>
              <w:pStyle w:val="65"/>
            </w:pPr>
            <w:r>
              <w:t>声环境</w:t>
            </w:r>
          </w:p>
        </w:tc>
        <w:tc>
          <w:tcPr>
            <w:tcW w:w="1156" w:type="dxa"/>
            <w:vAlign w:val="center"/>
          </w:tcPr>
          <w:p w14:paraId="4C583DB3">
            <w:pPr>
              <w:pStyle w:val="65"/>
              <w:rPr>
                <w:lang w:val="zh-CN"/>
              </w:rPr>
            </w:pPr>
            <w:r>
              <w:t>三</w:t>
            </w:r>
            <w:r>
              <w:rPr>
                <w:lang w:val="zh-CN"/>
              </w:rPr>
              <w:t>级</w:t>
            </w:r>
          </w:p>
        </w:tc>
        <w:tc>
          <w:tcPr>
            <w:tcW w:w="5574" w:type="dxa"/>
            <w:vAlign w:val="center"/>
          </w:tcPr>
          <w:p w14:paraId="1D65FD03">
            <w:pPr>
              <w:pStyle w:val="65"/>
              <w:rPr>
                <w:lang w:val="zh-CN"/>
              </w:rPr>
            </w:pPr>
            <w:r>
              <w:rPr>
                <w:lang w:val="zh-CN"/>
              </w:rPr>
              <w:t>厂界外200m范围内</w:t>
            </w:r>
          </w:p>
        </w:tc>
      </w:tr>
      <w:tr w14:paraId="11C2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584" w:type="dxa"/>
            <w:vAlign w:val="center"/>
          </w:tcPr>
          <w:p w14:paraId="0516A5A1">
            <w:pPr>
              <w:pStyle w:val="65"/>
              <w:rPr>
                <w:lang w:val="zh-CN"/>
              </w:rPr>
            </w:pPr>
            <w:r>
              <w:rPr>
                <w:lang w:val="zh-CN"/>
              </w:rPr>
              <w:t>生态环境</w:t>
            </w:r>
          </w:p>
        </w:tc>
        <w:tc>
          <w:tcPr>
            <w:tcW w:w="1156" w:type="dxa"/>
            <w:vAlign w:val="center"/>
          </w:tcPr>
          <w:p w14:paraId="0F168AF7">
            <w:pPr>
              <w:pStyle w:val="65"/>
            </w:pPr>
            <w:r>
              <w:rPr>
                <w:rFonts w:hint="eastAsia"/>
              </w:rPr>
              <w:t>简单分析</w:t>
            </w:r>
          </w:p>
        </w:tc>
        <w:tc>
          <w:tcPr>
            <w:tcW w:w="5574" w:type="dxa"/>
            <w:vAlign w:val="center"/>
          </w:tcPr>
          <w:p w14:paraId="29B9D193">
            <w:pPr>
              <w:pStyle w:val="65"/>
              <w:rPr>
                <w:lang w:val="zh-CN"/>
              </w:rPr>
            </w:pPr>
            <w:r>
              <w:rPr>
                <w:lang w:val="zh-CN"/>
              </w:rPr>
              <w:t>厂址</w:t>
            </w:r>
            <w:r>
              <w:t>用</w:t>
            </w:r>
            <w:r>
              <w:rPr>
                <w:lang w:val="zh-CN"/>
              </w:rPr>
              <w:t>地范围内</w:t>
            </w:r>
          </w:p>
        </w:tc>
      </w:tr>
      <w:tr w14:paraId="14A3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84" w:type="dxa"/>
            <w:vAlign w:val="center"/>
          </w:tcPr>
          <w:p w14:paraId="1125C2D3">
            <w:pPr>
              <w:pStyle w:val="65"/>
            </w:pPr>
            <w:r>
              <w:rPr>
                <w:lang w:val="zh-CN"/>
              </w:rPr>
              <w:t>土壤</w:t>
            </w:r>
            <w:r>
              <w:t>环境</w:t>
            </w:r>
          </w:p>
        </w:tc>
        <w:tc>
          <w:tcPr>
            <w:tcW w:w="1156" w:type="dxa"/>
            <w:vAlign w:val="center"/>
          </w:tcPr>
          <w:p w14:paraId="4D3291B0">
            <w:pPr>
              <w:pStyle w:val="65"/>
            </w:pPr>
            <w:r>
              <w:rPr>
                <w:rFonts w:hint="eastAsia"/>
              </w:rPr>
              <w:t>二</w:t>
            </w:r>
            <w:r>
              <w:rPr>
                <w:lang w:val="zh-CN"/>
              </w:rPr>
              <w:t>级</w:t>
            </w:r>
          </w:p>
        </w:tc>
        <w:tc>
          <w:tcPr>
            <w:tcW w:w="5574" w:type="dxa"/>
            <w:vAlign w:val="center"/>
          </w:tcPr>
          <w:p w14:paraId="4B1A5918">
            <w:pPr>
              <w:pStyle w:val="65"/>
              <w:rPr>
                <w:lang w:val="zh-CN"/>
              </w:rPr>
            </w:pPr>
            <w:r>
              <w:rPr>
                <w:lang w:val="zh-CN"/>
              </w:rPr>
              <w:t>厂界外</w:t>
            </w:r>
            <w:r>
              <w:rPr>
                <w:rFonts w:hint="eastAsia"/>
              </w:rPr>
              <w:t>0.2</w:t>
            </w:r>
            <w:r>
              <w:t>km</w:t>
            </w:r>
            <w:r>
              <w:rPr>
                <w:lang w:val="zh-CN"/>
              </w:rPr>
              <w:t>范围内</w:t>
            </w:r>
          </w:p>
        </w:tc>
      </w:tr>
      <w:tr w14:paraId="5607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84" w:type="dxa"/>
            <w:vAlign w:val="center"/>
          </w:tcPr>
          <w:p w14:paraId="06BD5D88">
            <w:pPr>
              <w:pStyle w:val="65"/>
              <w:rPr>
                <w:lang w:val="zh-CN"/>
              </w:rPr>
            </w:pPr>
            <w:r>
              <w:rPr>
                <w:lang w:val="zh-CN"/>
              </w:rPr>
              <w:t>风险</w:t>
            </w:r>
          </w:p>
        </w:tc>
        <w:tc>
          <w:tcPr>
            <w:tcW w:w="1156" w:type="dxa"/>
            <w:vAlign w:val="center"/>
          </w:tcPr>
          <w:p w14:paraId="0BCFCE4F">
            <w:pPr>
              <w:pStyle w:val="65"/>
            </w:pPr>
            <w:r>
              <w:rPr>
                <w:rFonts w:hint="eastAsia"/>
              </w:rPr>
              <w:t>简单分析</w:t>
            </w:r>
          </w:p>
        </w:tc>
        <w:tc>
          <w:tcPr>
            <w:tcW w:w="5574" w:type="dxa"/>
            <w:vAlign w:val="center"/>
          </w:tcPr>
          <w:p w14:paraId="5506794D">
            <w:pPr>
              <w:pStyle w:val="65"/>
            </w:pPr>
            <w:r>
              <w:t>大气风险评价范围为项目边界起</w:t>
            </w:r>
            <w:r>
              <w:rPr>
                <w:rFonts w:hint="eastAsia"/>
              </w:rPr>
              <w:t>3</w:t>
            </w:r>
            <w:r>
              <w:t>km范围</w:t>
            </w:r>
            <w:r>
              <w:rPr>
                <w:rFonts w:hint="eastAsia"/>
              </w:rPr>
              <w:t>；</w:t>
            </w:r>
          </w:p>
          <w:p w14:paraId="11797116">
            <w:pPr>
              <w:pStyle w:val="65"/>
            </w:pPr>
            <w:r>
              <w:t>地表水环境风险评价范围</w:t>
            </w:r>
            <w:r>
              <w:rPr>
                <w:rFonts w:hint="eastAsia"/>
              </w:rPr>
              <w:t>同地表水评价范围；</w:t>
            </w:r>
          </w:p>
          <w:p w14:paraId="71D39B1B">
            <w:pPr>
              <w:pStyle w:val="65"/>
            </w:pPr>
            <w:r>
              <w:t>地下水环境风险评价范围同地下水评价范围。</w:t>
            </w:r>
          </w:p>
        </w:tc>
      </w:tr>
    </w:tbl>
    <w:p w14:paraId="00A75F18">
      <w:pPr>
        <w:autoSpaceDE w:val="0"/>
        <w:autoSpaceDN w:val="0"/>
        <w:adjustRightInd w:val="0"/>
        <w:spacing w:line="360" w:lineRule="auto"/>
        <w:ind w:firstLine="480" w:firstLineChars="200"/>
        <w:rPr>
          <w:rFonts w:ascii="Times New Roman" w:hAnsi="Times New Roman" w:eastAsia="宋体" w:cs="Times New Roman"/>
          <w:sz w:val="24"/>
          <w:szCs w:val="20"/>
          <w:highlight w:val="yellow"/>
        </w:rPr>
      </w:pPr>
    </w:p>
    <w:p w14:paraId="1E3BE274">
      <w:pPr>
        <w:sectPr>
          <w:pgSz w:w="11906" w:h="16838"/>
          <w:pgMar w:top="1440" w:right="1800" w:bottom="1440" w:left="1800" w:header="851" w:footer="992" w:gutter="0"/>
          <w:pgNumType w:fmt="decimal"/>
          <w:cols w:space="720" w:num="1"/>
          <w:docGrid w:type="lines" w:linePitch="312" w:charSpace="0"/>
        </w:sectPr>
      </w:pPr>
    </w:p>
    <w:p w14:paraId="0F3080F8">
      <w:pPr>
        <w:pStyle w:val="3"/>
        <w:numPr>
          <w:ilvl w:val="1"/>
          <w:numId w:val="10"/>
        </w:numPr>
      </w:pPr>
      <w:bookmarkStart w:id="35" w:name="_Toc20604"/>
      <w:bookmarkStart w:id="36" w:name="_Toc6625"/>
      <w:r>
        <w:rPr>
          <w:rFonts w:hint="eastAsia"/>
        </w:rPr>
        <w:t>环境保护目标</w:t>
      </w:r>
      <w:bookmarkEnd w:id="35"/>
      <w:bookmarkEnd w:id="36"/>
    </w:p>
    <w:p w14:paraId="2048FE71">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环境敏感保护目标详见</w:t>
      </w:r>
      <w:r>
        <w:rPr>
          <w:rFonts w:hint="eastAsia" w:ascii="Times New Roman" w:hAnsi="Times New Roman" w:cs="Times New Roman"/>
          <w:sz w:val="24"/>
        </w:rPr>
        <w:t>下</w:t>
      </w:r>
      <w:r>
        <w:rPr>
          <w:rFonts w:ascii="Times New Roman" w:hAnsi="Times New Roman" w:cs="Times New Roman"/>
          <w:sz w:val="24"/>
        </w:rPr>
        <w:t>表和</w:t>
      </w:r>
      <w:r>
        <w:rPr>
          <w:rFonts w:hint="eastAsia" w:ascii="Times New Roman" w:hAnsi="Times New Roman" w:cs="Times New Roman"/>
          <w:sz w:val="24"/>
        </w:rPr>
        <w:t>附</w:t>
      </w:r>
      <w:r>
        <w:rPr>
          <w:rFonts w:ascii="Times New Roman" w:hAnsi="Times New Roman" w:cs="Times New Roman"/>
          <w:sz w:val="24"/>
        </w:rPr>
        <w:t>图</w:t>
      </w:r>
      <w:r>
        <w:rPr>
          <w:rFonts w:hint="eastAsia" w:ascii="Times New Roman" w:hAnsi="Times New Roman" w:cs="Times New Roman"/>
          <w:sz w:val="24"/>
        </w:rPr>
        <w:t>3。</w:t>
      </w:r>
    </w:p>
    <w:p w14:paraId="2144C35D">
      <w:pPr>
        <w:numPr>
          <w:ilvl w:val="0"/>
          <w:numId w:val="24"/>
        </w:numPr>
        <w:autoSpaceDE w:val="0"/>
        <w:autoSpaceDN w:val="0"/>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 xml:space="preserve"> </w:t>
      </w:r>
      <w:r>
        <w:rPr>
          <w:rFonts w:ascii="Times New Roman" w:hAnsi="Times New Roman" w:eastAsia="宋体" w:cs="Times New Roman"/>
          <w:b/>
          <w:bCs/>
          <w:szCs w:val="21"/>
        </w:rPr>
        <w:t xml:space="preserve"> 环境敏感保护目标一览表</w:t>
      </w:r>
    </w:p>
    <w:tbl>
      <w:tblPr>
        <w:tblStyle w:val="31"/>
        <w:tblW w:w="50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1262"/>
        <w:gridCol w:w="1218"/>
        <w:gridCol w:w="1200"/>
        <w:gridCol w:w="730"/>
        <w:gridCol w:w="726"/>
        <w:gridCol w:w="823"/>
        <w:gridCol w:w="805"/>
        <w:gridCol w:w="1056"/>
      </w:tblGrid>
      <w:tr w14:paraId="7802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blHeader/>
          <w:jc w:val="center"/>
        </w:trPr>
        <w:tc>
          <w:tcPr>
            <w:tcW w:w="322" w:type="pct"/>
            <w:vMerge w:val="restart"/>
            <w:tcBorders>
              <w:tl2br w:val="nil"/>
              <w:tr2bl w:val="nil"/>
            </w:tcBorders>
            <w:tcMar>
              <w:top w:w="0" w:type="dxa"/>
              <w:left w:w="0" w:type="dxa"/>
              <w:bottom w:w="0" w:type="dxa"/>
              <w:right w:w="0" w:type="dxa"/>
            </w:tcMar>
            <w:vAlign w:val="center"/>
          </w:tcPr>
          <w:p w14:paraId="78829C8D">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lang w:bidi="ar"/>
                <w14:textFill>
                  <w14:solidFill>
                    <w14:schemeClr w14:val="tx1"/>
                  </w14:solidFill>
                </w14:textFill>
              </w:rPr>
              <w:t>类别</w:t>
            </w:r>
          </w:p>
        </w:tc>
        <w:tc>
          <w:tcPr>
            <w:tcW w:w="754" w:type="pct"/>
            <w:vMerge w:val="restart"/>
            <w:tcBorders>
              <w:tl2br w:val="nil"/>
              <w:tr2bl w:val="nil"/>
            </w:tcBorders>
            <w:tcMar>
              <w:top w:w="0" w:type="dxa"/>
              <w:left w:w="0" w:type="dxa"/>
              <w:bottom w:w="0" w:type="dxa"/>
              <w:right w:w="0" w:type="dxa"/>
            </w:tcMar>
            <w:vAlign w:val="center"/>
          </w:tcPr>
          <w:p w14:paraId="482334D3">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保护目标</w:t>
            </w:r>
          </w:p>
        </w:tc>
        <w:tc>
          <w:tcPr>
            <w:tcW w:w="1445" w:type="pct"/>
            <w:gridSpan w:val="2"/>
            <w:tcBorders>
              <w:tl2br w:val="nil"/>
              <w:tr2bl w:val="nil"/>
            </w:tcBorders>
            <w:tcMar>
              <w:top w:w="0" w:type="dxa"/>
              <w:left w:w="0" w:type="dxa"/>
              <w:bottom w:w="0" w:type="dxa"/>
              <w:right w:w="0" w:type="dxa"/>
            </w:tcMar>
            <w:vAlign w:val="center"/>
          </w:tcPr>
          <w:p w14:paraId="57B3758F">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中心</w:t>
            </w:r>
            <w:r>
              <w:rPr>
                <w:rFonts w:ascii="Times New Roman" w:hAnsi="Times New Roman" w:eastAsia="宋体" w:cs="Times New Roman"/>
                <w:bCs/>
                <w:color w:val="auto"/>
                <w:szCs w:val="21"/>
                <w:lang w:bidi="ar"/>
              </w:rPr>
              <w:t>坐标</w:t>
            </w:r>
          </w:p>
        </w:tc>
        <w:tc>
          <w:tcPr>
            <w:tcW w:w="436" w:type="pct"/>
            <w:vMerge w:val="restart"/>
            <w:tcBorders>
              <w:tl2br w:val="nil"/>
              <w:tr2bl w:val="nil"/>
            </w:tcBorders>
            <w:tcMar>
              <w:top w:w="0" w:type="dxa"/>
              <w:left w:w="0" w:type="dxa"/>
              <w:bottom w:w="0" w:type="dxa"/>
              <w:right w:w="0" w:type="dxa"/>
            </w:tcMar>
            <w:vAlign w:val="center"/>
          </w:tcPr>
          <w:p w14:paraId="1051D0E7">
            <w:pPr>
              <w:jc w:val="center"/>
              <w:rPr>
                <w:rFonts w:ascii="Times New Roman" w:hAnsi="Times New Roman" w:eastAsia="宋体" w:cs="Times New Roman"/>
                <w:bCs/>
                <w:color w:val="auto"/>
                <w:szCs w:val="21"/>
                <w:lang w:bidi="ar"/>
              </w:rPr>
            </w:pPr>
            <w:r>
              <w:rPr>
                <w:rFonts w:ascii="Times New Roman" w:hAnsi="Times New Roman" w:eastAsia="宋体" w:cs="Times New Roman"/>
                <w:bCs/>
                <w:color w:val="auto"/>
                <w:szCs w:val="21"/>
                <w:lang w:bidi="ar"/>
              </w:rPr>
              <w:t>保护对象</w:t>
            </w:r>
          </w:p>
        </w:tc>
        <w:tc>
          <w:tcPr>
            <w:tcW w:w="434" w:type="pct"/>
            <w:vMerge w:val="restart"/>
            <w:tcBorders>
              <w:tl2br w:val="nil"/>
              <w:tr2bl w:val="nil"/>
            </w:tcBorders>
            <w:tcMar>
              <w:top w:w="0" w:type="dxa"/>
              <w:left w:w="0" w:type="dxa"/>
              <w:bottom w:w="0" w:type="dxa"/>
              <w:right w:w="0" w:type="dxa"/>
            </w:tcMar>
            <w:vAlign w:val="center"/>
          </w:tcPr>
          <w:p w14:paraId="7310EED6">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保护内容</w:t>
            </w:r>
          </w:p>
        </w:tc>
        <w:tc>
          <w:tcPr>
            <w:tcW w:w="492" w:type="pct"/>
            <w:vMerge w:val="restart"/>
            <w:tcBorders>
              <w:tl2br w:val="nil"/>
              <w:tr2bl w:val="nil"/>
            </w:tcBorders>
            <w:tcMar>
              <w:top w:w="0" w:type="dxa"/>
              <w:left w:w="0" w:type="dxa"/>
              <w:bottom w:w="0" w:type="dxa"/>
              <w:right w:w="0" w:type="dxa"/>
            </w:tcMar>
            <w:vAlign w:val="center"/>
          </w:tcPr>
          <w:p w14:paraId="274633A2">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环境功能区</w:t>
            </w:r>
          </w:p>
        </w:tc>
        <w:tc>
          <w:tcPr>
            <w:tcW w:w="481" w:type="pct"/>
            <w:vMerge w:val="restart"/>
            <w:tcBorders>
              <w:tl2br w:val="nil"/>
              <w:tr2bl w:val="nil"/>
            </w:tcBorders>
            <w:tcMar>
              <w:top w:w="0" w:type="dxa"/>
              <w:left w:w="0" w:type="dxa"/>
              <w:bottom w:w="0" w:type="dxa"/>
              <w:right w:w="0" w:type="dxa"/>
            </w:tcMar>
            <w:vAlign w:val="center"/>
          </w:tcPr>
          <w:p w14:paraId="5D523F39">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相对厂址方位</w:t>
            </w:r>
          </w:p>
        </w:tc>
        <w:tc>
          <w:tcPr>
            <w:tcW w:w="631" w:type="pct"/>
            <w:vMerge w:val="restart"/>
            <w:tcBorders>
              <w:tl2br w:val="nil"/>
              <w:tr2bl w:val="nil"/>
            </w:tcBorders>
            <w:tcMar>
              <w:top w:w="0" w:type="dxa"/>
              <w:left w:w="0" w:type="dxa"/>
              <w:bottom w:w="0" w:type="dxa"/>
              <w:right w:w="0" w:type="dxa"/>
            </w:tcMar>
            <w:vAlign w:val="center"/>
          </w:tcPr>
          <w:p w14:paraId="266C29BF">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相对厂界距离</w:t>
            </w:r>
            <w:r>
              <w:rPr>
                <w:rFonts w:hint="eastAsia" w:ascii="Times New Roman" w:hAnsi="Times New Roman" w:eastAsia="宋体" w:cs="Times New Roman"/>
                <w:bCs/>
                <w:color w:val="auto"/>
                <w:szCs w:val="21"/>
                <w:lang w:bidi="ar"/>
              </w:rPr>
              <w:t>（m）</w:t>
            </w:r>
          </w:p>
        </w:tc>
      </w:tr>
      <w:tr w14:paraId="491D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blHeader/>
          <w:jc w:val="center"/>
        </w:trPr>
        <w:tc>
          <w:tcPr>
            <w:tcW w:w="322" w:type="pct"/>
            <w:vMerge w:val="continue"/>
            <w:tcBorders>
              <w:tl2br w:val="nil"/>
              <w:tr2bl w:val="nil"/>
            </w:tcBorders>
            <w:tcMar>
              <w:top w:w="0" w:type="dxa"/>
              <w:left w:w="0" w:type="dxa"/>
              <w:bottom w:w="0" w:type="dxa"/>
              <w:right w:w="0" w:type="dxa"/>
            </w:tcMar>
            <w:vAlign w:val="center"/>
          </w:tcPr>
          <w:p w14:paraId="1D5593BB">
            <w:pPr>
              <w:jc w:val="center"/>
              <w:rPr>
                <w:rFonts w:ascii="Times New Roman" w:hAnsi="Times New Roman" w:eastAsia="宋体" w:cs="Times New Roman"/>
                <w:b/>
                <w:color w:val="000000" w:themeColor="text1"/>
                <w:szCs w:val="21"/>
                <w14:textFill>
                  <w14:solidFill>
                    <w14:schemeClr w14:val="tx1"/>
                  </w14:solidFill>
                </w14:textFill>
              </w:rPr>
            </w:pPr>
          </w:p>
        </w:tc>
        <w:tc>
          <w:tcPr>
            <w:tcW w:w="754" w:type="pct"/>
            <w:vMerge w:val="continue"/>
            <w:tcBorders>
              <w:tl2br w:val="nil"/>
              <w:tr2bl w:val="nil"/>
            </w:tcBorders>
            <w:tcMar>
              <w:top w:w="0" w:type="dxa"/>
              <w:left w:w="0" w:type="dxa"/>
              <w:bottom w:w="0" w:type="dxa"/>
              <w:right w:w="0" w:type="dxa"/>
            </w:tcMar>
            <w:vAlign w:val="center"/>
          </w:tcPr>
          <w:p w14:paraId="72626717">
            <w:pPr>
              <w:jc w:val="center"/>
              <w:rPr>
                <w:rFonts w:ascii="Times New Roman" w:hAnsi="Times New Roman" w:eastAsia="宋体" w:cs="Times New Roman"/>
                <w:b/>
                <w:color w:val="0000FF"/>
                <w:szCs w:val="21"/>
              </w:rPr>
            </w:pPr>
          </w:p>
        </w:tc>
        <w:tc>
          <w:tcPr>
            <w:tcW w:w="728" w:type="pct"/>
            <w:tcBorders>
              <w:tl2br w:val="nil"/>
              <w:tr2bl w:val="nil"/>
            </w:tcBorders>
            <w:tcMar>
              <w:top w:w="0" w:type="dxa"/>
              <w:left w:w="0" w:type="dxa"/>
              <w:bottom w:w="0" w:type="dxa"/>
              <w:right w:w="0" w:type="dxa"/>
            </w:tcMar>
            <w:vAlign w:val="center"/>
          </w:tcPr>
          <w:p w14:paraId="7CD3C9E7">
            <w:pPr>
              <w:pStyle w:val="66"/>
              <w:adjustRightInd w:val="0"/>
              <w:snapToGrid w:val="0"/>
              <w:spacing w:line="240" w:lineRule="auto"/>
              <w:ind w:firstLine="0" w:firstLineChars="0"/>
              <w:rPr>
                <w:bCs/>
                <w:color w:val="auto"/>
                <w:sz w:val="21"/>
                <w:szCs w:val="21"/>
              </w:rPr>
            </w:pPr>
            <w:r>
              <w:rPr>
                <w:bCs/>
                <w:color w:val="auto"/>
                <w:sz w:val="21"/>
                <w:szCs w:val="21"/>
              </w:rPr>
              <w:t>经度</w:t>
            </w:r>
          </w:p>
        </w:tc>
        <w:tc>
          <w:tcPr>
            <w:tcW w:w="717" w:type="pct"/>
            <w:tcBorders>
              <w:tl2br w:val="nil"/>
              <w:tr2bl w:val="nil"/>
            </w:tcBorders>
            <w:tcMar>
              <w:top w:w="0" w:type="dxa"/>
              <w:left w:w="0" w:type="dxa"/>
              <w:bottom w:w="0" w:type="dxa"/>
              <w:right w:w="0" w:type="dxa"/>
            </w:tcMar>
            <w:vAlign w:val="center"/>
          </w:tcPr>
          <w:p w14:paraId="167ECF90">
            <w:pPr>
              <w:pStyle w:val="66"/>
              <w:adjustRightInd w:val="0"/>
              <w:snapToGrid w:val="0"/>
              <w:spacing w:line="240" w:lineRule="auto"/>
              <w:ind w:firstLine="0" w:firstLineChars="0"/>
              <w:rPr>
                <w:bCs/>
                <w:color w:val="auto"/>
                <w:sz w:val="21"/>
                <w:szCs w:val="21"/>
              </w:rPr>
            </w:pPr>
            <w:r>
              <w:rPr>
                <w:bCs/>
                <w:color w:val="auto"/>
                <w:sz w:val="21"/>
                <w:szCs w:val="21"/>
              </w:rPr>
              <w:t>纬度</w:t>
            </w:r>
          </w:p>
        </w:tc>
        <w:tc>
          <w:tcPr>
            <w:tcW w:w="436" w:type="pct"/>
            <w:vMerge w:val="continue"/>
            <w:tcBorders>
              <w:tl2br w:val="nil"/>
              <w:tr2bl w:val="nil"/>
            </w:tcBorders>
            <w:tcMar>
              <w:top w:w="0" w:type="dxa"/>
              <w:left w:w="0" w:type="dxa"/>
              <w:bottom w:w="0" w:type="dxa"/>
              <w:right w:w="0" w:type="dxa"/>
            </w:tcMar>
            <w:vAlign w:val="center"/>
          </w:tcPr>
          <w:p w14:paraId="1A55B8CE">
            <w:pPr>
              <w:jc w:val="center"/>
              <w:rPr>
                <w:rFonts w:ascii="Times New Roman" w:hAnsi="Times New Roman" w:eastAsia="宋体" w:cs="Times New Roman"/>
                <w:b/>
                <w:color w:val="000000" w:themeColor="text1"/>
                <w:szCs w:val="21"/>
                <w14:textFill>
                  <w14:solidFill>
                    <w14:schemeClr w14:val="tx1"/>
                  </w14:solidFill>
                </w14:textFill>
              </w:rPr>
            </w:pPr>
          </w:p>
        </w:tc>
        <w:tc>
          <w:tcPr>
            <w:tcW w:w="434" w:type="pct"/>
            <w:vMerge w:val="continue"/>
            <w:tcBorders>
              <w:tl2br w:val="nil"/>
              <w:tr2bl w:val="nil"/>
            </w:tcBorders>
            <w:tcMar>
              <w:top w:w="0" w:type="dxa"/>
              <w:left w:w="0" w:type="dxa"/>
              <w:bottom w:w="0" w:type="dxa"/>
              <w:right w:w="0" w:type="dxa"/>
            </w:tcMar>
            <w:vAlign w:val="center"/>
          </w:tcPr>
          <w:p w14:paraId="77E4A6F6">
            <w:pPr>
              <w:jc w:val="center"/>
              <w:rPr>
                <w:rFonts w:ascii="Times New Roman" w:hAnsi="Times New Roman" w:eastAsia="宋体" w:cs="Times New Roman"/>
                <w:b/>
                <w:color w:val="000000" w:themeColor="text1"/>
                <w:szCs w:val="21"/>
                <w14:textFill>
                  <w14:solidFill>
                    <w14:schemeClr w14:val="tx1"/>
                  </w14:solidFill>
                </w14:textFill>
              </w:rPr>
            </w:pPr>
          </w:p>
        </w:tc>
        <w:tc>
          <w:tcPr>
            <w:tcW w:w="492" w:type="pct"/>
            <w:vMerge w:val="continue"/>
            <w:tcBorders>
              <w:tl2br w:val="nil"/>
              <w:tr2bl w:val="nil"/>
            </w:tcBorders>
            <w:tcMar>
              <w:top w:w="0" w:type="dxa"/>
              <w:left w:w="0" w:type="dxa"/>
              <w:bottom w:w="0" w:type="dxa"/>
              <w:right w:w="0" w:type="dxa"/>
            </w:tcMar>
            <w:vAlign w:val="center"/>
          </w:tcPr>
          <w:p w14:paraId="004C2BFD">
            <w:pPr>
              <w:jc w:val="center"/>
              <w:rPr>
                <w:rFonts w:ascii="Times New Roman" w:hAnsi="Times New Roman" w:eastAsia="宋体" w:cs="Times New Roman"/>
                <w:b/>
                <w:color w:val="000000" w:themeColor="text1"/>
                <w:szCs w:val="21"/>
                <w14:textFill>
                  <w14:solidFill>
                    <w14:schemeClr w14:val="tx1"/>
                  </w14:solidFill>
                </w14:textFill>
              </w:rPr>
            </w:pPr>
          </w:p>
        </w:tc>
        <w:tc>
          <w:tcPr>
            <w:tcW w:w="481" w:type="pct"/>
            <w:vMerge w:val="continue"/>
            <w:tcBorders>
              <w:tl2br w:val="nil"/>
              <w:tr2bl w:val="nil"/>
            </w:tcBorders>
            <w:tcMar>
              <w:top w:w="0" w:type="dxa"/>
              <w:left w:w="0" w:type="dxa"/>
              <w:bottom w:w="0" w:type="dxa"/>
              <w:right w:w="0" w:type="dxa"/>
            </w:tcMar>
            <w:vAlign w:val="center"/>
          </w:tcPr>
          <w:p w14:paraId="578CCC80">
            <w:pPr>
              <w:jc w:val="center"/>
              <w:rPr>
                <w:rFonts w:ascii="Times New Roman" w:hAnsi="Times New Roman" w:eastAsia="宋体" w:cs="Times New Roman"/>
                <w:b/>
                <w:color w:val="000000" w:themeColor="text1"/>
                <w:szCs w:val="21"/>
                <w14:textFill>
                  <w14:solidFill>
                    <w14:schemeClr w14:val="tx1"/>
                  </w14:solidFill>
                </w14:textFill>
              </w:rPr>
            </w:pPr>
          </w:p>
        </w:tc>
        <w:tc>
          <w:tcPr>
            <w:tcW w:w="631" w:type="pct"/>
            <w:vMerge w:val="continue"/>
            <w:tcBorders>
              <w:tl2br w:val="nil"/>
              <w:tr2bl w:val="nil"/>
            </w:tcBorders>
            <w:tcMar>
              <w:top w:w="0" w:type="dxa"/>
              <w:left w:w="0" w:type="dxa"/>
              <w:bottom w:w="0" w:type="dxa"/>
              <w:right w:w="0" w:type="dxa"/>
            </w:tcMar>
            <w:vAlign w:val="center"/>
          </w:tcPr>
          <w:p w14:paraId="7F536156">
            <w:pPr>
              <w:jc w:val="center"/>
              <w:rPr>
                <w:rFonts w:ascii="Times New Roman" w:hAnsi="Times New Roman" w:eastAsia="宋体" w:cs="Times New Roman"/>
                <w:b/>
                <w:color w:val="000000" w:themeColor="text1"/>
                <w:szCs w:val="21"/>
                <w14:textFill>
                  <w14:solidFill>
                    <w14:schemeClr w14:val="tx1"/>
                  </w14:solidFill>
                </w14:textFill>
              </w:rPr>
            </w:pPr>
          </w:p>
        </w:tc>
      </w:tr>
      <w:tr w14:paraId="3E4E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restart"/>
            <w:tcBorders>
              <w:tl2br w:val="nil"/>
              <w:tr2bl w:val="nil"/>
            </w:tcBorders>
            <w:tcMar>
              <w:top w:w="0" w:type="dxa"/>
              <w:left w:w="0" w:type="dxa"/>
              <w:bottom w:w="0" w:type="dxa"/>
              <w:right w:w="0" w:type="dxa"/>
            </w:tcMar>
            <w:vAlign w:val="center"/>
          </w:tcPr>
          <w:p w14:paraId="37A99C92">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lang w:bidi="ar"/>
                <w14:textFill>
                  <w14:solidFill>
                    <w14:schemeClr w14:val="tx1"/>
                  </w14:solidFill>
                </w14:textFill>
              </w:rPr>
              <w:t>大气环境</w:t>
            </w:r>
          </w:p>
        </w:tc>
        <w:tc>
          <w:tcPr>
            <w:tcW w:w="754" w:type="pct"/>
            <w:tcBorders>
              <w:tl2br w:val="nil"/>
              <w:tr2bl w:val="nil"/>
            </w:tcBorders>
            <w:tcMar>
              <w:top w:w="0" w:type="dxa"/>
              <w:left w:w="0" w:type="dxa"/>
              <w:bottom w:w="0" w:type="dxa"/>
              <w:right w:w="0" w:type="dxa"/>
            </w:tcMar>
            <w:vAlign w:val="center"/>
          </w:tcPr>
          <w:p w14:paraId="6E1C711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西黄庄村</w:t>
            </w:r>
          </w:p>
        </w:tc>
        <w:tc>
          <w:tcPr>
            <w:tcW w:w="728" w:type="pct"/>
            <w:tcBorders>
              <w:tl2br w:val="nil"/>
              <w:tr2bl w:val="nil"/>
            </w:tcBorders>
            <w:tcMar>
              <w:top w:w="0" w:type="dxa"/>
              <w:left w:w="0" w:type="dxa"/>
              <w:bottom w:w="0" w:type="dxa"/>
              <w:right w:w="0" w:type="dxa"/>
            </w:tcMar>
            <w:vAlign w:val="center"/>
          </w:tcPr>
          <w:p w14:paraId="1CB6796E">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115.1141667</w:t>
            </w:r>
          </w:p>
        </w:tc>
        <w:tc>
          <w:tcPr>
            <w:tcW w:w="717" w:type="pct"/>
            <w:tcBorders>
              <w:tl2br w:val="nil"/>
              <w:tr2bl w:val="nil"/>
            </w:tcBorders>
            <w:tcMar>
              <w:top w:w="0" w:type="dxa"/>
              <w:left w:w="0" w:type="dxa"/>
              <w:bottom w:w="0" w:type="dxa"/>
              <w:right w:w="0" w:type="dxa"/>
            </w:tcMar>
            <w:vAlign w:val="center"/>
          </w:tcPr>
          <w:p w14:paraId="4E43C231">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35.8889979</w:t>
            </w:r>
          </w:p>
        </w:tc>
        <w:tc>
          <w:tcPr>
            <w:tcW w:w="436" w:type="pct"/>
            <w:tcBorders>
              <w:tl2br w:val="nil"/>
              <w:tr2bl w:val="nil"/>
            </w:tcBorders>
            <w:tcMar>
              <w:top w:w="0" w:type="dxa"/>
              <w:left w:w="0" w:type="dxa"/>
              <w:bottom w:w="0" w:type="dxa"/>
              <w:right w:w="0" w:type="dxa"/>
            </w:tcMar>
            <w:vAlign w:val="center"/>
          </w:tcPr>
          <w:p w14:paraId="77AA9CC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6A3FD57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20B7457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373B1F4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w:t>
            </w:r>
          </w:p>
        </w:tc>
        <w:tc>
          <w:tcPr>
            <w:tcW w:w="631" w:type="pct"/>
            <w:tcBorders>
              <w:tl2br w:val="nil"/>
              <w:tr2bl w:val="nil"/>
            </w:tcBorders>
            <w:tcMar>
              <w:top w:w="0" w:type="dxa"/>
              <w:left w:w="0" w:type="dxa"/>
              <w:bottom w:w="0" w:type="dxa"/>
              <w:right w:w="0" w:type="dxa"/>
            </w:tcMar>
            <w:vAlign w:val="center"/>
          </w:tcPr>
          <w:p w14:paraId="1083608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2340</w:t>
            </w:r>
          </w:p>
        </w:tc>
      </w:tr>
      <w:tr w14:paraId="278D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52B35AD2">
            <w:pPr>
              <w:pStyle w:val="18"/>
              <w:adjustRightInd/>
              <w:spacing w:before="0" w:line="240" w:lineRule="auto"/>
              <w:ind w:left="0" w:right="0"/>
              <w:jc w:val="center"/>
              <w:rPr>
                <w:rFonts w:ascii="Times New Roman" w:hAnsi="Times New Roman" w:eastAsia="宋体" w:cs="Times New Roman"/>
                <w:bCs/>
                <w:color w:val="000000" w:themeColor="text1"/>
                <w:sz w:val="21"/>
                <w:szCs w:val="21"/>
                <w:lang w:bidi="ar"/>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625C3538">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清丰县人民医院</w:t>
            </w:r>
          </w:p>
        </w:tc>
        <w:tc>
          <w:tcPr>
            <w:tcW w:w="728" w:type="pct"/>
            <w:tcBorders>
              <w:tl2br w:val="nil"/>
              <w:tr2bl w:val="nil"/>
            </w:tcBorders>
            <w:tcMar>
              <w:top w:w="0" w:type="dxa"/>
              <w:left w:w="0" w:type="dxa"/>
              <w:bottom w:w="0" w:type="dxa"/>
              <w:right w:w="0" w:type="dxa"/>
            </w:tcMar>
            <w:vAlign w:val="center"/>
          </w:tcPr>
          <w:p w14:paraId="4BBBADD9">
            <w:pPr>
              <w:widowControl/>
              <w:jc w:val="center"/>
              <w:textAlignment w:val="center"/>
              <w:rPr>
                <w:rFonts w:ascii="Times New Roman" w:hAnsi="Times New Roman" w:eastAsia="宋体" w:cs="Times New Roman"/>
                <w:bCs/>
                <w:color w:val="000000" w:themeColor="text1"/>
                <w:szCs w:val="21"/>
                <w:lang w:bidi="ar"/>
                <w14:textFill>
                  <w14:solidFill>
                    <w14:schemeClr w14:val="tx1"/>
                  </w14:solidFill>
                </w14:textFill>
              </w:rPr>
            </w:pPr>
            <w:r>
              <w:rPr>
                <w:rFonts w:ascii="Times New Roman" w:hAnsi="Times New Roman" w:eastAsia="宋体" w:cs="Times New Roman"/>
                <w:bCs/>
                <w:color w:val="000000" w:themeColor="text1"/>
                <w:szCs w:val="21"/>
                <w:lang w:bidi="ar"/>
                <w14:textFill>
                  <w14:solidFill>
                    <w14:schemeClr w14:val="tx1"/>
                  </w14:solidFill>
                </w14:textFill>
              </w:rPr>
              <w:t>115.1165914</w:t>
            </w:r>
          </w:p>
        </w:tc>
        <w:tc>
          <w:tcPr>
            <w:tcW w:w="717" w:type="pct"/>
            <w:tcBorders>
              <w:tl2br w:val="nil"/>
              <w:tr2bl w:val="nil"/>
            </w:tcBorders>
            <w:tcMar>
              <w:top w:w="0" w:type="dxa"/>
              <w:left w:w="0" w:type="dxa"/>
              <w:bottom w:w="0" w:type="dxa"/>
              <w:right w:w="0" w:type="dxa"/>
            </w:tcMar>
            <w:vAlign w:val="center"/>
          </w:tcPr>
          <w:p w14:paraId="71AB55FD">
            <w:pPr>
              <w:widowControl/>
              <w:jc w:val="center"/>
              <w:textAlignment w:val="center"/>
              <w:rPr>
                <w:rFonts w:ascii="Times New Roman" w:hAnsi="Times New Roman" w:eastAsia="宋体" w:cs="Times New Roman"/>
                <w:bCs/>
                <w:color w:val="000000" w:themeColor="text1"/>
                <w:szCs w:val="21"/>
                <w:lang w:bidi="ar"/>
                <w14:textFill>
                  <w14:solidFill>
                    <w14:schemeClr w14:val="tx1"/>
                  </w14:solidFill>
                </w14:textFill>
              </w:rPr>
            </w:pPr>
            <w:r>
              <w:rPr>
                <w:rFonts w:ascii="Times New Roman" w:hAnsi="Times New Roman" w:eastAsia="宋体" w:cs="Times New Roman"/>
                <w:bCs/>
                <w:color w:val="000000" w:themeColor="text1"/>
                <w:szCs w:val="21"/>
                <w:lang w:bidi="ar"/>
                <w14:textFill>
                  <w14:solidFill>
                    <w14:schemeClr w14:val="tx1"/>
                  </w14:solidFill>
                </w14:textFill>
              </w:rPr>
              <w:t>35.8850168</w:t>
            </w:r>
          </w:p>
        </w:tc>
        <w:tc>
          <w:tcPr>
            <w:tcW w:w="436" w:type="pct"/>
            <w:tcBorders>
              <w:tl2br w:val="nil"/>
              <w:tr2bl w:val="nil"/>
            </w:tcBorders>
            <w:tcMar>
              <w:top w:w="0" w:type="dxa"/>
              <w:left w:w="0" w:type="dxa"/>
              <w:bottom w:w="0" w:type="dxa"/>
              <w:right w:w="0" w:type="dxa"/>
            </w:tcMar>
            <w:vAlign w:val="center"/>
          </w:tcPr>
          <w:p w14:paraId="6FDC02B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医院</w:t>
            </w:r>
          </w:p>
        </w:tc>
        <w:tc>
          <w:tcPr>
            <w:tcW w:w="434" w:type="pct"/>
            <w:tcBorders>
              <w:tl2br w:val="nil"/>
              <w:tr2bl w:val="nil"/>
            </w:tcBorders>
            <w:tcMar>
              <w:top w:w="0" w:type="dxa"/>
              <w:left w:w="0" w:type="dxa"/>
              <w:bottom w:w="0" w:type="dxa"/>
              <w:right w:w="0" w:type="dxa"/>
            </w:tcMar>
            <w:vAlign w:val="center"/>
          </w:tcPr>
          <w:p w14:paraId="3D4B0A7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1671490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034DCDD6">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NW</w:t>
            </w:r>
          </w:p>
        </w:tc>
        <w:tc>
          <w:tcPr>
            <w:tcW w:w="631" w:type="pct"/>
            <w:tcBorders>
              <w:tl2br w:val="nil"/>
              <w:tr2bl w:val="nil"/>
            </w:tcBorders>
            <w:tcMar>
              <w:top w:w="0" w:type="dxa"/>
              <w:left w:w="0" w:type="dxa"/>
              <w:bottom w:w="0" w:type="dxa"/>
              <w:right w:w="0" w:type="dxa"/>
            </w:tcMar>
            <w:vAlign w:val="center"/>
          </w:tcPr>
          <w:p w14:paraId="167017F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1980</w:t>
            </w:r>
          </w:p>
        </w:tc>
      </w:tr>
      <w:tr w14:paraId="099A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43EC6B1D">
            <w:pPr>
              <w:pStyle w:val="18"/>
              <w:adjustRightInd/>
              <w:spacing w:before="0" w:line="240" w:lineRule="auto"/>
              <w:ind w:left="0" w:right="0"/>
              <w:jc w:val="center"/>
              <w:rPr>
                <w:rFonts w:ascii="Times New Roman" w:hAnsi="Times New Roman" w:eastAsia="宋体" w:cs="Times New Roman"/>
                <w:bCs/>
                <w:color w:val="000000" w:themeColor="text1"/>
                <w:sz w:val="21"/>
                <w:szCs w:val="21"/>
                <w:lang w:bidi="ar"/>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33DD091B">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清丰县义和路小学</w:t>
            </w:r>
          </w:p>
        </w:tc>
        <w:tc>
          <w:tcPr>
            <w:tcW w:w="728" w:type="pct"/>
            <w:tcBorders>
              <w:tl2br w:val="nil"/>
              <w:tr2bl w:val="nil"/>
            </w:tcBorders>
            <w:tcMar>
              <w:top w:w="0" w:type="dxa"/>
              <w:left w:w="0" w:type="dxa"/>
              <w:bottom w:w="0" w:type="dxa"/>
              <w:right w:w="0" w:type="dxa"/>
            </w:tcMar>
            <w:vAlign w:val="center"/>
          </w:tcPr>
          <w:p w14:paraId="0D3E1D4F">
            <w:pPr>
              <w:widowControl/>
              <w:jc w:val="center"/>
              <w:textAlignment w:val="center"/>
              <w:rPr>
                <w:rFonts w:ascii="Times New Roman" w:hAnsi="Times New Roman" w:eastAsia="宋体" w:cs="Times New Roman"/>
                <w:bCs/>
                <w:color w:val="000000" w:themeColor="text1"/>
                <w:szCs w:val="21"/>
                <w:lang w:bidi="ar"/>
                <w14:textFill>
                  <w14:solidFill>
                    <w14:schemeClr w14:val="tx1"/>
                  </w14:solidFill>
                </w14:textFill>
              </w:rPr>
            </w:pPr>
            <w:r>
              <w:rPr>
                <w:rFonts w:ascii="Times New Roman" w:hAnsi="Times New Roman" w:eastAsia="宋体" w:cs="Times New Roman"/>
                <w:bCs/>
                <w:color w:val="000000" w:themeColor="text1"/>
                <w:szCs w:val="21"/>
                <w:lang w:bidi="ar"/>
                <w14:textFill>
                  <w14:solidFill>
                    <w14:schemeClr w14:val="tx1"/>
                  </w14:solidFill>
                </w14:textFill>
              </w:rPr>
              <w:t>115.1207327</w:t>
            </w:r>
          </w:p>
        </w:tc>
        <w:tc>
          <w:tcPr>
            <w:tcW w:w="717" w:type="pct"/>
            <w:tcBorders>
              <w:tl2br w:val="nil"/>
              <w:tr2bl w:val="nil"/>
            </w:tcBorders>
            <w:tcMar>
              <w:top w:w="0" w:type="dxa"/>
              <w:left w:w="0" w:type="dxa"/>
              <w:bottom w:w="0" w:type="dxa"/>
              <w:right w:w="0" w:type="dxa"/>
            </w:tcMar>
            <w:vAlign w:val="center"/>
          </w:tcPr>
          <w:p w14:paraId="16BAE198">
            <w:pPr>
              <w:widowControl/>
              <w:jc w:val="center"/>
              <w:textAlignment w:val="center"/>
              <w:rPr>
                <w:rFonts w:ascii="Times New Roman" w:hAnsi="Times New Roman" w:eastAsia="宋体" w:cs="Times New Roman"/>
                <w:bCs/>
                <w:color w:val="000000" w:themeColor="text1"/>
                <w:szCs w:val="21"/>
                <w:lang w:bidi="ar"/>
                <w14:textFill>
                  <w14:solidFill>
                    <w14:schemeClr w14:val="tx1"/>
                  </w14:solidFill>
                </w14:textFill>
              </w:rPr>
            </w:pPr>
            <w:r>
              <w:rPr>
                <w:rFonts w:ascii="Times New Roman" w:hAnsi="Times New Roman" w:eastAsia="宋体" w:cs="Times New Roman"/>
                <w:bCs/>
                <w:color w:val="000000" w:themeColor="text1"/>
                <w:szCs w:val="21"/>
                <w:lang w:bidi="ar"/>
                <w14:textFill>
                  <w14:solidFill>
                    <w14:schemeClr w14:val="tx1"/>
                  </w14:solidFill>
                </w14:textFill>
              </w:rPr>
              <w:t>35.8853472</w:t>
            </w:r>
          </w:p>
        </w:tc>
        <w:tc>
          <w:tcPr>
            <w:tcW w:w="436" w:type="pct"/>
            <w:tcBorders>
              <w:tl2br w:val="nil"/>
              <w:tr2bl w:val="nil"/>
            </w:tcBorders>
            <w:tcMar>
              <w:top w:w="0" w:type="dxa"/>
              <w:left w:w="0" w:type="dxa"/>
              <w:bottom w:w="0" w:type="dxa"/>
              <w:right w:w="0" w:type="dxa"/>
            </w:tcMar>
            <w:vAlign w:val="center"/>
          </w:tcPr>
          <w:p w14:paraId="535568A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学校</w:t>
            </w:r>
          </w:p>
        </w:tc>
        <w:tc>
          <w:tcPr>
            <w:tcW w:w="434" w:type="pct"/>
            <w:tcBorders>
              <w:tl2br w:val="nil"/>
              <w:tr2bl w:val="nil"/>
            </w:tcBorders>
            <w:tcMar>
              <w:top w:w="0" w:type="dxa"/>
              <w:left w:w="0" w:type="dxa"/>
              <w:bottom w:w="0" w:type="dxa"/>
              <w:right w:w="0" w:type="dxa"/>
            </w:tcMar>
            <w:vAlign w:val="center"/>
          </w:tcPr>
          <w:p w14:paraId="29EF18A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师生</w:t>
            </w:r>
          </w:p>
        </w:tc>
        <w:tc>
          <w:tcPr>
            <w:tcW w:w="492" w:type="pct"/>
            <w:tcBorders>
              <w:tl2br w:val="nil"/>
              <w:tr2bl w:val="nil"/>
            </w:tcBorders>
            <w:tcMar>
              <w:top w:w="0" w:type="dxa"/>
              <w:left w:w="0" w:type="dxa"/>
              <w:bottom w:w="0" w:type="dxa"/>
              <w:right w:w="0" w:type="dxa"/>
            </w:tcMar>
            <w:vAlign w:val="center"/>
          </w:tcPr>
          <w:p w14:paraId="78CF68F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1F23CA9B">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NW</w:t>
            </w:r>
          </w:p>
        </w:tc>
        <w:tc>
          <w:tcPr>
            <w:tcW w:w="631" w:type="pct"/>
            <w:tcBorders>
              <w:tl2br w:val="nil"/>
              <w:tr2bl w:val="nil"/>
            </w:tcBorders>
            <w:tcMar>
              <w:top w:w="0" w:type="dxa"/>
              <w:left w:w="0" w:type="dxa"/>
              <w:bottom w:w="0" w:type="dxa"/>
              <w:right w:w="0" w:type="dxa"/>
            </w:tcMar>
            <w:vAlign w:val="center"/>
          </w:tcPr>
          <w:p w14:paraId="0A98646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1665</w:t>
            </w:r>
          </w:p>
        </w:tc>
      </w:tr>
      <w:tr w14:paraId="7E28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0F335BD6">
            <w:pPr>
              <w:pStyle w:val="18"/>
              <w:adjustRightInd/>
              <w:spacing w:before="0" w:line="240" w:lineRule="auto"/>
              <w:ind w:left="0" w:right="0"/>
              <w:jc w:val="center"/>
              <w:rPr>
                <w:rFonts w:ascii="Times New Roman" w:hAnsi="Times New Roman" w:eastAsia="宋体" w:cs="Times New Roman"/>
                <w:bCs/>
                <w:color w:val="000000" w:themeColor="text1"/>
                <w:sz w:val="21"/>
                <w:szCs w:val="21"/>
                <w:lang w:bidi="ar"/>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7F3649C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清丰县公安局</w:t>
            </w:r>
          </w:p>
        </w:tc>
        <w:tc>
          <w:tcPr>
            <w:tcW w:w="728" w:type="pct"/>
            <w:tcBorders>
              <w:tl2br w:val="nil"/>
              <w:tr2bl w:val="nil"/>
            </w:tcBorders>
            <w:tcMar>
              <w:top w:w="0" w:type="dxa"/>
              <w:left w:w="0" w:type="dxa"/>
              <w:bottom w:w="0" w:type="dxa"/>
              <w:right w:w="0" w:type="dxa"/>
            </w:tcMar>
            <w:vAlign w:val="center"/>
          </w:tcPr>
          <w:p w14:paraId="032F1586">
            <w:pPr>
              <w:widowControl/>
              <w:jc w:val="center"/>
              <w:textAlignment w:val="center"/>
              <w:rPr>
                <w:rFonts w:ascii="Times New Roman" w:hAnsi="Times New Roman" w:eastAsia="宋体" w:cs="Times New Roman"/>
                <w:bCs/>
                <w:color w:val="000000" w:themeColor="text1"/>
                <w:szCs w:val="21"/>
                <w:lang w:bidi="ar"/>
                <w14:textFill>
                  <w14:solidFill>
                    <w14:schemeClr w14:val="tx1"/>
                  </w14:solidFill>
                </w14:textFill>
              </w:rPr>
            </w:pPr>
            <w:r>
              <w:rPr>
                <w:rFonts w:ascii="Times New Roman" w:hAnsi="Times New Roman" w:eastAsia="宋体" w:cs="Times New Roman"/>
                <w:bCs/>
                <w:color w:val="000000" w:themeColor="text1"/>
                <w:szCs w:val="21"/>
                <w:lang w:bidi="ar"/>
                <w14:textFill>
                  <w14:solidFill>
                    <w14:schemeClr w14:val="tx1"/>
                  </w14:solidFill>
                </w14:textFill>
              </w:rPr>
              <w:t>115.1206684</w:t>
            </w:r>
          </w:p>
        </w:tc>
        <w:tc>
          <w:tcPr>
            <w:tcW w:w="717" w:type="pct"/>
            <w:tcBorders>
              <w:tl2br w:val="nil"/>
              <w:tr2bl w:val="nil"/>
            </w:tcBorders>
            <w:tcMar>
              <w:top w:w="0" w:type="dxa"/>
              <w:left w:w="0" w:type="dxa"/>
              <w:bottom w:w="0" w:type="dxa"/>
              <w:right w:w="0" w:type="dxa"/>
            </w:tcMar>
            <w:vAlign w:val="center"/>
          </w:tcPr>
          <w:p w14:paraId="0DF9C56B">
            <w:pPr>
              <w:widowControl/>
              <w:jc w:val="center"/>
              <w:textAlignment w:val="center"/>
              <w:rPr>
                <w:rFonts w:ascii="Times New Roman" w:hAnsi="Times New Roman" w:eastAsia="宋体" w:cs="Times New Roman"/>
                <w:bCs/>
                <w:color w:val="000000" w:themeColor="text1"/>
                <w:szCs w:val="21"/>
                <w:lang w:bidi="ar"/>
                <w14:textFill>
                  <w14:solidFill>
                    <w14:schemeClr w14:val="tx1"/>
                  </w14:solidFill>
                </w14:textFill>
              </w:rPr>
            </w:pPr>
            <w:r>
              <w:rPr>
                <w:rFonts w:ascii="Times New Roman" w:hAnsi="Times New Roman" w:eastAsia="宋体" w:cs="Times New Roman"/>
                <w:bCs/>
                <w:color w:val="000000" w:themeColor="text1"/>
                <w:szCs w:val="21"/>
                <w:lang w:bidi="ar"/>
                <w14:textFill>
                  <w14:solidFill>
                    <w14:schemeClr w14:val="tx1"/>
                  </w14:solidFill>
                </w14:textFill>
              </w:rPr>
              <w:t>35.8836608</w:t>
            </w:r>
          </w:p>
        </w:tc>
        <w:tc>
          <w:tcPr>
            <w:tcW w:w="436" w:type="pct"/>
            <w:tcBorders>
              <w:tl2br w:val="nil"/>
              <w:tr2bl w:val="nil"/>
            </w:tcBorders>
            <w:tcMar>
              <w:top w:w="0" w:type="dxa"/>
              <w:left w:w="0" w:type="dxa"/>
              <w:bottom w:w="0" w:type="dxa"/>
              <w:right w:w="0" w:type="dxa"/>
            </w:tcMar>
            <w:vAlign w:val="center"/>
          </w:tcPr>
          <w:p w14:paraId="2EA0A17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行政办公</w:t>
            </w:r>
          </w:p>
        </w:tc>
        <w:tc>
          <w:tcPr>
            <w:tcW w:w="434" w:type="pct"/>
            <w:tcBorders>
              <w:tl2br w:val="nil"/>
              <w:tr2bl w:val="nil"/>
            </w:tcBorders>
            <w:tcMar>
              <w:top w:w="0" w:type="dxa"/>
              <w:left w:w="0" w:type="dxa"/>
              <w:bottom w:w="0" w:type="dxa"/>
              <w:right w:w="0" w:type="dxa"/>
            </w:tcMar>
            <w:vAlign w:val="center"/>
          </w:tcPr>
          <w:p w14:paraId="44B1742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55B2248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590C902B">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NW</w:t>
            </w:r>
          </w:p>
        </w:tc>
        <w:tc>
          <w:tcPr>
            <w:tcW w:w="631" w:type="pct"/>
            <w:tcBorders>
              <w:tl2br w:val="nil"/>
              <w:tr2bl w:val="nil"/>
            </w:tcBorders>
            <w:tcMar>
              <w:top w:w="0" w:type="dxa"/>
              <w:left w:w="0" w:type="dxa"/>
              <w:bottom w:w="0" w:type="dxa"/>
              <w:right w:w="0" w:type="dxa"/>
            </w:tcMar>
            <w:vAlign w:val="center"/>
          </w:tcPr>
          <w:p w14:paraId="4324DFF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1620</w:t>
            </w:r>
          </w:p>
        </w:tc>
      </w:tr>
      <w:tr w14:paraId="72E0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3163A465">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460C863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银河紫台</w:t>
            </w:r>
          </w:p>
        </w:tc>
        <w:tc>
          <w:tcPr>
            <w:tcW w:w="728" w:type="pct"/>
            <w:tcBorders>
              <w:tl2br w:val="nil"/>
              <w:tr2bl w:val="nil"/>
            </w:tcBorders>
            <w:tcMar>
              <w:top w:w="0" w:type="dxa"/>
              <w:left w:w="0" w:type="dxa"/>
              <w:bottom w:w="0" w:type="dxa"/>
              <w:right w:w="0" w:type="dxa"/>
            </w:tcMar>
            <w:vAlign w:val="center"/>
          </w:tcPr>
          <w:p w14:paraId="7DAFBD8D">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115.1229000</w:t>
            </w:r>
          </w:p>
        </w:tc>
        <w:tc>
          <w:tcPr>
            <w:tcW w:w="717" w:type="pct"/>
            <w:tcBorders>
              <w:tl2br w:val="nil"/>
              <w:tr2bl w:val="nil"/>
            </w:tcBorders>
            <w:tcMar>
              <w:top w:w="0" w:type="dxa"/>
              <w:left w:w="0" w:type="dxa"/>
              <w:bottom w:w="0" w:type="dxa"/>
              <w:right w:w="0" w:type="dxa"/>
            </w:tcMar>
            <w:vAlign w:val="center"/>
          </w:tcPr>
          <w:p w14:paraId="3637C5FF">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35.8842171</w:t>
            </w:r>
          </w:p>
        </w:tc>
        <w:tc>
          <w:tcPr>
            <w:tcW w:w="436" w:type="pct"/>
            <w:tcBorders>
              <w:tl2br w:val="nil"/>
              <w:tr2bl w:val="nil"/>
            </w:tcBorders>
            <w:tcMar>
              <w:top w:w="0" w:type="dxa"/>
              <w:left w:w="0" w:type="dxa"/>
              <w:bottom w:w="0" w:type="dxa"/>
              <w:right w:w="0" w:type="dxa"/>
            </w:tcMar>
            <w:vAlign w:val="center"/>
          </w:tcPr>
          <w:p w14:paraId="2AF867D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69A02DC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49643E6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7070FE9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w:t>
            </w:r>
          </w:p>
        </w:tc>
        <w:tc>
          <w:tcPr>
            <w:tcW w:w="631" w:type="pct"/>
            <w:tcBorders>
              <w:tl2br w:val="nil"/>
              <w:tr2bl w:val="nil"/>
            </w:tcBorders>
            <w:tcMar>
              <w:top w:w="0" w:type="dxa"/>
              <w:left w:w="0" w:type="dxa"/>
              <w:bottom w:w="0" w:type="dxa"/>
              <w:right w:w="0" w:type="dxa"/>
            </w:tcMar>
            <w:vAlign w:val="center"/>
          </w:tcPr>
          <w:p w14:paraId="1646A65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1400</w:t>
            </w:r>
          </w:p>
        </w:tc>
      </w:tr>
      <w:tr w14:paraId="3C2F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420BD8E8">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2C8B3BD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清丰建业城</w:t>
            </w:r>
          </w:p>
        </w:tc>
        <w:tc>
          <w:tcPr>
            <w:tcW w:w="728" w:type="pct"/>
            <w:tcBorders>
              <w:tl2br w:val="nil"/>
              <w:tr2bl w:val="nil"/>
            </w:tcBorders>
            <w:tcMar>
              <w:top w:w="0" w:type="dxa"/>
              <w:left w:w="0" w:type="dxa"/>
              <w:bottom w:w="0" w:type="dxa"/>
              <w:right w:w="0" w:type="dxa"/>
            </w:tcMar>
            <w:vAlign w:val="center"/>
          </w:tcPr>
          <w:p w14:paraId="3F850B61">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115.1195955</w:t>
            </w:r>
          </w:p>
        </w:tc>
        <w:tc>
          <w:tcPr>
            <w:tcW w:w="717" w:type="pct"/>
            <w:tcBorders>
              <w:tl2br w:val="nil"/>
              <w:tr2bl w:val="nil"/>
            </w:tcBorders>
            <w:tcMar>
              <w:top w:w="0" w:type="dxa"/>
              <w:left w:w="0" w:type="dxa"/>
              <w:bottom w:w="0" w:type="dxa"/>
              <w:right w:w="0" w:type="dxa"/>
            </w:tcMar>
            <w:vAlign w:val="center"/>
          </w:tcPr>
          <w:p w14:paraId="413275B5">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35.8814876</w:t>
            </w:r>
          </w:p>
        </w:tc>
        <w:tc>
          <w:tcPr>
            <w:tcW w:w="436" w:type="pct"/>
            <w:tcBorders>
              <w:tl2br w:val="nil"/>
              <w:tr2bl w:val="nil"/>
            </w:tcBorders>
            <w:tcMar>
              <w:top w:w="0" w:type="dxa"/>
              <w:left w:w="0" w:type="dxa"/>
              <w:bottom w:w="0" w:type="dxa"/>
              <w:right w:w="0" w:type="dxa"/>
            </w:tcMar>
            <w:vAlign w:val="center"/>
          </w:tcPr>
          <w:p w14:paraId="178C920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69F0376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4B42B55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5BD4AC8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w:t>
            </w:r>
          </w:p>
        </w:tc>
        <w:tc>
          <w:tcPr>
            <w:tcW w:w="631" w:type="pct"/>
            <w:tcBorders>
              <w:tl2br w:val="nil"/>
              <w:tr2bl w:val="nil"/>
            </w:tcBorders>
            <w:tcMar>
              <w:top w:w="0" w:type="dxa"/>
              <w:left w:w="0" w:type="dxa"/>
              <w:bottom w:w="0" w:type="dxa"/>
              <w:right w:w="0" w:type="dxa"/>
            </w:tcMar>
            <w:vAlign w:val="center"/>
          </w:tcPr>
          <w:p w14:paraId="4082B34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1485</w:t>
            </w:r>
          </w:p>
        </w:tc>
      </w:tr>
      <w:tr w14:paraId="4610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06ACDD18">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17F3855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碧桂园翡翠郡</w:t>
            </w:r>
          </w:p>
        </w:tc>
        <w:tc>
          <w:tcPr>
            <w:tcW w:w="728" w:type="pct"/>
            <w:tcBorders>
              <w:tl2br w:val="nil"/>
              <w:tr2bl w:val="nil"/>
            </w:tcBorders>
            <w:tcMar>
              <w:top w:w="0" w:type="dxa"/>
              <w:left w:w="0" w:type="dxa"/>
              <w:bottom w:w="0" w:type="dxa"/>
              <w:right w:w="0" w:type="dxa"/>
            </w:tcMar>
            <w:vAlign w:val="center"/>
          </w:tcPr>
          <w:p w14:paraId="13B485D7">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115.1200676</w:t>
            </w:r>
          </w:p>
        </w:tc>
        <w:tc>
          <w:tcPr>
            <w:tcW w:w="717" w:type="pct"/>
            <w:tcBorders>
              <w:tl2br w:val="nil"/>
              <w:tr2bl w:val="nil"/>
            </w:tcBorders>
            <w:tcMar>
              <w:top w:w="0" w:type="dxa"/>
              <w:left w:w="0" w:type="dxa"/>
              <w:bottom w:w="0" w:type="dxa"/>
              <w:right w:w="0" w:type="dxa"/>
            </w:tcMar>
            <w:vAlign w:val="center"/>
          </w:tcPr>
          <w:p w14:paraId="1C7ADAEC">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35.8776975</w:t>
            </w:r>
          </w:p>
        </w:tc>
        <w:tc>
          <w:tcPr>
            <w:tcW w:w="436" w:type="pct"/>
            <w:tcBorders>
              <w:tl2br w:val="nil"/>
              <w:tr2bl w:val="nil"/>
            </w:tcBorders>
            <w:tcMar>
              <w:top w:w="0" w:type="dxa"/>
              <w:left w:w="0" w:type="dxa"/>
              <w:bottom w:w="0" w:type="dxa"/>
              <w:right w:w="0" w:type="dxa"/>
            </w:tcMar>
            <w:vAlign w:val="center"/>
          </w:tcPr>
          <w:p w14:paraId="1C833E0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275FD29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06A7296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76FF4A1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w:t>
            </w:r>
          </w:p>
        </w:tc>
        <w:tc>
          <w:tcPr>
            <w:tcW w:w="631" w:type="pct"/>
            <w:tcBorders>
              <w:tl2br w:val="nil"/>
              <w:tr2bl w:val="nil"/>
            </w:tcBorders>
            <w:tcMar>
              <w:top w:w="0" w:type="dxa"/>
              <w:left w:w="0" w:type="dxa"/>
              <w:bottom w:w="0" w:type="dxa"/>
              <w:right w:w="0" w:type="dxa"/>
            </w:tcMar>
            <w:vAlign w:val="center"/>
          </w:tcPr>
          <w:p w14:paraId="778652D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1405</w:t>
            </w:r>
          </w:p>
        </w:tc>
      </w:tr>
      <w:tr w14:paraId="66E1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3F96F6C3">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1FB4C3D3">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书香世家</w:t>
            </w:r>
          </w:p>
        </w:tc>
        <w:tc>
          <w:tcPr>
            <w:tcW w:w="728" w:type="pct"/>
            <w:tcBorders>
              <w:tl2br w:val="nil"/>
              <w:tr2bl w:val="nil"/>
            </w:tcBorders>
            <w:tcMar>
              <w:top w:w="0" w:type="dxa"/>
              <w:left w:w="0" w:type="dxa"/>
              <w:bottom w:w="0" w:type="dxa"/>
              <w:right w:w="0" w:type="dxa"/>
            </w:tcMar>
            <w:vAlign w:val="center"/>
          </w:tcPr>
          <w:p w14:paraId="22506CE1">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115.1145529</w:t>
            </w:r>
          </w:p>
        </w:tc>
        <w:tc>
          <w:tcPr>
            <w:tcW w:w="717" w:type="pct"/>
            <w:tcBorders>
              <w:tl2br w:val="nil"/>
              <w:tr2bl w:val="nil"/>
            </w:tcBorders>
            <w:tcMar>
              <w:top w:w="0" w:type="dxa"/>
              <w:left w:w="0" w:type="dxa"/>
              <w:bottom w:w="0" w:type="dxa"/>
              <w:right w:w="0" w:type="dxa"/>
            </w:tcMar>
            <w:vAlign w:val="center"/>
          </w:tcPr>
          <w:p w14:paraId="2E50544C">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35.8755763</w:t>
            </w:r>
          </w:p>
        </w:tc>
        <w:tc>
          <w:tcPr>
            <w:tcW w:w="436" w:type="pct"/>
            <w:tcBorders>
              <w:tl2br w:val="nil"/>
              <w:tr2bl w:val="nil"/>
            </w:tcBorders>
            <w:tcMar>
              <w:top w:w="0" w:type="dxa"/>
              <w:left w:w="0" w:type="dxa"/>
              <w:bottom w:w="0" w:type="dxa"/>
              <w:right w:w="0" w:type="dxa"/>
            </w:tcMar>
            <w:vAlign w:val="center"/>
          </w:tcPr>
          <w:p w14:paraId="3410E2C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10350B6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42E403C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54EB956B">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SW</w:t>
            </w:r>
          </w:p>
        </w:tc>
        <w:tc>
          <w:tcPr>
            <w:tcW w:w="631" w:type="pct"/>
            <w:tcBorders>
              <w:tl2br w:val="nil"/>
              <w:tr2bl w:val="nil"/>
            </w:tcBorders>
            <w:tcMar>
              <w:top w:w="0" w:type="dxa"/>
              <w:left w:w="0" w:type="dxa"/>
              <w:bottom w:w="0" w:type="dxa"/>
              <w:right w:w="0" w:type="dxa"/>
            </w:tcMar>
            <w:vAlign w:val="center"/>
          </w:tcPr>
          <w:p w14:paraId="7535980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1908</w:t>
            </w:r>
          </w:p>
        </w:tc>
      </w:tr>
      <w:tr w14:paraId="08CF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798EF4D8">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3FADA27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冶都上和苑</w:t>
            </w:r>
          </w:p>
        </w:tc>
        <w:tc>
          <w:tcPr>
            <w:tcW w:w="728" w:type="pct"/>
            <w:tcBorders>
              <w:tl2br w:val="nil"/>
              <w:tr2bl w:val="nil"/>
            </w:tcBorders>
            <w:tcMar>
              <w:top w:w="0" w:type="dxa"/>
              <w:left w:w="0" w:type="dxa"/>
              <w:bottom w:w="0" w:type="dxa"/>
              <w:right w:w="0" w:type="dxa"/>
            </w:tcMar>
            <w:vAlign w:val="center"/>
          </w:tcPr>
          <w:p w14:paraId="7AD945FE">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115.1196813</w:t>
            </w:r>
          </w:p>
        </w:tc>
        <w:tc>
          <w:tcPr>
            <w:tcW w:w="717" w:type="pct"/>
            <w:tcBorders>
              <w:tl2br w:val="nil"/>
              <w:tr2bl w:val="nil"/>
            </w:tcBorders>
            <w:tcMar>
              <w:top w:w="0" w:type="dxa"/>
              <w:left w:w="0" w:type="dxa"/>
              <w:bottom w:w="0" w:type="dxa"/>
              <w:right w:w="0" w:type="dxa"/>
            </w:tcMar>
            <w:vAlign w:val="center"/>
          </w:tcPr>
          <w:p w14:paraId="0BBF9FE3">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35.8749330</w:t>
            </w:r>
          </w:p>
        </w:tc>
        <w:tc>
          <w:tcPr>
            <w:tcW w:w="436" w:type="pct"/>
            <w:tcBorders>
              <w:tl2br w:val="nil"/>
              <w:tr2bl w:val="nil"/>
            </w:tcBorders>
            <w:tcMar>
              <w:top w:w="0" w:type="dxa"/>
              <w:left w:w="0" w:type="dxa"/>
              <w:bottom w:w="0" w:type="dxa"/>
              <w:right w:w="0" w:type="dxa"/>
            </w:tcMar>
            <w:vAlign w:val="center"/>
          </w:tcPr>
          <w:p w14:paraId="2783295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31F7051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2E077B6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6147D77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SW</w:t>
            </w:r>
          </w:p>
        </w:tc>
        <w:tc>
          <w:tcPr>
            <w:tcW w:w="631" w:type="pct"/>
            <w:tcBorders>
              <w:tl2br w:val="nil"/>
              <w:tr2bl w:val="nil"/>
            </w:tcBorders>
            <w:tcMar>
              <w:top w:w="0" w:type="dxa"/>
              <w:left w:w="0" w:type="dxa"/>
              <w:bottom w:w="0" w:type="dxa"/>
              <w:right w:w="0" w:type="dxa"/>
            </w:tcMar>
            <w:vAlign w:val="center"/>
          </w:tcPr>
          <w:p w14:paraId="2F70F6E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445</w:t>
            </w:r>
          </w:p>
        </w:tc>
      </w:tr>
      <w:tr w14:paraId="36CC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tcBorders>
              <w:tl2br w:val="nil"/>
              <w:tr2bl w:val="nil"/>
            </w:tcBorders>
            <w:tcMar>
              <w:top w:w="0" w:type="dxa"/>
              <w:left w:w="0" w:type="dxa"/>
              <w:bottom w:w="0" w:type="dxa"/>
              <w:right w:w="0" w:type="dxa"/>
            </w:tcMar>
            <w:vAlign w:val="center"/>
          </w:tcPr>
          <w:p w14:paraId="140BE31E">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739A6447">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rPr>
              <w:t>清丰高级中学</w:t>
            </w:r>
          </w:p>
        </w:tc>
        <w:tc>
          <w:tcPr>
            <w:tcW w:w="728" w:type="pct"/>
            <w:tcBorders>
              <w:tl2br w:val="nil"/>
              <w:tr2bl w:val="nil"/>
            </w:tcBorders>
            <w:tcMar>
              <w:top w:w="0" w:type="dxa"/>
              <w:left w:w="0" w:type="dxa"/>
              <w:bottom w:w="0" w:type="dxa"/>
              <w:right w:w="0" w:type="dxa"/>
            </w:tcMar>
            <w:vAlign w:val="center"/>
          </w:tcPr>
          <w:p w14:paraId="09439E6E">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115.1126003</w:t>
            </w:r>
          </w:p>
        </w:tc>
        <w:tc>
          <w:tcPr>
            <w:tcW w:w="717" w:type="pct"/>
            <w:tcBorders>
              <w:tl2br w:val="nil"/>
              <w:tr2bl w:val="nil"/>
            </w:tcBorders>
            <w:tcMar>
              <w:top w:w="0" w:type="dxa"/>
              <w:left w:w="0" w:type="dxa"/>
              <w:bottom w:w="0" w:type="dxa"/>
              <w:right w:w="0" w:type="dxa"/>
            </w:tcMar>
            <w:vAlign w:val="center"/>
          </w:tcPr>
          <w:p w14:paraId="7E5AA72C">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35.8718032</w:t>
            </w:r>
          </w:p>
        </w:tc>
        <w:tc>
          <w:tcPr>
            <w:tcW w:w="436" w:type="pct"/>
            <w:tcBorders>
              <w:tl2br w:val="nil"/>
              <w:tr2bl w:val="nil"/>
            </w:tcBorders>
            <w:tcMar>
              <w:top w:w="0" w:type="dxa"/>
              <w:left w:w="0" w:type="dxa"/>
              <w:bottom w:w="0" w:type="dxa"/>
              <w:right w:w="0" w:type="dxa"/>
            </w:tcMar>
            <w:vAlign w:val="center"/>
          </w:tcPr>
          <w:p w14:paraId="67D2FBC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学校</w:t>
            </w:r>
          </w:p>
        </w:tc>
        <w:tc>
          <w:tcPr>
            <w:tcW w:w="434" w:type="pct"/>
            <w:tcBorders>
              <w:tl2br w:val="nil"/>
              <w:tr2bl w:val="nil"/>
            </w:tcBorders>
            <w:tcMar>
              <w:top w:w="0" w:type="dxa"/>
              <w:left w:w="0" w:type="dxa"/>
              <w:bottom w:w="0" w:type="dxa"/>
              <w:right w:w="0" w:type="dxa"/>
            </w:tcMar>
            <w:vAlign w:val="center"/>
          </w:tcPr>
          <w:p w14:paraId="0CF317F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师生</w:t>
            </w:r>
          </w:p>
        </w:tc>
        <w:tc>
          <w:tcPr>
            <w:tcW w:w="492" w:type="pct"/>
            <w:tcBorders>
              <w:tl2br w:val="nil"/>
              <w:tr2bl w:val="nil"/>
            </w:tcBorders>
            <w:tcMar>
              <w:top w:w="0" w:type="dxa"/>
              <w:left w:w="0" w:type="dxa"/>
              <w:bottom w:w="0" w:type="dxa"/>
              <w:right w:w="0" w:type="dxa"/>
            </w:tcMar>
            <w:vAlign w:val="center"/>
          </w:tcPr>
          <w:p w14:paraId="3C93912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2BA5A80E">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SW</w:t>
            </w:r>
          </w:p>
        </w:tc>
        <w:tc>
          <w:tcPr>
            <w:tcW w:w="631" w:type="pct"/>
            <w:tcBorders>
              <w:tl2br w:val="nil"/>
              <w:tr2bl w:val="nil"/>
            </w:tcBorders>
            <w:tcMar>
              <w:top w:w="0" w:type="dxa"/>
              <w:left w:w="0" w:type="dxa"/>
              <w:bottom w:w="0" w:type="dxa"/>
              <w:right w:w="0" w:type="dxa"/>
            </w:tcMar>
            <w:vAlign w:val="center"/>
          </w:tcPr>
          <w:p w14:paraId="773A4E0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2023</w:t>
            </w:r>
          </w:p>
        </w:tc>
      </w:tr>
      <w:tr w14:paraId="04A6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1EF0AF77">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0AF6566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西赵店村</w:t>
            </w:r>
          </w:p>
        </w:tc>
        <w:tc>
          <w:tcPr>
            <w:tcW w:w="728" w:type="pct"/>
            <w:tcBorders>
              <w:tl2br w:val="nil"/>
              <w:tr2bl w:val="nil"/>
            </w:tcBorders>
            <w:tcMar>
              <w:top w:w="0" w:type="dxa"/>
              <w:left w:w="0" w:type="dxa"/>
              <w:bottom w:w="0" w:type="dxa"/>
              <w:right w:w="0" w:type="dxa"/>
            </w:tcMar>
            <w:vAlign w:val="center"/>
          </w:tcPr>
          <w:p w14:paraId="71E4CAA6">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115.1244878</w:t>
            </w:r>
          </w:p>
        </w:tc>
        <w:tc>
          <w:tcPr>
            <w:tcW w:w="717" w:type="pct"/>
            <w:tcBorders>
              <w:tl2br w:val="nil"/>
              <w:tr2bl w:val="nil"/>
            </w:tcBorders>
            <w:tcMar>
              <w:top w:w="0" w:type="dxa"/>
              <w:left w:w="0" w:type="dxa"/>
              <w:bottom w:w="0" w:type="dxa"/>
              <w:right w:w="0" w:type="dxa"/>
            </w:tcMar>
            <w:vAlign w:val="center"/>
          </w:tcPr>
          <w:p w14:paraId="4447F7BF">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35.8687951</w:t>
            </w:r>
          </w:p>
        </w:tc>
        <w:tc>
          <w:tcPr>
            <w:tcW w:w="436" w:type="pct"/>
            <w:tcBorders>
              <w:tl2br w:val="nil"/>
              <w:tr2bl w:val="nil"/>
            </w:tcBorders>
            <w:tcMar>
              <w:top w:w="0" w:type="dxa"/>
              <w:left w:w="0" w:type="dxa"/>
              <w:bottom w:w="0" w:type="dxa"/>
              <w:right w:w="0" w:type="dxa"/>
            </w:tcMar>
            <w:vAlign w:val="center"/>
          </w:tcPr>
          <w:p w14:paraId="1A908F0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6B525D7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4AF8081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49F1A21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SW</w:t>
            </w:r>
          </w:p>
        </w:tc>
        <w:tc>
          <w:tcPr>
            <w:tcW w:w="631" w:type="pct"/>
            <w:tcBorders>
              <w:tl2br w:val="nil"/>
              <w:tr2bl w:val="nil"/>
            </w:tcBorders>
            <w:tcMar>
              <w:top w:w="0" w:type="dxa"/>
              <w:left w:w="0" w:type="dxa"/>
              <w:bottom w:w="0" w:type="dxa"/>
              <w:right w:w="0" w:type="dxa"/>
            </w:tcMar>
            <w:vAlign w:val="center"/>
          </w:tcPr>
          <w:p w14:paraId="1B35125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1294</w:t>
            </w:r>
          </w:p>
        </w:tc>
      </w:tr>
      <w:tr w14:paraId="2181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68C735D9">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51C02BCC">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申屯村</w:t>
            </w:r>
          </w:p>
        </w:tc>
        <w:tc>
          <w:tcPr>
            <w:tcW w:w="728" w:type="pct"/>
            <w:tcBorders>
              <w:tl2br w:val="nil"/>
              <w:tr2bl w:val="nil"/>
            </w:tcBorders>
            <w:tcMar>
              <w:top w:w="0" w:type="dxa"/>
              <w:left w:w="0" w:type="dxa"/>
              <w:bottom w:w="0" w:type="dxa"/>
              <w:right w:w="0" w:type="dxa"/>
            </w:tcMar>
            <w:vAlign w:val="center"/>
          </w:tcPr>
          <w:p w14:paraId="671B7084">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115.1462459</w:t>
            </w:r>
          </w:p>
        </w:tc>
        <w:tc>
          <w:tcPr>
            <w:tcW w:w="717" w:type="pct"/>
            <w:tcBorders>
              <w:tl2br w:val="nil"/>
              <w:tr2bl w:val="nil"/>
            </w:tcBorders>
            <w:tcMar>
              <w:top w:w="0" w:type="dxa"/>
              <w:left w:w="0" w:type="dxa"/>
              <w:bottom w:w="0" w:type="dxa"/>
              <w:right w:w="0" w:type="dxa"/>
            </w:tcMar>
            <w:vAlign w:val="center"/>
          </w:tcPr>
          <w:p w14:paraId="15DA80F1">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35.8959338</w:t>
            </w:r>
          </w:p>
        </w:tc>
        <w:tc>
          <w:tcPr>
            <w:tcW w:w="436" w:type="pct"/>
            <w:tcBorders>
              <w:tl2br w:val="nil"/>
              <w:tr2bl w:val="nil"/>
            </w:tcBorders>
            <w:tcMar>
              <w:top w:w="0" w:type="dxa"/>
              <w:left w:w="0" w:type="dxa"/>
              <w:bottom w:w="0" w:type="dxa"/>
              <w:right w:w="0" w:type="dxa"/>
            </w:tcMar>
            <w:vAlign w:val="center"/>
          </w:tcPr>
          <w:p w14:paraId="3C7A7C3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0E585B5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0EA5A5B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3AD39ADE">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NE</w:t>
            </w:r>
          </w:p>
        </w:tc>
        <w:tc>
          <w:tcPr>
            <w:tcW w:w="631" w:type="pct"/>
            <w:tcBorders>
              <w:tl2br w:val="nil"/>
              <w:tr2bl w:val="nil"/>
            </w:tcBorders>
            <w:tcMar>
              <w:top w:w="0" w:type="dxa"/>
              <w:left w:w="0" w:type="dxa"/>
              <w:bottom w:w="0" w:type="dxa"/>
              <w:right w:w="0" w:type="dxa"/>
            </w:tcMar>
            <w:vAlign w:val="center"/>
          </w:tcPr>
          <w:p w14:paraId="64C5E70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2035</w:t>
            </w:r>
          </w:p>
        </w:tc>
      </w:tr>
      <w:tr w14:paraId="1637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1BB51765">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38173A5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杨拐村</w:t>
            </w:r>
          </w:p>
        </w:tc>
        <w:tc>
          <w:tcPr>
            <w:tcW w:w="728" w:type="pct"/>
            <w:tcBorders>
              <w:tl2br w:val="nil"/>
              <w:tr2bl w:val="nil"/>
            </w:tcBorders>
            <w:tcMar>
              <w:top w:w="0" w:type="dxa"/>
              <w:left w:w="0" w:type="dxa"/>
              <w:bottom w:w="0" w:type="dxa"/>
              <w:right w:w="0" w:type="dxa"/>
            </w:tcMar>
            <w:vAlign w:val="center"/>
          </w:tcPr>
          <w:p w14:paraId="12C6B17D">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115.1500225</w:t>
            </w:r>
          </w:p>
        </w:tc>
        <w:tc>
          <w:tcPr>
            <w:tcW w:w="717" w:type="pct"/>
            <w:tcBorders>
              <w:tl2br w:val="nil"/>
              <w:tr2bl w:val="nil"/>
            </w:tcBorders>
            <w:tcMar>
              <w:top w:w="0" w:type="dxa"/>
              <w:left w:w="0" w:type="dxa"/>
              <w:bottom w:w="0" w:type="dxa"/>
              <w:right w:w="0" w:type="dxa"/>
            </w:tcMar>
            <w:vAlign w:val="center"/>
          </w:tcPr>
          <w:p w14:paraId="44D94AD5">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35.8932916</w:t>
            </w:r>
          </w:p>
        </w:tc>
        <w:tc>
          <w:tcPr>
            <w:tcW w:w="436" w:type="pct"/>
            <w:tcBorders>
              <w:tl2br w:val="nil"/>
              <w:tr2bl w:val="nil"/>
            </w:tcBorders>
            <w:tcMar>
              <w:top w:w="0" w:type="dxa"/>
              <w:left w:w="0" w:type="dxa"/>
              <w:bottom w:w="0" w:type="dxa"/>
              <w:right w:w="0" w:type="dxa"/>
            </w:tcMar>
            <w:vAlign w:val="center"/>
          </w:tcPr>
          <w:p w14:paraId="1F5E26A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6B476CA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1C4898D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48CDA900">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NE</w:t>
            </w:r>
          </w:p>
        </w:tc>
        <w:tc>
          <w:tcPr>
            <w:tcW w:w="631" w:type="pct"/>
            <w:tcBorders>
              <w:tl2br w:val="nil"/>
              <w:tr2bl w:val="nil"/>
            </w:tcBorders>
            <w:tcMar>
              <w:top w:w="0" w:type="dxa"/>
              <w:left w:w="0" w:type="dxa"/>
              <w:bottom w:w="0" w:type="dxa"/>
              <w:right w:w="0" w:type="dxa"/>
            </w:tcMar>
            <w:vAlign w:val="center"/>
          </w:tcPr>
          <w:p w14:paraId="0C79528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1818</w:t>
            </w:r>
          </w:p>
        </w:tc>
      </w:tr>
      <w:tr w14:paraId="3517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6D0AA92F">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4E95D00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田朱楼村</w:t>
            </w:r>
          </w:p>
        </w:tc>
        <w:tc>
          <w:tcPr>
            <w:tcW w:w="728" w:type="pct"/>
            <w:tcBorders>
              <w:tl2br w:val="nil"/>
              <w:tr2bl w:val="nil"/>
            </w:tcBorders>
            <w:tcMar>
              <w:top w:w="0" w:type="dxa"/>
              <w:left w:w="0" w:type="dxa"/>
              <w:bottom w:w="0" w:type="dxa"/>
              <w:right w:w="0" w:type="dxa"/>
            </w:tcMar>
            <w:vAlign w:val="center"/>
          </w:tcPr>
          <w:p w14:paraId="74BE3AEF">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115.1580905</w:t>
            </w:r>
          </w:p>
        </w:tc>
        <w:tc>
          <w:tcPr>
            <w:tcW w:w="717" w:type="pct"/>
            <w:tcBorders>
              <w:tl2br w:val="nil"/>
              <w:tr2bl w:val="nil"/>
            </w:tcBorders>
            <w:tcMar>
              <w:top w:w="0" w:type="dxa"/>
              <w:left w:w="0" w:type="dxa"/>
              <w:bottom w:w="0" w:type="dxa"/>
              <w:right w:w="0" w:type="dxa"/>
            </w:tcMar>
            <w:vAlign w:val="center"/>
          </w:tcPr>
          <w:p w14:paraId="341F9999">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35.8903017</w:t>
            </w:r>
          </w:p>
        </w:tc>
        <w:tc>
          <w:tcPr>
            <w:tcW w:w="436" w:type="pct"/>
            <w:tcBorders>
              <w:tl2br w:val="nil"/>
              <w:tr2bl w:val="nil"/>
            </w:tcBorders>
            <w:tcMar>
              <w:top w:w="0" w:type="dxa"/>
              <w:left w:w="0" w:type="dxa"/>
              <w:bottom w:w="0" w:type="dxa"/>
              <w:right w:w="0" w:type="dxa"/>
            </w:tcMar>
            <w:vAlign w:val="center"/>
          </w:tcPr>
          <w:p w14:paraId="1BD1C33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6FD8033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570A9D3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527DCC7E">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NE</w:t>
            </w:r>
          </w:p>
        </w:tc>
        <w:tc>
          <w:tcPr>
            <w:tcW w:w="631" w:type="pct"/>
            <w:tcBorders>
              <w:tl2br w:val="nil"/>
              <w:tr2bl w:val="nil"/>
            </w:tcBorders>
            <w:tcMar>
              <w:top w:w="0" w:type="dxa"/>
              <w:left w:w="0" w:type="dxa"/>
              <w:bottom w:w="0" w:type="dxa"/>
              <w:right w:w="0" w:type="dxa"/>
            </w:tcMar>
            <w:vAlign w:val="center"/>
          </w:tcPr>
          <w:p w14:paraId="2EE6599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2000</w:t>
            </w:r>
          </w:p>
        </w:tc>
      </w:tr>
      <w:tr w14:paraId="0DF9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322" w:type="pct"/>
            <w:vMerge w:val="continue"/>
            <w:tcBorders>
              <w:tl2br w:val="nil"/>
              <w:tr2bl w:val="nil"/>
            </w:tcBorders>
            <w:tcMar>
              <w:top w:w="0" w:type="dxa"/>
              <w:left w:w="0" w:type="dxa"/>
              <w:bottom w:w="0" w:type="dxa"/>
              <w:right w:w="0" w:type="dxa"/>
            </w:tcMar>
            <w:vAlign w:val="center"/>
          </w:tcPr>
          <w:p w14:paraId="3F3E1DBB">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574B197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八里庄村</w:t>
            </w:r>
          </w:p>
        </w:tc>
        <w:tc>
          <w:tcPr>
            <w:tcW w:w="728" w:type="pct"/>
            <w:tcBorders>
              <w:tl2br w:val="nil"/>
              <w:tr2bl w:val="nil"/>
            </w:tcBorders>
            <w:tcMar>
              <w:top w:w="0" w:type="dxa"/>
              <w:left w:w="0" w:type="dxa"/>
              <w:bottom w:w="0" w:type="dxa"/>
              <w:right w:w="0" w:type="dxa"/>
            </w:tcMar>
            <w:vAlign w:val="center"/>
          </w:tcPr>
          <w:p w14:paraId="588D0CB8">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115.1515674</w:t>
            </w:r>
          </w:p>
        </w:tc>
        <w:tc>
          <w:tcPr>
            <w:tcW w:w="717" w:type="pct"/>
            <w:tcBorders>
              <w:tl2br w:val="nil"/>
              <w:tr2bl w:val="nil"/>
            </w:tcBorders>
            <w:tcMar>
              <w:top w:w="0" w:type="dxa"/>
              <w:left w:w="0" w:type="dxa"/>
              <w:bottom w:w="0" w:type="dxa"/>
              <w:right w:w="0" w:type="dxa"/>
            </w:tcMar>
            <w:vAlign w:val="center"/>
          </w:tcPr>
          <w:p w14:paraId="24B35C45">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35.8836260</w:t>
            </w:r>
          </w:p>
        </w:tc>
        <w:tc>
          <w:tcPr>
            <w:tcW w:w="436" w:type="pct"/>
            <w:tcBorders>
              <w:tl2br w:val="nil"/>
              <w:tr2bl w:val="nil"/>
            </w:tcBorders>
            <w:tcMar>
              <w:top w:w="0" w:type="dxa"/>
              <w:left w:w="0" w:type="dxa"/>
              <w:bottom w:w="0" w:type="dxa"/>
              <w:right w:w="0" w:type="dxa"/>
            </w:tcMar>
            <w:vAlign w:val="center"/>
          </w:tcPr>
          <w:p w14:paraId="4F1EE51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456D641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78C79F7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725BFF5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NE</w:t>
            </w:r>
          </w:p>
        </w:tc>
        <w:tc>
          <w:tcPr>
            <w:tcW w:w="631" w:type="pct"/>
            <w:tcBorders>
              <w:tl2br w:val="nil"/>
              <w:tr2bl w:val="nil"/>
            </w:tcBorders>
            <w:tcMar>
              <w:top w:w="0" w:type="dxa"/>
              <w:left w:w="0" w:type="dxa"/>
              <w:bottom w:w="0" w:type="dxa"/>
              <w:right w:w="0" w:type="dxa"/>
            </w:tcMar>
            <w:vAlign w:val="center"/>
          </w:tcPr>
          <w:p w14:paraId="58ED073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1045</w:t>
            </w:r>
          </w:p>
        </w:tc>
      </w:tr>
      <w:tr w14:paraId="2F87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47AB8CD8">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2AFFAEA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骆家村</w:t>
            </w:r>
          </w:p>
        </w:tc>
        <w:tc>
          <w:tcPr>
            <w:tcW w:w="728" w:type="pct"/>
            <w:tcBorders>
              <w:tl2br w:val="nil"/>
              <w:tr2bl w:val="nil"/>
            </w:tcBorders>
            <w:tcMar>
              <w:top w:w="0" w:type="dxa"/>
              <w:left w:w="0" w:type="dxa"/>
              <w:bottom w:w="0" w:type="dxa"/>
              <w:right w:w="0" w:type="dxa"/>
            </w:tcMar>
            <w:vAlign w:val="center"/>
          </w:tcPr>
          <w:p w14:paraId="1E3E78AB">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115.1460743</w:t>
            </w:r>
          </w:p>
        </w:tc>
        <w:tc>
          <w:tcPr>
            <w:tcW w:w="717" w:type="pct"/>
            <w:tcBorders>
              <w:tl2br w:val="nil"/>
              <w:tr2bl w:val="nil"/>
            </w:tcBorders>
            <w:tcMar>
              <w:top w:w="0" w:type="dxa"/>
              <w:left w:w="0" w:type="dxa"/>
              <w:bottom w:w="0" w:type="dxa"/>
              <w:right w:w="0" w:type="dxa"/>
            </w:tcMar>
            <w:vAlign w:val="center"/>
          </w:tcPr>
          <w:p w14:paraId="3C519B9C">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35.8785494</w:t>
            </w:r>
          </w:p>
        </w:tc>
        <w:tc>
          <w:tcPr>
            <w:tcW w:w="436" w:type="pct"/>
            <w:tcBorders>
              <w:tl2br w:val="nil"/>
              <w:tr2bl w:val="nil"/>
            </w:tcBorders>
            <w:tcMar>
              <w:top w:w="0" w:type="dxa"/>
              <w:left w:w="0" w:type="dxa"/>
              <w:bottom w:w="0" w:type="dxa"/>
              <w:right w:w="0" w:type="dxa"/>
            </w:tcMar>
            <w:vAlign w:val="center"/>
          </w:tcPr>
          <w:p w14:paraId="592DFFC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6A36CCF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3C24234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760FF85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NE</w:t>
            </w:r>
          </w:p>
        </w:tc>
        <w:tc>
          <w:tcPr>
            <w:tcW w:w="631" w:type="pct"/>
            <w:tcBorders>
              <w:tl2br w:val="nil"/>
              <w:tr2bl w:val="nil"/>
            </w:tcBorders>
            <w:tcMar>
              <w:top w:w="0" w:type="dxa"/>
              <w:left w:w="0" w:type="dxa"/>
              <w:bottom w:w="0" w:type="dxa"/>
              <w:right w:w="0" w:type="dxa"/>
            </w:tcMar>
            <w:vAlign w:val="center"/>
          </w:tcPr>
          <w:p w14:paraId="316FAD1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197</w:t>
            </w:r>
          </w:p>
        </w:tc>
      </w:tr>
      <w:tr w14:paraId="67F6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22" w:type="pct"/>
            <w:vMerge w:val="continue"/>
            <w:tcBorders>
              <w:tl2br w:val="nil"/>
              <w:tr2bl w:val="nil"/>
            </w:tcBorders>
            <w:tcMar>
              <w:top w:w="0" w:type="dxa"/>
              <w:left w:w="0" w:type="dxa"/>
              <w:bottom w:w="0" w:type="dxa"/>
              <w:right w:w="0" w:type="dxa"/>
            </w:tcMar>
            <w:vAlign w:val="center"/>
          </w:tcPr>
          <w:p w14:paraId="6E04D711">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71AEA41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卞家村</w:t>
            </w:r>
          </w:p>
        </w:tc>
        <w:tc>
          <w:tcPr>
            <w:tcW w:w="728" w:type="pct"/>
            <w:tcBorders>
              <w:tl2br w:val="nil"/>
              <w:tr2bl w:val="nil"/>
            </w:tcBorders>
            <w:tcMar>
              <w:top w:w="0" w:type="dxa"/>
              <w:left w:w="0" w:type="dxa"/>
              <w:bottom w:w="0" w:type="dxa"/>
              <w:right w:w="0" w:type="dxa"/>
            </w:tcMar>
            <w:vAlign w:val="center"/>
          </w:tcPr>
          <w:p w14:paraId="3DEBAC8C">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115.1573181</w:t>
            </w:r>
          </w:p>
        </w:tc>
        <w:tc>
          <w:tcPr>
            <w:tcW w:w="717" w:type="pct"/>
            <w:tcBorders>
              <w:tl2br w:val="nil"/>
              <w:tr2bl w:val="nil"/>
            </w:tcBorders>
            <w:tcMar>
              <w:top w:w="0" w:type="dxa"/>
              <w:left w:w="0" w:type="dxa"/>
              <w:bottom w:w="0" w:type="dxa"/>
              <w:right w:w="0" w:type="dxa"/>
            </w:tcMar>
            <w:vAlign w:val="center"/>
          </w:tcPr>
          <w:p w14:paraId="6AE109A6">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35.8692993</w:t>
            </w:r>
          </w:p>
        </w:tc>
        <w:tc>
          <w:tcPr>
            <w:tcW w:w="436" w:type="pct"/>
            <w:tcBorders>
              <w:tl2br w:val="nil"/>
              <w:tr2bl w:val="nil"/>
            </w:tcBorders>
            <w:tcMar>
              <w:top w:w="0" w:type="dxa"/>
              <w:left w:w="0" w:type="dxa"/>
              <w:bottom w:w="0" w:type="dxa"/>
              <w:right w:w="0" w:type="dxa"/>
            </w:tcMar>
            <w:vAlign w:val="center"/>
          </w:tcPr>
          <w:p w14:paraId="650637D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268B4B0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17A531C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1E3F080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SE</w:t>
            </w:r>
          </w:p>
        </w:tc>
        <w:tc>
          <w:tcPr>
            <w:tcW w:w="631" w:type="pct"/>
            <w:tcBorders>
              <w:tl2br w:val="nil"/>
              <w:tr2bl w:val="nil"/>
            </w:tcBorders>
            <w:tcMar>
              <w:top w:w="0" w:type="dxa"/>
              <w:left w:w="0" w:type="dxa"/>
              <w:bottom w:w="0" w:type="dxa"/>
              <w:right w:w="0" w:type="dxa"/>
            </w:tcMar>
            <w:vAlign w:val="center"/>
          </w:tcPr>
          <w:p w14:paraId="6D8D38D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1430</w:t>
            </w:r>
          </w:p>
        </w:tc>
      </w:tr>
      <w:tr w14:paraId="1C39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vMerge w:val="continue"/>
            <w:tcBorders>
              <w:tl2br w:val="nil"/>
              <w:tr2bl w:val="nil"/>
            </w:tcBorders>
            <w:tcMar>
              <w:top w:w="0" w:type="dxa"/>
              <w:left w:w="0" w:type="dxa"/>
              <w:bottom w:w="0" w:type="dxa"/>
              <w:right w:w="0" w:type="dxa"/>
            </w:tcMar>
            <w:vAlign w:val="center"/>
          </w:tcPr>
          <w:p w14:paraId="4ACFFA1B">
            <w:pPr>
              <w:jc w:val="center"/>
              <w:rPr>
                <w:rFonts w:ascii="Times New Roman" w:hAnsi="Times New Roman" w:eastAsia="宋体" w:cs="Times New Roman"/>
                <w:color w:val="000000" w:themeColor="text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0A4F47E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殷家村</w:t>
            </w:r>
          </w:p>
        </w:tc>
        <w:tc>
          <w:tcPr>
            <w:tcW w:w="728" w:type="pct"/>
            <w:tcBorders>
              <w:tl2br w:val="nil"/>
              <w:tr2bl w:val="nil"/>
            </w:tcBorders>
            <w:tcMar>
              <w:top w:w="0" w:type="dxa"/>
              <w:left w:w="0" w:type="dxa"/>
              <w:bottom w:w="0" w:type="dxa"/>
              <w:right w:w="0" w:type="dxa"/>
            </w:tcMar>
            <w:vAlign w:val="center"/>
          </w:tcPr>
          <w:p w14:paraId="4132AEE1">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115.1557731</w:t>
            </w:r>
          </w:p>
        </w:tc>
        <w:tc>
          <w:tcPr>
            <w:tcW w:w="717" w:type="pct"/>
            <w:tcBorders>
              <w:tl2br w:val="nil"/>
              <w:tr2bl w:val="nil"/>
            </w:tcBorders>
            <w:tcMar>
              <w:top w:w="0" w:type="dxa"/>
              <w:left w:w="0" w:type="dxa"/>
              <w:bottom w:w="0" w:type="dxa"/>
              <w:right w:w="0" w:type="dxa"/>
            </w:tcMar>
            <w:vAlign w:val="center"/>
          </w:tcPr>
          <w:p w14:paraId="7F4DBE61">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35.8629697</w:t>
            </w:r>
          </w:p>
        </w:tc>
        <w:tc>
          <w:tcPr>
            <w:tcW w:w="436" w:type="pct"/>
            <w:tcBorders>
              <w:tl2br w:val="nil"/>
              <w:tr2bl w:val="nil"/>
            </w:tcBorders>
            <w:tcMar>
              <w:top w:w="0" w:type="dxa"/>
              <w:left w:w="0" w:type="dxa"/>
              <w:bottom w:w="0" w:type="dxa"/>
              <w:right w:w="0" w:type="dxa"/>
            </w:tcMar>
            <w:vAlign w:val="center"/>
          </w:tcPr>
          <w:p w14:paraId="3511389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5DA748A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42B803E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61E14C0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SE</w:t>
            </w:r>
          </w:p>
        </w:tc>
        <w:tc>
          <w:tcPr>
            <w:tcW w:w="631" w:type="pct"/>
            <w:tcBorders>
              <w:tl2br w:val="nil"/>
              <w:tr2bl w:val="nil"/>
            </w:tcBorders>
            <w:tcMar>
              <w:top w:w="0" w:type="dxa"/>
              <w:left w:w="0" w:type="dxa"/>
              <w:bottom w:w="0" w:type="dxa"/>
              <w:right w:w="0" w:type="dxa"/>
            </w:tcMar>
            <w:vAlign w:val="center"/>
          </w:tcPr>
          <w:p w14:paraId="0915032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1925</w:t>
            </w:r>
          </w:p>
        </w:tc>
      </w:tr>
      <w:tr w14:paraId="6DBF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22" w:type="pct"/>
            <w:vMerge w:val="continue"/>
            <w:tcBorders>
              <w:tl2br w:val="nil"/>
              <w:tr2bl w:val="nil"/>
            </w:tcBorders>
            <w:tcMar>
              <w:top w:w="0" w:type="dxa"/>
              <w:left w:w="0" w:type="dxa"/>
              <w:bottom w:w="0" w:type="dxa"/>
              <w:right w:w="0" w:type="dxa"/>
            </w:tcMar>
            <w:vAlign w:val="center"/>
          </w:tcPr>
          <w:p w14:paraId="61D879CF">
            <w:pPr>
              <w:jc w:val="center"/>
              <w:rPr>
                <w:rFonts w:ascii="Times New Roman" w:hAnsi="Times New Roman" w:eastAsia="宋体" w:cs="Times New Roman"/>
                <w:color w:val="000000" w:themeColor="text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0B42464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怡园风景</w:t>
            </w:r>
          </w:p>
        </w:tc>
        <w:tc>
          <w:tcPr>
            <w:tcW w:w="728" w:type="pct"/>
            <w:tcBorders>
              <w:tl2br w:val="nil"/>
              <w:tr2bl w:val="nil"/>
            </w:tcBorders>
            <w:tcMar>
              <w:top w:w="0" w:type="dxa"/>
              <w:left w:w="0" w:type="dxa"/>
              <w:bottom w:w="0" w:type="dxa"/>
              <w:right w:w="0" w:type="dxa"/>
            </w:tcMar>
            <w:vAlign w:val="center"/>
          </w:tcPr>
          <w:p w14:paraId="42DBAAE7">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115.1186728</w:t>
            </w:r>
          </w:p>
        </w:tc>
        <w:tc>
          <w:tcPr>
            <w:tcW w:w="717" w:type="pct"/>
            <w:tcBorders>
              <w:tl2br w:val="nil"/>
              <w:tr2bl w:val="nil"/>
            </w:tcBorders>
            <w:tcMar>
              <w:top w:w="0" w:type="dxa"/>
              <w:left w:w="0" w:type="dxa"/>
              <w:bottom w:w="0" w:type="dxa"/>
              <w:right w:w="0" w:type="dxa"/>
            </w:tcMar>
            <w:vAlign w:val="center"/>
          </w:tcPr>
          <w:p w14:paraId="0E7C4EC9">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35.8847561</w:t>
            </w:r>
          </w:p>
        </w:tc>
        <w:tc>
          <w:tcPr>
            <w:tcW w:w="436" w:type="pct"/>
            <w:tcBorders>
              <w:tl2br w:val="nil"/>
              <w:tr2bl w:val="nil"/>
            </w:tcBorders>
            <w:tcMar>
              <w:top w:w="0" w:type="dxa"/>
              <w:left w:w="0" w:type="dxa"/>
              <w:bottom w:w="0" w:type="dxa"/>
              <w:right w:w="0" w:type="dxa"/>
            </w:tcMar>
            <w:vAlign w:val="center"/>
          </w:tcPr>
          <w:p w14:paraId="45D27C0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58BE55A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666E1AE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386801A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w:t>
            </w:r>
          </w:p>
        </w:tc>
        <w:tc>
          <w:tcPr>
            <w:tcW w:w="631" w:type="pct"/>
            <w:tcBorders>
              <w:tl2br w:val="nil"/>
              <w:tr2bl w:val="nil"/>
            </w:tcBorders>
            <w:tcMar>
              <w:top w:w="0" w:type="dxa"/>
              <w:left w:w="0" w:type="dxa"/>
              <w:bottom w:w="0" w:type="dxa"/>
              <w:right w:w="0" w:type="dxa"/>
            </w:tcMar>
            <w:vAlign w:val="center"/>
          </w:tcPr>
          <w:p w14:paraId="32B8D73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1980</w:t>
            </w:r>
          </w:p>
        </w:tc>
      </w:tr>
      <w:tr w14:paraId="7367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322" w:type="pct"/>
            <w:vMerge w:val="continue"/>
            <w:tcBorders>
              <w:tl2br w:val="nil"/>
              <w:tr2bl w:val="nil"/>
            </w:tcBorders>
            <w:tcMar>
              <w:top w:w="0" w:type="dxa"/>
              <w:left w:w="0" w:type="dxa"/>
              <w:bottom w:w="0" w:type="dxa"/>
              <w:right w:w="0" w:type="dxa"/>
            </w:tcMar>
            <w:vAlign w:val="center"/>
          </w:tcPr>
          <w:p w14:paraId="48051564">
            <w:pPr>
              <w:jc w:val="center"/>
              <w:rPr>
                <w:rFonts w:ascii="Times New Roman" w:hAnsi="Times New Roman" w:eastAsia="宋体" w:cs="Times New Roman"/>
                <w:color w:val="000000" w:themeColor="text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3E13C39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骆家实验幼儿园</w:t>
            </w:r>
          </w:p>
        </w:tc>
        <w:tc>
          <w:tcPr>
            <w:tcW w:w="728" w:type="pct"/>
            <w:tcBorders>
              <w:tl2br w:val="nil"/>
              <w:tr2bl w:val="nil"/>
            </w:tcBorders>
            <w:tcMar>
              <w:top w:w="0" w:type="dxa"/>
              <w:left w:w="0" w:type="dxa"/>
              <w:bottom w:w="0" w:type="dxa"/>
              <w:right w:w="0" w:type="dxa"/>
            </w:tcMar>
            <w:vAlign w:val="center"/>
          </w:tcPr>
          <w:p w14:paraId="451AA78D">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115.13887525</w:t>
            </w:r>
          </w:p>
        </w:tc>
        <w:tc>
          <w:tcPr>
            <w:tcW w:w="717" w:type="pct"/>
            <w:tcBorders>
              <w:tl2br w:val="nil"/>
              <w:tr2bl w:val="nil"/>
            </w:tcBorders>
            <w:tcMar>
              <w:top w:w="0" w:type="dxa"/>
              <w:left w:w="0" w:type="dxa"/>
              <w:bottom w:w="0" w:type="dxa"/>
              <w:right w:w="0" w:type="dxa"/>
            </w:tcMar>
            <w:vAlign w:val="center"/>
          </w:tcPr>
          <w:p w14:paraId="3D4406AF">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35.88053580</w:t>
            </w:r>
          </w:p>
        </w:tc>
        <w:tc>
          <w:tcPr>
            <w:tcW w:w="436" w:type="pct"/>
            <w:tcBorders>
              <w:tl2br w:val="nil"/>
              <w:tr2bl w:val="nil"/>
            </w:tcBorders>
            <w:tcMar>
              <w:top w:w="0" w:type="dxa"/>
              <w:left w:w="0" w:type="dxa"/>
              <w:bottom w:w="0" w:type="dxa"/>
              <w:right w:w="0" w:type="dxa"/>
            </w:tcMar>
            <w:vAlign w:val="center"/>
          </w:tcPr>
          <w:p w14:paraId="690DAB8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学校</w:t>
            </w:r>
          </w:p>
        </w:tc>
        <w:tc>
          <w:tcPr>
            <w:tcW w:w="434" w:type="pct"/>
            <w:tcBorders>
              <w:tl2br w:val="nil"/>
              <w:tr2bl w:val="nil"/>
            </w:tcBorders>
            <w:tcMar>
              <w:top w:w="0" w:type="dxa"/>
              <w:left w:w="0" w:type="dxa"/>
              <w:bottom w:w="0" w:type="dxa"/>
              <w:right w:w="0" w:type="dxa"/>
            </w:tcMar>
            <w:vAlign w:val="center"/>
          </w:tcPr>
          <w:p w14:paraId="168CA48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师生</w:t>
            </w:r>
          </w:p>
        </w:tc>
        <w:tc>
          <w:tcPr>
            <w:tcW w:w="492" w:type="pct"/>
            <w:tcBorders>
              <w:tl2br w:val="nil"/>
              <w:tr2bl w:val="nil"/>
            </w:tcBorders>
            <w:tcMar>
              <w:top w:w="0" w:type="dxa"/>
              <w:left w:w="0" w:type="dxa"/>
              <w:bottom w:w="0" w:type="dxa"/>
              <w:right w:w="0" w:type="dxa"/>
            </w:tcMar>
            <w:vAlign w:val="center"/>
          </w:tcPr>
          <w:p w14:paraId="158FC1E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1D086C4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t>
            </w:r>
          </w:p>
        </w:tc>
        <w:tc>
          <w:tcPr>
            <w:tcW w:w="631" w:type="pct"/>
            <w:tcBorders>
              <w:tl2br w:val="nil"/>
              <w:tr2bl w:val="nil"/>
            </w:tcBorders>
            <w:tcMar>
              <w:top w:w="0" w:type="dxa"/>
              <w:left w:w="0" w:type="dxa"/>
              <w:bottom w:w="0" w:type="dxa"/>
              <w:right w:w="0" w:type="dxa"/>
            </w:tcMar>
            <w:vAlign w:val="center"/>
          </w:tcPr>
          <w:p w14:paraId="38A67C6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351</w:t>
            </w:r>
          </w:p>
        </w:tc>
      </w:tr>
      <w:tr w14:paraId="2A63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22" w:type="pct"/>
            <w:vMerge w:val="continue"/>
            <w:tcBorders>
              <w:tl2br w:val="nil"/>
              <w:tr2bl w:val="nil"/>
            </w:tcBorders>
            <w:tcMar>
              <w:top w:w="0" w:type="dxa"/>
              <w:left w:w="0" w:type="dxa"/>
              <w:bottom w:w="0" w:type="dxa"/>
              <w:right w:w="0" w:type="dxa"/>
            </w:tcMar>
            <w:vAlign w:val="center"/>
          </w:tcPr>
          <w:p w14:paraId="50A0DB45">
            <w:pPr>
              <w:jc w:val="center"/>
              <w:rPr>
                <w:rFonts w:ascii="Times New Roman" w:hAnsi="Times New Roman" w:eastAsia="宋体" w:cs="Times New Roman"/>
                <w:color w:val="000000" w:themeColor="text1"/>
                <w:szCs w:val="21"/>
                <w14:textFill>
                  <w14:solidFill>
                    <w14:schemeClr w14:val="tx1"/>
                  </w14:solidFill>
                </w14:textFill>
              </w:rPr>
            </w:pPr>
          </w:p>
        </w:tc>
        <w:tc>
          <w:tcPr>
            <w:tcW w:w="754" w:type="pct"/>
            <w:tcBorders>
              <w:tl2br w:val="nil"/>
              <w:tr2bl w:val="nil"/>
            </w:tcBorders>
            <w:tcMar>
              <w:top w:w="0" w:type="dxa"/>
              <w:left w:w="0" w:type="dxa"/>
              <w:bottom w:w="0" w:type="dxa"/>
              <w:right w:w="0" w:type="dxa"/>
            </w:tcMar>
            <w:vAlign w:val="center"/>
          </w:tcPr>
          <w:p w14:paraId="26C69F7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西大屯村</w:t>
            </w:r>
          </w:p>
        </w:tc>
        <w:tc>
          <w:tcPr>
            <w:tcW w:w="728" w:type="pct"/>
            <w:tcBorders>
              <w:tl2br w:val="nil"/>
              <w:tr2bl w:val="nil"/>
            </w:tcBorders>
            <w:tcMar>
              <w:top w:w="0" w:type="dxa"/>
              <w:left w:w="0" w:type="dxa"/>
              <w:bottom w:w="0" w:type="dxa"/>
              <w:right w:w="0" w:type="dxa"/>
            </w:tcMar>
            <w:vAlign w:val="center"/>
          </w:tcPr>
          <w:p w14:paraId="139D7A4D">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115.1421690</w:t>
            </w:r>
          </w:p>
        </w:tc>
        <w:tc>
          <w:tcPr>
            <w:tcW w:w="717" w:type="pct"/>
            <w:tcBorders>
              <w:tl2br w:val="nil"/>
              <w:tr2bl w:val="nil"/>
            </w:tcBorders>
            <w:tcMar>
              <w:top w:w="0" w:type="dxa"/>
              <w:left w:w="0" w:type="dxa"/>
              <w:bottom w:w="0" w:type="dxa"/>
              <w:right w:w="0" w:type="dxa"/>
            </w:tcMar>
            <w:vAlign w:val="center"/>
          </w:tcPr>
          <w:p w14:paraId="412B94EA">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35.90323416</w:t>
            </w:r>
          </w:p>
        </w:tc>
        <w:tc>
          <w:tcPr>
            <w:tcW w:w="436" w:type="pct"/>
            <w:tcBorders>
              <w:tl2br w:val="nil"/>
              <w:tr2bl w:val="nil"/>
            </w:tcBorders>
            <w:tcMar>
              <w:top w:w="0" w:type="dxa"/>
              <w:left w:w="0" w:type="dxa"/>
              <w:bottom w:w="0" w:type="dxa"/>
              <w:right w:w="0" w:type="dxa"/>
            </w:tcMar>
            <w:vAlign w:val="center"/>
          </w:tcPr>
          <w:p w14:paraId="6910D8B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44ABCF7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73D3A18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7ACC6DD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t>
            </w:r>
          </w:p>
        </w:tc>
        <w:tc>
          <w:tcPr>
            <w:tcW w:w="631" w:type="pct"/>
            <w:tcBorders>
              <w:tl2br w:val="nil"/>
              <w:tr2bl w:val="nil"/>
            </w:tcBorders>
            <w:tcMar>
              <w:top w:w="0" w:type="dxa"/>
              <w:left w:w="0" w:type="dxa"/>
              <w:bottom w:w="0" w:type="dxa"/>
              <w:right w:w="0" w:type="dxa"/>
            </w:tcMar>
            <w:vAlign w:val="center"/>
          </w:tcPr>
          <w:p w14:paraId="310B170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2313</w:t>
            </w:r>
          </w:p>
        </w:tc>
      </w:tr>
      <w:tr w14:paraId="1CED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tcBorders>
              <w:tl2br w:val="nil"/>
              <w:tr2bl w:val="nil"/>
            </w:tcBorders>
            <w:tcMar>
              <w:top w:w="0" w:type="dxa"/>
              <w:left w:w="0" w:type="dxa"/>
              <w:bottom w:w="0" w:type="dxa"/>
              <w:right w:w="0" w:type="dxa"/>
            </w:tcMar>
            <w:vAlign w:val="center"/>
          </w:tcPr>
          <w:p w14:paraId="65424C4B">
            <w:pPr>
              <w:pStyle w:val="66"/>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754" w:type="pct"/>
            <w:tcBorders>
              <w:tl2br w:val="nil"/>
              <w:tr2bl w:val="nil"/>
            </w:tcBorders>
            <w:tcMar>
              <w:top w:w="0" w:type="dxa"/>
              <w:left w:w="0" w:type="dxa"/>
              <w:bottom w:w="0" w:type="dxa"/>
              <w:right w:w="0" w:type="dxa"/>
            </w:tcMar>
            <w:vAlign w:val="center"/>
          </w:tcPr>
          <w:p w14:paraId="732B896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骆家村</w:t>
            </w:r>
          </w:p>
        </w:tc>
        <w:tc>
          <w:tcPr>
            <w:tcW w:w="728" w:type="pct"/>
            <w:tcBorders>
              <w:tl2br w:val="nil"/>
              <w:tr2bl w:val="nil"/>
            </w:tcBorders>
            <w:tcMar>
              <w:top w:w="0" w:type="dxa"/>
              <w:left w:w="0" w:type="dxa"/>
              <w:bottom w:w="0" w:type="dxa"/>
              <w:right w:w="0" w:type="dxa"/>
            </w:tcMar>
            <w:vAlign w:val="center"/>
          </w:tcPr>
          <w:p w14:paraId="6210BA43">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115.1460743</w:t>
            </w:r>
          </w:p>
        </w:tc>
        <w:tc>
          <w:tcPr>
            <w:tcW w:w="717" w:type="pct"/>
            <w:tcBorders>
              <w:tl2br w:val="nil"/>
              <w:tr2bl w:val="nil"/>
            </w:tcBorders>
            <w:tcMar>
              <w:top w:w="0" w:type="dxa"/>
              <w:left w:w="0" w:type="dxa"/>
              <w:bottom w:w="0" w:type="dxa"/>
              <w:right w:w="0" w:type="dxa"/>
            </w:tcMar>
            <w:vAlign w:val="center"/>
          </w:tcPr>
          <w:p w14:paraId="03117D84">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35.8785494</w:t>
            </w:r>
          </w:p>
        </w:tc>
        <w:tc>
          <w:tcPr>
            <w:tcW w:w="436" w:type="pct"/>
            <w:tcBorders>
              <w:tl2br w:val="nil"/>
              <w:tr2bl w:val="nil"/>
            </w:tcBorders>
            <w:tcMar>
              <w:top w:w="0" w:type="dxa"/>
              <w:left w:w="0" w:type="dxa"/>
              <w:bottom w:w="0" w:type="dxa"/>
              <w:right w:w="0" w:type="dxa"/>
            </w:tcMar>
            <w:vAlign w:val="center"/>
          </w:tcPr>
          <w:p w14:paraId="0F35623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居住区</w:t>
            </w:r>
          </w:p>
        </w:tc>
        <w:tc>
          <w:tcPr>
            <w:tcW w:w="434" w:type="pct"/>
            <w:tcBorders>
              <w:tl2br w:val="nil"/>
              <w:tr2bl w:val="nil"/>
            </w:tcBorders>
            <w:tcMar>
              <w:top w:w="0" w:type="dxa"/>
              <w:left w:w="0" w:type="dxa"/>
              <w:bottom w:w="0" w:type="dxa"/>
              <w:right w:w="0" w:type="dxa"/>
            </w:tcMar>
            <w:vAlign w:val="center"/>
          </w:tcPr>
          <w:p w14:paraId="29CCE6A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人群</w:t>
            </w:r>
          </w:p>
        </w:tc>
        <w:tc>
          <w:tcPr>
            <w:tcW w:w="492" w:type="pct"/>
            <w:tcBorders>
              <w:tl2br w:val="nil"/>
              <w:tr2bl w:val="nil"/>
            </w:tcBorders>
            <w:tcMar>
              <w:top w:w="0" w:type="dxa"/>
              <w:left w:w="0" w:type="dxa"/>
              <w:bottom w:w="0" w:type="dxa"/>
              <w:right w:w="0" w:type="dxa"/>
            </w:tcMar>
            <w:vAlign w:val="center"/>
          </w:tcPr>
          <w:p w14:paraId="30FE017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二类区</w:t>
            </w:r>
          </w:p>
        </w:tc>
        <w:tc>
          <w:tcPr>
            <w:tcW w:w="481" w:type="pct"/>
            <w:tcBorders>
              <w:tl2br w:val="nil"/>
              <w:tr2bl w:val="nil"/>
            </w:tcBorders>
            <w:tcMar>
              <w:top w:w="0" w:type="dxa"/>
              <w:left w:w="0" w:type="dxa"/>
              <w:bottom w:w="0" w:type="dxa"/>
              <w:right w:w="0" w:type="dxa"/>
            </w:tcMar>
            <w:vAlign w:val="center"/>
          </w:tcPr>
          <w:p w14:paraId="746FC110">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NE</w:t>
            </w:r>
          </w:p>
        </w:tc>
        <w:tc>
          <w:tcPr>
            <w:tcW w:w="631" w:type="pct"/>
            <w:tcBorders>
              <w:tl2br w:val="nil"/>
              <w:tr2bl w:val="nil"/>
            </w:tcBorders>
            <w:tcMar>
              <w:top w:w="0" w:type="dxa"/>
              <w:left w:w="0" w:type="dxa"/>
              <w:bottom w:w="0" w:type="dxa"/>
              <w:right w:w="0" w:type="dxa"/>
            </w:tcMar>
            <w:vAlign w:val="center"/>
          </w:tcPr>
          <w:p w14:paraId="063FBF4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197</w:t>
            </w:r>
          </w:p>
        </w:tc>
      </w:tr>
      <w:tr w14:paraId="1E5E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2" w:type="pct"/>
            <w:tcBorders>
              <w:tl2br w:val="nil"/>
              <w:tr2bl w:val="nil"/>
            </w:tcBorders>
            <w:tcMar>
              <w:top w:w="0" w:type="dxa"/>
              <w:left w:w="0" w:type="dxa"/>
              <w:bottom w:w="0" w:type="dxa"/>
              <w:right w:w="0" w:type="dxa"/>
            </w:tcMar>
            <w:vAlign w:val="center"/>
          </w:tcPr>
          <w:p w14:paraId="4E72FF07">
            <w:pPr>
              <w:pStyle w:val="66"/>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w:t>
            </w:r>
          </w:p>
        </w:tc>
        <w:tc>
          <w:tcPr>
            <w:tcW w:w="754" w:type="pct"/>
            <w:tcBorders>
              <w:tl2br w:val="nil"/>
              <w:tr2bl w:val="nil"/>
            </w:tcBorders>
            <w:tcMar>
              <w:top w:w="0" w:type="dxa"/>
              <w:left w:w="0" w:type="dxa"/>
              <w:bottom w:w="0" w:type="dxa"/>
              <w:right w:w="0" w:type="dxa"/>
            </w:tcMar>
            <w:vAlign w:val="center"/>
          </w:tcPr>
          <w:p w14:paraId="51ABCE5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潴龙河</w:t>
            </w:r>
          </w:p>
        </w:tc>
        <w:tc>
          <w:tcPr>
            <w:tcW w:w="728" w:type="pct"/>
            <w:tcBorders>
              <w:tl2br w:val="nil"/>
              <w:tr2bl w:val="nil"/>
            </w:tcBorders>
            <w:tcMar>
              <w:top w:w="0" w:type="dxa"/>
              <w:left w:w="0" w:type="dxa"/>
              <w:bottom w:w="0" w:type="dxa"/>
              <w:right w:w="0" w:type="dxa"/>
            </w:tcMar>
            <w:vAlign w:val="center"/>
          </w:tcPr>
          <w:p w14:paraId="6CC7719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717" w:type="pct"/>
            <w:tcBorders>
              <w:tl2br w:val="nil"/>
              <w:tr2bl w:val="nil"/>
            </w:tcBorders>
            <w:tcMar>
              <w:top w:w="0" w:type="dxa"/>
              <w:left w:w="0" w:type="dxa"/>
              <w:bottom w:w="0" w:type="dxa"/>
              <w:right w:w="0" w:type="dxa"/>
            </w:tcMar>
            <w:vAlign w:val="center"/>
          </w:tcPr>
          <w:p w14:paraId="5B783B3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436" w:type="pct"/>
            <w:tcBorders>
              <w:tl2br w:val="nil"/>
              <w:tr2bl w:val="nil"/>
            </w:tcBorders>
            <w:tcMar>
              <w:top w:w="0" w:type="dxa"/>
              <w:left w:w="0" w:type="dxa"/>
              <w:bottom w:w="0" w:type="dxa"/>
              <w:right w:w="0" w:type="dxa"/>
            </w:tcMar>
            <w:vAlign w:val="center"/>
          </w:tcPr>
          <w:p w14:paraId="76B43D5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434" w:type="pct"/>
            <w:tcBorders>
              <w:tl2br w:val="nil"/>
              <w:tr2bl w:val="nil"/>
            </w:tcBorders>
            <w:tcMar>
              <w:top w:w="0" w:type="dxa"/>
              <w:left w:w="0" w:type="dxa"/>
              <w:bottom w:w="0" w:type="dxa"/>
              <w:right w:w="0" w:type="dxa"/>
            </w:tcMar>
            <w:vAlign w:val="center"/>
          </w:tcPr>
          <w:p w14:paraId="0C1FEB7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地表水</w:t>
            </w:r>
          </w:p>
        </w:tc>
        <w:tc>
          <w:tcPr>
            <w:tcW w:w="492" w:type="pct"/>
            <w:tcBorders>
              <w:tl2br w:val="nil"/>
              <w:tr2bl w:val="nil"/>
            </w:tcBorders>
            <w:tcMar>
              <w:top w:w="0" w:type="dxa"/>
              <w:left w:w="0" w:type="dxa"/>
              <w:bottom w:w="0" w:type="dxa"/>
              <w:right w:w="0" w:type="dxa"/>
            </w:tcMar>
            <w:vAlign w:val="center"/>
          </w:tcPr>
          <w:p w14:paraId="645A206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bidi="ar"/>
                <w14:textFill>
                  <w14:solidFill>
                    <w14:schemeClr w14:val="tx1"/>
                  </w14:solidFill>
                </w14:textFill>
              </w:rPr>
              <w:t>Ⅳ类</w:t>
            </w:r>
          </w:p>
        </w:tc>
        <w:tc>
          <w:tcPr>
            <w:tcW w:w="481" w:type="pct"/>
            <w:tcBorders>
              <w:tl2br w:val="nil"/>
              <w:tr2bl w:val="nil"/>
            </w:tcBorders>
            <w:tcMar>
              <w:top w:w="0" w:type="dxa"/>
              <w:left w:w="0" w:type="dxa"/>
              <w:bottom w:w="0" w:type="dxa"/>
              <w:right w:w="0" w:type="dxa"/>
            </w:tcMar>
            <w:vAlign w:val="center"/>
          </w:tcPr>
          <w:p w14:paraId="16516416">
            <w:pPr>
              <w:adjustRightInd w:val="0"/>
              <w:snapToGrid w:val="0"/>
              <w:jc w:val="center"/>
              <w:rPr>
                <w:rFonts w:ascii="Times New Roman" w:hAnsi="Times New Roman" w:eastAsia="宋体" w:cs="Times New Roman"/>
                <w:color w:val="000000" w:themeColor="text1"/>
                <w:szCs w:val="21"/>
                <w:lang w:bidi="ar"/>
                <w14:textFill>
                  <w14:solidFill>
                    <w14:schemeClr w14:val="tx1"/>
                  </w14:solidFill>
                </w14:textFill>
              </w:rPr>
            </w:pPr>
            <w:r>
              <w:rPr>
                <w:rFonts w:ascii="Times New Roman" w:hAnsi="Times New Roman" w:eastAsia="宋体" w:cs="Times New Roman"/>
                <w:color w:val="000000" w:themeColor="text1"/>
                <w:szCs w:val="21"/>
                <w:lang w:bidi="ar"/>
                <w14:textFill>
                  <w14:solidFill>
                    <w14:schemeClr w14:val="tx1"/>
                  </w14:solidFill>
                </w14:textFill>
              </w:rPr>
              <w:t>S</w:t>
            </w:r>
            <w:r>
              <w:rPr>
                <w:rFonts w:hint="eastAsia" w:ascii="Times New Roman" w:hAnsi="Times New Roman" w:eastAsia="宋体" w:cs="Times New Roman"/>
                <w:color w:val="000000" w:themeColor="text1"/>
                <w:szCs w:val="21"/>
                <w:lang w:bidi="ar"/>
                <w14:textFill>
                  <w14:solidFill>
                    <w14:schemeClr w14:val="tx1"/>
                  </w14:solidFill>
                </w14:textFill>
              </w:rPr>
              <w:t>E</w:t>
            </w:r>
          </w:p>
        </w:tc>
        <w:tc>
          <w:tcPr>
            <w:tcW w:w="631" w:type="pct"/>
            <w:tcBorders>
              <w:tl2br w:val="nil"/>
              <w:tr2bl w:val="nil"/>
            </w:tcBorders>
            <w:tcMar>
              <w:top w:w="0" w:type="dxa"/>
              <w:left w:w="0" w:type="dxa"/>
              <w:bottom w:w="0" w:type="dxa"/>
              <w:right w:w="0" w:type="dxa"/>
            </w:tcMar>
            <w:vAlign w:val="center"/>
          </w:tcPr>
          <w:p w14:paraId="4ADCD7E9">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610</w:t>
            </w:r>
          </w:p>
        </w:tc>
      </w:tr>
      <w:tr w14:paraId="576B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tcBorders>
              <w:tl2br w:val="nil"/>
              <w:tr2bl w:val="nil"/>
            </w:tcBorders>
            <w:tcMar>
              <w:top w:w="0" w:type="dxa"/>
              <w:left w:w="0" w:type="dxa"/>
              <w:bottom w:w="0" w:type="dxa"/>
              <w:right w:w="0" w:type="dxa"/>
            </w:tcMar>
            <w:vAlign w:val="center"/>
          </w:tcPr>
          <w:p w14:paraId="264A65CB">
            <w:pPr>
              <w:pStyle w:val="66"/>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地下水环境</w:t>
            </w:r>
          </w:p>
        </w:tc>
        <w:tc>
          <w:tcPr>
            <w:tcW w:w="754" w:type="pct"/>
            <w:tcBorders>
              <w:tl2br w:val="nil"/>
              <w:tr2bl w:val="nil"/>
            </w:tcBorders>
            <w:tcMar>
              <w:top w:w="0" w:type="dxa"/>
              <w:left w:w="0" w:type="dxa"/>
              <w:bottom w:w="0" w:type="dxa"/>
              <w:right w:w="0" w:type="dxa"/>
            </w:tcMar>
            <w:vAlign w:val="center"/>
          </w:tcPr>
          <w:p w14:paraId="45329EC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评价区域地下水</w:t>
            </w:r>
          </w:p>
        </w:tc>
        <w:tc>
          <w:tcPr>
            <w:tcW w:w="728" w:type="pct"/>
            <w:tcBorders>
              <w:tl2br w:val="nil"/>
              <w:tr2bl w:val="nil"/>
            </w:tcBorders>
            <w:tcMar>
              <w:top w:w="0" w:type="dxa"/>
              <w:left w:w="0" w:type="dxa"/>
              <w:bottom w:w="0" w:type="dxa"/>
              <w:right w:w="0" w:type="dxa"/>
            </w:tcMar>
            <w:vAlign w:val="center"/>
          </w:tcPr>
          <w:p w14:paraId="489E3D27">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717" w:type="pct"/>
            <w:tcBorders>
              <w:tl2br w:val="nil"/>
              <w:tr2bl w:val="nil"/>
            </w:tcBorders>
            <w:tcMar>
              <w:top w:w="0" w:type="dxa"/>
              <w:left w:w="0" w:type="dxa"/>
              <w:bottom w:w="0" w:type="dxa"/>
              <w:right w:w="0" w:type="dxa"/>
            </w:tcMar>
            <w:vAlign w:val="center"/>
          </w:tcPr>
          <w:p w14:paraId="0395D839">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436" w:type="pct"/>
            <w:tcBorders>
              <w:tl2br w:val="nil"/>
              <w:tr2bl w:val="nil"/>
            </w:tcBorders>
            <w:tcMar>
              <w:top w:w="0" w:type="dxa"/>
              <w:left w:w="0" w:type="dxa"/>
              <w:bottom w:w="0" w:type="dxa"/>
              <w:right w:w="0" w:type="dxa"/>
            </w:tcMar>
            <w:vAlign w:val="center"/>
          </w:tcPr>
          <w:p w14:paraId="63C6A7A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434" w:type="pct"/>
            <w:tcBorders>
              <w:tl2br w:val="nil"/>
              <w:tr2bl w:val="nil"/>
            </w:tcBorders>
            <w:tcMar>
              <w:top w:w="0" w:type="dxa"/>
              <w:left w:w="0" w:type="dxa"/>
              <w:bottom w:w="0" w:type="dxa"/>
              <w:right w:w="0" w:type="dxa"/>
            </w:tcMar>
            <w:vAlign w:val="center"/>
          </w:tcPr>
          <w:p w14:paraId="3099D2E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地下水</w:t>
            </w:r>
          </w:p>
        </w:tc>
        <w:tc>
          <w:tcPr>
            <w:tcW w:w="492" w:type="pct"/>
            <w:tcBorders>
              <w:tl2br w:val="nil"/>
              <w:tr2bl w:val="nil"/>
            </w:tcBorders>
            <w:tcMar>
              <w:top w:w="0" w:type="dxa"/>
              <w:left w:w="0" w:type="dxa"/>
              <w:bottom w:w="0" w:type="dxa"/>
              <w:right w:w="0" w:type="dxa"/>
            </w:tcMar>
            <w:vAlign w:val="center"/>
          </w:tcPr>
          <w:p w14:paraId="3269A02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Ⅲ类</w:t>
            </w:r>
          </w:p>
        </w:tc>
        <w:tc>
          <w:tcPr>
            <w:tcW w:w="481" w:type="pct"/>
            <w:tcBorders>
              <w:tl2br w:val="nil"/>
              <w:tr2bl w:val="nil"/>
            </w:tcBorders>
            <w:tcMar>
              <w:top w:w="0" w:type="dxa"/>
              <w:left w:w="0" w:type="dxa"/>
              <w:bottom w:w="0" w:type="dxa"/>
              <w:right w:w="0" w:type="dxa"/>
            </w:tcMar>
            <w:vAlign w:val="center"/>
          </w:tcPr>
          <w:p w14:paraId="77F4919F">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cs="Times New Roman"/>
                <w:bCs/>
                <w:color w:val="000000" w:themeColor="text1"/>
                <w:szCs w:val="21"/>
                <w:lang w:bidi="ar"/>
                <w14:textFill>
                  <w14:solidFill>
                    <w14:schemeClr w14:val="tx1"/>
                  </w14:solidFill>
                </w14:textFill>
              </w:rPr>
              <w:t>/</w:t>
            </w:r>
          </w:p>
        </w:tc>
        <w:tc>
          <w:tcPr>
            <w:tcW w:w="631" w:type="pct"/>
            <w:tcBorders>
              <w:tl2br w:val="nil"/>
              <w:tr2bl w:val="nil"/>
            </w:tcBorders>
            <w:tcMar>
              <w:top w:w="0" w:type="dxa"/>
              <w:left w:w="0" w:type="dxa"/>
              <w:bottom w:w="0" w:type="dxa"/>
              <w:right w:w="0" w:type="dxa"/>
            </w:tcMar>
            <w:vAlign w:val="center"/>
          </w:tcPr>
          <w:p w14:paraId="017F8109">
            <w:pPr>
              <w:jc w:val="center"/>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w:t>
            </w:r>
          </w:p>
        </w:tc>
      </w:tr>
      <w:tr w14:paraId="5246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 w:type="pct"/>
            <w:tcBorders>
              <w:tl2br w:val="nil"/>
              <w:tr2bl w:val="nil"/>
            </w:tcBorders>
            <w:tcMar>
              <w:top w:w="0" w:type="dxa"/>
              <w:left w:w="0" w:type="dxa"/>
              <w:bottom w:w="0" w:type="dxa"/>
              <w:right w:w="0" w:type="dxa"/>
            </w:tcMar>
            <w:vAlign w:val="center"/>
          </w:tcPr>
          <w:p w14:paraId="212D1F1C">
            <w:pPr>
              <w:pStyle w:val="66"/>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土壤环境</w:t>
            </w:r>
          </w:p>
        </w:tc>
        <w:tc>
          <w:tcPr>
            <w:tcW w:w="754" w:type="pct"/>
            <w:tcBorders>
              <w:tl2br w:val="nil"/>
              <w:tr2bl w:val="nil"/>
            </w:tcBorders>
            <w:tcMar>
              <w:top w:w="0" w:type="dxa"/>
              <w:left w:w="0" w:type="dxa"/>
              <w:bottom w:w="0" w:type="dxa"/>
              <w:right w:w="0" w:type="dxa"/>
            </w:tcMar>
            <w:vAlign w:val="center"/>
          </w:tcPr>
          <w:p w14:paraId="646A662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骆家村</w:t>
            </w:r>
          </w:p>
        </w:tc>
        <w:tc>
          <w:tcPr>
            <w:tcW w:w="728" w:type="pct"/>
            <w:tcBorders>
              <w:tl2br w:val="nil"/>
              <w:tr2bl w:val="nil"/>
            </w:tcBorders>
            <w:tcMar>
              <w:top w:w="0" w:type="dxa"/>
              <w:left w:w="0" w:type="dxa"/>
              <w:bottom w:w="0" w:type="dxa"/>
              <w:right w:w="0" w:type="dxa"/>
            </w:tcMar>
            <w:vAlign w:val="center"/>
          </w:tcPr>
          <w:p w14:paraId="13A94A98">
            <w:pPr>
              <w:widowControl/>
              <w:jc w:val="center"/>
              <w:textAlignment w:val="center"/>
              <w:rPr>
                <w:rFonts w:ascii="Times New Roman" w:hAnsi="Times New Roman" w:eastAsia="宋体" w:cs="Times New Roman"/>
                <w:color w:val="000000" w:themeColor="text1"/>
                <w:szCs w:val="21"/>
                <w:highlight w:val="yello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115.1460743</w:t>
            </w:r>
          </w:p>
        </w:tc>
        <w:tc>
          <w:tcPr>
            <w:tcW w:w="717" w:type="pct"/>
            <w:tcBorders>
              <w:tl2br w:val="nil"/>
              <w:tr2bl w:val="nil"/>
            </w:tcBorders>
            <w:tcMar>
              <w:top w:w="0" w:type="dxa"/>
              <w:left w:w="0" w:type="dxa"/>
              <w:bottom w:w="0" w:type="dxa"/>
              <w:right w:w="0" w:type="dxa"/>
            </w:tcMar>
            <w:vAlign w:val="center"/>
          </w:tcPr>
          <w:p w14:paraId="49D31014">
            <w:pPr>
              <w:widowControl/>
              <w:jc w:val="center"/>
              <w:textAlignment w:val="center"/>
              <w:rPr>
                <w:rFonts w:ascii="Times New Roman" w:hAnsi="Times New Roman" w:eastAsia="宋体" w:cs="Times New Roman"/>
                <w:color w:val="000000" w:themeColor="text1"/>
                <w:szCs w:val="21"/>
                <w:highlight w:val="yello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35.8785494</w:t>
            </w:r>
          </w:p>
        </w:tc>
        <w:tc>
          <w:tcPr>
            <w:tcW w:w="436" w:type="pct"/>
            <w:tcBorders>
              <w:tl2br w:val="nil"/>
              <w:tr2bl w:val="nil"/>
            </w:tcBorders>
            <w:tcMar>
              <w:top w:w="0" w:type="dxa"/>
              <w:left w:w="0" w:type="dxa"/>
              <w:bottom w:w="0" w:type="dxa"/>
              <w:right w:w="0" w:type="dxa"/>
            </w:tcMar>
            <w:vAlign w:val="center"/>
          </w:tcPr>
          <w:p w14:paraId="514E7F2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434" w:type="pct"/>
            <w:tcBorders>
              <w:tl2br w:val="nil"/>
              <w:tr2bl w:val="nil"/>
            </w:tcBorders>
            <w:tcMar>
              <w:top w:w="0" w:type="dxa"/>
              <w:left w:w="0" w:type="dxa"/>
              <w:bottom w:w="0" w:type="dxa"/>
              <w:right w:w="0" w:type="dxa"/>
            </w:tcMar>
            <w:vAlign w:val="center"/>
          </w:tcPr>
          <w:p w14:paraId="689A74F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w:t>
            </w:r>
          </w:p>
          <w:p w14:paraId="661A27F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用地</w:t>
            </w:r>
          </w:p>
        </w:tc>
        <w:tc>
          <w:tcPr>
            <w:tcW w:w="492" w:type="pct"/>
            <w:tcBorders>
              <w:tl2br w:val="nil"/>
              <w:tr2bl w:val="nil"/>
            </w:tcBorders>
            <w:tcMar>
              <w:top w:w="0" w:type="dxa"/>
              <w:left w:w="0" w:type="dxa"/>
              <w:bottom w:w="0" w:type="dxa"/>
              <w:right w:w="0" w:type="dxa"/>
            </w:tcMar>
            <w:vAlign w:val="center"/>
          </w:tcPr>
          <w:p w14:paraId="605DFC5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481" w:type="pct"/>
            <w:tcBorders>
              <w:tl2br w:val="nil"/>
              <w:tr2bl w:val="nil"/>
            </w:tcBorders>
            <w:tcMar>
              <w:top w:w="0" w:type="dxa"/>
              <w:left w:w="0" w:type="dxa"/>
              <w:bottom w:w="0" w:type="dxa"/>
              <w:right w:w="0" w:type="dxa"/>
            </w:tcMar>
            <w:vAlign w:val="center"/>
          </w:tcPr>
          <w:p w14:paraId="4E601C1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NE</w:t>
            </w:r>
          </w:p>
        </w:tc>
        <w:tc>
          <w:tcPr>
            <w:tcW w:w="631" w:type="pct"/>
            <w:tcBorders>
              <w:tl2br w:val="nil"/>
              <w:tr2bl w:val="nil"/>
            </w:tcBorders>
            <w:tcMar>
              <w:top w:w="0" w:type="dxa"/>
              <w:left w:w="0" w:type="dxa"/>
              <w:bottom w:w="0" w:type="dxa"/>
              <w:right w:w="0" w:type="dxa"/>
            </w:tcMar>
            <w:vAlign w:val="center"/>
          </w:tcPr>
          <w:p w14:paraId="11FBC4B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197</w:t>
            </w:r>
          </w:p>
        </w:tc>
      </w:tr>
    </w:tbl>
    <w:p w14:paraId="6E8D2DE3">
      <w:pPr>
        <w:rPr>
          <w:color w:val="000000" w:themeColor="text1"/>
          <w14:textFill>
            <w14:solidFill>
              <w14:schemeClr w14:val="tx1"/>
            </w14:solidFill>
          </w14:textFill>
        </w:rPr>
      </w:pPr>
    </w:p>
    <w:p w14:paraId="388EC7A9">
      <w:pPr>
        <w:pStyle w:val="3"/>
        <w:numPr>
          <w:ilvl w:val="1"/>
          <w:numId w:val="10"/>
        </w:numPr>
        <w:rPr>
          <w:rFonts w:hint="eastAsia"/>
          <w:color w:val="auto"/>
          <w:lang w:val="zh-CN"/>
        </w:rPr>
      </w:pPr>
      <w:bookmarkStart w:id="37" w:name="_Toc31163"/>
      <w:bookmarkStart w:id="38" w:name="_Toc30799"/>
      <w:bookmarkStart w:id="39" w:name="_Toc4280"/>
      <w:r>
        <w:rPr>
          <w:rFonts w:hint="eastAsia"/>
          <w:color w:val="auto"/>
          <w:lang w:val="zh-CN"/>
        </w:rPr>
        <w:t>与产业政策相符性分析</w:t>
      </w:r>
      <w:bookmarkEnd w:id="37"/>
      <w:bookmarkEnd w:id="38"/>
      <w:bookmarkEnd w:id="39"/>
    </w:p>
    <w:p w14:paraId="68D82F36">
      <w:pPr>
        <w:pStyle w:val="4"/>
        <w:numPr>
          <w:ilvl w:val="2"/>
          <w:numId w:val="0"/>
        </w:numPr>
        <w:bidi w:val="0"/>
        <w:ind w:leftChars="0"/>
      </w:pPr>
      <w:r>
        <w:rPr>
          <w:rFonts w:hint="eastAsia"/>
          <w:lang w:val="en-US" w:eastAsia="zh-CN"/>
        </w:rPr>
        <w:t>2.8.1</w:t>
      </w:r>
      <w:r>
        <w:t>与《产业结构调整指导目录（20</w:t>
      </w:r>
      <w:r>
        <w:rPr>
          <w:rFonts w:hint="eastAsia"/>
          <w:lang w:val="en-US" w:eastAsia="zh-CN"/>
        </w:rPr>
        <w:t>24</w:t>
      </w:r>
      <w:r>
        <w:t>年本）》相符性分析</w:t>
      </w:r>
    </w:p>
    <w:p w14:paraId="6897D7A4">
      <w:pPr>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本项目</w:t>
      </w:r>
      <w:r>
        <w:rPr>
          <w:rFonts w:ascii="Times New Roman" w:hAnsi="Times New Roman" w:eastAsia="宋体" w:cs="Times New Roman"/>
          <w:bCs/>
          <w:kern w:val="0"/>
          <w:sz w:val="24"/>
        </w:rPr>
        <w:t>以</w:t>
      </w:r>
      <w:r>
        <w:rPr>
          <w:rFonts w:hint="eastAsia" w:ascii="Times New Roman" w:hAnsi="Times New Roman" w:eastAsia="宋体" w:cs="Times New Roman"/>
          <w:bCs/>
          <w:kern w:val="0"/>
          <w:sz w:val="24"/>
        </w:rPr>
        <w:t>木材为原料，从事实木复合门及全屋定制的生产。</w:t>
      </w:r>
      <w:r>
        <w:rPr>
          <w:rFonts w:ascii="Times New Roman" w:hAnsi="Times New Roman" w:eastAsia="宋体" w:cs="Times New Roman"/>
          <w:kern w:val="0"/>
          <w:sz w:val="24"/>
        </w:rPr>
        <w:t>查询《国民经济行业分类》（GB/T4754-2017）及2019年修改清单，本项目属于</w:t>
      </w:r>
      <w:r>
        <w:rPr>
          <w:rFonts w:hint="eastAsia" w:ascii="Times New Roman" w:hAnsi="Times New Roman" w:eastAsia="宋体" w:cs="Times New Roman"/>
          <w:kern w:val="0"/>
          <w:sz w:val="24"/>
        </w:rPr>
        <w:t>C</w:t>
      </w:r>
      <w:r>
        <w:rPr>
          <w:rFonts w:hint="eastAsia" w:ascii="Times New Roman" w:hAnsi="Times New Roman" w:eastAsia="宋体" w:cs="Times New Roman"/>
          <w:color w:val="000000" w:themeColor="text1"/>
          <w:sz w:val="24"/>
          <w14:textFill>
            <w14:solidFill>
              <w14:schemeClr w14:val="tx1"/>
            </w14:solidFill>
          </w14:textFill>
        </w:rPr>
        <w:t>2110木质家具制造</w:t>
      </w:r>
      <w:r>
        <w:rPr>
          <w:rFonts w:ascii="Times New Roman" w:hAnsi="Times New Roman" w:eastAsia="宋体" w:cs="Times New Roman"/>
          <w:kern w:val="0"/>
          <w:sz w:val="24"/>
        </w:rPr>
        <w:t>。</w:t>
      </w:r>
    </w:p>
    <w:p w14:paraId="68D7B936">
      <w:pPr>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本项目已获得</w:t>
      </w:r>
      <w:r>
        <w:rPr>
          <w:rFonts w:hint="eastAsia" w:ascii="Times New Roman" w:hAnsi="Times New Roman" w:cs="Times New Roman"/>
          <w:kern w:val="0"/>
          <w:sz w:val="24"/>
        </w:rPr>
        <w:t>清丰县先进制造业开发区</w:t>
      </w:r>
      <w:r>
        <w:rPr>
          <w:rFonts w:ascii="Times New Roman" w:hAnsi="Times New Roman" w:cs="Times New Roman"/>
          <w:kern w:val="0"/>
          <w:sz w:val="24"/>
        </w:rPr>
        <w:t>管理委员会</w:t>
      </w:r>
      <w:r>
        <w:rPr>
          <w:rFonts w:ascii="Times New Roman" w:hAnsi="Times New Roman" w:eastAsia="宋体" w:cs="Times New Roman"/>
          <w:kern w:val="0"/>
          <w:sz w:val="24"/>
        </w:rPr>
        <w:t>备案（项目代码：</w:t>
      </w:r>
      <w:r>
        <w:rPr>
          <w:rFonts w:hint="eastAsia" w:ascii="Times New Roman" w:hAnsi="Times New Roman" w:cs="Times New Roman"/>
          <w:kern w:val="0"/>
          <w:sz w:val="24"/>
        </w:rPr>
        <w:t>2303</w:t>
      </w:r>
      <w:r>
        <w:rPr>
          <w:rFonts w:ascii="Times New Roman" w:hAnsi="Times New Roman" w:cs="Times New Roman"/>
          <w:kern w:val="0"/>
          <w:sz w:val="24"/>
        </w:rPr>
        <w:t>-41</w:t>
      </w:r>
      <w:r>
        <w:rPr>
          <w:rFonts w:hint="eastAsia" w:ascii="Times New Roman" w:hAnsi="Times New Roman" w:cs="Times New Roman"/>
          <w:kern w:val="0"/>
          <w:sz w:val="24"/>
        </w:rPr>
        <w:t>0922</w:t>
      </w:r>
      <w:r>
        <w:rPr>
          <w:rFonts w:ascii="Times New Roman" w:hAnsi="Times New Roman" w:cs="Times New Roman"/>
          <w:kern w:val="0"/>
          <w:sz w:val="24"/>
        </w:rPr>
        <w:t>-04-01-</w:t>
      </w:r>
      <w:r>
        <w:rPr>
          <w:rFonts w:hint="eastAsia" w:ascii="Times New Roman" w:hAnsi="Times New Roman" w:cs="Times New Roman"/>
          <w:kern w:val="0"/>
          <w:sz w:val="24"/>
        </w:rPr>
        <w:t>310605</w:t>
      </w:r>
      <w:r>
        <w:rPr>
          <w:rFonts w:ascii="Times New Roman" w:hAnsi="Times New Roman" w:eastAsia="宋体" w:cs="Times New Roman"/>
          <w:kern w:val="0"/>
          <w:sz w:val="24"/>
        </w:rPr>
        <w:t>）。因此本项目与《产业结构调整指导目录（20</w:t>
      </w:r>
      <w:r>
        <w:rPr>
          <w:rFonts w:hint="eastAsia" w:ascii="Times New Roman" w:hAnsi="Times New Roman" w:eastAsia="宋体" w:cs="Times New Roman"/>
          <w:kern w:val="0"/>
          <w:sz w:val="24"/>
          <w:lang w:val="en-US" w:eastAsia="zh-CN"/>
        </w:rPr>
        <w:t>24</w:t>
      </w:r>
      <w:r>
        <w:rPr>
          <w:rFonts w:ascii="Times New Roman" w:hAnsi="Times New Roman" w:eastAsia="宋体" w:cs="Times New Roman"/>
          <w:kern w:val="0"/>
          <w:sz w:val="24"/>
        </w:rPr>
        <w:t>年本）》相符。</w:t>
      </w:r>
    </w:p>
    <w:p w14:paraId="35585930">
      <w:pPr>
        <w:keepNext/>
        <w:keepLines/>
        <w:numPr>
          <w:ilvl w:val="0"/>
          <w:numId w:val="0"/>
        </w:numPr>
        <w:tabs>
          <w:tab w:val="left" w:pos="0"/>
        </w:tabs>
        <w:spacing w:line="360" w:lineRule="auto"/>
        <w:ind w:leftChars="0"/>
        <w:outlineLvl w:val="2"/>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2.8.2</w:t>
      </w:r>
      <w:r>
        <w:rPr>
          <w:rFonts w:ascii="Times New Roman" w:hAnsi="Times New Roman" w:eastAsia="宋体" w:cs="Times New Roman"/>
          <w:b/>
          <w:sz w:val="24"/>
          <w:szCs w:val="24"/>
        </w:rPr>
        <w:t>《市场准入负面清单（202</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年版）》</w:t>
      </w:r>
    </w:p>
    <w:p w14:paraId="2CBFD9C9">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根据《市场准入负面清单（202</w:t>
      </w:r>
      <w:r>
        <w:rPr>
          <w:rFonts w:hint="eastAsia" w:ascii="Times New Roman" w:hAnsi="Times New Roman" w:eastAsia="宋体" w:cs="Times New Roman"/>
          <w:sz w:val="24"/>
        </w:rPr>
        <w:t>2</w:t>
      </w:r>
      <w:r>
        <w:rPr>
          <w:rFonts w:ascii="Times New Roman" w:hAnsi="Times New Roman" w:eastAsia="宋体" w:cs="Times New Roman"/>
          <w:sz w:val="24"/>
        </w:rPr>
        <w:t>年版）》，该清单中包含禁止和许可两类事项。对禁止准入事项，市场主体不得进入，行政机关不予审批、核准，不得办理有关手续；对许可准入事项，包括有关资格的要求和程序、技术标准和许可要求等，由市场主体提出申请，行政机关依法依规作出是否予以准入的决定；对市场准入负面清单以外的行业、领域、业务等，各类市场主体皆可依法平等进入。查询《市场准入负面清单（202</w:t>
      </w:r>
      <w:r>
        <w:rPr>
          <w:rFonts w:hint="eastAsia" w:ascii="Times New Roman" w:hAnsi="Times New Roman" w:eastAsia="宋体" w:cs="Times New Roman"/>
          <w:sz w:val="24"/>
        </w:rPr>
        <w:t>2</w:t>
      </w:r>
      <w:r>
        <w:rPr>
          <w:rFonts w:ascii="Times New Roman" w:hAnsi="Times New Roman" w:eastAsia="宋体" w:cs="Times New Roman"/>
          <w:sz w:val="24"/>
        </w:rPr>
        <w:t>年版）》，本项目不属于禁止类项目和许可类项目。</w:t>
      </w:r>
    </w:p>
    <w:p w14:paraId="39C86853">
      <w:pPr>
        <w:pStyle w:val="3"/>
        <w:numPr>
          <w:ilvl w:val="1"/>
          <w:numId w:val="10"/>
        </w:numPr>
        <w:rPr>
          <w:rFonts w:hint="eastAsia"/>
          <w:lang w:val="zh-CN"/>
        </w:rPr>
      </w:pPr>
      <w:bookmarkStart w:id="40" w:name="_Toc25338"/>
      <w:bookmarkStart w:id="41" w:name="_Toc28189"/>
      <w:bookmarkStart w:id="42" w:name="_Toc11551"/>
      <w:r>
        <w:rPr>
          <w:rFonts w:hint="eastAsia"/>
          <w:lang w:val="zh-CN"/>
        </w:rPr>
        <w:t>与相关规划的相符性分析</w:t>
      </w:r>
      <w:bookmarkEnd w:id="40"/>
      <w:bookmarkEnd w:id="41"/>
      <w:bookmarkEnd w:id="42"/>
    </w:p>
    <w:p w14:paraId="081DC3A4">
      <w:pPr>
        <w:pStyle w:val="4"/>
        <w:numPr>
          <w:ilvl w:val="2"/>
          <w:numId w:val="0"/>
        </w:numPr>
        <w:ind w:leftChars="0"/>
      </w:pPr>
      <w:r>
        <w:rPr>
          <w:rFonts w:hint="eastAsia"/>
          <w:lang w:val="en-US" w:eastAsia="zh-CN"/>
        </w:rPr>
        <w:t>2.9.1</w:t>
      </w:r>
      <w:r>
        <w:rPr>
          <w:rFonts w:hint="eastAsia"/>
        </w:rPr>
        <w:t>与《河南省“十四五”生态环境保护和生态经济发展规划》（豫政〔2021〕44号）相符性分析</w:t>
      </w:r>
    </w:p>
    <w:p w14:paraId="585ACE51">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本项目与豫政〔2021〕44号的相符性分析见</w:t>
      </w:r>
      <w:r>
        <w:rPr>
          <w:rFonts w:hint="eastAsia" w:ascii="Times New Roman" w:hAnsi="Times New Roman" w:eastAsia="宋体" w:cs="Times New Roman"/>
          <w:sz w:val="24"/>
        </w:rPr>
        <w:t>下</w:t>
      </w:r>
      <w:r>
        <w:rPr>
          <w:rFonts w:ascii="Times New Roman" w:hAnsi="Times New Roman" w:eastAsia="宋体" w:cs="Times New Roman"/>
          <w:sz w:val="24"/>
        </w:rPr>
        <w:t>表。</w:t>
      </w:r>
    </w:p>
    <w:p w14:paraId="46C332BE">
      <w:pPr>
        <w:numPr>
          <w:ilvl w:val="0"/>
          <w:numId w:val="25"/>
        </w:numPr>
        <w:spacing w:line="360" w:lineRule="auto"/>
        <w:ind w:left="0" w:leftChars="0" w:firstLine="0" w:firstLineChars="0"/>
        <w:jc w:val="center"/>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  本项目与豫</w:t>
      </w:r>
      <w:r>
        <w:rPr>
          <w:rFonts w:ascii="Times New Roman" w:hAnsi="Times New Roman" w:eastAsia="宋体" w:cs="Times New Roman"/>
          <w:b/>
          <w:color w:val="000000" w:themeColor="text1"/>
          <w:szCs w:val="21"/>
          <w14:textFill>
            <w14:solidFill>
              <w14:schemeClr w14:val="tx1"/>
            </w14:solidFill>
          </w14:textFill>
        </w:rPr>
        <w:t>政〔2021〕44号</w:t>
      </w:r>
      <w:r>
        <w:rPr>
          <w:rFonts w:hint="eastAsia" w:ascii="宋体" w:hAnsi="宋体" w:eastAsia="宋体" w:cs="宋体"/>
          <w:b/>
          <w:color w:val="000000" w:themeColor="text1"/>
          <w:szCs w:val="21"/>
          <w14:textFill>
            <w14:solidFill>
              <w14:schemeClr w14:val="tx1"/>
            </w14:solidFill>
          </w14:textFill>
        </w:rPr>
        <w:t>的相符性分析</w:t>
      </w:r>
    </w:p>
    <w:tbl>
      <w:tblPr>
        <w:tblStyle w:val="30"/>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5168"/>
        <w:gridCol w:w="2019"/>
        <w:gridCol w:w="868"/>
      </w:tblGrid>
      <w:tr w14:paraId="2EAE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14:paraId="4A0BDBBF">
            <w:pPr>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5168" w:type="dxa"/>
            <w:vAlign w:val="center"/>
          </w:tcPr>
          <w:p w14:paraId="2C2BBF53">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与本项目相关的要求</w:t>
            </w:r>
          </w:p>
        </w:tc>
        <w:tc>
          <w:tcPr>
            <w:tcW w:w="2019" w:type="dxa"/>
            <w:vAlign w:val="center"/>
          </w:tcPr>
          <w:p w14:paraId="1924D49B">
            <w:pPr>
              <w:jc w:val="center"/>
              <w:rPr>
                <w:rFonts w:ascii="Times New Roman" w:hAnsi="Times New Roman" w:eastAsia="宋体" w:cs="Times New Roman"/>
                <w:szCs w:val="21"/>
              </w:rPr>
            </w:pPr>
            <w:r>
              <w:rPr>
                <w:rFonts w:ascii="Times New Roman" w:hAnsi="Times New Roman" w:eastAsia="宋体" w:cs="Times New Roman"/>
                <w:szCs w:val="21"/>
              </w:rPr>
              <w:t>本项目情况</w:t>
            </w:r>
          </w:p>
        </w:tc>
        <w:tc>
          <w:tcPr>
            <w:tcW w:w="868" w:type="dxa"/>
            <w:vAlign w:val="center"/>
          </w:tcPr>
          <w:p w14:paraId="599FDF04">
            <w:pPr>
              <w:jc w:val="center"/>
              <w:rPr>
                <w:rFonts w:ascii="Times New Roman" w:hAnsi="Times New Roman" w:eastAsia="宋体" w:cs="Times New Roman"/>
                <w:szCs w:val="21"/>
              </w:rPr>
            </w:pPr>
            <w:r>
              <w:rPr>
                <w:rFonts w:ascii="Times New Roman" w:hAnsi="Times New Roman" w:eastAsia="宋体" w:cs="Times New Roman"/>
                <w:szCs w:val="21"/>
              </w:rPr>
              <w:t>相符性分析</w:t>
            </w:r>
          </w:p>
        </w:tc>
      </w:tr>
      <w:tr w14:paraId="7DF1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14:paraId="44B35E0D">
            <w:pPr>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5168" w:type="dxa"/>
            <w:vAlign w:val="center"/>
          </w:tcPr>
          <w:p w14:paraId="6CECED00">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深化重点工业点源污染治理。巩固钢铁、水泥行业超低排放改造成效，推动焦化等重点行业超低排放改造。深化重点行业工业炉窑大气污染综合治理，深化垃圾焚烧发电、生物质发电废气提标治理。严格控制铸造、铁合金、焦化、水泥、建材、耐火材料、有色金属等行业物料存储、运输及生产工艺过程无组织排放。重点涉气排放企业原则上不得设置烟气旁路，因安全生产无法取消的，安装旁路在线监管系统。制修订重点行业大气污染物排放标准及监测、控制技术规范，有效控制烟气脱硝和氨法脱硫过程中氨逃逸。推进工业烟气中三氧化硫、汞、铅、砷、镉、二噁英、苯并芘等非常规污染物强效脱除技术研发应用。加强生物质锅炉燃料品质及排放管控，淘汰污染物排放不符合要求的生物质锅炉。</w:t>
            </w:r>
          </w:p>
        </w:tc>
        <w:tc>
          <w:tcPr>
            <w:tcW w:w="2019" w:type="dxa"/>
            <w:vAlign w:val="center"/>
          </w:tcPr>
          <w:p w14:paraId="787DEBAD">
            <w:pPr>
              <w:jc w:val="center"/>
              <w:rPr>
                <w:rFonts w:ascii="Times New Roman" w:hAnsi="Times New Roman" w:eastAsia="宋体" w:cs="Times New Roman"/>
                <w:kern w:val="0"/>
                <w:szCs w:val="21"/>
              </w:rPr>
            </w:pPr>
            <w:r>
              <w:rPr>
                <w:rFonts w:hint="eastAsia" w:cs="Times New Roman"/>
                <w:kern w:val="0"/>
                <w:szCs w:val="21"/>
              </w:rPr>
              <w:t>本项目原料为木材，在密闭车间内存放，木加工过程配备中央除尘系统。</w:t>
            </w:r>
          </w:p>
        </w:tc>
        <w:tc>
          <w:tcPr>
            <w:tcW w:w="868" w:type="dxa"/>
            <w:vAlign w:val="center"/>
          </w:tcPr>
          <w:p w14:paraId="2F4F2BCB">
            <w:pPr>
              <w:jc w:val="center"/>
              <w:rPr>
                <w:rFonts w:ascii="Times New Roman" w:hAnsi="Times New Roman" w:eastAsia="宋体" w:cs="Times New Roman"/>
                <w:kern w:val="0"/>
                <w:szCs w:val="21"/>
              </w:rPr>
            </w:pPr>
            <w:r>
              <w:rPr>
                <w:rFonts w:ascii="Times New Roman" w:hAnsi="Times New Roman" w:eastAsia="宋体" w:cs="Times New Roman"/>
                <w:kern w:val="0"/>
                <w:szCs w:val="21"/>
              </w:rPr>
              <w:t>相符</w:t>
            </w:r>
          </w:p>
        </w:tc>
      </w:tr>
      <w:tr w14:paraId="3BA8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14:paraId="6F10C507">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5168" w:type="dxa"/>
            <w:vAlign w:val="center"/>
          </w:tcPr>
          <w:p w14:paraId="1188AE94">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开展重金属污染综合治理。加大有色金属行业企业生产工艺提升改造力度，协同推进减污降碳，减少重金属污染物排放和碳排放。加强有色、钢铁等行业企业废水总铊治理。梯度实施铅锌铜冶炼和铜冶炼建设项目颗粒物和重点重金属污染物特别排放限值，2022年起新（扩）建项目执行特别排放限值，2023年起重点区域企业执行特别排放限值。开展电镀行业综合整治，排查取缔非法电镀企业，提高电镀企业入园率，推动园区外专业电镀企业纳管排污。开展专业电镀园区、专业电镀企业重金属污染深度治理。聚焦铅、汞、镉等重金属污染物，研究推进重金属全生命周期环境管理，深入推进重点河流湖库、饮用水水源地、农田等环境敏感区域周边涉重金属企业污染综合治理</w:t>
            </w:r>
          </w:p>
        </w:tc>
        <w:tc>
          <w:tcPr>
            <w:tcW w:w="2019" w:type="dxa"/>
            <w:vAlign w:val="center"/>
          </w:tcPr>
          <w:p w14:paraId="77D1DCFF">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本项目属于木质家具行业，木加工过程配备</w:t>
            </w:r>
            <w:r>
              <w:rPr>
                <w:rFonts w:hint="eastAsia" w:cs="Times New Roman"/>
                <w:kern w:val="0"/>
                <w:szCs w:val="21"/>
              </w:rPr>
              <w:t>中央除尘系统</w:t>
            </w:r>
            <w:r>
              <w:rPr>
                <w:rFonts w:hint="eastAsia" w:cs="Times New Roman"/>
                <w:color w:val="000000" w:themeColor="text1"/>
                <w:kern w:val="0"/>
                <w:szCs w:val="21"/>
                <w14:textFill>
                  <w14:solidFill>
                    <w14:schemeClr w14:val="tx1"/>
                  </w14:solidFill>
                </w14:textFill>
              </w:rPr>
              <w:t>，调漆、喷漆、烘干过程产生的废气经</w:t>
            </w:r>
            <w:r>
              <w:rPr>
                <w:rFonts w:ascii="Times New Roman" w:hAnsi="Times New Roman" w:cs="Times New Roman"/>
                <w:szCs w:val="21"/>
              </w:rPr>
              <w:t>活性炭吸附浓缩脱附+催化燃烧装置</w:t>
            </w:r>
            <w:r>
              <w:rPr>
                <w:rFonts w:hint="eastAsia" w:cs="Times New Roman"/>
                <w:color w:val="000000" w:themeColor="text1"/>
                <w:kern w:val="0"/>
                <w:szCs w:val="21"/>
                <w14:textFill>
                  <w14:solidFill>
                    <w14:schemeClr w14:val="tx1"/>
                  </w14:solidFill>
                </w14:textFill>
              </w:rPr>
              <w:t>处理，打磨过程产生的粉尘经脉冲布袋式除尘器处理，达到减污降碳效果，污染物排放满足特别排放限值要求。</w:t>
            </w:r>
          </w:p>
        </w:tc>
        <w:tc>
          <w:tcPr>
            <w:tcW w:w="868" w:type="dxa"/>
            <w:vAlign w:val="center"/>
          </w:tcPr>
          <w:p w14:paraId="00CD21D2">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相符</w:t>
            </w:r>
          </w:p>
        </w:tc>
      </w:tr>
      <w:tr w14:paraId="4083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14:paraId="20E0EE4C">
            <w:pPr>
              <w:jc w:val="center"/>
              <w:rPr>
                <w:rFonts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w:t>
            </w:r>
          </w:p>
        </w:tc>
        <w:tc>
          <w:tcPr>
            <w:tcW w:w="5168" w:type="dxa"/>
            <w:vAlign w:val="center"/>
          </w:tcPr>
          <w:p w14:paraId="02B5221E">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深入推进固体废物污染防治。提质建设静脉产业园，促进城镇低值废弃物协同处置和资源化利用。大力推进粉煤灰、煤矸石、脱硫石膏、冶炼废渣、尾矿、赤泥等大宗工业固体废物资源化利用和集中处置。鼓励电力、有色金属冶炼、化工等园区及企业建设大宗工业固体废物资源化利用设施。健全废旧物资回收分拣和循环利用体系，推行废旧家电、消费电子等生产企业“逆向回收”等模式。引导废旧产品回收、处理和再生利用企业“退城入园”集聚发展。规范建筑垃圾堆存、中转和资源化利用场所建设和运营。</w:t>
            </w:r>
          </w:p>
        </w:tc>
        <w:tc>
          <w:tcPr>
            <w:tcW w:w="2019" w:type="dxa"/>
            <w:vAlign w:val="center"/>
          </w:tcPr>
          <w:p w14:paraId="7C46DBE1">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本项目固体废物均得到有效处理</w:t>
            </w:r>
          </w:p>
        </w:tc>
        <w:tc>
          <w:tcPr>
            <w:tcW w:w="868" w:type="dxa"/>
            <w:vAlign w:val="center"/>
          </w:tcPr>
          <w:p w14:paraId="57EE894F">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相符</w:t>
            </w:r>
          </w:p>
        </w:tc>
      </w:tr>
    </w:tbl>
    <w:p w14:paraId="381591A6">
      <w:pPr>
        <w:pStyle w:val="4"/>
        <w:numPr>
          <w:ilvl w:val="2"/>
          <w:numId w:val="0"/>
        </w:numPr>
        <w:ind w:leftChars="0"/>
      </w:pPr>
      <w:r>
        <w:rPr>
          <w:rFonts w:hint="eastAsia"/>
          <w:lang w:val="en-US" w:eastAsia="zh-CN"/>
        </w:rPr>
        <w:t>2.9.2</w:t>
      </w:r>
      <w:r>
        <w:rPr>
          <w:rFonts w:hint="eastAsia"/>
        </w:rPr>
        <w:t>与清丰县产业集聚区总体发展规划相符性分析</w:t>
      </w:r>
    </w:p>
    <w:p w14:paraId="0D58C43C">
      <w:pPr>
        <w:pStyle w:val="14"/>
        <w:spacing w:line="360" w:lineRule="auto"/>
        <w:ind w:firstLine="480" w:firstLineChars="200"/>
        <w:jc w:val="both"/>
        <w:rPr>
          <w:rFonts w:ascii="Times New Roman" w:hAnsi="Times New Roman" w:cs="Times New Roman"/>
          <w:sz w:val="24"/>
        </w:rPr>
      </w:pPr>
      <w:r>
        <w:rPr>
          <w:rFonts w:ascii="Times New Roman" w:hAnsi="Times New Roman" w:cs="Times New Roman"/>
          <w:sz w:val="24"/>
        </w:rPr>
        <w:t>《清丰县产业集聚区发展规划（2009-2020）》于2010年取得河南省发展和改革委员会的批复，批复文号为“豫发改工业</w:t>
      </w:r>
      <w:r>
        <w:rPr>
          <w:rFonts w:ascii="Times New Roman" w:hAnsi="Times New Roman" w:eastAsia="宋体" w:cs="Times New Roman"/>
          <w:color w:val="000000"/>
          <w:kern w:val="0"/>
          <w:sz w:val="24"/>
        </w:rPr>
        <w:t>〔201</w:t>
      </w:r>
      <w:r>
        <w:rPr>
          <w:rFonts w:hint="eastAsia" w:ascii="Times New Roman" w:hAnsi="Times New Roman" w:eastAsia="宋体" w:cs="Times New Roman"/>
          <w:color w:val="000000"/>
          <w:kern w:val="0"/>
          <w:sz w:val="24"/>
        </w:rPr>
        <w:t>0</w:t>
      </w:r>
      <w:r>
        <w:rPr>
          <w:rFonts w:ascii="Times New Roman" w:hAnsi="Times New Roman" w:eastAsia="宋体" w:cs="Times New Roman"/>
          <w:color w:val="000000"/>
          <w:kern w:val="0"/>
          <w:sz w:val="24"/>
        </w:rPr>
        <w:t>〕</w:t>
      </w:r>
      <w:r>
        <w:rPr>
          <w:rFonts w:ascii="Times New Roman" w:hAnsi="Times New Roman" w:cs="Times New Roman"/>
          <w:sz w:val="24"/>
        </w:rPr>
        <w:t>363号”，2012年，为强化产业集聚区载体功能，促进濮阳市组团式发展，河南省发改委以“豫发改工业</w:t>
      </w:r>
      <w:r>
        <w:rPr>
          <w:rFonts w:ascii="Times New Roman" w:hAnsi="Times New Roman" w:eastAsia="宋体" w:cs="Times New Roman"/>
          <w:color w:val="000000"/>
          <w:kern w:val="0"/>
          <w:sz w:val="24"/>
        </w:rPr>
        <w:t>〔201</w:t>
      </w:r>
      <w:r>
        <w:rPr>
          <w:rFonts w:hint="eastAsia" w:ascii="Times New Roman" w:hAnsi="Times New Roman" w:eastAsia="宋体" w:cs="Times New Roman"/>
          <w:color w:val="000000"/>
          <w:kern w:val="0"/>
          <w:sz w:val="24"/>
        </w:rPr>
        <w:t>2</w:t>
      </w:r>
      <w:r>
        <w:rPr>
          <w:rFonts w:ascii="Times New Roman" w:hAnsi="Times New Roman" w:eastAsia="宋体" w:cs="Times New Roman"/>
          <w:color w:val="000000"/>
          <w:kern w:val="0"/>
          <w:sz w:val="24"/>
        </w:rPr>
        <w:t>〕</w:t>
      </w:r>
      <w:r>
        <w:rPr>
          <w:rFonts w:ascii="Times New Roman" w:hAnsi="Times New Roman" w:cs="Times New Roman"/>
          <w:sz w:val="24"/>
        </w:rPr>
        <w:t>1605号”文件同意对清丰县产业集聚区进行调整，调整后的《清丰县产业集聚区发展规划（2013-2020）》已于2017年6月取得濮阳市环保局规划环评审查意见（濮环审</w:t>
      </w:r>
      <w:r>
        <w:rPr>
          <w:rFonts w:ascii="Times New Roman" w:hAnsi="Times New Roman" w:eastAsia="宋体" w:cs="Times New Roman"/>
          <w:color w:val="000000"/>
          <w:kern w:val="0"/>
          <w:sz w:val="24"/>
        </w:rPr>
        <w:t>〔201</w:t>
      </w:r>
      <w:r>
        <w:rPr>
          <w:rFonts w:hint="eastAsia" w:ascii="Times New Roman" w:hAnsi="Times New Roman" w:eastAsia="宋体" w:cs="Times New Roman"/>
          <w:color w:val="000000"/>
          <w:kern w:val="0"/>
          <w:sz w:val="24"/>
        </w:rPr>
        <w:t>7</w:t>
      </w:r>
      <w:r>
        <w:rPr>
          <w:rFonts w:ascii="Times New Roman" w:hAnsi="Times New Roman" w:eastAsia="宋体" w:cs="Times New Roman"/>
          <w:color w:val="000000"/>
          <w:kern w:val="0"/>
          <w:sz w:val="24"/>
        </w:rPr>
        <w:t>〕</w:t>
      </w:r>
      <w:r>
        <w:rPr>
          <w:rFonts w:ascii="Times New Roman" w:hAnsi="Times New Roman" w:cs="Times New Roman"/>
          <w:sz w:val="24"/>
        </w:rPr>
        <w:t>10号），调整后的内容如下：</w:t>
      </w:r>
    </w:p>
    <w:p w14:paraId="5ADE23B0">
      <w:pPr>
        <w:pStyle w:val="14"/>
        <w:spacing w:line="360" w:lineRule="auto"/>
        <w:ind w:firstLine="480"/>
        <w:rPr>
          <w:rFonts w:ascii="Times New Roman" w:hAnsi="Times New Roman" w:cs="Times New Roman"/>
          <w:sz w:val="24"/>
        </w:rPr>
      </w:pPr>
      <w:r>
        <w:rPr>
          <w:rFonts w:ascii="Times New Roman" w:hAnsi="Times New Roman" w:cs="Times New Roman"/>
          <w:sz w:val="24"/>
        </w:rPr>
        <w:t>依据河南省发改委《关于清丰县产业集聚区发展规划调整方案的批复》（豫发改工业</w:t>
      </w:r>
      <w:r>
        <w:rPr>
          <w:rFonts w:ascii="Times New Roman" w:hAnsi="Times New Roman" w:eastAsia="宋体" w:cs="Times New Roman"/>
          <w:color w:val="000000"/>
          <w:kern w:val="0"/>
          <w:sz w:val="24"/>
        </w:rPr>
        <w:t>〔201</w:t>
      </w:r>
      <w:r>
        <w:rPr>
          <w:rFonts w:hint="eastAsia" w:ascii="Times New Roman" w:hAnsi="Times New Roman" w:eastAsia="宋体" w:cs="Times New Roman"/>
          <w:color w:val="000000"/>
          <w:kern w:val="0"/>
          <w:sz w:val="24"/>
        </w:rPr>
        <w:t>6</w:t>
      </w:r>
      <w:r>
        <w:rPr>
          <w:rFonts w:ascii="Times New Roman" w:hAnsi="Times New Roman" w:eastAsia="宋体" w:cs="Times New Roman"/>
          <w:color w:val="000000"/>
          <w:kern w:val="0"/>
          <w:sz w:val="24"/>
        </w:rPr>
        <w:t>〕</w:t>
      </w:r>
      <w:r>
        <w:rPr>
          <w:rFonts w:ascii="Times New Roman" w:hAnsi="Times New Roman" w:cs="Times New Roman"/>
          <w:sz w:val="24"/>
        </w:rPr>
        <w:t>363号），在原产业集聚区基础上北部新增2.07km</w:t>
      </w:r>
      <w:r>
        <w:rPr>
          <w:rFonts w:ascii="Times New Roman" w:hAnsi="Times New Roman" w:cs="Times New Roman"/>
          <w:sz w:val="24"/>
          <w:vertAlign w:val="superscript"/>
        </w:rPr>
        <w:t>2</w:t>
      </w:r>
      <w:r>
        <w:rPr>
          <w:rFonts w:ascii="Times New Roman" w:hAnsi="Times New Roman" w:cs="Times New Roman"/>
          <w:sz w:val="24"/>
        </w:rPr>
        <w:t>、南部新增5.09km</w:t>
      </w:r>
      <w:r>
        <w:rPr>
          <w:rFonts w:ascii="Times New Roman" w:hAnsi="Times New Roman" w:cs="Times New Roman"/>
          <w:sz w:val="24"/>
          <w:vertAlign w:val="superscript"/>
        </w:rPr>
        <w:t>2</w:t>
      </w:r>
      <w:r>
        <w:rPr>
          <w:rFonts w:ascii="Times New Roman" w:hAnsi="Times New Roman" w:cs="Times New Roman"/>
          <w:sz w:val="24"/>
        </w:rPr>
        <w:t>。调整后规划总面积16.46km</w:t>
      </w:r>
      <w:r>
        <w:rPr>
          <w:rFonts w:ascii="Times New Roman" w:hAnsi="Times New Roman" w:cs="Times New Roman"/>
          <w:sz w:val="24"/>
          <w:vertAlign w:val="superscript"/>
        </w:rPr>
        <w:t>2</w:t>
      </w:r>
      <w:r>
        <w:rPr>
          <w:rFonts w:ascii="Times New Roman" w:hAnsi="Times New Roman" w:cs="Times New Roman"/>
          <w:sz w:val="24"/>
        </w:rPr>
        <w:t>，其中起步区总面积2.8km</w:t>
      </w:r>
      <w:r>
        <w:rPr>
          <w:rFonts w:ascii="Times New Roman" w:hAnsi="Times New Roman" w:cs="Times New Roman"/>
          <w:sz w:val="24"/>
          <w:vertAlign w:val="superscript"/>
        </w:rPr>
        <w:t>2</w:t>
      </w:r>
      <w:r>
        <w:rPr>
          <w:rFonts w:ascii="Times New Roman" w:hAnsi="Times New Roman" w:cs="Times New Roman"/>
          <w:sz w:val="24"/>
        </w:rPr>
        <w:t>，发展区总面积7.2km</w:t>
      </w:r>
      <w:r>
        <w:rPr>
          <w:rFonts w:ascii="Times New Roman" w:hAnsi="Times New Roman" w:cs="Times New Roman"/>
          <w:sz w:val="24"/>
          <w:vertAlign w:val="superscript"/>
        </w:rPr>
        <w:t>2</w:t>
      </w:r>
      <w:r>
        <w:rPr>
          <w:rFonts w:ascii="Times New Roman" w:hAnsi="Times New Roman" w:cs="Times New Roman"/>
          <w:sz w:val="24"/>
        </w:rPr>
        <w:t>，控制区总面积6.46km</w:t>
      </w:r>
      <w:r>
        <w:rPr>
          <w:rFonts w:ascii="Times New Roman" w:hAnsi="Times New Roman" w:cs="Times New Roman"/>
          <w:sz w:val="24"/>
          <w:vertAlign w:val="superscript"/>
        </w:rPr>
        <w:t>2</w:t>
      </w:r>
      <w:r>
        <w:rPr>
          <w:rFonts w:ascii="Times New Roman" w:hAnsi="Times New Roman" w:cs="Times New Roman"/>
          <w:sz w:val="24"/>
        </w:rPr>
        <w:t>。</w:t>
      </w:r>
    </w:p>
    <w:p w14:paraId="410283B3">
      <w:pPr>
        <w:pStyle w:val="14"/>
        <w:spacing w:line="360" w:lineRule="auto"/>
        <w:ind w:firstLine="480"/>
        <w:rPr>
          <w:rFonts w:ascii="Times New Roman" w:hAnsi="Times New Roman" w:cs="Times New Roman"/>
          <w:sz w:val="24"/>
        </w:rPr>
      </w:pPr>
      <w:r>
        <w:rPr>
          <w:rFonts w:ascii="Times New Roman" w:hAnsi="Times New Roman" w:cs="Times New Roman"/>
          <w:sz w:val="24"/>
        </w:rPr>
        <w:t>范围：东至清丰县规划东环路；西至现状晓月路以西约130m，西赵店和姚庄村西侧；南至现状固双路以北约170m；北至106国道与302省道交叉口加油站南边界。</w:t>
      </w:r>
    </w:p>
    <w:p w14:paraId="459A8066">
      <w:pPr>
        <w:pStyle w:val="14"/>
        <w:spacing w:line="360" w:lineRule="auto"/>
        <w:ind w:firstLine="480"/>
        <w:rPr>
          <w:rFonts w:hint="default" w:ascii="Times New Roman" w:hAnsi="Times New Roman" w:cs="Times New Roman" w:eastAsiaTheme="minorEastAsia"/>
          <w:b/>
          <w:bCs/>
          <w:sz w:val="24"/>
          <w:u w:val="single"/>
          <w:lang w:val="en-US" w:eastAsia="zh-CN"/>
        </w:rPr>
      </w:pPr>
      <w:r>
        <w:rPr>
          <w:rFonts w:hint="eastAsia" w:ascii="Times New Roman" w:hAnsi="Times New Roman" w:cs="Times New Roman"/>
          <w:b/>
          <w:bCs/>
          <w:sz w:val="24"/>
          <w:u w:val="single"/>
          <w:lang w:val="en-US" w:eastAsia="zh-CN"/>
        </w:rPr>
        <w:t>目前，清丰先进制造业开发区规划环评正在编制中，尚无新规划环评。</w:t>
      </w:r>
    </w:p>
    <w:p w14:paraId="32A9615B">
      <w:pPr>
        <w:pStyle w:val="14"/>
        <w:spacing w:line="360" w:lineRule="auto"/>
        <w:ind w:firstLine="480"/>
        <w:rPr>
          <w:rFonts w:ascii="Times New Roman" w:hAnsi="Times New Roman" w:cs="Times New Roman"/>
          <w:sz w:val="24"/>
        </w:rPr>
      </w:pPr>
      <w:r>
        <w:rPr>
          <w:rFonts w:ascii="Times New Roman" w:hAnsi="Times New Roman" w:cs="Times New Roman"/>
          <w:sz w:val="24"/>
        </w:rPr>
        <w:t>（一）集聚区规划发展定位</w:t>
      </w:r>
    </w:p>
    <w:p w14:paraId="31671317">
      <w:pPr>
        <w:spacing w:line="360" w:lineRule="auto"/>
        <w:ind w:firstLine="480"/>
        <w:rPr>
          <w:rFonts w:ascii="Times New Roman" w:hAnsi="Times New Roman" w:cs="Times New Roman"/>
          <w:sz w:val="24"/>
        </w:rPr>
      </w:pPr>
      <w:r>
        <w:rPr>
          <w:rFonts w:ascii="Times New Roman" w:hAnsi="Times New Roman" w:cs="Times New Roman"/>
          <w:sz w:val="24"/>
        </w:rPr>
        <w:t>全省重要的家具制造和食品加工产业基地，清丰县重要的经济增长极，以发展家具制造、食品加工、装备制造以及综合配套服务为一体的综合型产业集聚区和现代城市功能区。将家具制造和食品加工作为产业集聚区重点发展的主导产业，同时积极发展装备制造业和产业集聚区相配套的现代服务业。</w:t>
      </w:r>
    </w:p>
    <w:p w14:paraId="52A24050">
      <w:pPr>
        <w:spacing w:line="360" w:lineRule="auto"/>
        <w:ind w:firstLine="480"/>
        <w:rPr>
          <w:rFonts w:ascii="Times New Roman" w:hAnsi="Times New Roman" w:cs="Times New Roman"/>
          <w:sz w:val="24"/>
        </w:rPr>
      </w:pPr>
      <w:r>
        <w:rPr>
          <w:rFonts w:ascii="Times New Roman" w:hAnsi="Times New Roman" w:cs="Times New Roman"/>
          <w:sz w:val="24"/>
        </w:rPr>
        <w:t>（二）用地规划</w:t>
      </w:r>
    </w:p>
    <w:p w14:paraId="28DE4F64">
      <w:pPr>
        <w:spacing w:line="360" w:lineRule="auto"/>
        <w:ind w:firstLine="480"/>
        <w:rPr>
          <w:rFonts w:ascii="Times New Roman" w:hAnsi="Times New Roman" w:eastAsia="宋体" w:cs="Times New Roman"/>
          <w:sz w:val="24"/>
        </w:rPr>
      </w:pPr>
      <w:r>
        <w:rPr>
          <w:rFonts w:ascii="Times New Roman" w:hAnsi="Times New Roman" w:cs="Times New Roman"/>
          <w:sz w:val="24"/>
        </w:rPr>
        <w:t>用地规模：集聚区扩区前中面积9.3km</w:t>
      </w:r>
      <w:r>
        <w:rPr>
          <w:rFonts w:ascii="Times New Roman" w:hAnsi="Times New Roman" w:cs="Times New Roman"/>
          <w:sz w:val="24"/>
          <w:vertAlign w:val="superscript"/>
        </w:rPr>
        <w:t>2</w:t>
      </w:r>
      <w:r>
        <w:rPr>
          <w:rFonts w:ascii="Times New Roman" w:hAnsi="Times New Roman" w:cs="Times New Roman"/>
          <w:sz w:val="24"/>
        </w:rPr>
        <w:t>，扩区后总面积16.46km</w:t>
      </w:r>
      <w:r>
        <w:rPr>
          <w:rFonts w:ascii="Times New Roman" w:hAnsi="Times New Roman" w:cs="Times New Roman"/>
          <w:sz w:val="24"/>
          <w:vertAlign w:val="superscript"/>
        </w:rPr>
        <w:t>2</w:t>
      </w:r>
      <w:r>
        <w:rPr>
          <w:rFonts w:ascii="Times New Roman" w:hAnsi="Times New Roman" w:cs="Times New Roman"/>
          <w:sz w:val="24"/>
        </w:rPr>
        <w:t>。</w:t>
      </w:r>
    </w:p>
    <w:p w14:paraId="4E34AAA4">
      <w:pPr>
        <w:spacing w:line="360" w:lineRule="auto"/>
        <w:ind w:firstLine="480"/>
        <w:rPr>
          <w:rFonts w:ascii="Times New Roman" w:hAnsi="Times New Roman" w:cs="Times New Roman"/>
          <w:sz w:val="24"/>
        </w:rPr>
      </w:pPr>
      <w:r>
        <w:rPr>
          <w:rFonts w:ascii="Times New Roman" w:hAnsi="Times New Roman" w:cs="Times New Roman"/>
          <w:sz w:val="24"/>
        </w:rPr>
        <w:t>用地结构：集聚区总规划用地规模为16.46km</w:t>
      </w:r>
      <w:r>
        <w:rPr>
          <w:rFonts w:ascii="Times New Roman" w:hAnsi="Times New Roman" w:cs="Times New Roman"/>
          <w:sz w:val="24"/>
          <w:vertAlign w:val="superscript"/>
        </w:rPr>
        <w:t>2</w:t>
      </w:r>
      <w:r>
        <w:rPr>
          <w:rFonts w:ascii="Times New Roman" w:hAnsi="Times New Roman" w:cs="Times New Roman"/>
          <w:sz w:val="24"/>
        </w:rPr>
        <w:t>，其中：起步区2.8km</w:t>
      </w:r>
      <w:r>
        <w:rPr>
          <w:rFonts w:ascii="Times New Roman" w:hAnsi="Times New Roman" w:cs="Times New Roman"/>
          <w:sz w:val="24"/>
          <w:vertAlign w:val="superscript"/>
        </w:rPr>
        <w:t>2</w:t>
      </w:r>
      <w:r>
        <w:rPr>
          <w:rFonts w:ascii="Times New Roman" w:hAnsi="Times New Roman" w:cs="Times New Roman"/>
          <w:sz w:val="24"/>
        </w:rPr>
        <w:t>，发展区7.2km</w:t>
      </w:r>
      <w:r>
        <w:rPr>
          <w:rFonts w:ascii="Times New Roman" w:hAnsi="Times New Roman" w:cs="Times New Roman"/>
          <w:sz w:val="24"/>
          <w:vertAlign w:val="superscript"/>
        </w:rPr>
        <w:t>2</w:t>
      </w:r>
      <w:r>
        <w:rPr>
          <w:rFonts w:ascii="Times New Roman" w:hAnsi="Times New Roman" w:cs="Times New Roman"/>
          <w:sz w:val="24"/>
        </w:rPr>
        <w:t>，控制区6.46km</w:t>
      </w:r>
      <w:r>
        <w:rPr>
          <w:rFonts w:ascii="Times New Roman" w:hAnsi="Times New Roman" w:cs="Times New Roman"/>
          <w:sz w:val="24"/>
          <w:vertAlign w:val="superscript"/>
        </w:rPr>
        <w:t>2</w:t>
      </w:r>
      <w:r>
        <w:rPr>
          <w:rFonts w:ascii="Times New Roman" w:hAnsi="Times New Roman" w:cs="Times New Roman"/>
          <w:sz w:val="24"/>
        </w:rPr>
        <w:t>。</w:t>
      </w:r>
    </w:p>
    <w:p w14:paraId="75EE3CA5">
      <w:pPr>
        <w:numPr>
          <w:ilvl w:val="0"/>
          <w:numId w:val="26"/>
        </w:numPr>
        <w:spacing w:line="360" w:lineRule="auto"/>
        <w:ind w:firstLine="480"/>
        <w:rPr>
          <w:rFonts w:ascii="Times New Roman" w:hAnsi="Times New Roman" w:cs="Times New Roman"/>
          <w:sz w:val="24"/>
        </w:rPr>
      </w:pPr>
      <w:r>
        <w:rPr>
          <w:rFonts w:ascii="Times New Roman" w:hAnsi="Times New Roman" w:cs="Times New Roman"/>
          <w:sz w:val="24"/>
        </w:rPr>
        <w:t>工业用地</w:t>
      </w:r>
    </w:p>
    <w:p w14:paraId="1808F309">
      <w:pPr>
        <w:spacing w:line="360" w:lineRule="auto"/>
        <w:ind w:firstLine="480"/>
        <w:rPr>
          <w:rFonts w:ascii="Times New Roman" w:hAnsi="Times New Roman" w:eastAsia="宋体" w:cs="Times New Roman"/>
          <w:sz w:val="24"/>
        </w:rPr>
      </w:pPr>
      <w:r>
        <w:rPr>
          <w:rFonts w:ascii="Times New Roman" w:hAnsi="Times New Roman" w:cs="Times New Roman"/>
          <w:sz w:val="24"/>
        </w:rPr>
        <w:t>清丰县产业</w:t>
      </w:r>
      <w:r>
        <w:rPr>
          <w:rFonts w:hint="eastAsia" w:ascii="Times New Roman" w:hAnsi="Times New Roman" w:cs="Times New Roman"/>
          <w:sz w:val="24"/>
        </w:rPr>
        <w:t>集聚区</w:t>
      </w:r>
      <w:r>
        <w:rPr>
          <w:rFonts w:ascii="Times New Roman" w:hAnsi="Times New Roman" w:cs="Times New Roman"/>
          <w:sz w:val="24"/>
        </w:rPr>
        <w:t>家具产业园区边界为北至人民路、东至东环路、西至晓月路、南至清丰县产业</w:t>
      </w:r>
      <w:r>
        <w:rPr>
          <w:rFonts w:hint="eastAsia" w:ascii="Times New Roman" w:hAnsi="Times New Roman" w:cs="Times New Roman"/>
          <w:sz w:val="24"/>
        </w:rPr>
        <w:t>集聚区</w:t>
      </w:r>
      <w:r>
        <w:rPr>
          <w:rFonts w:ascii="Times New Roman" w:hAnsi="Times New Roman" w:cs="Times New Roman"/>
          <w:sz w:val="24"/>
        </w:rPr>
        <w:t>边界，本项目位于清丰县产业集聚区，根据</w:t>
      </w:r>
      <w:r>
        <w:rPr>
          <w:rFonts w:ascii="Times New Roman" w:hAnsi="Times New Roman" w:cs="Times New Roman"/>
          <w:sz w:val="24"/>
          <w:lang w:val="zh-CN"/>
        </w:rPr>
        <w:t>《</w:t>
      </w:r>
      <w:r>
        <w:rPr>
          <w:rFonts w:ascii="Times New Roman" w:hAnsi="Times New Roman" w:cs="Times New Roman"/>
          <w:sz w:val="24"/>
        </w:rPr>
        <w:t>清丰县城乡总体规划（2016-2025）</w:t>
      </w:r>
      <w:r>
        <w:rPr>
          <w:rFonts w:ascii="Times New Roman" w:hAnsi="Times New Roman" w:cs="Times New Roman"/>
          <w:sz w:val="24"/>
          <w:lang w:val="zh-CN"/>
        </w:rPr>
        <w:t>》</w:t>
      </w:r>
      <w:r>
        <w:rPr>
          <w:rFonts w:ascii="Times New Roman" w:hAnsi="Times New Roman" w:cs="Times New Roman"/>
          <w:sz w:val="24"/>
        </w:rPr>
        <w:t>中心城区土地使用规划图</w:t>
      </w:r>
      <w:r>
        <w:rPr>
          <w:rFonts w:ascii="Times New Roman" w:hAnsi="Times New Roman" w:cs="Times New Roman"/>
          <w:sz w:val="24"/>
          <w:lang w:val="zh-CN"/>
        </w:rPr>
        <w:t>，本项目属于二类工业用地，因此符合清丰县</w:t>
      </w:r>
      <w:r>
        <w:rPr>
          <w:rFonts w:ascii="Times New Roman" w:hAnsi="Times New Roman" w:cs="Times New Roman"/>
          <w:sz w:val="24"/>
        </w:rPr>
        <w:t>城乡</w:t>
      </w:r>
      <w:r>
        <w:rPr>
          <w:rFonts w:ascii="Times New Roman" w:hAnsi="Times New Roman" w:cs="Times New Roman"/>
          <w:sz w:val="24"/>
          <w:lang w:val="zh-CN"/>
        </w:rPr>
        <w:t>土地利用总体规划。</w:t>
      </w:r>
    </w:p>
    <w:p w14:paraId="343968E5">
      <w:pPr>
        <w:spacing w:line="360" w:lineRule="auto"/>
        <w:ind w:firstLine="480"/>
        <w:rPr>
          <w:rFonts w:ascii="Times New Roman" w:hAnsi="Times New Roman" w:cs="Times New Roman"/>
          <w:sz w:val="24"/>
        </w:rPr>
      </w:pPr>
      <w:r>
        <w:rPr>
          <w:rFonts w:ascii="Times New Roman" w:hAnsi="Times New Roman" w:cs="Times New Roman"/>
          <w:sz w:val="24"/>
        </w:rPr>
        <w:t>（三）基础设施规划</w:t>
      </w:r>
    </w:p>
    <w:p w14:paraId="4F09C3B3">
      <w:pPr>
        <w:pStyle w:val="64"/>
        <w:spacing w:line="360" w:lineRule="auto"/>
        <w:ind w:firstLine="480"/>
        <w:jc w:val="both"/>
        <w:rPr>
          <w:color w:val="auto"/>
          <w:sz w:val="24"/>
          <w:szCs w:val="24"/>
        </w:rPr>
      </w:pPr>
      <w:r>
        <w:rPr>
          <w:color w:val="auto"/>
          <w:sz w:val="24"/>
          <w:szCs w:val="24"/>
        </w:rPr>
        <w:t>（1）给水工程</w:t>
      </w:r>
    </w:p>
    <w:p w14:paraId="6929810D">
      <w:pPr>
        <w:pStyle w:val="64"/>
        <w:spacing w:line="360" w:lineRule="auto"/>
        <w:ind w:firstLine="480"/>
        <w:jc w:val="both"/>
        <w:rPr>
          <w:color w:val="auto"/>
          <w:sz w:val="24"/>
          <w:szCs w:val="24"/>
        </w:rPr>
      </w:pPr>
      <w:r>
        <w:rPr>
          <w:color w:val="auto"/>
          <w:sz w:val="24"/>
          <w:szCs w:val="24"/>
        </w:rPr>
        <w:t>现状规划区内建有水厂1座，即清丰县产业集聚区水厂，厂址位于人民路与建设路交汇处东北侧，水厂现状供水规模约3.0万吨/d，占地面积约1.6公顷，水源取自地下水，水源地位于八里庄。同时规划区内存在一定数量的自备水井。本项目利用现有清丰县产业聚集区水厂水源供给。</w:t>
      </w:r>
    </w:p>
    <w:p w14:paraId="482D54AA">
      <w:pPr>
        <w:pStyle w:val="64"/>
        <w:spacing w:line="360" w:lineRule="auto"/>
        <w:ind w:firstLine="480"/>
        <w:jc w:val="both"/>
        <w:rPr>
          <w:color w:val="auto"/>
          <w:sz w:val="24"/>
          <w:szCs w:val="24"/>
        </w:rPr>
      </w:pPr>
      <w:r>
        <w:rPr>
          <w:color w:val="auto"/>
          <w:sz w:val="24"/>
          <w:szCs w:val="24"/>
        </w:rPr>
        <w:t>规划预测远期区内最高日总用水量约为6.2万吨/d。现状产业集聚区水厂供水能力不能满足集聚区远期发展的需要。规划保留现状水厂并扩大水厂规模至6.5万吨/d，规划占地面积4.03公顷，扩大八里庄水源地的取水规模，扩大水源井至48眼，逐步取消规划区内的企业自备水井。</w:t>
      </w:r>
    </w:p>
    <w:p w14:paraId="4F7B0887">
      <w:pPr>
        <w:pStyle w:val="64"/>
        <w:numPr>
          <w:ilvl w:val="0"/>
          <w:numId w:val="27"/>
        </w:numPr>
        <w:spacing w:line="360" w:lineRule="auto"/>
        <w:ind w:firstLine="480"/>
        <w:jc w:val="both"/>
        <w:rPr>
          <w:color w:val="auto"/>
          <w:sz w:val="24"/>
          <w:szCs w:val="24"/>
        </w:rPr>
      </w:pPr>
      <w:r>
        <w:rPr>
          <w:color w:val="auto"/>
          <w:sz w:val="24"/>
          <w:szCs w:val="24"/>
        </w:rPr>
        <w:t>排水工程</w:t>
      </w:r>
    </w:p>
    <w:p w14:paraId="3D0DBEBE">
      <w:pPr>
        <w:pStyle w:val="64"/>
        <w:spacing w:line="360" w:lineRule="auto"/>
        <w:ind w:firstLine="480"/>
        <w:jc w:val="both"/>
        <w:rPr>
          <w:color w:val="auto"/>
          <w:sz w:val="24"/>
          <w:szCs w:val="24"/>
        </w:rPr>
      </w:pPr>
      <w:r>
        <w:rPr>
          <w:color w:val="auto"/>
          <w:sz w:val="24"/>
          <w:szCs w:val="24"/>
        </w:rPr>
        <w:t>规划区内实行雨污分流制，污水经过污水管网，集中排放至污水处理厂进行处理。雨水就近排入附近水体。</w:t>
      </w:r>
    </w:p>
    <w:p w14:paraId="51EEB9FE">
      <w:pPr>
        <w:pStyle w:val="64"/>
        <w:spacing w:line="360" w:lineRule="auto"/>
        <w:ind w:firstLine="480"/>
        <w:jc w:val="both"/>
        <w:rPr>
          <w:color w:val="auto"/>
          <w:sz w:val="24"/>
          <w:szCs w:val="24"/>
        </w:rPr>
      </w:pPr>
      <w:r>
        <w:rPr>
          <w:color w:val="auto"/>
          <w:sz w:val="24"/>
          <w:szCs w:val="24"/>
        </w:rPr>
        <w:t>①污水工程</w:t>
      </w:r>
    </w:p>
    <w:p w14:paraId="52ABFEC3">
      <w:pPr>
        <w:pStyle w:val="64"/>
        <w:spacing w:line="360" w:lineRule="auto"/>
        <w:ind w:firstLine="480"/>
        <w:jc w:val="both"/>
        <w:rPr>
          <w:color w:val="auto"/>
          <w:sz w:val="24"/>
          <w:szCs w:val="24"/>
        </w:rPr>
      </w:pPr>
      <w:r>
        <w:rPr>
          <w:color w:val="auto"/>
          <w:sz w:val="24"/>
          <w:szCs w:val="24"/>
        </w:rPr>
        <w:t>现状产业集聚区内的</w:t>
      </w:r>
      <w:r>
        <w:rPr>
          <w:rFonts w:hint="eastAsia"/>
          <w:color w:val="auto"/>
          <w:sz w:val="24"/>
          <w:szCs w:val="24"/>
        </w:rPr>
        <w:t>清丰中州水务有限公司第二污水处理厂</w:t>
      </w:r>
      <w:r>
        <w:rPr>
          <w:color w:val="auto"/>
          <w:sz w:val="24"/>
          <w:szCs w:val="24"/>
        </w:rPr>
        <w:t>位于产业集聚区北部潴龙河南岸，设计污水处理规模为2万m</w:t>
      </w:r>
      <w:r>
        <w:rPr>
          <w:color w:val="auto"/>
          <w:sz w:val="24"/>
          <w:szCs w:val="24"/>
          <w:vertAlign w:val="superscript"/>
        </w:rPr>
        <w:t>3</w:t>
      </w:r>
      <w:r>
        <w:rPr>
          <w:color w:val="auto"/>
          <w:sz w:val="24"/>
          <w:szCs w:val="24"/>
        </w:rPr>
        <w:t>/d。根据《河南省清丰县城市总体规划（2010-2030）》，清丰县城区和柳格镇部分污水也将汇入</w:t>
      </w:r>
      <w:r>
        <w:rPr>
          <w:rFonts w:hint="eastAsia"/>
          <w:color w:val="auto"/>
          <w:sz w:val="24"/>
          <w:szCs w:val="24"/>
        </w:rPr>
        <w:t>清丰中州水务有限公司第二污水处理厂</w:t>
      </w:r>
      <w:r>
        <w:rPr>
          <w:color w:val="auto"/>
          <w:sz w:val="24"/>
          <w:szCs w:val="24"/>
        </w:rPr>
        <w:t>进行处理，因此远期扩大</w:t>
      </w:r>
      <w:r>
        <w:rPr>
          <w:rFonts w:hint="eastAsia"/>
          <w:color w:val="auto"/>
          <w:sz w:val="24"/>
          <w:szCs w:val="24"/>
        </w:rPr>
        <w:t>清丰中州水务有限公司第二污水处理厂</w:t>
      </w:r>
      <w:r>
        <w:rPr>
          <w:color w:val="auto"/>
          <w:sz w:val="24"/>
          <w:szCs w:val="24"/>
        </w:rPr>
        <w:t>污水处理规模至4.5万m</w:t>
      </w:r>
      <w:r>
        <w:rPr>
          <w:color w:val="auto"/>
          <w:sz w:val="24"/>
          <w:szCs w:val="24"/>
          <w:vertAlign w:val="superscript"/>
        </w:rPr>
        <w:t>3</w:t>
      </w:r>
      <w:r>
        <w:rPr>
          <w:color w:val="auto"/>
          <w:sz w:val="24"/>
          <w:szCs w:val="24"/>
        </w:rPr>
        <w:t>/d。污水处理厂出水向北排入潴龙河，再汇入马颊河，最终汇入海河。本项目废水经污水管网排入</w:t>
      </w:r>
      <w:r>
        <w:rPr>
          <w:rFonts w:hint="eastAsia"/>
          <w:color w:val="auto"/>
          <w:sz w:val="24"/>
          <w:szCs w:val="24"/>
        </w:rPr>
        <w:t>清丰中州水务有限公司第二污水处理厂</w:t>
      </w:r>
      <w:r>
        <w:rPr>
          <w:color w:val="auto"/>
          <w:sz w:val="24"/>
          <w:szCs w:val="24"/>
        </w:rPr>
        <w:t>处理，排入潴龙河。</w:t>
      </w:r>
    </w:p>
    <w:p w14:paraId="4E3C383B">
      <w:pPr>
        <w:pStyle w:val="64"/>
        <w:spacing w:line="360" w:lineRule="auto"/>
        <w:ind w:firstLine="480"/>
        <w:jc w:val="both"/>
        <w:rPr>
          <w:color w:val="auto"/>
          <w:sz w:val="24"/>
          <w:szCs w:val="24"/>
        </w:rPr>
      </w:pPr>
      <w:r>
        <w:rPr>
          <w:color w:val="auto"/>
          <w:sz w:val="24"/>
          <w:szCs w:val="24"/>
        </w:rPr>
        <w:t>②中水回用工程</w:t>
      </w:r>
    </w:p>
    <w:p w14:paraId="017B6E94">
      <w:pPr>
        <w:pStyle w:val="64"/>
        <w:spacing w:line="360" w:lineRule="auto"/>
        <w:ind w:firstLine="480"/>
        <w:jc w:val="both"/>
        <w:rPr>
          <w:color w:val="auto"/>
          <w:sz w:val="24"/>
          <w:szCs w:val="24"/>
        </w:rPr>
      </w:pPr>
      <w:r>
        <w:rPr>
          <w:color w:val="auto"/>
          <w:sz w:val="24"/>
          <w:szCs w:val="24"/>
        </w:rPr>
        <w:t>规划结合</w:t>
      </w:r>
      <w:r>
        <w:rPr>
          <w:rFonts w:hint="eastAsia"/>
          <w:color w:val="auto"/>
          <w:sz w:val="24"/>
          <w:szCs w:val="24"/>
        </w:rPr>
        <w:t>清丰中州水务有限公司第二污水处理厂</w:t>
      </w:r>
      <w:r>
        <w:rPr>
          <w:color w:val="auto"/>
          <w:sz w:val="24"/>
          <w:szCs w:val="24"/>
        </w:rPr>
        <w:t>设置中水厂，配置中水回用设施，对污水经二级处理后的出水进行深度处理。规划近期中水回用规模为1.0万m</w:t>
      </w:r>
      <w:r>
        <w:rPr>
          <w:color w:val="auto"/>
          <w:sz w:val="24"/>
          <w:szCs w:val="24"/>
          <w:vertAlign w:val="superscript"/>
        </w:rPr>
        <w:t>3</w:t>
      </w:r>
      <w:r>
        <w:rPr>
          <w:color w:val="auto"/>
          <w:sz w:val="24"/>
          <w:szCs w:val="24"/>
        </w:rPr>
        <w:t>/d，主要用于工业用水、河道景观补充用水、地面清洗、绿化浇洒等；远期应进一步扩大中水回用规模，使中水会用率达到50%以上，中水回用逐步向西侧、冲厕和消防领域推广。中水管网布置采用枝状管网布局，沿人和大道规划布置中水干管。</w:t>
      </w:r>
    </w:p>
    <w:p w14:paraId="7D7F35D5">
      <w:pPr>
        <w:pStyle w:val="64"/>
        <w:spacing w:line="360" w:lineRule="auto"/>
        <w:ind w:firstLine="480"/>
        <w:jc w:val="both"/>
        <w:rPr>
          <w:color w:val="auto"/>
          <w:sz w:val="24"/>
          <w:szCs w:val="24"/>
        </w:rPr>
      </w:pPr>
      <w:r>
        <w:rPr>
          <w:color w:val="auto"/>
          <w:sz w:val="24"/>
          <w:szCs w:val="24"/>
        </w:rPr>
        <w:t>③雨水工程</w:t>
      </w:r>
    </w:p>
    <w:p w14:paraId="49CF6F7C">
      <w:pPr>
        <w:pStyle w:val="64"/>
        <w:spacing w:line="360" w:lineRule="auto"/>
        <w:ind w:firstLine="480"/>
        <w:jc w:val="both"/>
        <w:rPr>
          <w:color w:val="auto"/>
          <w:sz w:val="24"/>
          <w:szCs w:val="24"/>
        </w:rPr>
      </w:pPr>
      <w:r>
        <w:rPr>
          <w:color w:val="auto"/>
          <w:sz w:val="24"/>
          <w:szCs w:val="24"/>
        </w:rPr>
        <w:t>规划产业集聚区雨水以排入潴龙河为主，规划沿南外环路建设排水明渠并汇入潴龙河，人民路以南、向东排入潴龙河，人民路北区向北、向西排入马颊河，本项目雨水经雨水管网排入潴龙河。</w:t>
      </w:r>
    </w:p>
    <w:p w14:paraId="3A07B259">
      <w:pPr>
        <w:spacing w:line="360" w:lineRule="auto"/>
        <w:ind w:left="420" w:leftChars="200"/>
        <w:rPr>
          <w:rFonts w:ascii="Times New Roman" w:hAnsi="Times New Roman" w:cs="Times New Roman"/>
          <w:sz w:val="24"/>
        </w:rPr>
      </w:pPr>
      <w:r>
        <w:rPr>
          <w:rFonts w:ascii="Times New Roman" w:hAnsi="Times New Roman" w:cs="Times New Roman"/>
          <w:sz w:val="24"/>
        </w:rPr>
        <w:t>（3）供热工程</w:t>
      </w:r>
    </w:p>
    <w:p w14:paraId="1EE7CCDB">
      <w:pPr>
        <w:spacing w:line="360" w:lineRule="auto"/>
        <w:ind w:firstLine="480"/>
        <w:rPr>
          <w:rFonts w:ascii="Times New Roman" w:hAnsi="Times New Roman" w:cs="Times New Roman"/>
          <w:sz w:val="24"/>
        </w:rPr>
      </w:pPr>
      <w:r>
        <w:rPr>
          <w:rFonts w:ascii="Times New Roman" w:hAnsi="Times New Roman" w:cs="Times New Roman"/>
          <w:sz w:val="24"/>
        </w:rPr>
        <w:t>生活热水热负荷考虑分户利用天然气、太阳能、电能等洁净能源，生产工艺热负荷根据各工业企业的生产工艺要求确定，以建设分散式热源为主。采用平均热指数法计算热负荷，规划确定产业集聚区集中供热率为50%。规划范围内居住建筑和公共建筑的容积率分别按2.0和1.5计。预测产业集聚区采暖热负荷为54.5MW。规划在乾坤路与东环路交叉口处见1座集中供热的热源厂，向产业集聚区和清丰城区供热，优先选取燃气作为供热能源，热源厂占地5公顷，远期供热能力达到1000MW</w:t>
      </w:r>
      <w:r>
        <w:rPr>
          <w:rFonts w:hint="eastAsia" w:ascii="Times New Roman" w:hAnsi="Times New Roman" w:cs="Times New Roman"/>
          <w:color w:val="auto"/>
          <w:sz w:val="24"/>
        </w:rPr>
        <w:t>。目前，清丰县产业集聚区尚未集中供热。</w:t>
      </w:r>
    </w:p>
    <w:p w14:paraId="13B2A9B0">
      <w:pPr>
        <w:spacing w:line="360" w:lineRule="auto"/>
        <w:ind w:firstLine="480"/>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lang w:eastAsia="zh-CN"/>
        </w:rPr>
        <w:t>办公室采用单体空调制热，生产</w:t>
      </w:r>
      <w:r>
        <w:rPr>
          <w:rFonts w:hint="eastAsia" w:ascii="Times New Roman" w:hAnsi="Times New Roman" w:cs="Times New Roman"/>
          <w:sz w:val="24"/>
        </w:rPr>
        <w:t>无需供热</w:t>
      </w:r>
      <w:r>
        <w:rPr>
          <w:rFonts w:ascii="Times New Roman" w:hAnsi="Times New Roman" w:cs="Times New Roman"/>
          <w:sz w:val="24"/>
        </w:rPr>
        <w:t>。</w:t>
      </w:r>
    </w:p>
    <w:p w14:paraId="512F58C1">
      <w:pPr>
        <w:spacing w:line="360" w:lineRule="auto"/>
        <w:ind w:left="420" w:leftChars="200"/>
        <w:rPr>
          <w:rFonts w:ascii="Times New Roman" w:hAnsi="Times New Roman" w:cs="Times New Roman"/>
          <w:sz w:val="24"/>
        </w:rPr>
      </w:pPr>
      <w:r>
        <w:rPr>
          <w:rFonts w:ascii="Times New Roman" w:hAnsi="Times New Roman" w:cs="Times New Roman"/>
          <w:sz w:val="24"/>
        </w:rPr>
        <w:t>（4）燃气工程</w:t>
      </w:r>
    </w:p>
    <w:p w14:paraId="2BE46515">
      <w:pPr>
        <w:autoSpaceDE w:val="0"/>
        <w:autoSpaceDN w:val="0"/>
        <w:adjustRightInd w:val="0"/>
        <w:spacing w:line="360" w:lineRule="auto"/>
        <w:ind w:firstLine="480"/>
        <w:rPr>
          <w:rFonts w:ascii="Times New Roman" w:hAnsi="Times New Roman" w:cs="Times New Roman"/>
          <w:highlight w:val="yellow"/>
        </w:rPr>
      </w:pPr>
      <w:r>
        <w:rPr>
          <w:rFonts w:ascii="Times New Roman" w:hAnsi="Times New Roman" w:cs="Times New Roman"/>
          <w:sz w:val="24"/>
        </w:rPr>
        <w:t>规划气源为“西气东输”天然气，新建清丰县吉张吴至清丰县城区的高压输气管线，气源接自西气东输榆济线，规划在产业集聚区南部的马庄桥新建天然气门站。规划沿人和大道、南外环路、南环路、安康路、人民路、文化路、朝阳路、乾坤路、金水路布置燃气干管，满足用气大户的需求，沿其他道路布置燃气支管，形成合理的管网系统。</w:t>
      </w:r>
      <w:r>
        <w:rPr>
          <w:rFonts w:hint="eastAsia"/>
          <w:color w:val="auto"/>
          <w:sz w:val="24"/>
        </w:rPr>
        <w:t>目前，清丰县产业集聚区已实现集中供气。</w:t>
      </w:r>
    </w:p>
    <w:p w14:paraId="7568023A">
      <w:pPr>
        <w:pStyle w:val="4"/>
        <w:numPr>
          <w:ilvl w:val="2"/>
          <w:numId w:val="0"/>
        </w:numPr>
        <w:ind w:leftChars="0"/>
        <w:rPr>
          <w:b/>
          <w:bCs w:val="0"/>
          <w:u w:val="single"/>
        </w:rPr>
      </w:pPr>
      <w:r>
        <w:rPr>
          <w:rFonts w:hint="eastAsia"/>
          <w:lang w:val="en-US" w:eastAsia="zh-CN"/>
        </w:rPr>
        <w:t>2.9.</w:t>
      </w:r>
      <w:r>
        <w:rPr>
          <w:rFonts w:hint="eastAsia"/>
          <w:b/>
          <w:bCs w:val="0"/>
          <w:u w:val="single"/>
          <w:lang w:val="en-US" w:eastAsia="zh-CN"/>
        </w:rPr>
        <w:t>3</w:t>
      </w:r>
      <w:r>
        <w:rPr>
          <w:rFonts w:hint="eastAsia"/>
          <w:b/>
          <w:bCs w:val="0"/>
          <w:u w:val="single"/>
        </w:rPr>
        <w:t>与清丰县产业集聚区规划环评相符性分析</w:t>
      </w:r>
    </w:p>
    <w:p w14:paraId="18A62EB1">
      <w:pPr>
        <w:spacing w:line="360" w:lineRule="auto"/>
        <w:ind w:firstLine="480"/>
        <w:rPr>
          <w:rFonts w:ascii="Times New Roman" w:hAnsi="Times New Roman" w:cs="Times New Roman"/>
          <w:b/>
          <w:bCs w:val="0"/>
          <w:sz w:val="24"/>
          <w:u w:val="single"/>
        </w:rPr>
      </w:pPr>
      <w:r>
        <w:rPr>
          <w:rFonts w:ascii="Times New Roman" w:hAnsi="Times New Roman" w:cs="Times New Roman"/>
          <w:b/>
          <w:bCs w:val="0"/>
          <w:sz w:val="24"/>
          <w:u w:val="single"/>
        </w:rPr>
        <w:t>本工程与集聚区规划及其规划环评相符性分析见</w:t>
      </w:r>
      <w:r>
        <w:rPr>
          <w:rFonts w:hint="eastAsia" w:ascii="Times New Roman" w:hAnsi="Times New Roman" w:cs="Times New Roman"/>
          <w:b/>
          <w:bCs w:val="0"/>
          <w:sz w:val="24"/>
          <w:u w:val="single"/>
        </w:rPr>
        <w:t>下</w:t>
      </w:r>
      <w:r>
        <w:rPr>
          <w:rFonts w:ascii="Times New Roman" w:hAnsi="Times New Roman" w:cs="Times New Roman"/>
          <w:b/>
          <w:bCs w:val="0"/>
          <w:sz w:val="24"/>
          <w:u w:val="single"/>
        </w:rPr>
        <w:t>表。</w:t>
      </w:r>
    </w:p>
    <w:p w14:paraId="7B0ABC9A">
      <w:pPr>
        <w:numPr>
          <w:ilvl w:val="0"/>
          <w:numId w:val="25"/>
        </w:numPr>
        <w:spacing w:line="360" w:lineRule="auto"/>
        <w:ind w:left="0" w:leftChars="0" w:firstLine="0" w:firstLineChars="0"/>
        <w:jc w:val="center"/>
        <w:rPr>
          <w:rFonts w:hint="eastAsia" w:ascii="宋体" w:hAnsi="宋体" w:eastAsia="宋体" w:cs="宋体"/>
          <w:b/>
          <w:bCs w:val="0"/>
          <w:color w:val="000000" w:themeColor="text1"/>
          <w:szCs w:val="21"/>
          <w:u w:val="single"/>
          <w14:textFill>
            <w14:solidFill>
              <w14:schemeClr w14:val="tx1"/>
            </w14:solidFill>
          </w14:textFill>
        </w:rPr>
      </w:pPr>
      <w:r>
        <w:rPr>
          <w:rFonts w:hint="eastAsia" w:ascii="宋体" w:hAnsi="宋体" w:eastAsia="宋体" w:cs="宋体"/>
          <w:b/>
          <w:bCs w:val="0"/>
          <w:color w:val="000000" w:themeColor="text1"/>
          <w:szCs w:val="21"/>
          <w:u w:val="single"/>
          <w14:textFill>
            <w14:solidFill>
              <w14:schemeClr w14:val="tx1"/>
            </w14:solidFill>
          </w14:textFill>
        </w:rPr>
        <w:t xml:space="preserve">  本项目与集聚区规划环评相符性分析一览表</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796"/>
        <w:gridCol w:w="4143"/>
        <w:gridCol w:w="2032"/>
        <w:gridCol w:w="1045"/>
      </w:tblGrid>
      <w:tr w14:paraId="5114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dxa"/>
            <w:tcBorders>
              <w:tl2br w:val="nil"/>
              <w:tr2bl w:val="nil"/>
            </w:tcBorders>
            <w:vAlign w:val="center"/>
          </w:tcPr>
          <w:p w14:paraId="3FB40156">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序号</w:t>
            </w:r>
          </w:p>
        </w:tc>
        <w:tc>
          <w:tcPr>
            <w:tcW w:w="796" w:type="dxa"/>
            <w:tcBorders>
              <w:tl2br w:val="nil"/>
              <w:tr2bl w:val="nil"/>
            </w:tcBorders>
            <w:vAlign w:val="center"/>
          </w:tcPr>
          <w:p w14:paraId="23E51811">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项目</w:t>
            </w:r>
          </w:p>
        </w:tc>
        <w:tc>
          <w:tcPr>
            <w:tcW w:w="4143" w:type="dxa"/>
            <w:tcBorders>
              <w:tl2br w:val="nil"/>
              <w:tr2bl w:val="nil"/>
            </w:tcBorders>
            <w:vAlign w:val="center"/>
          </w:tcPr>
          <w:p w14:paraId="71FF20A9">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集聚区规划内容及环评建议</w:t>
            </w:r>
          </w:p>
        </w:tc>
        <w:tc>
          <w:tcPr>
            <w:tcW w:w="2032" w:type="dxa"/>
            <w:tcBorders>
              <w:tl2br w:val="nil"/>
              <w:tr2bl w:val="nil"/>
            </w:tcBorders>
            <w:vAlign w:val="center"/>
          </w:tcPr>
          <w:p w14:paraId="0CAD5D3E">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项目情况</w:t>
            </w:r>
          </w:p>
        </w:tc>
        <w:tc>
          <w:tcPr>
            <w:tcW w:w="1045" w:type="dxa"/>
            <w:tcBorders>
              <w:tl2br w:val="nil"/>
              <w:tr2bl w:val="nil"/>
            </w:tcBorders>
            <w:vAlign w:val="center"/>
          </w:tcPr>
          <w:p w14:paraId="652748D9">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相符性</w:t>
            </w:r>
          </w:p>
        </w:tc>
      </w:tr>
      <w:tr w14:paraId="7178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dxa"/>
            <w:tcBorders>
              <w:tl2br w:val="nil"/>
              <w:tr2bl w:val="nil"/>
            </w:tcBorders>
            <w:vAlign w:val="center"/>
          </w:tcPr>
          <w:p w14:paraId="1C5B68DF">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1</w:t>
            </w:r>
          </w:p>
        </w:tc>
        <w:tc>
          <w:tcPr>
            <w:tcW w:w="796" w:type="dxa"/>
            <w:tcBorders>
              <w:tl2br w:val="nil"/>
              <w:tr2bl w:val="nil"/>
            </w:tcBorders>
            <w:vAlign w:val="center"/>
          </w:tcPr>
          <w:p w14:paraId="16129C41">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产业</w:t>
            </w:r>
          </w:p>
          <w:p w14:paraId="322911DF">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定位</w:t>
            </w:r>
          </w:p>
        </w:tc>
        <w:tc>
          <w:tcPr>
            <w:tcW w:w="4143" w:type="dxa"/>
            <w:tcBorders>
              <w:tl2br w:val="nil"/>
              <w:tr2bl w:val="nil"/>
            </w:tcBorders>
            <w:vAlign w:val="center"/>
          </w:tcPr>
          <w:p w14:paraId="3873624E">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全省重要的家具制造和食品加工产业基地，清丰县重要的经济增长</w:t>
            </w:r>
            <w:r>
              <w:rPr>
                <w:rFonts w:hint="eastAsia" w:ascii="Times New Roman" w:hAnsi="Times New Roman" w:cs="Times New Roman"/>
                <w:b/>
                <w:bCs w:val="0"/>
                <w:szCs w:val="21"/>
                <w:u w:val="single"/>
              </w:rPr>
              <w:t>及</w:t>
            </w:r>
            <w:r>
              <w:rPr>
                <w:rFonts w:ascii="Times New Roman" w:hAnsi="Times New Roman" w:cs="Times New Roman"/>
                <w:b/>
                <w:bCs w:val="0"/>
                <w:szCs w:val="21"/>
                <w:u w:val="single"/>
              </w:rPr>
              <w:t>以发展家具制造、食品加工、装备制造以及综合配套服务为一体的综合型产业集聚区和现代城市功能区</w:t>
            </w:r>
          </w:p>
        </w:tc>
        <w:tc>
          <w:tcPr>
            <w:tcW w:w="2032" w:type="dxa"/>
            <w:tcBorders>
              <w:tl2br w:val="nil"/>
              <w:tr2bl w:val="nil"/>
            </w:tcBorders>
            <w:vAlign w:val="center"/>
          </w:tcPr>
          <w:p w14:paraId="47EBB07A">
            <w:pPr>
              <w:tabs>
                <w:tab w:val="left" w:pos="1980"/>
              </w:tabs>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本项目属于</w:t>
            </w:r>
            <w:r>
              <w:rPr>
                <w:rFonts w:hint="eastAsia" w:ascii="Times New Roman" w:hAnsi="Times New Roman" w:cs="Times New Roman"/>
                <w:b/>
                <w:bCs w:val="0"/>
                <w:szCs w:val="21"/>
                <w:u w:val="single"/>
              </w:rPr>
              <w:t>木质家具制造</w:t>
            </w:r>
            <w:r>
              <w:rPr>
                <w:rFonts w:ascii="Times New Roman" w:hAnsi="Times New Roman" w:cs="Times New Roman"/>
                <w:b/>
                <w:bCs w:val="0"/>
                <w:szCs w:val="21"/>
                <w:u w:val="single"/>
              </w:rPr>
              <w:t>，项目位于</w:t>
            </w:r>
            <w:r>
              <w:rPr>
                <w:rFonts w:hint="eastAsia" w:ascii="Times New Roman" w:hAnsi="Times New Roman" w:cs="Times New Roman"/>
                <w:b/>
                <w:bCs w:val="0"/>
                <w:szCs w:val="21"/>
                <w:u w:val="single"/>
              </w:rPr>
              <w:t>家具</w:t>
            </w:r>
            <w:r>
              <w:rPr>
                <w:rFonts w:ascii="Times New Roman" w:hAnsi="Times New Roman" w:cs="Times New Roman"/>
                <w:b/>
                <w:bCs w:val="0"/>
                <w:szCs w:val="21"/>
                <w:u w:val="single"/>
              </w:rPr>
              <w:t>制造园区</w:t>
            </w:r>
          </w:p>
        </w:tc>
        <w:tc>
          <w:tcPr>
            <w:tcW w:w="1045" w:type="dxa"/>
            <w:tcBorders>
              <w:tl2br w:val="nil"/>
              <w:tr2bl w:val="nil"/>
            </w:tcBorders>
            <w:vAlign w:val="center"/>
          </w:tcPr>
          <w:p w14:paraId="2A002BBA">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04C1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dxa"/>
            <w:tcBorders>
              <w:tl2br w:val="nil"/>
              <w:tr2bl w:val="nil"/>
            </w:tcBorders>
            <w:vAlign w:val="center"/>
          </w:tcPr>
          <w:p w14:paraId="7E4A450A">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2</w:t>
            </w:r>
          </w:p>
        </w:tc>
        <w:tc>
          <w:tcPr>
            <w:tcW w:w="796" w:type="dxa"/>
            <w:tcBorders>
              <w:tl2br w:val="nil"/>
              <w:tr2bl w:val="nil"/>
            </w:tcBorders>
            <w:vAlign w:val="center"/>
          </w:tcPr>
          <w:p w14:paraId="246CA3FB">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布局与功能分区</w:t>
            </w:r>
          </w:p>
        </w:tc>
        <w:tc>
          <w:tcPr>
            <w:tcW w:w="4143" w:type="dxa"/>
            <w:tcBorders>
              <w:tl2br w:val="nil"/>
              <w:tr2bl w:val="nil"/>
            </w:tcBorders>
            <w:vAlign w:val="center"/>
          </w:tcPr>
          <w:p w14:paraId="5167BA18">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以发展家具制造、食品加工、装备制造以及综合配套服务为一体的综合型产业集聚区和现代城市功能区</w:t>
            </w:r>
          </w:p>
        </w:tc>
        <w:tc>
          <w:tcPr>
            <w:tcW w:w="2032" w:type="dxa"/>
            <w:tcBorders>
              <w:tl2br w:val="nil"/>
              <w:tr2bl w:val="nil"/>
            </w:tcBorders>
            <w:vAlign w:val="center"/>
          </w:tcPr>
          <w:p w14:paraId="6F5D2A32">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本项目属于</w:t>
            </w:r>
            <w:r>
              <w:rPr>
                <w:rFonts w:hint="eastAsia" w:ascii="Times New Roman" w:hAnsi="Times New Roman" w:cs="Times New Roman"/>
                <w:b/>
                <w:bCs w:val="0"/>
                <w:szCs w:val="21"/>
                <w:u w:val="single"/>
              </w:rPr>
              <w:t>木质家具制造</w:t>
            </w:r>
            <w:r>
              <w:rPr>
                <w:rFonts w:ascii="Times New Roman" w:hAnsi="Times New Roman" w:cs="Times New Roman"/>
                <w:b/>
                <w:bCs w:val="0"/>
                <w:szCs w:val="21"/>
                <w:u w:val="single"/>
              </w:rPr>
              <w:t>，项目位于</w:t>
            </w:r>
            <w:r>
              <w:rPr>
                <w:rFonts w:hint="eastAsia" w:ascii="Times New Roman" w:hAnsi="Times New Roman" w:cs="Times New Roman"/>
                <w:b/>
                <w:bCs w:val="0"/>
                <w:szCs w:val="21"/>
                <w:u w:val="single"/>
              </w:rPr>
              <w:t>家具</w:t>
            </w:r>
            <w:r>
              <w:rPr>
                <w:rFonts w:ascii="Times New Roman" w:hAnsi="Times New Roman" w:cs="Times New Roman"/>
                <w:b/>
                <w:bCs w:val="0"/>
                <w:szCs w:val="21"/>
                <w:u w:val="single"/>
              </w:rPr>
              <w:t>制造园区</w:t>
            </w:r>
          </w:p>
        </w:tc>
        <w:tc>
          <w:tcPr>
            <w:tcW w:w="1045" w:type="dxa"/>
            <w:tcBorders>
              <w:tl2br w:val="nil"/>
              <w:tr2bl w:val="nil"/>
            </w:tcBorders>
            <w:vAlign w:val="center"/>
          </w:tcPr>
          <w:p w14:paraId="493AD883">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614A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dxa"/>
            <w:tcBorders>
              <w:tl2br w:val="nil"/>
              <w:tr2bl w:val="nil"/>
            </w:tcBorders>
            <w:vAlign w:val="center"/>
          </w:tcPr>
          <w:p w14:paraId="012686B2">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3</w:t>
            </w:r>
          </w:p>
        </w:tc>
        <w:tc>
          <w:tcPr>
            <w:tcW w:w="796" w:type="dxa"/>
            <w:tcBorders>
              <w:tl2br w:val="nil"/>
              <w:tr2bl w:val="nil"/>
            </w:tcBorders>
            <w:vAlign w:val="center"/>
          </w:tcPr>
          <w:p w14:paraId="54D58481">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土地利用规划</w:t>
            </w:r>
          </w:p>
        </w:tc>
        <w:tc>
          <w:tcPr>
            <w:tcW w:w="4143" w:type="dxa"/>
            <w:tcBorders>
              <w:tl2br w:val="nil"/>
              <w:tr2bl w:val="nil"/>
            </w:tcBorders>
            <w:vAlign w:val="center"/>
          </w:tcPr>
          <w:p w14:paraId="725F856B">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集聚区规划总体用地16.46km</w:t>
            </w:r>
            <w:r>
              <w:rPr>
                <w:rFonts w:ascii="Times New Roman" w:hAnsi="Times New Roman" w:cs="Times New Roman"/>
                <w:b/>
                <w:bCs w:val="0"/>
                <w:szCs w:val="21"/>
                <w:u w:val="single"/>
                <w:vertAlign w:val="superscript"/>
              </w:rPr>
              <w:t>2</w:t>
            </w:r>
            <w:r>
              <w:rPr>
                <w:rFonts w:ascii="Times New Roman" w:hAnsi="Times New Roman" w:cs="Times New Roman"/>
                <w:b/>
                <w:bCs w:val="0"/>
                <w:szCs w:val="21"/>
                <w:u w:val="single"/>
              </w:rPr>
              <w:t>，主要包括工业用地、仓储用地、商业服务业设施用地及公共管理与公共服务设施用地、居住用地、绿地和广场用地和特殊用地等</w:t>
            </w:r>
          </w:p>
        </w:tc>
        <w:tc>
          <w:tcPr>
            <w:tcW w:w="2032" w:type="dxa"/>
            <w:tcBorders>
              <w:tl2br w:val="nil"/>
              <w:tr2bl w:val="nil"/>
            </w:tcBorders>
            <w:vAlign w:val="center"/>
          </w:tcPr>
          <w:p w14:paraId="3A5228A4">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本项目占地为工业用地</w:t>
            </w:r>
          </w:p>
        </w:tc>
        <w:tc>
          <w:tcPr>
            <w:tcW w:w="1045" w:type="dxa"/>
            <w:tcBorders>
              <w:tl2br w:val="nil"/>
              <w:tr2bl w:val="nil"/>
            </w:tcBorders>
            <w:vAlign w:val="center"/>
          </w:tcPr>
          <w:p w14:paraId="4DEFA8A2">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77CD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dxa"/>
            <w:tcBorders>
              <w:tl2br w:val="nil"/>
              <w:tr2bl w:val="nil"/>
            </w:tcBorders>
            <w:vAlign w:val="center"/>
          </w:tcPr>
          <w:p w14:paraId="05209B19">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4</w:t>
            </w:r>
          </w:p>
        </w:tc>
        <w:tc>
          <w:tcPr>
            <w:tcW w:w="796" w:type="dxa"/>
            <w:tcBorders>
              <w:tl2br w:val="nil"/>
              <w:tr2bl w:val="nil"/>
            </w:tcBorders>
            <w:vAlign w:val="center"/>
          </w:tcPr>
          <w:p w14:paraId="4D5ED8F3">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供水规划</w:t>
            </w:r>
          </w:p>
        </w:tc>
        <w:tc>
          <w:tcPr>
            <w:tcW w:w="4143" w:type="dxa"/>
            <w:tcBorders>
              <w:tl2br w:val="nil"/>
              <w:tr2bl w:val="nil"/>
            </w:tcBorders>
            <w:vAlign w:val="center"/>
          </w:tcPr>
          <w:p w14:paraId="732D628C">
            <w:pPr>
              <w:pStyle w:val="64"/>
              <w:spacing w:line="240" w:lineRule="auto"/>
              <w:rPr>
                <w:b/>
                <w:bCs w:val="0"/>
                <w:color w:val="auto"/>
                <w:szCs w:val="21"/>
                <w:u w:val="single"/>
              </w:rPr>
            </w:pPr>
            <w:r>
              <w:rPr>
                <w:b/>
                <w:bCs w:val="0"/>
                <w:color w:val="auto"/>
                <w:szCs w:val="21"/>
                <w:u w:val="single"/>
              </w:rPr>
              <w:t>水厂位于人民路与建设路交汇处东北侧，日供水能力3万m</w:t>
            </w:r>
            <w:r>
              <w:rPr>
                <w:b/>
                <w:bCs w:val="0"/>
                <w:color w:val="auto"/>
                <w:szCs w:val="21"/>
                <w:u w:val="single"/>
                <w:vertAlign w:val="superscript"/>
              </w:rPr>
              <w:t>3</w:t>
            </w:r>
            <w:r>
              <w:rPr>
                <w:b/>
                <w:bCs w:val="0"/>
                <w:color w:val="auto"/>
                <w:szCs w:val="21"/>
                <w:u w:val="single"/>
              </w:rPr>
              <w:t>/d</w:t>
            </w:r>
          </w:p>
        </w:tc>
        <w:tc>
          <w:tcPr>
            <w:tcW w:w="2032" w:type="dxa"/>
            <w:tcBorders>
              <w:tl2br w:val="nil"/>
              <w:tr2bl w:val="nil"/>
            </w:tcBorders>
            <w:vAlign w:val="center"/>
          </w:tcPr>
          <w:p w14:paraId="75093803">
            <w:pPr>
              <w:tabs>
                <w:tab w:val="left" w:pos="1980"/>
              </w:tabs>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利用产业聚集区水厂供给</w:t>
            </w:r>
          </w:p>
        </w:tc>
        <w:tc>
          <w:tcPr>
            <w:tcW w:w="1045" w:type="dxa"/>
            <w:tcBorders>
              <w:tl2br w:val="nil"/>
              <w:tr2bl w:val="nil"/>
            </w:tcBorders>
            <w:vAlign w:val="center"/>
          </w:tcPr>
          <w:p w14:paraId="4E61610D">
            <w:pPr>
              <w:tabs>
                <w:tab w:val="left" w:pos="1980"/>
              </w:tabs>
              <w:jc w:val="center"/>
              <w:rPr>
                <w:rFonts w:ascii="Times New Roman" w:hAnsi="Times New Roman" w:cs="Times New Roman"/>
                <w:b/>
                <w:bCs w:val="0"/>
                <w:szCs w:val="21"/>
                <w:highlight w:val="yellow"/>
                <w:u w:val="single"/>
              </w:rPr>
            </w:pPr>
            <w:r>
              <w:rPr>
                <w:rFonts w:ascii="Times New Roman" w:hAnsi="Times New Roman" w:cs="Times New Roman"/>
                <w:b/>
                <w:bCs w:val="0"/>
                <w:szCs w:val="21"/>
                <w:u w:val="single"/>
              </w:rPr>
              <w:t>相符</w:t>
            </w:r>
          </w:p>
        </w:tc>
      </w:tr>
      <w:tr w14:paraId="5BF0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dxa"/>
            <w:tcBorders>
              <w:tl2br w:val="nil"/>
              <w:tr2bl w:val="nil"/>
            </w:tcBorders>
            <w:vAlign w:val="center"/>
          </w:tcPr>
          <w:p w14:paraId="7E494DFA">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5</w:t>
            </w:r>
          </w:p>
        </w:tc>
        <w:tc>
          <w:tcPr>
            <w:tcW w:w="796" w:type="dxa"/>
            <w:tcBorders>
              <w:tl2br w:val="nil"/>
              <w:tr2bl w:val="nil"/>
            </w:tcBorders>
            <w:vAlign w:val="center"/>
          </w:tcPr>
          <w:p w14:paraId="59562B1B">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排水规划</w:t>
            </w:r>
          </w:p>
        </w:tc>
        <w:tc>
          <w:tcPr>
            <w:tcW w:w="4143" w:type="dxa"/>
            <w:tcBorders>
              <w:tl2br w:val="nil"/>
              <w:tr2bl w:val="nil"/>
            </w:tcBorders>
            <w:vAlign w:val="center"/>
          </w:tcPr>
          <w:p w14:paraId="2C64BF85">
            <w:pPr>
              <w:pStyle w:val="64"/>
              <w:spacing w:line="240" w:lineRule="auto"/>
              <w:rPr>
                <w:b/>
                <w:bCs w:val="0"/>
                <w:color w:val="auto"/>
                <w:szCs w:val="21"/>
                <w:u w:val="single"/>
              </w:rPr>
            </w:pPr>
            <w:r>
              <w:rPr>
                <w:b/>
                <w:bCs w:val="0"/>
                <w:color w:val="auto"/>
                <w:szCs w:val="21"/>
                <w:u w:val="single"/>
              </w:rPr>
              <w:t>集聚区污水近期利用</w:t>
            </w:r>
            <w:r>
              <w:rPr>
                <w:rFonts w:hint="eastAsia"/>
                <w:b/>
                <w:bCs w:val="0"/>
                <w:color w:val="auto"/>
                <w:szCs w:val="21"/>
                <w:u w:val="single"/>
              </w:rPr>
              <w:t>清丰中州水务有限公司第二污水处理厂</w:t>
            </w:r>
            <w:r>
              <w:rPr>
                <w:b/>
                <w:bCs w:val="0"/>
                <w:color w:val="auto"/>
                <w:szCs w:val="21"/>
                <w:u w:val="single"/>
              </w:rPr>
              <w:t>进行处理，日处理规模2万吨，远期扩大规模至</w:t>
            </w:r>
            <w:r>
              <w:rPr>
                <w:b/>
                <w:bCs w:val="0"/>
                <w:color w:val="auto"/>
                <w:szCs w:val="21"/>
                <w:u w:val="single"/>
                <w:lang w:val="en-US"/>
              </w:rPr>
              <w:t>4.5万吨/d。</w:t>
            </w:r>
            <w:r>
              <w:rPr>
                <w:b/>
                <w:bCs w:val="0"/>
                <w:color w:val="auto"/>
                <w:szCs w:val="21"/>
                <w:u w:val="single"/>
              </w:rPr>
              <w:t>位于集聚区106国道与北环路交叉口的西北角，经处理后废水由管道排至潴龙河。雨水收集与排放：集聚区内地形平坦，雨水分区域排放，沿南外环路建设明渠，人民路以南区域向南、向东排入潴龙河，人民路北区域向北区域向北、向西排入潴龙河</w:t>
            </w:r>
          </w:p>
        </w:tc>
        <w:tc>
          <w:tcPr>
            <w:tcW w:w="2032" w:type="dxa"/>
            <w:tcBorders>
              <w:tl2br w:val="nil"/>
              <w:tr2bl w:val="nil"/>
            </w:tcBorders>
            <w:vAlign w:val="center"/>
          </w:tcPr>
          <w:p w14:paraId="6A75CD23">
            <w:pPr>
              <w:tabs>
                <w:tab w:val="left" w:pos="1980"/>
              </w:tabs>
              <w:jc w:val="center"/>
              <w:rPr>
                <w:rFonts w:ascii="Times New Roman" w:hAnsi="Times New Roman" w:cs="Times New Roman"/>
                <w:b/>
                <w:bCs w:val="0"/>
                <w:szCs w:val="21"/>
                <w:u w:val="single"/>
              </w:rPr>
            </w:pPr>
            <w:r>
              <w:rPr>
                <w:rFonts w:hint="eastAsia"/>
                <w:b/>
                <w:bCs w:val="0"/>
                <w:szCs w:val="21"/>
                <w:u w:val="single"/>
              </w:rPr>
              <w:t>生活</w:t>
            </w:r>
            <w:r>
              <w:rPr>
                <w:rFonts w:ascii="Times New Roman" w:hAnsi="Times New Roman" w:cs="Times New Roman"/>
                <w:b/>
                <w:bCs w:val="0"/>
                <w:szCs w:val="21"/>
                <w:u w:val="single"/>
              </w:rPr>
              <w:t>废水经</w:t>
            </w:r>
            <w:r>
              <w:rPr>
                <w:rFonts w:ascii="Times New Roman" w:hAnsi="Times New Roman" w:cs="Times New Roman"/>
                <w:b/>
                <w:bCs w:val="0"/>
                <w:color w:val="auto"/>
                <w:szCs w:val="21"/>
                <w:u w:val="single"/>
              </w:rPr>
              <w:t>厂区</w:t>
            </w:r>
            <w:r>
              <w:rPr>
                <w:rFonts w:hint="eastAsia" w:ascii="Times New Roman" w:hAnsi="Times New Roman" w:cs="Times New Roman"/>
                <w:b/>
                <w:bCs w:val="0"/>
                <w:color w:val="auto"/>
                <w:szCs w:val="21"/>
                <w:u w:val="single"/>
              </w:rPr>
              <w:t>化粪池</w:t>
            </w:r>
            <w:r>
              <w:rPr>
                <w:rFonts w:ascii="Times New Roman" w:hAnsi="Times New Roman" w:cs="Times New Roman"/>
                <w:b/>
                <w:bCs w:val="0"/>
                <w:color w:val="auto"/>
                <w:szCs w:val="21"/>
                <w:u w:val="single"/>
              </w:rPr>
              <w:t>处理</w:t>
            </w:r>
            <w:r>
              <w:rPr>
                <w:rFonts w:hint="eastAsia" w:ascii="Times New Roman" w:hAnsi="Times New Roman" w:cs="Times New Roman"/>
                <w:b/>
                <w:bCs w:val="0"/>
                <w:color w:val="auto"/>
                <w:szCs w:val="21"/>
                <w:u w:val="single"/>
              </w:rPr>
              <w:t>、生产废水经厂区污水</w:t>
            </w:r>
            <w:r>
              <w:rPr>
                <w:rFonts w:hint="eastAsia" w:ascii="Times New Roman" w:hAnsi="Times New Roman" w:cs="Times New Roman"/>
                <w:b/>
                <w:bCs w:val="0"/>
                <w:szCs w:val="21"/>
                <w:u w:val="single"/>
              </w:rPr>
              <w:t>处理站处理</w:t>
            </w:r>
            <w:r>
              <w:rPr>
                <w:rFonts w:ascii="Times New Roman" w:hAnsi="Times New Roman" w:cs="Times New Roman"/>
                <w:b/>
                <w:bCs w:val="0"/>
                <w:szCs w:val="21"/>
                <w:u w:val="single"/>
              </w:rPr>
              <w:t>后，经市政管网排入</w:t>
            </w:r>
            <w:r>
              <w:rPr>
                <w:rFonts w:hint="eastAsia" w:ascii="Times New Roman" w:hAnsi="Times New Roman" w:cs="Times New Roman"/>
                <w:b/>
                <w:bCs w:val="0"/>
                <w:szCs w:val="21"/>
                <w:u w:val="single"/>
              </w:rPr>
              <w:t>清丰中州水务有限公司第二污水处理厂</w:t>
            </w:r>
            <w:r>
              <w:rPr>
                <w:rFonts w:ascii="Times New Roman" w:hAnsi="Times New Roman" w:cs="Times New Roman"/>
                <w:b/>
                <w:bCs w:val="0"/>
                <w:szCs w:val="21"/>
                <w:u w:val="single"/>
              </w:rPr>
              <w:t>，雨水向东排入潴龙河</w:t>
            </w:r>
          </w:p>
        </w:tc>
        <w:tc>
          <w:tcPr>
            <w:tcW w:w="1045" w:type="dxa"/>
            <w:tcBorders>
              <w:tl2br w:val="nil"/>
              <w:tr2bl w:val="nil"/>
            </w:tcBorders>
            <w:vAlign w:val="center"/>
          </w:tcPr>
          <w:p w14:paraId="781E66D4">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6CD9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dxa"/>
            <w:tcBorders>
              <w:tl2br w:val="nil"/>
              <w:tr2bl w:val="nil"/>
            </w:tcBorders>
            <w:vAlign w:val="center"/>
          </w:tcPr>
          <w:p w14:paraId="60D6BAA1">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6</w:t>
            </w:r>
          </w:p>
        </w:tc>
        <w:tc>
          <w:tcPr>
            <w:tcW w:w="796" w:type="dxa"/>
            <w:tcBorders>
              <w:tl2br w:val="nil"/>
              <w:tr2bl w:val="nil"/>
            </w:tcBorders>
            <w:vAlign w:val="center"/>
          </w:tcPr>
          <w:p w14:paraId="28A8CF86">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供热规划</w:t>
            </w:r>
          </w:p>
        </w:tc>
        <w:tc>
          <w:tcPr>
            <w:tcW w:w="4143" w:type="dxa"/>
            <w:tcBorders>
              <w:tl2br w:val="nil"/>
              <w:tr2bl w:val="nil"/>
            </w:tcBorders>
            <w:vAlign w:val="center"/>
          </w:tcPr>
          <w:p w14:paraId="52DE9B39">
            <w:pPr>
              <w:tabs>
                <w:tab w:val="left" w:pos="1980"/>
              </w:tabs>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规划在乾坤路与东环路交叉口处建1座集中供热的热源厂，向产业集聚区和清丰城区供热，优先选取燃气作为供热能源</w:t>
            </w:r>
          </w:p>
        </w:tc>
        <w:tc>
          <w:tcPr>
            <w:tcW w:w="2032" w:type="dxa"/>
            <w:tcBorders>
              <w:tl2br w:val="nil"/>
              <w:tr2bl w:val="nil"/>
            </w:tcBorders>
            <w:vAlign w:val="center"/>
          </w:tcPr>
          <w:p w14:paraId="7D4A2FD5">
            <w:pPr>
              <w:tabs>
                <w:tab w:val="left" w:pos="1980"/>
              </w:tabs>
              <w:jc w:val="center"/>
              <w:rPr>
                <w:rFonts w:ascii="Times New Roman" w:hAnsi="Times New Roman" w:cs="Times New Roman"/>
                <w:b/>
                <w:bCs w:val="0"/>
                <w:szCs w:val="21"/>
                <w:u w:val="single"/>
              </w:rPr>
            </w:pPr>
            <w:r>
              <w:rPr>
                <w:rFonts w:hint="eastAsia" w:ascii="Times New Roman" w:hAnsi="Times New Roman" w:cs="Times New Roman"/>
                <w:b/>
                <w:bCs w:val="0"/>
                <w:szCs w:val="21"/>
                <w:u w:val="single"/>
              </w:rPr>
              <w:t>本项目无需热源</w:t>
            </w:r>
          </w:p>
        </w:tc>
        <w:tc>
          <w:tcPr>
            <w:tcW w:w="1045" w:type="dxa"/>
            <w:tcBorders>
              <w:tl2br w:val="nil"/>
              <w:tr2bl w:val="nil"/>
            </w:tcBorders>
            <w:vAlign w:val="center"/>
          </w:tcPr>
          <w:p w14:paraId="03845D12">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bl>
    <w:p w14:paraId="2AE4E243">
      <w:pPr>
        <w:tabs>
          <w:tab w:val="left" w:pos="1980"/>
        </w:tabs>
        <w:spacing w:line="360" w:lineRule="auto"/>
        <w:ind w:firstLine="482" w:firstLineChars="200"/>
        <w:jc w:val="left"/>
        <w:rPr>
          <w:rFonts w:ascii="Times New Roman" w:hAnsi="Times New Roman" w:cs="Times New Roman"/>
          <w:b/>
          <w:bCs w:val="0"/>
          <w:sz w:val="24"/>
          <w:u w:val="single"/>
        </w:rPr>
      </w:pPr>
      <w:r>
        <w:rPr>
          <w:rFonts w:ascii="Times New Roman" w:hAnsi="Times New Roman" w:cs="Times New Roman"/>
          <w:b/>
          <w:bCs w:val="0"/>
          <w:sz w:val="24"/>
          <w:u w:val="single"/>
        </w:rPr>
        <w:t>由</w:t>
      </w:r>
      <w:r>
        <w:rPr>
          <w:rFonts w:hint="eastAsia" w:ascii="Times New Roman" w:hAnsi="Times New Roman" w:cs="Times New Roman"/>
          <w:b/>
          <w:bCs w:val="0"/>
          <w:sz w:val="24"/>
          <w:u w:val="single"/>
        </w:rPr>
        <w:t>上</w:t>
      </w:r>
      <w:r>
        <w:rPr>
          <w:rFonts w:ascii="Times New Roman" w:hAnsi="Times New Roman" w:cs="Times New Roman"/>
          <w:b/>
          <w:bCs w:val="0"/>
          <w:sz w:val="24"/>
          <w:u w:val="single"/>
        </w:rPr>
        <w:t>表可知，本项目符合清丰县产业集聚区总体规划。</w:t>
      </w:r>
      <w:bookmarkStart w:id="43" w:name="_Toc7484"/>
    </w:p>
    <w:bookmarkEnd w:id="43"/>
    <w:p w14:paraId="21F85BC2">
      <w:pPr>
        <w:spacing w:line="360" w:lineRule="auto"/>
        <w:ind w:firstLine="480"/>
        <w:rPr>
          <w:rFonts w:ascii="Times New Roman" w:hAnsi="Times New Roman" w:cs="Times New Roman"/>
          <w:b/>
          <w:bCs w:val="0"/>
          <w:sz w:val="24"/>
          <w:u w:val="single"/>
        </w:rPr>
      </w:pPr>
      <w:r>
        <w:rPr>
          <w:rFonts w:ascii="Times New Roman" w:hAnsi="Times New Roman" w:cs="Times New Roman"/>
          <w:b/>
          <w:bCs w:val="0"/>
          <w:sz w:val="24"/>
          <w:u w:val="single"/>
        </w:rPr>
        <w:t>本项目与集聚区环评提出的环境准入条件满足性分析见</w:t>
      </w:r>
      <w:r>
        <w:rPr>
          <w:rFonts w:hint="eastAsia" w:ascii="Times New Roman" w:hAnsi="Times New Roman" w:cs="Times New Roman"/>
          <w:b/>
          <w:bCs w:val="0"/>
          <w:sz w:val="24"/>
          <w:u w:val="single"/>
        </w:rPr>
        <w:t>下</w:t>
      </w:r>
      <w:r>
        <w:rPr>
          <w:rFonts w:ascii="Times New Roman" w:hAnsi="Times New Roman" w:cs="Times New Roman"/>
          <w:b/>
          <w:bCs w:val="0"/>
          <w:sz w:val="24"/>
          <w:u w:val="single"/>
        </w:rPr>
        <w:t>表。</w:t>
      </w:r>
    </w:p>
    <w:p w14:paraId="7D2C1925">
      <w:pPr>
        <w:numPr>
          <w:ilvl w:val="0"/>
          <w:numId w:val="25"/>
        </w:numPr>
        <w:spacing w:line="360" w:lineRule="auto"/>
        <w:ind w:left="0" w:leftChars="0" w:firstLine="0" w:firstLineChars="0"/>
        <w:jc w:val="center"/>
        <w:rPr>
          <w:rFonts w:hint="eastAsia" w:ascii="宋体" w:hAnsi="宋体" w:eastAsia="宋体" w:cs="宋体"/>
          <w:b/>
          <w:bCs w:val="0"/>
          <w:color w:val="000000" w:themeColor="text1"/>
          <w:szCs w:val="21"/>
          <w:u w:val="single"/>
          <w14:textFill>
            <w14:solidFill>
              <w14:schemeClr w14:val="tx1"/>
            </w14:solidFill>
          </w14:textFill>
        </w:rPr>
      </w:pPr>
      <w:r>
        <w:rPr>
          <w:rFonts w:hint="eastAsia" w:ascii="宋体" w:hAnsi="宋体" w:eastAsia="宋体" w:cs="宋体"/>
          <w:b/>
          <w:bCs w:val="0"/>
          <w:color w:val="000000" w:themeColor="text1"/>
          <w:szCs w:val="21"/>
          <w:u w:val="single"/>
          <w14:textFill>
            <w14:solidFill>
              <w14:schemeClr w14:val="tx1"/>
            </w14:solidFill>
          </w14:textFill>
        </w:rPr>
        <w:t xml:space="preserve">  本项目与规划环评提出环境准入条件相符性分析一览表</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321"/>
        <w:gridCol w:w="4631"/>
        <w:gridCol w:w="2056"/>
        <w:gridCol w:w="723"/>
      </w:tblGrid>
      <w:tr w14:paraId="1774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tcBorders>
              <w:tl2br w:val="nil"/>
              <w:tr2bl w:val="nil"/>
            </w:tcBorders>
            <w:vAlign w:val="center"/>
          </w:tcPr>
          <w:p w14:paraId="27A7B46F">
            <w:pPr>
              <w:pStyle w:val="12"/>
              <w:ind w:firstLine="0" w:firstLineChars="0"/>
              <w:jc w:val="center"/>
              <w:rPr>
                <w:rFonts w:ascii="Times New Roman" w:hAnsi="Times New Roman" w:cs="Times New Roman"/>
                <w:b/>
                <w:bCs w:val="0"/>
                <w:szCs w:val="21"/>
                <w:u w:val="single"/>
              </w:rPr>
            </w:pPr>
            <w:r>
              <w:rPr>
                <w:rFonts w:ascii="Times New Roman" w:hAnsi="Times New Roman" w:cs="Times New Roman"/>
                <w:b/>
                <w:bCs w:val="0"/>
                <w:szCs w:val="21"/>
                <w:u w:val="single"/>
              </w:rPr>
              <w:t>项目</w:t>
            </w:r>
          </w:p>
        </w:tc>
        <w:tc>
          <w:tcPr>
            <w:tcW w:w="4952" w:type="dxa"/>
            <w:gridSpan w:val="2"/>
            <w:tcBorders>
              <w:tl2br w:val="nil"/>
              <w:tr2bl w:val="nil"/>
            </w:tcBorders>
            <w:vAlign w:val="center"/>
          </w:tcPr>
          <w:p w14:paraId="7CFC45BB">
            <w:pPr>
              <w:pStyle w:val="12"/>
              <w:ind w:firstLine="0" w:firstLineChars="0"/>
              <w:jc w:val="center"/>
              <w:rPr>
                <w:rFonts w:ascii="Times New Roman" w:hAnsi="Times New Roman" w:cs="Times New Roman"/>
                <w:b/>
                <w:bCs w:val="0"/>
                <w:szCs w:val="21"/>
                <w:u w:val="single"/>
              </w:rPr>
            </w:pPr>
            <w:r>
              <w:rPr>
                <w:rFonts w:ascii="Times New Roman" w:hAnsi="Times New Roman" w:cs="Times New Roman"/>
                <w:b/>
                <w:bCs w:val="0"/>
                <w:szCs w:val="21"/>
                <w:u w:val="single"/>
              </w:rPr>
              <w:t>环境准入条件</w:t>
            </w:r>
          </w:p>
        </w:tc>
        <w:tc>
          <w:tcPr>
            <w:tcW w:w="2056" w:type="dxa"/>
            <w:tcBorders>
              <w:tl2br w:val="nil"/>
              <w:tr2bl w:val="nil"/>
            </w:tcBorders>
            <w:vAlign w:val="center"/>
          </w:tcPr>
          <w:p w14:paraId="2F000817">
            <w:pPr>
              <w:pStyle w:val="12"/>
              <w:ind w:firstLine="0" w:firstLineChars="0"/>
              <w:jc w:val="center"/>
              <w:rPr>
                <w:rFonts w:ascii="Times New Roman" w:hAnsi="Times New Roman" w:cs="Times New Roman"/>
                <w:b/>
                <w:bCs w:val="0"/>
                <w:szCs w:val="21"/>
                <w:u w:val="single"/>
              </w:rPr>
            </w:pPr>
            <w:r>
              <w:rPr>
                <w:rFonts w:ascii="Times New Roman" w:hAnsi="Times New Roman" w:cs="Times New Roman"/>
                <w:b/>
                <w:bCs w:val="0"/>
                <w:szCs w:val="21"/>
                <w:u w:val="single"/>
              </w:rPr>
              <w:t>项目情况</w:t>
            </w:r>
          </w:p>
        </w:tc>
        <w:tc>
          <w:tcPr>
            <w:tcW w:w="723" w:type="dxa"/>
            <w:tcBorders>
              <w:tl2br w:val="nil"/>
              <w:tr2bl w:val="nil"/>
            </w:tcBorders>
            <w:vAlign w:val="center"/>
          </w:tcPr>
          <w:p w14:paraId="791D79DC">
            <w:pPr>
              <w:pStyle w:val="12"/>
              <w:ind w:firstLine="0" w:firstLineChars="0"/>
              <w:jc w:val="center"/>
              <w:rPr>
                <w:rFonts w:ascii="Times New Roman" w:hAnsi="Times New Roman" w:cs="Times New Roman"/>
                <w:b/>
                <w:bCs w:val="0"/>
                <w:spacing w:val="-10"/>
                <w:szCs w:val="21"/>
                <w:u w:val="single"/>
              </w:rPr>
            </w:pPr>
            <w:r>
              <w:rPr>
                <w:rFonts w:ascii="Times New Roman" w:hAnsi="Times New Roman" w:cs="Times New Roman"/>
                <w:b/>
                <w:bCs w:val="0"/>
                <w:spacing w:val="-10"/>
                <w:szCs w:val="21"/>
                <w:u w:val="single"/>
              </w:rPr>
              <w:t>相符性</w:t>
            </w:r>
          </w:p>
        </w:tc>
      </w:tr>
      <w:tr w14:paraId="19E8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restart"/>
            <w:tcBorders>
              <w:tl2br w:val="nil"/>
              <w:tr2bl w:val="nil"/>
            </w:tcBorders>
            <w:vAlign w:val="center"/>
          </w:tcPr>
          <w:p w14:paraId="10393113">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产业发展要求</w:t>
            </w:r>
          </w:p>
        </w:tc>
        <w:tc>
          <w:tcPr>
            <w:tcW w:w="321" w:type="dxa"/>
            <w:tcBorders>
              <w:tl2br w:val="nil"/>
              <w:tr2bl w:val="nil"/>
            </w:tcBorders>
            <w:vAlign w:val="center"/>
          </w:tcPr>
          <w:p w14:paraId="713BE0EC">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1</w:t>
            </w:r>
          </w:p>
        </w:tc>
        <w:tc>
          <w:tcPr>
            <w:tcW w:w="4631" w:type="dxa"/>
            <w:tcBorders>
              <w:tl2br w:val="nil"/>
              <w:tr2bl w:val="nil"/>
            </w:tcBorders>
            <w:vAlign w:val="center"/>
          </w:tcPr>
          <w:p w14:paraId="5921172F">
            <w:pPr>
              <w:snapToGrid w:val="0"/>
              <w:rPr>
                <w:rFonts w:ascii="Times New Roman" w:hAnsi="Times New Roman" w:cs="Times New Roman"/>
                <w:b/>
                <w:bCs w:val="0"/>
                <w:szCs w:val="21"/>
                <w:u w:val="single"/>
              </w:rPr>
            </w:pPr>
            <w:r>
              <w:rPr>
                <w:rFonts w:ascii="Times New Roman" w:hAnsi="Times New Roman" w:cs="Times New Roman"/>
                <w:b/>
                <w:bCs w:val="0"/>
                <w:szCs w:val="21"/>
                <w:u w:val="single"/>
              </w:rPr>
              <w:t>积极发展和集聚区生产相配套的固废综合利用相关产业，实现集聚区内固废循环利用，完善区内静脉产业链，提高固废综合利用率</w:t>
            </w:r>
          </w:p>
        </w:tc>
        <w:tc>
          <w:tcPr>
            <w:tcW w:w="2056" w:type="dxa"/>
            <w:tcBorders>
              <w:tl2br w:val="nil"/>
              <w:tr2bl w:val="nil"/>
            </w:tcBorders>
            <w:vAlign w:val="center"/>
          </w:tcPr>
          <w:p w14:paraId="651454A8">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产生的固废实现综合利用</w:t>
            </w:r>
            <w:r>
              <w:rPr>
                <w:rFonts w:hint="eastAsia" w:ascii="Times New Roman" w:hAnsi="Times New Roman" w:cs="Times New Roman"/>
                <w:b/>
                <w:bCs w:val="0"/>
                <w:szCs w:val="21"/>
                <w:u w:val="single"/>
              </w:rPr>
              <w:t>，危废交由有资质单位处理</w:t>
            </w:r>
          </w:p>
        </w:tc>
        <w:tc>
          <w:tcPr>
            <w:tcW w:w="723" w:type="dxa"/>
            <w:tcBorders>
              <w:tl2br w:val="nil"/>
              <w:tr2bl w:val="nil"/>
            </w:tcBorders>
            <w:vAlign w:val="center"/>
          </w:tcPr>
          <w:p w14:paraId="746CA10D">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52D7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continue"/>
            <w:tcBorders>
              <w:tl2br w:val="nil"/>
              <w:tr2bl w:val="nil"/>
            </w:tcBorders>
            <w:vAlign w:val="center"/>
          </w:tcPr>
          <w:p w14:paraId="77E3768A">
            <w:pPr>
              <w:snapToGrid w:val="0"/>
              <w:jc w:val="center"/>
              <w:rPr>
                <w:rFonts w:ascii="Times New Roman" w:hAnsi="Times New Roman" w:cs="Times New Roman"/>
                <w:b/>
                <w:bCs w:val="0"/>
                <w:szCs w:val="21"/>
                <w:u w:val="single"/>
              </w:rPr>
            </w:pPr>
          </w:p>
        </w:tc>
        <w:tc>
          <w:tcPr>
            <w:tcW w:w="321" w:type="dxa"/>
            <w:tcBorders>
              <w:tl2br w:val="nil"/>
              <w:tr2bl w:val="nil"/>
            </w:tcBorders>
            <w:vAlign w:val="center"/>
          </w:tcPr>
          <w:p w14:paraId="05834578">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2</w:t>
            </w:r>
          </w:p>
        </w:tc>
        <w:tc>
          <w:tcPr>
            <w:tcW w:w="4631" w:type="dxa"/>
            <w:tcBorders>
              <w:tl2br w:val="nil"/>
              <w:tr2bl w:val="nil"/>
            </w:tcBorders>
            <w:vAlign w:val="center"/>
          </w:tcPr>
          <w:p w14:paraId="4D8EC9D3">
            <w:pPr>
              <w:snapToGrid w:val="0"/>
              <w:rPr>
                <w:rFonts w:ascii="Times New Roman" w:hAnsi="Times New Roman" w:cs="Times New Roman"/>
                <w:b/>
                <w:bCs w:val="0"/>
                <w:szCs w:val="21"/>
                <w:u w:val="single"/>
              </w:rPr>
            </w:pPr>
            <w:r>
              <w:rPr>
                <w:rFonts w:ascii="Times New Roman" w:hAnsi="Times New Roman" w:cs="Times New Roman"/>
                <w:b/>
                <w:bCs w:val="0"/>
                <w:szCs w:val="21"/>
                <w:u w:val="single"/>
              </w:rPr>
              <w:t>积极发挥集中供水、污水处理的优势，合理调配区内公共资源并以此为基础发展相关产业</w:t>
            </w:r>
          </w:p>
        </w:tc>
        <w:tc>
          <w:tcPr>
            <w:tcW w:w="2056" w:type="dxa"/>
            <w:tcBorders>
              <w:tl2br w:val="nil"/>
              <w:tr2bl w:val="nil"/>
            </w:tcBorders>
            <w:vAlign w:val="center"/>
          </w:tcPr>
          <w:p w14:paraId="2C7D4936">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项目用水采用集中供水，</w:t>
            </w:r>
            <w:r>
              <w:rPr>
                <w:rFonts w:hint="eastAsia"/>
                <w:b/>
                <w:bCs w:val="0"/>
                <w:szCs w:val="21"/>
                <w:u w:val="single"/>
              </w:rPr>
              <w:t>生活</w:t>
            </w:r>
            <w:r>
              <w:rPr>
                <w:rFonts w:ascii="Times New Roman" w:hAnsi="Times New Roman" w:cs="Times New Roman"/>
                <w:b/>
                <w:bCs w:val="0"/>
                <w:szCs w:val="21"/>
                <w:u w:val="single"/>
              </w:rPr>
              <w:t>废水经厂区</w:t>
            </w:r>
            <w:r>
              <w:rPr>
                <w:rFonts w:hint="eastAsia" w:ascii="Times New Roman" w:hAnsi="Times New Roman" w:cs="Times New Roman"/>
                <w:b/>
                <w:bCs w:val="0"/>
                <w:color w:val="auto"/>
                <w:szCs w:val="21"/>
                <w:u w:val="single"/>
              </w:rPr>
              <w:t>化粪池</w:t>
            </w:r>
            <w:r>
              <w:rPr>
                <w:rFonts w:ascii="Times New Roman" w:hAnsi="Times New Roman" w:cs="Times New Roman"/>
                <w:b/>
                <w:bCs w:val="0"/>
                <w:color w:val="auto"/>
                <w:szCs w:val="21"/>
                <w:u w:val="single"/>
              </w:rPr>
              <w:t>处理</w:t>
            </w:r>
            <w:r>
              <w:rPr>
                <w:rFonts w:hint="eastAsia" w:ascii="Times New Roman" w:hAnsi="Times New Roman" w:cs="Times New Roman"/>
                <w:b/>
                <w:bCs w:val="0"/>
                <w:color w:val="auto"/>
                <w:szCs w:val="21"/>
                <w:u w:val="single"/>
              </w:rPr>
              <w:t>、生产废水经厂区污</w:t>
            </w:r>
            <w:r>
              <w:rPr>
                <w:rFonts w:hint="eastAsia" w:ascii="Times New Roman" w:hAnsi="Times New Roman" w:cs="Times New Roman"/>
                <w:b/>
                <w:bCs w:val="0"/>
                <w:szCs w:val="21"/>
                <w:u w:val="single"/>
              </w:rPr>
              <w:t>水处理站处理</w:t>
            </w:r>
            <w:r>
              <w:rPr>
                <w:rFonts w:ascii="Times New Roman" w:hAnsi="Times New Roman" w:cs="Times New Roman"/>
                <w:b/>
                <w:bCs w:val="0"/>
                <w:szCs w:val="21"/>
                <w:u w:val="single"/>
              </w:rPr>
              <w:t>后，排入污水处理厂，可实现合理利用</w:t>
            </w:r>
          </w:p>
        </w:tc>
        <w:tc>
          <w:tcPr>
            <w:tcW w:w="723" w:type="dxa"/>
            <w:tcBorders>
              <w:tl2br w:val="nil"/>
              <w:tr2bl w:val="nil"/>
            </w:tcBorders>
            <w:vAlign w:val="center"/>
          </w:tcPr>
          <w:p w14:paraId="3C1E615A">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73C7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continue"/>
            <w:tcBorders>
              <w:tl2br w:val="nil"/>
              <w:tr2bl w:val="nil"/>
            </w:tcBorders>
            <w:vAlign w:val="center"/>
          </w:tcPr>
          <w:p w14:paraId="32056CAF">
            <w:pPr>
              <w:snapToGrid w:val="0"/>
              <w:jc w:val="center"/>
              <w:rPr>
                <w:rFonts w:ascii="Times New Roman" w:hAnsi="Times New Roman" w:cs="Times New Roman"/>
                <w:b/>
                <w:bCs w:val="0"/>
                <w:szCs w:val="21"/>
                <w:u w:val="single"/>
              </w:rPr>
            </w:pPr>
          </w:p>
        </w:tc>
        <w:tc>
          <w:tcPr>
            <w:tcW w:w="321" w:type="dxa"/>
            <w:tcBorders>
              <w:tl2br w:val="nil"/>
              <w:tr2bl w:val="nil"/>
            </w:tcBorders>
            <w:vAlign w:val="center"/>
          </w:tcPr>
          <w:p w14:paraId="4C6E836F">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3</w:t>
            </w:r>
          </w:p>
        </w:tc>
        <w:tc>
          <w:tcPr>
            <w:tcW w:w="4631" w:type="dxa"/>
            <w:tcBorders>
              <w:tl2br w:val="nil"/>
              <w:tr2bl w:val="nil"/>
            </w:tcBorders>
            <w:vAlign w:val="center"/>
          </w:tcPr>
          <w:p w14:paraId="535326FF">
            <w:pPr>
              <w:snapToGrid w:val="0"/>
              <w:rPr>
                <w:rFonts w:ascii="Times New Roman" w:hAnsi="Times New Roman" w:cs="Times New Roman"/>
                <w:b/>
                <w:bCs w:val="0"/>
                <w:szCs w:val="21"/>
                <w:u w:val="single"/>
              </w:rPr>
            </w:pPr>
            <w:r>
              <w:rPr>
                <w:rFonts w:ascii="Times New Roman" w:hAnsi="Times New Roman" w:cs="Times New Roman"/>
                <w:b/>
                <w:bCs w:val="0"/>
                <w:szCs w:val="21"/>
                <w:u w:val="single"/>
              </w:rPr>
              <w:t>农副产品加工行业必须是水污染较轻的初级农产品加工或者深加工项目，禁止引进屠宰、大规模畜禽养殖等污染严重项目</w:t>
            </w:r>
          </w:p>
        </w:tc>
        <w:tc>
          <w:tcPr>
            <w:tcW w:w="2056" w:type="dxa"/>
            <w:tcBorders>
              <w:tl2br w:val="nil"/>
              <w:tr2bl w:val="nil"/>
            </w:tcBorders>
            <w:vAlign w:val="center"/>
          </w:tcPr>
          <w:p w14:paraId="33C38C50">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不涉及</w:t>
            </w:r>
          </w:p>
        </w:tc>
        <w:tc>
          <w:tcPr>
            <w:tcW w:w="723" w:type="dxa"/>
            <w:tcBorders>
              <w:tl2br w:val="nil"/>
              <w:tr2bl w:val="nil"/>
            </w:tcBorders>
            <w:vAlign w:val="center"/>
          </w:tcPr>
          <w:p w14:paraId="2EDD0216">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w:t>
            </w:r>
          </w:p>
        </w:tc>
      </w:tr>
      <w:tr w14:paraId="65C6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restart"/>
            <w:tcBorders>
              <w:tl2br w:val="nil"/>
              <w:tr2bl w:val="nil"/>
            </w:tcBorders>
            <w:vAlign w:val="center"/>
          </w:tcPr>
          <w:p w14:paraId="12819E85">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生产规模和工艺技术先进性要求</w:t>
            </w:r>
          </w:p>
        </w:tc>
        <w:tc>
          <w:tcPr>
            <w:tcW w:w="321" w:type="dxa"/>
            <w:tcBorders>
              <w:tl2br w:val="nil"/>
              <w:tr2bl w:val="nil"/>
            </w:tcBorders>
            <w:vAlign w:val="center"/>
          </w:tcPr>
          <w:p w14:paraId="32A09EBB">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1</w:t>
            </w:r>
          </w:p>
        </w:tc>
        <w:tc>
          <w:tcPr>
            <w:tcW w:w="4631" w:type="dxa"/>
            <w:tcBorders>
              <w:tl2br w:val="nil"/>
              <w:tr2bl w:val="nil"/>
            </w:tcBorders>
            <w:vAlign w:val="center"/>
          </w:tcPr>
          <w:p w14:paraId="42D06CAD">
            <w:pPr>
              <w:snapToGrid w:val="0"/>
              <w:rPr>
                <w:rFonts w:ascii="Times New Roman" w:hAnsi="Times New Roman" w:cs="Times New Roman"/>
                <w:b/>
                <w:bCs w:val="0"/>
                <w:szCs w:val="21"/>
                <w:u w:val="single"/>
              </w:rPr>
            </w:pPr>
            <w:r>
              <w:rPr>
                <w:rFonts w:ascii="Times New Roman" w:hAnsi="Times New Roman" w:cs="Times New Roman"/>
                <w:b/>
                <w:bCs w:val="0"/>
                <w:szCs w:val="21"/>
                <w:u w:val="single"/>
              </w:rPr>
              <w:t>在工艺技术水平上，要求入驻集聚区的项目必须达到国内同行业领先水平或具备国际先进水平</w:t>
            </w:r>
          </w:p>
        </w:tc>
        <w:tc>
          <w:tcPr>
            <w:tcW w:w="2056" w:type="dxa"/>
            <w:tcBorders>
              <w:tl2br w:val="nil"/>
              <w:tr2bl w:val="nil"/>
            </w:tcBorders>
            <w:vAlign w:val="center"/>
          </w:tcPr>
          <w:p w14:paraId="577D150D">
            <w:pPr>
              <w:snapToGrid w:val="0"/>
              <w:rPr>
                <w:rFonts w:ascii="Times New Roman" w:hAnsi="Times New Roman" w:cs="Times New Roman"/>
                <w:b/>
                <w:bCs w:val="0"/>
                <w:szCs w:val="21"/>
                <w:u w:val="single"/>
              </w:rPr>
            </w:pPr>
            <w:r>
              <w:rPr>
                <w:rFonts w:ascii="Times New Roman" w:hAnsi="Times New Roman" w:cs="Times New Roman"/>
                <w:b/>
                <w:bCs w:val="0"/>
                <w:szCs w:val="21"/>
                <w:u w:val="single"/>
              </w:rPr>
              <w:t>工艺技术达到国内先进水平</w:t>
            </w:r>
          </w:p>
        </w:tc>
        <w:tc>
          <w:tcPr>
            <w:tcW w:w="723" w:type="dxa"/>
            <w:tcBorders>
              <w:tl2br w:val="nil"/>
              <w:tr2bl w:val="nil"/>
            </w:tcBorders>
            <w:vAlign w:val="center"/>
          </w:tcPr>
          <w:p w14:paraId="1FDCD302">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0B0F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continue"/>
            <w:tcBorders>
              <w:tl2br w:val="nil"/>
              <w:tr2bl w:val="nil"/>
            </w:tcBorders>
            <w:vAlign w:val="center"/>
          </w:tcPr>
          <w:p w14:paraId="39C1771A">
            <w:pPr>
              <w:snapToGrid w:val="0"/>
              <w:jc w:val="center"/>
              <w:rPr>
                <w:rFonts w:ascii="Times New Roman" w:hAnsi="Times New Roman" w:cs="Times New Roman"/>
                <w:b/>
                <w:bCs w:val="0"/>
                <w:szCs w:val="21"/>
                <w:u w:val="single"/>
              </w:rPr>
            </w:pPr>
          </w:p>
        </w:tc>
        <w:tc>
          <w:tcPr>
            <w:tcW w:w="321" w:type="dxa"/>
            <w:tcBorders>
              <w:tl2br w:val="nil"/>
              <w:tr2bl w:val="nil"/>
            </w:tcBorders>
            <w:vAlign w:val="center"/>
          </w:tcPr>
          <w:p w14:paraId="6B20C835">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2</w:t>
            </w:r>
          </w:p>
        </w:tc>
        <w:tc>
          <w:tcPr>
            <w:tcW w:w="4631" w:type="dxa"/>
            <w:tcBorders>
              <w:tl2br w:val="nil"/>
              <w:tr2bl w:val="nil"/>
            </w:tcBorders>
            <w:vAlign w:val="center"/>
          </w:tcPr>
          <w:p w14:paraId="13F7CED0">
            <w:pPr>
              <w:snapToGrid w:val="0"/>
              <w:rPr>
                <w:rFonts w:ascii="Times New Roman" w:hAnsi="Times New Roman" w:cs="Times New Roman"/>
                <w:b/>
                <w:bCs w:val="0"/>
                <w:szCs w:val="21"/>
                <w:u w:val="single"/>
              </w:rPr>
            </w:pPr>
            <w:r>
              <w:rPr>
                <w:rFonts w:ascii="Times New Roman" w:hAnsi="Times New Roman" w:cs="Times New Roman"/>
                <w:b/>
                <w:bCs w:val="0"/>
                <w:szCs w:val="21"/>
                <w:u w:val="single"/>
              </w:rPr>
              <w:t>建设规模应符合国家产业政策对相关经济规模的限制性要求</w:t>
            </w:r>
          </w:p>
        </w:tc>
        <w:tc>
          <w:tcPr>
            <w:tcW w:w="2056" w:type="dxa"/>
            <w:tcBorders>
              <w:tl2br w:val="nil"/>
              <w:tr2bl w:val="nil"/>
            </w:tcBorders>
            <w:vAlign w:val="center"/>
          </w:tcPr>
          <w:p w14:paraId="40294A9B">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本项目属于</w:t>
            </w:r>
            <w:r>
              <w:rPr>
                <w:rFonts w:hint="eastAsia" w:ascii="Times New Roman" w:hAnsi="Times New Roman" w:cs="Times New Roman"/>
                <w:b/>
                <w:bCs w:val="0"/>
                <w:szCs w:val="21"/>
                <w:u w:val="single"/>
              </w:rPr>
              <w:t>木质家具制造，总投资4000万元，符合建设规模要求</w:t>
            </w:r>
          </w:p>
        </w:tc>
        <w:tc>
          <w:tcPr>
            <w:tcW w:w="723" w:type="dxa"/>
            <w:tcBorders>
              <w:tl2br w:val="nil"/>
              <w:tr2bl w:val="nil"/>
            </w:tcBorders>
            <w:vAlign w:val="center"/>
          </w:tcPr>
          <w:p w14:paraId="7A87E445">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639E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continue"/>
            <w:tcBorders>
              <w:tl2br w:val="nil"/>
              <w:tr2bl w:val="nil"/>
            </w:tcBorders>
            <w:vAlign w:val="center"/>
          </w:tcPr>
          <w:p w14:paraId="3F21D358">
            <w:pPr>
              <w:snapToGrid w:val="0"/>
              <w:jc w:val="center"/>
              <w:rPr>
                <w:rFonts w:ascii="Times New Roman" w:hAnsi="Times New Roman" w:cs="Times New Roman"/>
                <w:b/>
                <w:bCs w:val="0"/>
                <w:szCs w:val="21"/>
                <w:u w:val="single"/>
              </w:rPr>
            </w:pPr>
          </w:p>
        </w:tc>
        <w:tc>
          <w:tcPr>
            <w:tcW w:w="321" w:type="dxa"/>
            <w:tcBorders>
              <w:tl2br w:val="nil"/>
              <w:tr2bl w:val="nil"/>
            </w:tcBorders>
            <w:vAlign w:val="center"/>
          </w:tcPr>
          <w:p w14:paraId="7434C1E6">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3</w:t>
            </w:r>
          </w:p>
        </w:tc>
        <w:tc>
          <w:tcPr>
            <w:tcW w:w="4631" w:type="dxa"/>
            <w:tcBorders>
              <w:tl2br w:val="nil"/>
              <w:tr2bl w:val="nil"/>
            </w:tcBorders>
            <w:vAlign w:val="center"/>
          </w:tcPr>
          <w:p w14:paraId="56B0FCAE">
            <w:pPr>
              <w:snapToGrid w:val="0"/>
              <w:rPr>
                <w:rFonts w:ascii="Times New Roman" w:hAnsi="Times New Roman" w:cs="Times New Roman"/>
                <w:b/>
                <w:bCs w:val="0"/>
                <w:szCs w:val="21"/>
                <w:u w:val="single"/>
              </w:rPr>
            </w:pPr>
            <w:r>
              <w:rPr>
                <w:rFonts w:ascii="Times New Roman" w:hAnsi="Times New Roman" w:cs="Times New Roman"/>
                <w:b/>
                <w:bCs w:val="0"/>
                <w:szCs w:val="21"/>
                <w:u w:val="single"/>
              </w:rPr>
              <w:t>县城区域搬迁入住集聚区的企业应进行产品和生产技术的升级改造，达到国家相关规定以及产业集聚区的环保准入要求</w:t>
            </w:r>
          </w:p>
        </w:tc>
        <w:tc>
          <w:tcPr>
            <w:tcW w:w="2056" w:type="dxa"/>
            <w:tcBorders>
              <w:tl2br w:val="nil"/>
              <w:tr2bl w:val="nil"/>
            </w:tcBorders>
            <w:vAlign w:val="center"/>
          </w:tcPr>
          <w:p w14:paraId="346721A2">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满足环保准入要求</w:t>
            </w:r>
          </w:p>
        </w:tc>
        <w:tc>
          <w:tcPr>
            <w:tcW w:w="723" w:type="dxa"/>
            <w:tcBorders>
              <w:tl2br w:val="nil"/>
              <w:tr2bl w:val="nil"/>
            </w:tcBorders>
            <w:vAlign w:val="center"/>
          </w:tcPr>
          <w:p w14:paraId="1FDC5A1D">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38D1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restart"/>
            <w:tcBorders>
              <w:tl2br w:val="nil"/>
              <w:tr2bl w:val="nil"/>
            </w:tcBorders>
            <w:vAlign w:val="center"/>
          </w:tcPr>
          <w:p w14:paraId="490A5E45">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清洁生产水平</w:t>
            </w:r>
          </w:p>
        </w:tc>
        <w:tc>
          <w:tcPr>
            <w:tcW w:w="321" w:type="dxa"/>
            <w:tcBorders>
              <w:tl2br w:val="nil"/>
              <w:tr2bl w:val="nil"/>
            </w:tcBorders>
            <w:vAlign w:val="center"/>
          </w:tcPr>
          <w:p w14:paraId="140F2A5E">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1</w:t>
            </w:r>
          </w:p>
        </w:tc>
        <w:tc>
          <w:tcPr>
            <w:tcW w:w="4631" w:type="dxa"/>
            <w:tcBorders>
              <w:tl2br w:val="nil"/>
              <w:tr2bl w:val="nil"/>
            </w:tcBorders>
            <w:vAlign w:val="center"/>
          </w:tcPr>
          <w:p w14:paraId="7DEA75DC">
            <w:pPr>
              <w:snapToGrid w:val="0"/>
              <w:rPr>
                <w:rFonts w:ascii="Times New Roman" w:hAnsi="Times New Roman" w:cs="Times New Roman"/>
                <w:b/>
                <w:bCs w:val="0"/>
                <w:szCs w:val="21"/>
                <w:u w:val="single"/>
              </w:rPr>
            </w:pPr>
            <w:r>
              <w:rPr>
                <w:rFonts w:ascii="Times New Roman" w:hAnsi="Times New Roman" w:cs="Times New Roman"/>
                <w:b/>
                <w:bCs w:val="0"/>
                <w:szCs w:val="21"/>
                <w:u w:val="single"/>
              </w:rPr>
              <w:t>应选择使用原料和产品为环境友好型的项目，避免使用和生产“三致”原料和产品，避免聚集区大规模建设造成的不良辐射效应诱使国家明令禁止的项目在集聚区周边出现</w:t>
            </w:r>
          </w:p>
        </w:tc>
        <w:tc>
          <w:tcPr>
            <w:tcW w:w="2056" w:type="dxa"/>
            <w:tcBorders>
              <w:tl2br w:val="nil"/>
              <w:tr2bl w:val="nil"/>
            </w:tcBorders>
            <w:vAlign w:val="center"/>
          </w:tcPr>
          <w:p w14:paraId="3406BE9C">
            <w:pPr>
              <w:snapToGrid w:val="0"/>
              <w:jc w:val="center"/>
              <w:rPr>
                <w:rFonts w:ascii="Times New Roman" w:hAnsi="Times New Roman" w:eastAsia="宋体" w:cs="Times New Roman"/>
                <w:b/>
                <w:bCs w:val="0"/>
                <w:szCs w:val="21"/>
                <w:u w:val="single"/>
              </w:rPr>
            </w:pPr>
            <w:r>
              <w:rPr>
                <w:rFonts w:hint="eastAsia" w:ascii="Times New Roman" w:hAnsi="Times New Roman" w:cs="Times New Roman"/>
                <w:b/>
                <w:bCs w:val="0"/>
                <w:szCs w:val="21"/>
                <w:u w:val="single"/>
              </w:rPr>
              <w:t>根据工程分析，本项目</w:t>
            </w:r>
            <w:r>
              <w:rPr>
                <w:rFonts w:ascii="Times New Roman" w:hAnsi="Times New Roman" w:cs="Times New Roman"/>
                <w:b/>
                <w:bCs w:val="0"/>
                <w:szCs w:val="21"/>
                <w:u w:val="single"/>
              </w:rPr>
              <w:t>主要原料为环保型涂料</w:t>
            </w:r>
          </w:p>
        </w:tc>
        <w:tc>
          <w:tcPr>
            <w:tcW w:w="723" w:type="dxa"/>
            <w:tcBorders>
              <w:tl2br w:val="nil"/>
              <w:tr2bl w:val="nil"/>
            </w:tcBorders>
            <w:vAlign w:val="center"/>
          </w:tcPr>
          <w:p w14:paraId="6AE88546">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15FE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continue"/>
            <w:tcBorders>
              <w:tl2br w:val="nil"/>
              <w:tr2bl w:val="nil"/>
            </w:tcBorders>
            <w:vAlign w:val="center"/>
          </w:tcPr>
          <w:p w14:paraId="4393895D">
            <w:pPr>
              <w:snapToGrid w:val="0"/>
              <w:jc w:val="center"/>
              <w:rPr>
                <w:rFonts w:ascii="Times New Roman" w:hAnsi="Times New Roman" w:cs="Times New Roman"/>
                <w:b/>
                <w:bCs w:val="0"/>
                <w:szCs w:val="21"/>
                <w:u w:val="single"/>
              </w:rPr>
            </w:pPr>
          </w:p>
        </w:tc>
        <w:tc>
          <w:tcPr>
            <w:tcW w:w="321" w:type="dxa"/>
            <w:tcBorders>
              <w:tl2br w:val="nil"/>
              <w:tr2bl w:val="nil"/>
            </w:tcBorders>
            <w:vAlign w:val="center"/>
          </w:tcPr>
          <w:p w14:paraId="562DF321">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2</w:t>
            </w:r>
          </w:p>
        </w:tc>
        <w:tc>
          <w:tcPr>
            <w:tcW w:w="4631" w:type="dxa"/>
            <w:tcBorders>
              <w:tl2br w:val="nil"/>
              <w:tr2bl w:val="nil"/>
            </w:tcBorders>
            <w:vAlign w:val="center"/>
          </w:tcPr>
          <w:p w14:paraId="16235CC4">
            <w:pPr>
              <w:snapToGrid w:val="0"/>
              <w:rPr>
                <w:rFonts w:ascii="Times New Roman" w:hAnsi="Times New Roman" w:cs="Times New Roman"/>
                <w:b/>
                <w:bCs w:val="0"/>
                <w:szCs w:val="21"/>
                <w:u w:val="single"/>
              </w:rPr>
            </w:pPr>
            <w:r>
              <w:rPr>
                <w:rFonts w:ascii="Times New Roman" w:hAnsi="Times New Roman" w:cs="Times New Roman"/>
                <w:b/>
                <w:bCs w:val="0"/>
                <w:szCs w:val="21"/>
                <w:u w:val="single"/>
              </w:rPr>
              <w:t>入驻聚集区的新建项目的单位产品水耗、单位产品污染物排放量等清洁生产指标应达到国内同行业领先或国际先进水平。项目整体清洁生产水平应达到或超过国内先进或领先水平</w:t>
            </w:r>
          </w:p>
        </w:tc>
        <w:tc>
          <w:tcPr>
            <w:tcW w:w="2056" w:type="dxa"/>
            <w:tcBorders>
              <w:tl2br w:val="nil"/>
              <w:tr2bl w:val="nil"/>
            </w:tcBorders>
            <w:vAlign w:val="center"/>
          </w:tcPr>
          <w:p w14:paraId="3B7CABD4">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清洁生产水平达到国内先进水平</w:t>
            </w:r>
          </w:p>
        </w:tc>
        <w:tc>
          <w:tcPr>
            <w:tcW w:w="723" w:type="dxa"/>
            <w:tcBorders>
              <w:tl2br w:val="nil"/>
              <w:tr2bl w:val="nil"/>
            </w:tcBorders>
            <w:vAlign w:val="center"/>
          </w:tcPr>
          <w:p w14:paraId="67CA1185">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08640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restart"/>
            <w:tcBorders>
              <w:tl2br w:val="nil"/>
              <w:tr2bl w:val="nil"/>
            </w:tcBorders>
            <w:vAlign w:val="center"/>
          </w:tcPr>
          <w:p w14:paraId="685D0C5B">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污染物排放总量控制</w:t>
            </w:r>
          </w:p>
        </w:tc>
        <w:tc>
          <w:tcPr>
            <w:tcW w:w="321" w:type="dxa"/>
            <w:tcBorders>
              <w:tl2br w:val="nil"/>
              <w:tr2bl w:val="nil"/>
            </w:tcBorders>
            <w:vAlign w:val="center"/>
          </w:tcPr>
          <w:p w14:paraId="0FA69D23">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1</w:t>
            </w:r>
          </w:p>
        </w:tc>
        <w:tc>
          <w:tcPr>
            <w:tcW w:w="4631" w:type="dxa"/>
            <w:tcBorders>
              <w:tl2br w:val="nil"/>
              <w:tr2bl w:val="nil"/>
            </w:tcBorders>
            <w:vAlign w:val="center"/>
          </w:tcPr>
          <w:p w14:paraId="246724A9">
            <w:pPr>
              <w:snapToGrid w:val="0"/>
              <w:rPr>
                <w:rFonts w:ascii="Times New Roman" w:hAnsi="Times New Roman" w:cs="Times New Roman"/>
                <w:b/>
                <w:bCs w:val="0"/>
                <w:szCs w:val="21"/>
                <w:u w:val="single"/>
              </w:rPr>
            </w:pPr>
            <w:r>
              <w:rPr>
                <w:rFonts w:ascii="Times New Roman" w:hAnsi="Times New Roman" w:cs="Times New Roman"/>
                <w:b/>
                <w:bCs w:val="0"/>
                <w:szCs w:val="21"/>
                <w:u w:val="single"/>
              </w:rPr>
              <w:t>新建项目的大气和水污染物排放指标必须在提高区域内现有工业污染负荷削减量或城市污染负荷削减量中调剂</w:t>
            </w:r>
          </w:p>
        </w:tc>
        <w:tc>
          <w:tcPr>
            <w:tcW w:w="2056" w:type="dxa"/>
            <w:tcBorders>
              <w:tl2br w:val="nil"/>
              <w:tr2bl w:val="nil"/>
            </w:tcBorders>
            <w:vAlign w:val="center"/>
          </w:tcPr>
          <w:p w14:paraId="6E3C69FB">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本项目大气总量在削减量中调剂，水污染物排放指标需进行总量调剂</w:t>
            </w:r>
          </w:p>
        </w:tc>
        <w:tc>
          <w:tcPr>
            <w:tcW w:w="723" w:type="dxa"/>
            <w:tcBorders>
              <w:tl2br w:val="nil"/>
              <w:tr2bl w:val="nil"/>
            </w:tcBorders>
            <w:vAlign w:val="center"/>
          </w:tcPr>
          <w:p w14:paraId="20D30D24">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78CD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continue"/>
            <w:tcBorders>
              <w:tl2br w:val="nil"/>
              <w:tr2bl w:val="nil"/>
            </w:tcBorders>
            <w:vAlign w:val="center"/>
          </w:tcPr>
          <w:p w14:paraId="1DF66C58">
            <w:pPr>
              <w:snapToGrid w:val="0"/>
              <w:jc w:val="center"/>
              <w:rPr>
                <w:rFonts w:ascii="Times New Roman" w:hAnsi="Times New Roman" w:cs="Times New Roman"/>
                <w:b/>
                <w:bCs w:val="0"/>
                <w:szCs w:val="21"/>
                <w:u w:val="single"/>
              </w:rPr>
            </w:pPr>
          </w:p>
        </w:tc>
        <w:tc>
          <w:tcPr>
            <w:tcW w:w="321" w:type="dxa"/>
            <w:tcBorders>
              <w:tl2br w:val="nil"/>
              <w:tr2bl w:val="nil"/>
            </w:tcBorders>
            <w:vAlign w:val="center"/>
          </w:tcPr>
          <w:p w14:paraId="7276283F">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2</w:t>
            </w:r>
          </w:p>
        </w:tc>
        <w:tc>
          <w:tcPr>
            <w:tcW w:w="4631" w:type="dxa"/>
            <w:tcBorders>
              <w:tl2br w:val="nil"/>
              <w:tr2bl w:val="nil"/>
            </w:tcBorders>
            <w:vAlign w:val="center"/>
          </w:tcPr>
          <w:p w14:paraId="00FBB169">
            <w:pPr>
              <w:snapToGrid w:val="0"/>
              <w:rPr>
                <w:rFonts w:ascii="Times New Roman" w:hAnsi="Times New Roman" w:cs="Times New Roman"/>
                <w:b/>
                <w:bCs w:val="0"/>
                <w:szCs w:val="21"/>
                <w:u w:val="single"/>
              </w:rPr>
            </w:pPr>
            <w:r>
              <w:rPr>
                <w:rFonts w:ascii="Times New Roman" w:hAnsi="Times New Roman" w:cs="Times New Roman"/>
                <w:b/>
                <w:bCs w:val="0"/>
                <w:szCs w:val="21"/>
                <w:u w:val="single"/>
              </w:rPr>
              <w:t>属于环保搬迁的项目，污染物排放指标原则上不能超过2005年现状污染物排放量（以达标排放计）</w:t>
            </w:r>
          </w:p>
        </w:tc>
        <w:tc>
          <w:tcPr>
            <w:tcW w:w="2056" w:type="dxa"/>
            <w:tcBorders>
              <w:tl2br w:val="nil"/>
              <w:tr2bl w:val="nil"/>
            </w:tcBorders>
            <w:vAlign w:val="center"/>
          </w:tcPr>
          <w:p w14:paraId="2042603A">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不涉及</w:t>
            </w:r>
          </w:p>
        </w:tc>
        <w:tc>
          <w:tcPr>
            <w:tcW w:w="723" w:type="dxa"/>
            <w:tcBorders>
              <w:tl2br w:val="nil"/>
              <w:tr2bl w:val="nil"/>
            </w:tcBorders>
            <w:vAlign w:val="center"/>
          </w:tcPr>
          <w:p w14:paraId="003420F9">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w:t>
            </w:r>
          </w:p>
        </w:tc>
      </w:tr>
      <w:tr w14:paraId="6AAA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dxa"/>
            <w:vMerge w:val="continue"/>
            <w:tcBorders>
              <w:tl2br w:val="nil"/>
              <w:tr2bl w:val="nil"/>
            </w:tcBorders>
            <w:vAlign w:val="center"/>
          </w:tcPr>
          <w:p w14:paraId="253C5F7F">
            <w:pPr>
              <w:snapToGrid w:val="0"/>
              <w:jc w:val="center"/>
              <w:rPr>
                <w:rFonts w:ascii="Times New Roman" w:hAnsi="Times New Roman" w:cs="Times New Roman"/>
                <w:b/>
                <w:bCs w:val="0"/>
                <w:szCs w:val="21"/>
                <w:u w:val="single"/>
              </w:rPr>
            </w:pPr>
          </w:p>
        </w:tc>
        <w:tc>
          <w:tcPr>
            <w:tcW w:w="321" w:type="dxa"/>
            <w:tcBorders>
              <w:tl2br w:val="nil"/>
              <w:tr2bl w:val="nil"/>
            </w:tcBorders>
            <w:vAlign w:val="center"/>
          </w:tcPr>
          <w:p w14:paraId="1BF349B3">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3</w:t>
            </w:r>
          </w:p>
        </w:tc>
        <w:tc>
          <w:tcPr>
            <w:tcW w:w="4631" w:type="dxa"/>
            <w:tcBorders>
              <w:tl2br w:val="nil"/>
              <w:tr2bl w:val="nil"/>
            </w:tcBorders>
            <w:vAlign w:val="center"/>
          </w:tcPr>
          <w:p w14:paraId="389E7230">
            <w:pPr>
              <w:snapToGrid w:val="0"/>
              <w:rPr>
                <w:rFonts w:ascii="Times New Roman" w:hAnsi="Times New Roman" w:cs="Times New Roman"/>
                <w:b/>
                <w:bCs w:val="0"/>
                <w:szCs w:val="21"/>
                <w:u w:val="single"/>
              </w:rPr>
            </w:pPr>
            <w:r>
              <w:rPr>
                <w:rFonts w:ascii="Times New Roman" w:hAnsi="Times New Roman" w:cs="Times New Roman"/>
                <w:b/>
                <w:bCs w:val="0"/>
                <w:szCs w:val="21"/>
                <w:u w:val="single"/>
              </w:rPr>
              <w:t>入驻项目“三废”治理必须有可靠、成熟和经济的处理处置设施，否则应慎重引进</w:t>
            </w:r>
          </w:p>
        </w:tc>
        <w:tc>
          <w:tcPr>
            <w:tcW w:w="2056" w:type="dxa"/>
            <w:tcBorders>
              <w:tl2br w:val="nil"/>
              <w:tr2bl w:val="nil"/>
            </w:tcBorders>
            <w:vAlign w:val="center"/>
          </w:tcPr>
          <w:p w14:paraId="3785FA81">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三废治理技术较为成熟</w:t>
            </w:r>
          </w:p>
        </w:tc>
        <w:tc>
          <w:tcPr>
            <w:tcW w:w="723" w:type="dxa"/>
            <w:tcBorders>
              <w:tl2br w:val="nil"/>
              <w:tr2bl w:val="nil"/>
            </w:tcBorders>
            <w:vAlign w:val="center"/>
          </w:tcPr>
          <w:p w14:paraId="5D33FE90">
            <w:pPr>
              <w:snapToGrid w:val="0"/>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bl>
    <w:p w14:paraId="6ED84B18">
      <w:pPr>
        <w:tabs>
          <w:tab w:val="left" w:pos="1980"/>
        </w:tabs>
        <w:spacing w:line="360" w:lineRule="auto"/>
        <w:ind w:firstLine="482" w:firstLineChars="200"/>
        <w:jc w:val="left"/>
        <w:rPr>
          <w:rFonts w:ascii="Times New Roman" w:hAnsi="Times New Roman" w:cs="Times New Roman"/>
          <w:b/>
          <w:bCs w:val="0"/>
          <w:sz w:val="24"/>
          <w:u w:val="single"/>
        </w:rPr>
      </w:pPr>
      <w:r>
        <w:rPr>
          <w:rFonts w:ascii="Times New Roman" w:hAnsi="Times New Roman" w:cs="Times New Roman"/>
          <w:b/>
          <w:bCs w:val="0"/>
          <w:sz w:val="24"/>
          <w:u w:val="single"/>
        </w:rPr>
        <w:t>由上表可以看出，本项目满足集聚区规划环评的环境准入条件。</w:t>
      </w:r>
    </w:p>
    <w:p w14:paraId="0847FAE1">
      <w:pPr>
        <w:spacing w:line="360" w:lineRule="auto"/>
        <w:ind w:firstLine="482" w:firstLineChars="200"/>
        <w:rPr>
          <w:rFonts w:ascii="Times New Roman" w:hAnsi="Times New Roman" w:cs="Times New Roman"/>
          <w:b/>
          <w:bCs w:val="0"/>
          <w:sz w:val="24"/>
          <w:u w:val="single"/>
        </w:rPr>
      </w:pPr>
      <w:r>
        <w:rPr>
          <w:rFonts w:ascii="Times New Roman" w:hAnsi="Times New Roman" w:cs="Times New Roman"/>
          <w:b/>
          <w:bCs w:val="0"/>
          <w:sz w:val="24"/>
          <w:u w:val="single"/>
          <w:shd w:val="clear" w:color="EEF3FE" w:fill="auto"/>
        </w:rPr>
        <w:t>根据《清丰县产业集聚区发展规划（2013-2020）环境影响报告书》可知，集聚区规划及规划环评对产生特征污染物的建设项目采取有效的治理措施，确保稳定达标排放。</w:t>
      </w:r>
    </w:p>
    <w:p w14:paraId="3B435C79">
      <w:pPr>
        <w:pStyle w:val="12"/>
        <w:spacing w:line="360" w:lineRule="auto"/>
        <w:ind w:firstLine="480"/>
        <w:rPr>
          <w:rFonts w:ascii="Times New Roman" w:hAnsi="Times New Roman" w:cs="Times New Roman"/>
          <w:b/>
          <w:bCs w:val="0"/>
          <w:sz w:val="24"/>
          <w:u w:val="single"/>
        </w:rPr>
      </w:pPr>
      <w:r>
        <w:rPr>
          <w:rFonts w:hint="eastAsia" w:ascii="Times New Roman" w:hAnsi="Times New Roman" w:cs="Times New Roman"/>
          <w:b/>
          <w:bCs w:val="0"/>
          <w:sz w:val="24"/>
          <w:u w:val="single"/>
        </w:rPr>
        <w:t>清丰县产业集聚区</w:t>
      </w:r>
      <w:r>
        <w:rPr>
          <w:rFonts w:ascii="Times New Roman" w:hAnsi="Times New Roman" w:cs="Times New Roman"/>
          <w:b/>
          <w:bCs w:val="0"/>
          <w:sz w:val="24"/>
          <w:u w:val="single"/>
        </w:rPr>
        <w:t>负面清单内容见下表。</w:t>
      </w:r>
    </w:p>
    <w:p w14:paraId="0F9F0EA8">
      <w:pPr>
        <w:numPr>
          <w:ilvl w:val="0"/>
          <w:numId w:val="25"/>
        </w:numPr>
        <w:spacing w:line="360" w:lineRule="auto"/>
        <w:ind w:left="0" w:leftChars="0" w:firstLine="0" w:firstLineChars="0"/>
        <w:jc w:val="center"/>
        <w:rPr>
          <w:rFonts w:hint="eastAsia" w:ascii="宋体" w:hAnsi="宋体" w:eastAsia="宋体" w:cs="宋体"/>
          <w:b/>
          <w:bCs w:val="0"/>
          <w:color w:val="000000" w:themeColor="text1"/>
          <w:szCs w:val="21"/>
          <w:u w:val="single"/>
          <w14:textFill>
            <w14:solidFill>
              <w14:schemeClr w14:val="tx1"/>
            </w14:solidFill>
          </w14:textFill>
        </w:rPr>
      </w:pPr>
      <w:r>
        <w:rPr>
          <w:rFonts w:hint="eastAsia" w:ascii="宋体" w:hAnsi="宋体" w:eastAsia="宋体" w:cs="宋体"/>
          <w:b/>
          <w:bCs w:val="0"/>
          <w:color w:val="000000" w:themeColor="text1"/>
          <w:szCs w:val="21"/>
          <w:u w:val="single"/>
          <w14:textFill>
            <w14:solidFill>
              <w14:schemeClr w14:val="tx1"/>
            </w14:solidFill>
          </w14:textFill>
        </w:rPr>
        <w:t xml:space="preserve">  评价建议的聚集区产品、工艺、行业负面清单</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014"/>
        <w:gridCol w:w="706"/>
        <w:gridCol w:w="2117"/>
        <w:gridCol w:w="806"/>
      </w:tblGrid>
      <w:tr w14:paraId="433E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76" w:type="dxa"/>
            <w:tcBorders>
              <w:tl2br w:val="nil"/>
              <w:tr2bl w:val="nil"/>
            </w:tcBorders>
            <w:vAlign w:val="center"/>
          </w:tcPr>
          <w:p w14:paraId="16D4E1AB">
            <w:pPr>
              <w:tabs>
                <w:tab w:val="left" w:pos="1980"/>
              </w:tabs>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类别</w:t>
            </w:r>
          </w:p>
        </w:tc>
        <w:tc>
          <w:tcPr>
            <w:tcW w:w="4014" w:type="dxa"/>
            <w:tcBorders>
              <w:tl2br w:val="nil"/>
              <w:tr2bl w:val="nil"/>
            </w:tcBorders>
            <w:vAlign w:val="center"/>
          </w:tcPr>
          <w:p w14:paraId="768D8509">
            <w:pPr>
              <w:tabs>
                <w:tab w:val="left" w:pos="1980"/>
              </w:tabs>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负面清单</w:t>
            </w:r>
          </w:p>
        </w:tc>
        <w:tc>
          <w:tcPr>
            <w:tcW w:w="706" w:type="dxa"/>
            <w:tcBorders>
              <w:tl2br w:val="nil"/>
              <w:tr2bl w:val="nil"/>
            </w:tcBorders>
            <w:vAlign w:val="center"/>
          </w:tcPr>
          <w:p w14:paraId="27E33421">
            <w:pPr>
              <w:tabs>
                <w:tab w:val="left" w:pos="1980"/>
              </w:tabs>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备注</w:t>
            </w:r>
          </w:p>
        </w:tc>
        <w:tc>
          <w:tcPr>
            <w:tcW w:w="2117" w:type="dxa"/>
            <w:tcBorders>
              <w:tl2br w:val="nil"/>
              <w:tr2bl w:val="nil"/>
            </w:tcBorders>
            <w:vAlign w:val="center"/>
          </w:tcPr>
          <w:p w14:paraId="3ACD365C">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本项目</w:t>
            </w:r>
          </w:p>
        </w:tc>
        <w:tc>
          <w:tcPr>
            <w:tcW w:w="806" w:type="dxa"/>
            <w:tcBorders>
              <w:tl2br w:val="nil"/>
              <w:tr2bl w:val="nil"/>
            </w:tcBorders>
            <w:vAlign w:val="center"/>
          </w:tcPr>
          <w:p w14:paraId="50517403">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相符性</w:t>
            </w:r>
          </w:p>
        </w:tc>
      </w:tr>
      <w:tr w14:paraId="0A85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6" w:type="dxa"/>
            <w:vMerge w:val="restart"/>
            <w:tcBorders>
              <w:tl2br w:val="nil"/>
              <w:tr2bl w:val="nil"/>
            </w:tcBorders>
            <w:vAlign w:val="center"/>
          </w:tcPr>
          <w:p w14:paraId="6228038E">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w:t>
            </w:r>
          </w:p>
          <w:p w14:paraId="08666D72">
            <w:pPr>
              <w:tabs>
                <w:tab w:val="left" w:pos="1980"/>
              </w:tabs>
              <w:jc w:val="center"/>
              <w:rPr>
                <w:rFonts w:ascii="Times New Roman" w:hAnsi="Times New Roman" w:cs="Times New Roman"/>
                <w:b/>
                <w:bCs w:val="0"/>
                <w:szCs w:val="21"/>
                <w:u w:val="single"/>
              </w:rPr>
            </w:pPr>
          </w:p>
        </w:tc>
        <w:tc>
          <w:tcPr>
            <w:tcW w:w="4014" w:type="dxa"/>
            <w:tcBorders>
              <w:tl2br w:val="nil"/>
              <w:tr2bl w:val="nil"/>
            </w:tcBorders>
            <w:vAlign w:val="center"/>
          </w:tcPr>
          <w:p w14:paraId="5F5E1E81">
            <w:pPr>
              <w:tabs>
                <w:tab w:val="left" w:pos="1980"/>
              </w:tabs>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坚持以国家相关产业政策和环境保护政策为指导，引进的项目必须符合国家产业政策和环保政策的要求；禁止不符合国家产业政策及环境保护政策的项目入驻聚集区</w:t>
            </w:r>
          </w:p>
        </w:tc>
        <w:tc>
          <w:tcPr>
            <w:tcW w:w="706" w:type="dxa"/>
            <w:tcBorders>
              <w:tl2br w:val="nil"/>
              <w:tr2bl w:val="nil"/>
            </w:tcBorders>
            <w:vAlign w:val="center"/>
          </w:tcPr>
          <w:p w14:paraId="0493232A">
            <w:pPr>
              <w:tabs>
                <w:tab w:val="left" w:pos="1980"/>
              </w:tabs>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禁止入区</w:t>
            </w:r>
          </w:p>
        </w:tc>
        <w:tc>
          <w:tcPr>
            <w:tcW w:w="2117" w:type="dxa"/>
            <w:tcBorders>
              <w:tl2br w:val="nil"/>
              <w:tr2bl w:val="nil"/>
            </w:tcBorders>
            <w:vAlign w:val="center"/>
          </w:tcPr>
          <w:p w14:paraId="6AD9BFCA">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本项目符合国家产业政策</w:t>
            </w:r>
          </w:p>
        </w:tc>
        <w:tc>
          <w:tcPr>
            <w:tcW w:w="806" w:type="dxa"/>
            <w:tcBorders>
              <w:tl2br w:val="nil"/>
              <w:tr2bl w:val="nil"/>
            </w:tcBorders>
            <w:vAlign w:val="center"/>
          </w:tcPr>
          <w:p w14:paraId="6E835C04">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5CD7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876" w:type="dxa"/>
            <w:vMerge w:val="continue"/>
            <w:tcBorders>
              <w:tl2br w:val="nil"/>
              <w:tr2bl w:val="nil"/>
            </w:tcBorders>
            <w:vAlign w:val="center"/>
          </w:tcPr>
          <w:p w14:paraId="68F4851B">
            <w:pPr>
              <w:tabs>
                <w:tab w:val="left" w:pos="1980"/>
              </w:tabs>
              <w:jc w:val="center"/>
              <w:rPr>
                <w:rFonts w:ascii="Times New Roman" w:hAnsi="Times New Roman" w:eastAsia="宋体" w:cs="Times New Roman"/>
                <w:b/>
                <w:bCs w:val="0"/>
                <w:szCs w:val="21"/>
                <w:u w:val="single"/>
              </w:rPr>
            </w:pPr>
          </w:p>
        </w:tc>
        <w:tc>
          <w:tcPr>
            <w:tcW w:w="4014" w:type="dxa"/>
            <w:tcBorders>
              <w:tl2br w:val="nil"/>
              <w:tr2bl w:val="nil"/>
            </w:tcBorders>
            <w:vAlign w:val="center"/>
          </w:tcPr>
          <w:p w14:paraId="703C2AE7">
            <w:pPr>
              <w:tabs>
                <w:tab w:val="left" w:pos="1980"/>
              </w:tabs>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禁止入驻不符合产业聚集区产业定位或产业聚集区定位</w:t>
            </w:r>
            <w:r>
              <w:rPr>
                <w:rFonts w:hint="eastAsia" w:ascii="Times New Roman" w:hAnsi="Times New Roman" w:cs="Times New Roman"/>
                <w:b/>
                <w:bCs w:val="0"/>
                <w:szCs w:val="21"/>
                <w:u w:val="single"/>
              </w:rPr>
              <w:t>相</w:t>
            </w:r>
            <w:r>
              <w:rPr>
                <w:rFonts w:ascii="Times New Roman" w:hAnsi="Times New Roman" w:cs="Times New Roman"/>
                <w:b/>
                <w:bCs w:val="0"/>
                <w:szCs w:val="21"/>
                <w:u w:val="single"/>
              </w:rPr>
              <w:t>冲突的项目，限制主导产业发展的项目</w:t>
            </w:r>
          </w:p>
        </w:tc>
        <w:tc>
          <w:tcPr>
            <w:tcW w:w="706" w:type="dxa"/>
            <w:tcBorders>
              <w:tl2br w:val="nil"/>
              <w:tr2bl w:val="nil"/>
            </w:tcBorders>
            <w:vAlign w:val="center"/>
          </w:tcPr>
          <w:p w14:paraId="7AA80115">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tcBorders>
              <w:tl2br w:val="nil"/>
              <w:tr2bl w:val="nil"/>
            </w:tcBorders>
            <w:vAlign w:val="center"/>
          </w:tcPr>
          <w:p w14:paraId="0B2C4B13">
            <w:pPr>
              <w:jc w:val="center"/>
              <w:rPr>
                <w:rFonts w:ascii="Times New Roman" w:hAnsi="Times New Roman" w:cs="Times New Roman"/>
                <w:b/>
                <w:bCs w:val="0"/>
                <w:szCs w:val="21"/>
                <w:u w:val="single"/>
              </w:rPr>
            </w:pPr>
            <w:r>
              <w:rPr>
                <w:rFonts w:ascii="Times New Roman" w:hAnsi="Times New Roman" w:cs="Times New Roman"/>
                <w:b/>
                <w:bCs w:val="0"/>
                <w:szCs w:val="21"/>
                <w:u w:val="single"/>
              </w:rPr>
              <w:t>本项目属于</w:t>
            </w:r>
            <w:r>
              <w:rPr>
                <w:rFonts w:hint="eastAsia" w:ascii="Times New Roman" w:hAnsi="Times New Roman" w:cs="Times New Roman"/>
                <w:b/>
                <w:bCs w:val="0"/>
                <w:szCs w:val="21"/>
                <w:u w:val="single"/>
              </w:rPr>
              <w:t>木质家具制造，</w:t>
            </w:r>
            <w:r>
              <w:rPr>
                <w:rFonts w:ascii="Times New Roman" w:hAnsi="Times New Roman" w:cs="Times New Roman"/>
                <w:b/>
                <w:bCs w:val="0"/>
                <w:szCs w:val="21"/>
                <w:u w:val="single"/>
              </w:rPr>
              <w:t>项目位于</w:t>
            </w:r>
            <w:r>
              <w:rPr>
                <w:rFonts w:hint="eastAsia" w:ascii="Times New Roman" w:hAnsi="Times New Roman" w:cs="Times New Roman"/>
                <w:b/>
                <w:bCs w:val="0"/>
                <w:szCs w:val="21"/>
                <w:u w:val="single"/>
              </w:rPr>
              <w:t>家具</w:t>
            </w:r>
            <w:r>
              <w:rPr>
                <w:rFonts w:ascii="Times New Roman" w:hAnsi="Times New Roman" w:cs="Times New Roman"/>
                <w:b/>
                <w:bCs w:val="0"/>
                <w:szCs w:val="21"/>
                <w:u w:val="single"/>
              </w:rPr>
              <w:t>制造园区</w:t>
            </w:r>
            <w:r>
              <w:rPr>
                <w:rFonts w:hint="eastAsia" w:ascii="Times New Roman" w:hAnsi="Times New Roman" w:cs="Times New Roman"/>
                <w:b/>
                <w:bCs w:val="0"/>
                <w:szCs w:val="21"/>
                <w:u w:val="single"/>
              </w:rPr>
              <w:t>，符合园区产业定位</w:t>
            </w:r>
          </w:p>
        </w:tc>
        <w:tc>
          <w:tcPr>
            <w:tcW w:w="806" w:type="dxa"/>
            <w:tcBorders>
              <w:tl2br w:val="nil"/>
              <w:tr2bl w:val="nil"/>
            </w:tcBorders>
            <w:vAlign w:val="center"/>
          </w:tcPr>
          <w:p w14:paraId="7AEECF7A">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6223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76" w:type="dxa"/>
            <w:vMerge w:val="continue"/>
            <w:tcBorders>
              <w:tl2br w:val="nil"/>
              <w:tr2bl w:val="nil"/>
            </w:tcBorders>
            <w:vAlign w:val="center"/>
          </w:tcPr>
          <w:p w14:paraId="74029A93">
            <w:pPr>
              <w:tabs>
                <w:tab w:val="left" w:pos="1980"/>
              </w:tabs>
              <w:jc w:val="center"/>
              <w:rPr>
                <w:rFonts w:ascii="Times New Roman" w:hAnsi="Times New Roman" w:eastAsia="宋体" w:cs="Times New Roman"/>
                <w:b/>
                <w:bCs w:val="0"/>
                <w:szCs w:val="21"/>
                <w:u w:val="single"/>
              </w:rPr>
            </w:pPr>
          </w:p>
        </w:tc>
        <w:tc>
          <w:tcPr>
            <w:tcW w:w="4014" w:type="dxa"/>
            <w:tcBorders>
              <w:tl2br w:val="nil"/>
              <w:tr2bl w:val="nil"/>
            </w:tcBorders>
            <w:vAlign w:val="center"/>
          </w:tcPr>
          <w:p w14:paraId="1508DEBC">
            <w:pPr>
              <w:tabs>
                <w:tab w:val="left" w:pos="1980"/>
              </w:tabs>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废水经预处理达不到污水处理厂接管标准的项目</w:t>
            </w:r>
          </w:p>
        </w:tc>
        <w:tc>
          <w:tcPr>
            <w:tcW w:w="706" w:type="dxa"/>
            <w:tcBorders>
              <w:tl2br w:val="nil"/>
              <w:tr2bl w:val="nil"/>
            </w:tcBorders>
            <w:vAlign w:val="center"/>
          </w:tcPr>
          <w:p w14:paraId="5040E891">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tcBorders>
              <w:tl2br w:val="nil"/>
              <w:tr2bl w:val="nil"/>
            </w:tcBorders>
            <w:vAlign w:val="center"/>
          </w:tcPr>
          <w:p w14:paraId="569FEDA3">
            <w:pPr>
              <w:jc w:val="center"/>
              <w:rPr>
                <w:rFonts w:ascii="Times New Roman" w:hAnsi="Times New Roman" w:cs="Times New Roman"/>
                <w:b/>
                <w:bCs w:val="0"/>
                <w:szCs w:val="21"/>
                <w:u w:val="single"/>
              </w:rPr>
            </w:pPr>
            <w:r>
              <w:rPr>
                <w:rFonts w:ascii="Times New Roman" w:hAnsi="Times New Roman" w:cs="Times New Roman"/>
                <w:b/>
                <w:bCs w:val="0"/>
                <w:szCs w:val="21"/>
                <w:u w:val="single"/>
              </w:rPr>
              <w:t>项目生活污水经化粪池处理</w:t>
            </w:r>
            <w:r>
              <w:rPr>
                <w:rFonts w:hint="eastAsia" w:ascii="Times New Roman" w:hAnsi="Times New Roman" w:cs="Times New Roman"/>
                <w:b/>
                <w:bCs w:val="0"/>
                <w:szCs w:val="21"/>
                <w:u w:val="single"/>
              </w:rPr>
              <w:t>、生产废水经厂区污水处理站处理</w:t>
            </w:r>
            <w:r>
              <w:rPr>
                <w:rFonts w:ascii="Times New Roman" w:hAnsi="Times New Roman" w:cs="Times New Roman"/>
                <w:b/>
                <w:bCs w:val="0"/>
                <w:szCs w:val="21"/>
                <w:u w:val="single"/>
              </w:rPr>
              <w:t>，可满足污水处理厂收水标准</w:t>
            </w:r>
          </w:p>
        </w:tc>
        <w:tc>
          <w:tcPr>
            <w:tcW w:w="806" w:type="dxa"/>
            <w:tcBorders>
              <w:tl2br w:val="nil"/>
              <w:tr2bl w:val="nil"/>
            </w:tcBorders>
            <w:vAlign w:val="center"/>
          </w:tcPr>
          <w:p w14:paraId="3479F2EE">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2FA1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876" w:type="dxa"/>
            <w:vMerge w:val="continue"/>
            <w:tcBorders>
              <w:tl2br w:val="nil"/>
              <w:tr2bl w:val="nil"/>
            </w:tcBorders>
            <w:vAlign w:val="center"/>
          </w:tcPr>
          <w:p w14:paraId="167006C7">
            <w:pPr>
              <w:tabs>
                <w:tab w:val="left" w:pos="1980"/>
              </w:tabs>
              <w:jc w:val="center"/>
              <w:rPr>
                <w:rFonts w:ascii="Times New Roman" w:hAnsi="Times New Roman" w:eastAsia="宋体" w:cs="Times New Roman"/>
                <w:b/>
                <w:bCs w:val="0"/>
                <w:szCs w:val="21"/>
                <w:u w:val="single"/>
              </w:rPr>
            </w:pPr>
          </w:p>
        </w:tc>
        <w:tc>
          <w:tcPr>
            <w:tcW w:w="4014" w:type="dxa"/>
            <w:tcBorders>
              <w:tl2br w:val="nil"/>
              <w:tr2bl w:val="nil"/>
            </w:tcBorders>
            <w:vAlign w:val="center"/>
          </w:tcPr>
          <w:p w14:paraId="4DC2BCA8">
            <w:pPr>
              <w:pStyle w:val="64"/>
              <w:spacing w:line="240" w:lineRule="auto"/>
              <w:rPr>
                <w:rFonts w:eastAsia="宋体"/>
                <w:b/>
                <w:bCs w:val="0"/>
                <w:color w:val="auto"/>
                <w:szCs w:val="21"/>
                <w:u w:val="single"/>
              </w:rPr>
            </w:pPr>
            <w:r>
              <w:rPr>
                <w:b/>
                <w:bCs w:val="0"/>
                <w:color w:val="auto"/>
                <w:szCs w:val="21"/>
                <w:u w:val="single"/>
              </w:rPr>
              <w:t>无行业清洁生产标准，</w:t>
            </w:r>
            <w:r>
              <w:rPr>
                <w:rFonts w:hint="eastAsia"/>
                <w:b/>
                <w:bCs w:val="0"/>
                <w:color w:val="auto"/>
                <w:szCs w:val="21"/>
                <w:u w:val="single"/>
              </w:rPr>
              <w:t>但</w:t>
            </w:r>
            <w:r>
              <w:rPr>
                <w:b/>
                <w:bCs w:val="0"/>
                <w:color w:val="auto"/>
                <w:szCs w:val="21"/>
                <w:u w:val="single"/>
              </w:rPr>
              <w:t>符合聚集区主导产业定位，达不到国内同类行业同等规模先进水平的项目</w:t>
            </w:r>
          </w:p>
        </w:tc>
        <w:tc>
          <w:tcPr>
            <w:tcW w:w="706" w:type="dxa"/>
            <w:tcBorders>
              <w:tl2br w:val="nil"/>
              <w:tr2bl w:val="nil"/>
            </w:tcBorders>
            <w:vAlign w:val="center"/>
          </w:tcPr>
          <w:p w14:paraId="766B26AD">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tcBorders>
              <w:tl2br w:val="nil"/>
              <w:tr2bl w:val="nil"/>
            </w:tcBorders>
            <w:vAlign w:val="center"/>
          </w:tcPr>
          <w:p w14:paraId="5CD48E51">
            <w:pPr>
              <w:jc w:val="center"/>
              <w:rPr>
                <w:rFonts w:ascii="Times New Roman" w:hAnsi="Times New Roman" w:cs="Times New Roman"/>
                <w:b/>
                <w:bCs w:val="0"/>
                <w:szCs w:val="21"/>
                <w:u w:val="single"/>
              </w:rPr>
            </w:pPr>
            <w:r>
              <w:rPr>
                <w:rFonts w:ascii="Times New Roman" w:hAnsi="Times New Roman" w:cs="Times New Roman"/>
                <w:b/>
                <w:bCs w:val="0"/>
                <w:szCs w:val="21"/>
                <w:u w:val="single"/>
              </w:rPr>
              <w:t>本项目达到清洁生产国内先进水平</w:t>
            </w:r>
          </w:p>
        </w:tc>
        <w:tc>
          <w:tcPr>
            <w:tcW w:w="806" w:type="dxa"/>
            <w:tcBorders>
              <w:tl2br w:val="nil"/>
              <w:tr2bl w:val="nil"/>
            </w:tcBorders>
            <w:vAlign w:val="center"/>
          </w:tcPr>
          <w:p w14:paraId="76554BB7">
            <w:pPr>
              <w:tabs>
                <w:tab w:val="left" w:pos="1980"/>
              </w:tabs>
              <w:jc w:val="center"/>
              <w:rPr>
                <w:rFonts w:ascii="Times New Roman" w:hAnsi="Times New Roman" w:cs="Times New Roman"/>
                <w:b/>
                <w:bCs w:val="0"/>
                <w:szCs w:val="21"/>
                <w:highlight w:val="yellow"/>
                <w:u w:val="single"/>
              </w:rPr>
            </w:pPr>
            <w:r>
              <w:rPr>
                <w:rFonts w:ascii="Times New Roman" w:hAnsi="Times New Roman" w:cs="Times New Roman"/>
                <w:b/>
                <w:bCs w:val="0"/>
                <w:szCs w:val="21"/>
                <w:u w:val="single"/>
              </w:rPr>
              <w:t>相符</w:t>
            </w:r>
          </w:p>
        </w:tc>
      </w:tr>
      <w:tr w14:paraId="0BF1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876" w:type="dxa"/>
            <w:vMerge w:val="continue"/>
            <w:tcBorders>
              <w:tl2br w:val="nil"/>
              <w:tr2bl w:val="nil"/>
            </w:tcBorders>
            <w:vAlign w:val="center"/>
          </w:tcPr>
          <w:p w14:paraId="2AC8985C">
            <w:pPr>
              <w:tabs>
                <w:tab w:val="left" w:pos="1980"/>
              </w:tabs>
              <w:jc w:val="center"/>
              <w:rPr>
                <w:rFonts w:ascii="Times New Roman" w:hAnsi="Times New Roman" w:cs="Times New Roman"/>
                <w:b/>
                <w:bCs w:val="0"/>
                <w:szCs w:val="21"/>
                <w:u w:val="single"/>
              </w:rPr>
            </w:pPr>
          </w:p>
        </w:tc>
        <w:tc>
          <w:tcPr>
            <w:tcW w:w="4014" w:type="dxa"/>
            <w:tcBorders>
              <w:tl2br w:val="nil"/>
              <w:tr2bl w:val="nil"/>
            </w:tcBorders>
            <w:vAlign w:val="center"/>
          </w:tcPr>
          <w:p w14:paraId="05CCF602">
            <w:pPr>
              <w:pStyle w:val="64"/>
              <w:spacing w:line="240" w:lineRule="auto"/>
              <w:rPr>
                <w:rFonts w:eastAsia="宋体"/>
                <w:b/>
                <w:bCs w:val="0"/>
                <w:color w:val="auto"/>
                <w:szCs w:val="21"/>
                <w:u w:val="single"/>
              </w:rPr>
            </w:pPr>
            <w:r>
              <w:rPr>
                <w:b/>
                <w:bCs w:val="0"/>
                <w:color w:val="auto"/>
                <w:szCs w:val="21"/>
                <w:u w:val="single"/>
              </w:rPr>
              <w:t>不符合有关法律法规规定，严重浪费资源、污染环境，不具备安全生产条件，需要淘汰的落后生产工艺装备和产品</w:t>
            </w:r>
          </w:p>
        </w:tc>
        <w:tc>
          <w:tcPr>
            <w:tcW w:w="706" w:type="dxa"/>
            <w:tcBorders>
              <w:tl2br w:val="nil"/>
              <w:tr2bl w:val="nil"/>
            </w:tcBorders>
            <w:vAlign w:val="center"/>
          </w:tcPr>
          <w:p w14:paraId="33E68D8A">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tcBorders>
              <w:tl2br w:val="nil"/>
              <w:tr2bl w:val="nil"/>
            </w:tcBorders>
            <w:vAlign w:val="center"/>
          </w:tcPr>
          <w:p w14:paraId="5803FDFC">
            <w:pPr>
              <w:jc w:val="center"/>
              <w:rPr>
                <w:rFonts w:ascii="Times New Roman" w:hAnsi="Times New Roman" w:cs="Times New Roman"/>
                <w:b/>
                <w:bCs w:val="0"/>
                <w:szCs w:val="21"/>
                <w:u w:val="single"/>
              </w:rPr>
            </w:pPr>
            <w:r>
              <w:rPr>
                <w:rFonts w:ascii="Times New Roman" w:hAnsi="Times New Roman" w:cs="Times New Roman"/>
                <w:b/>
                <w:bCs w:val="0"/>
                <w:szCs w:val="21"/>
                <w:u w:val="single"/>
              </w:rPr>
              <w:t>本项目不涉及淘汰的落后工艺装备和产品</w:t>
            </w:r>
          </w:p>
        </w:tc>
        <w:tc>
          <w:tcPr>
            <w:tcW w:w="806" w:type="dxa"/>
            <w:tcBorders>
              <w:tl2br w:val="nil"/>
              <w:tr2bl w:val="nil"/>
            </w:tcBorders>
            <w:vAlign w:val="center"/>
          </w:tcPr>
          <w:p w14:paraId="1CEF2F49">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2239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76" w:type="dxa"/>
            <w:vMerge w:val="restart"/>
            <w:tcBorders>
              <w:tl2br w:val="nil"/>
              <w:tr2bl w:val="nil"/>
            </w:tcBorders>
            <w:vAlign w:val="center"/>
          </w:tcPr>
          <w:p w14:paraId="7611E070">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食品加工行业</w:t>
            </w:r>
          </w:p>
        </w:tc>
        <w:tc>
          <w:tcPr>
            <w:tcW w:w="4014" w:type="dxa"/>
            <w:tcBorders>
              <w:tl2br w:val="nil"/>
              <w:tr2bl w:val="nil"/>
            </w:tcBorders>
            <w:vAlign w:val="center"/>
          </w:tcPr>
          <w:p w14:paraId="4906E47A">
            <w:pPr>
              <w:pStyle w:val="64"/>
              <w:spacing w:line="240" w:lineRule="auto"/>
              <w:rPr>
                <w:rFonts w:eastAsia="宋体"/>
                <w:b/>
                <w:bCs w:val="0"/>
                <w:color w:val="auto"/>
                <w:szCs w:val="21"/>
                <w:u w:val="single"/>
              </w:rPr>
            </w:pPr>
            <w:r>
              <w:rPr>
                <w:b/>
                <w:bCs w:val="0"/>
                <w:color w:val="auto"/>
                <w:szCs w:val="21"/>
                <w:u w:val="single"/>
              </w:rPr>
              <w:t>猪、牛、羊、禽屠宰工艺</w:t>
            </w:r>
          </w:p>
        </w:tc>
        <w:tc>
          <w:tcPr>
            <w:tcW w:w="706" w:type="dxa"/>
            <w:tcBorders>
              <w:tl2br w:val="nil"/>
              <w:tr2bl w:val="nil"/>
            </w:tcBorders>
            <w:vAlign w:val="center"/>
          </w:tcPr>
          <w:p w14:paraId="7DBD90F6">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vMerge w:val="restart"/>
            <w:tcBorders>
              <w:tl2br w:val="nil"/>
              <w:tr2bl w:val="nil"/>
            </w:tcBorders>
            <w:vAlign w:val="center"/>
          </w:tcPr>
          <w:p w14:paraId="423A09ED">
            <w:pPr>
              <w:jc w:val="center"/>
              <w:rPr>
                <w:rFonts w:ascii="Times New Roman" w:hAnsi="Times New Roman" w:cs="Times New Roman"/>
                <w:b/>
                <w:bCs w:val="0"/>
                <w:szCs w:val="21"/>
                <w:u w:val="single"/>
              </w:rPr>
            </w:pPr>
            <w:r>
              <w:rPr>
                <w:rFonts w:ascii="Times New Roman" w:hAnsi="Times New Roman" w:cs="Times New Roman"/>
                <w:b/>
                <w:bCs w:val="0"/>
                <w:szCs w:val="21"/>
                <w:u w:val="single"/>
              </w:rPr>
              <w:t>本项目为</w:t>
            </w:r>
            <w:r>
              <w:rPr>
                <w:rFonts w:hint="eastAsia" w:ascii="Times New Roman" w:hAnsi="Times New Roman" w:cs="Times New Roman"/>
                <w:b/>
                <w:bCs w:val="0"/>
                <w:szCs w:val="21"/>
                <w:u w:val="single"/>
              </w:rPr>
              <w:t>木质家具制造，</w:t>
            </w:r>
            <w:r>
              <w:rPr>
                <w:rFonts w:ascii="Times New Roman" w:hAnsi="Times New Roman" w:cs="Times New Roman"/>
                <w:b/>
                <w:bCs w:val="0"/>
                <w:szCs w:val="21"/>
                <w:u w:val="single"/>
              </w:rPr>
              <w:t>不</w:t>
            </w:r>
            <w:r>
              <w:rPr>
                <w:rFonts w:hint="eastAsia" w:ascii="Times New Roman" w:hAnsi="Times New Roman" w:cs="Times New Roman"/>
                <w:b/>
                <w:bCs w:val="0"/>
                <w:szCs w:val="21"/>
                <w:u w:val="single"/>
              </w:rPr>
              <w:t>属于</w:t>
            </w:r>
            <w:r>
              <w:rPr>
                <w:rFonts w:ascii="Times New Roman" w:hAnsi="Times New Roman" w:cs="Times New Roman"/>
                <w:b/>
                <w:bCs w:val="0"/>
                <w:szCs w:val="21"/>
                <w:u w:val="single"/>
              </w:rPr>
              <w:t>食品行业</w:t>
            </w:r>
          </w:p>
        </w:tc>
        <w:tc>
          <w:tcPr>
            <w:tcW w:w="806" w:type="dxa"/>
            <w:tcBorders>
              <w:tl2br w:val="nil"/>
              <w:tr2bl w:val="nil"/>
            </w:tcBorders>
            <w:vAlign w:val="center"/>
          </w:tcPr>
          <w:p w14:paraId="26D14CA4">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66F1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76" w:type="dxa"/>
            <w:vMerge w:val="continue"/>
            <w:tcBorders>
              <w:tl2br w:val="nil"/>
              <w:tr2bl w:val="nil"/>
            </w:tcBorders>
            <w:vAlign w:val="center"/>
          </w:tcPr>
          <w:p w14:paraId="46332C7E">
            <w:pPr>
              <w:tabs>
                <w:tab w:val="left" w:pos="1980"/>
              </w:tabs>
              <w:jc w:val="center"/>
              <w:rPr>
                <w:rFonts w:ascii="Times New Roman" w:hAnsi="Times New Roman" w:cs="Times New Roman"/>
                <w:b/>
                <w:bCs w:val="0"/>
                <w:szCs w:val="21"/>
                <w:u w:val="single"/>
              </w:rPr>
            </w:pPr>
          </w:p>
        </w:tc>
        <w:tc>
          <w:tcPr>
            <w:tcW w:w="4014" w:type="dxa"/>
            <w:tcBorders>
              <w:tl2br w:val="nil"/>
              <w:tr2bl w:val="nil"/>
            </w:tcBorders>
            <w:vAlign w:val="center"/>
          </w:tcPr>
          <w:p w14:paraId="50FB7254">
            <w:pPr>
              <w:pStyle w:val="64"/>
              <w:spacing w:line="240" w:lineRule="auto"/>
              <w:rPr>
                <w:rFonts w:eastAsia="宋体"/>
                <w:b/>
                <w:bCs w:val="0"/>
                <w:color w:val="auto"/>
                <w:szCs w:val="21"/>
                <w:u w:val="single"/>
              </w:rPr>
            </w:pPr>
            <w:r>
              <w:rPr>
                <w:b/>
                <w:bCs w:val="0"/>
                <w:color w:val="auto"/>
                <w:szCs w:val="21"/>
                <w:u w:val="single"/>
              </w:rPr>
              <w:t>含酿造工艺的酿酒</w:t>
            </w:r>
          </w:p>
        </w:tc>
        <w:tc>
          <w:tcPr>
            <w:tcW w:w="706" w:type="dxa"/>
            <w:tcBorders>
              <w:tl2br w:val="nil"/>
              <w:tr2bl w:val="nil"/>
            </w:tcBorders>
            <w:vAlign w:val="center"/>
          </w:tcPr>
          <w:p w14:paraId="2C3C4EB6">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vMerge w:val="continue"/>
            <w:tcBorders>
              <w:tl2br w:val="nil"/>
              <w:tr2bl w:val="nil"/>
            </w:tcBorders>
            <w:vAlign w:val="center"/>
          </w:tcPr>
          <w:p w14:paraId="16A5D6E6">
            <w:pPr>
              <w:jc w:val="center"/>
              <w:rPr>
                <w:rFonts w:ascii="Times New Roman" w:hAnsi="Times New Roman" w:cs="Times New Roman"/>
                <w:b/>
                <w:bCs w:val="0"/>
                <w:szCs w:val="21"/>
                <w:u w:val="single"/>
              </w:rPr>
            </w:pPr>
          </w:p>
        </w:tc>
        <w:tc>
          <w:tcPr>
            <w:tcW w:w="806" w:type="dxa"/>
            <w:tcBorders>
              <w:tl2br w:val="nil"/>
              <w:tr2bl w:val="nil"/>
            </w:tcBorders>
            <w:vAlign w:val="center"/>
          </w:tcPr>
          <w:p w14:paraId="1CA8ECAE">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3166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76" w:type="dxa"/>
            <w:vMerge w:val="continue"/>
            <w:tcBorders>
              <w:tl2br w:val="nil"/>
              <w:tr2bl w:val="nil"/>
            </w:tcBorders>
            <w:vAlign w:val="center"/>
          </w:tcPr>
          <w:p w14:paraId="106A5E0B">
            <w:pPr>
              <w:tabs>
                <w:tab w:val="left" w:pos="1980"/>
              </w:tabs>
              <w:jc w:val="center"/>
              <w:rPr>
                <w:rFonts w:ascii="Times New Roman" w:hAnsi="Times New Roman" w:cs="Times New Roman"/>
                <w:b/>
                <w:bCs w:val="0"/>
                <w:szCs w:val="21"/>
                <w:u w:val="single"/>
              </w:rPr>
            </w:pPr>
          </w:p>
        </w:tc>
        <w:tc>
          <w:tcPr>
            <w:tcW w:w="4014" w:type="dxa"/>
            <w:tcBorders>
              <w:tl2br w:val="nil"/>
              <w:tr2bl w:val="nil"/>
            </w:tcBorders>
            <w:vAlign w:val="center"/>
          </w:tcPr>
          <w:p w14:paraId="7D974E26">
            <w:pPr>
              <w:pStyle w:val="64"/>
              <w:spacing w:line="240" w:lineRule="auto"/>
              <w:rPr>
                <w:rFonts w:eastAsia="宋体"/>
                <w:b/>
                <w:bCs w:val="0"/>
                <w:color w:val="auto"/>
                <w:szCs w:val="21"/>
                <w:u w:val="single"/>
              </w:rPr>
            </w:pPr>
            <w:r>
              <w:rPr>
                <w:b/>
                <w:bCs w:val="0"/>
                <w:color w:val="auto"/>
                <w:szCs w:val="21"/>
                <w:u w:val="single"/>
              </w:rPr>
              <w:t>生产味精行业</w:t>
            </w:r>
          </w:p>
        </w:tc>
        <w:tc>
          <w:tcPr>
            <w:tcW w:w="706" w:type="dxa"/>
            <w:tcBorders>
              <w:tl2br w:val="nil"/>
              <w:tr2bl w:val="nil"/>
            </w:tcBorders>
            <w:vAlign w:val="center"/>
          </w:tcPr>
          <w:p w14:paraId="66355FEB">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vMerge w:val="continue"/>
            <w:tcBorders>
              <w:tl2br w:val="nil"/>
              <w:tr2bl w:val="nil"/>
            </w:tcBorders>
            <w:vAlign w:val="center"/>
          </w:tcPr>
          <w:p w14:paraId="485DE435">
            <w:pPr>
              <w:jc w:val="center"/>
              <w:rPr>
                <w:rFonts w:ascii="Times New Roman" w:hAnsi="Times New Roman" w:cs="Times New Roman"/>
                <w:b/>
                <w:bCs w:val="0"/>
                <w:szCs w:val="21"/>
                <w:u w:val="single"/>
              </w:rPr>
            </w:pPr>
          </w:p>
        </w:tc>
        <w:tc>
          <w:tcPr>
            <w:tcW w:w="806" w:type="dxa"/>
            <w:tcBorders>
              <w:tl2br w:val="nil"/>
              <w:tr2bl w:val="nil"/>
            </w:tcBorders>
            <w:vAlign w:val="center"/>
          </w:tcPr>
          <w:p w14:paraId="19E3B29B">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3433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76" w:type="dxa"/>
            <w:vMerge w:val="continue"/>
            <w:tcBorders>
              <w:tl2br w:val="nil"/>
              <w:tr2bl w:val="nil"/>
            </w:tcBorders>
            <w:vAlign w:val="center"/>
          </w:tcPr>
          <w:p w14:paraId="34142484">
            <w:pPr>
              <w:tabs>
                <w:tab w:val="left" w:pos="1980"/>
              </w:tabs>
              <w:jc w:val="center"/>
              <w:rPr>
                <w:rFonts w:ascii="Times New Roman" w:hAnsi="Times New Roman" w:cs="Times New Roman"/>
                <w:b/>
                <w:bCs w:val="0"/>
                <w:szCs w:val="21"/>
                <w:u w:val="single"/>
              </w:rPr>
            </w:pPr>
          </w:p>
        </w:tc>
        <w:tc>
          <w:tcPr>
            <w:tcW w:w="4014" w:type="dxa"/>
            <w:tcBorders>
              <w:tl2br w:val="nil"/>
              <w:tr2bl w:val="nil"/>
            </w:tcBorders>
            <w:vAlign w:val="center"/>
          </w:tcPr>
          <w:p w14:paraId="7A3ABFDF">
            <w:pPr>
              <w:pStyle w:val="64"/>
              <w:spacing w:line="240" w:lineRule="auto"/>
              <w:rPr>
                <w:rFonts w:eastAsia="宋体"/>
                <w:b/>
                <w:bCs w:val="0"/>
                <w:color w:val="auto"/>
                <w:szCs w:val="21"/>
                <w:u w:val="single"/>
              </w:rPr>
            </w:pPr>
            <w:r>
              <w:rPr>
                <w:b/>
                <w:bCs w:val="0"/>
                <w:color w:val="auto"/>
                <w:szCs w:val="21"/>
                <w:u w:val="single"/>
              </w:rPr>
              <w:t>年处理10万吨以下，总干物收率97%以下的湿法玉米淀粉生产线</w:t>
            </w:r>
          </w:p>
        </w:tc>
        <w:tc>
          <w:tcPr>
            <w:tcW w:w="706" w:type="dxa"/>
            <w:tcBorders>
              <w:tl2br w:val="nil"/>
              <w:tr2bl w:val="nil"/>
            </w:tcBorders>
            <w:vAlign w:val="center"/>
          </w:tcPr>
          <w:p w14:paraId="7F20C2B8">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vMerge w:val="continue"/>
            <w:tcBorders>
              <w:tl2br w:val="nil"/>
              <w:tr2bl w:val="nil"/>
            </w:tcBorders>
            <w:vAlign w:val="center"/>
          </w:tcPr>
          <w:p w14:paraId="01485040">
            <w:pPr>
              <w:jc w:val="center"/>
              <w:rPr>
                <w:rFonts w:ascii="Times New Roman" w:hAnsi="Times New Roman" w:cs="Times New Roman"/>
                <w:b/>
                <w:bCs w:val="0"/>
                <w:szCs w:val="21"/>
                <w:u w:val="single"/>
              </w:rPr>
            </w:pPr>
          </w:p>
        </w:tc>
        <w:tc>
          <w:tcPr>
            <w:tcW w:w="806" w:type="dxa"/>
            <w:tcBorders>
              <w:tl2br w:val="nil"/>
              <w:tr2bl w:val="nil"/>
            </w:tcBorders>
            <w:vAlign w:val="center"/>
          </w:tcPr>
          <w:p w14:paraId="4D58F711">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453F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76" w:type="dxa"/>
            <w:vMerge w:val="continue"/>
            <w:tcBorders>
              <w:tl2br w:val="nil"/>
              <w:tr2bl w:val="nil"/>
            </w:tcBorders>
            <w:vAlign w:val="center"/>
          </w:tcPr>
          <w:p w14:paraId="4A4583EE">
            <w:pPr>
              <w:tabs>
                <w:tab w:val="left" w:pos="1980"/>
              </w:tabs>
              <w:jc w:val="center"/>
              <w:rPr>
                <w:rFonts w:ascii="Times New Roman" w:hAnsi="Times New Roman" w:cs="Times New Roman"/>
                <w:b/>
                <w:bCs w:val="0"/>
                <w:szCs w:val="21"/>
                <w:u w:val="single"/>
              </w:rPr>
            </w:pPr>
          </w:p>
        </w:tc>
        <w:tc>
          <w:tcPr>
            <w:tcW w:w="4014" w:type="dxa"/>
            <w:tcBorders>
              <w:tl2br w:val="nil"/>
              <w:tr2bl w:val="nil"/>
            </w:tcBorders>
            <w:vAlign w:val="center"/>
          </w:tcPr>
          <w:p w14:paraId="0F8A7F22">
            <w:pPr>
              <w:pStyle w:val="64"/>
              <w:spacing w:line="240" w:lineRule="auto"/>
              <w:rPr>
                <w:rFonts w:eastAsia="宋体"/>
                <w:b/>
                <w:bCs w:val="0"/>
                <w:color w:val="auto"/>
                <w:szCs w:val="21"/>
                <w:u w:val="single"/>
              </w:rPr>
            </w:pPr>
            <w:r>
              <w:rPr>
                <w:b/>
                <w:bCs w:val="0"/>
                <w:color w:val="auto"/>
                <w:szCs w:val="21"/>
                <w:u w:val="single"/>
              </w:rPr>
              <w:t>3000吨/年及以下的西式肉制品加工项目</w:t>
            </w:r>
          </w:p>
        </w:tc>
        <w:tc>
          <w:tcPr>
            <w:tcW w:w="706" w:type="dxa"/>
            <w:tcBorders>
              <w:tl2br w:val="nil"/>
              <w:tr2bl w:val="nil"/>
            </w:tcBorders>
            <w:vAlign w:val="center"/>
          </w:tcPr>
          <w:p w14:paraId="4D38B828">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vMerge w:val="continue"/>
            <w:tcBorders>
              <w:tl2br w:val="nil"/>
              <w:tr2bl w:val="nil"/>
            </w:tcBorders>
            <w:vAlign w:val="center"/>
          </w:tcPr>
          <w:p w14:paraId="0E82638C">
            <w:pPr>
              <w:jc w:val="center"/>
              <w:rPr>
                <w:rFonts w:ascii="Times New Roman" w:hAnsi="Times New Roman" w:cs="Times New Roman"/>
                <w:b/>
                <w:bCs w:val="0"/>
                <w:szCs w:val="21"/>
                <w:u w:val="single"/>
              </w:rPr>
            </w:pPr>
          </w:p>
        </w:tc>
        <w:tc>
          <w:tcPr>
            <w:tcW w:w="806" w:type="dxa"/>
            <w:tcBorders>
              <w:tl2br w:val="nil"/>
              <w:tr2bl w:val="nil"/>
            </w:tcBorders>
            <w:vAlign w:val="center"/>
          </w:tcPr>
          <w:p w14:paraId="5B9955A4">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0232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76" w:type="dxa"/>
            <w:vMerge w:val="continue"/>
            <w:tcBorders>
              <w:tl2br w:val="nil"/>
              <w:tr2bl w:val="nil"/>
            </w:tcBorders>
            <w:vAlign w:val="center"/>
          </w:tcPr>
          <w:p w14:paraId="01988E66">
            <w:pPr>
              <w:tabs>
                <w:tab w:val="left" w:pos="1980"/>
              </w:tabs>
              <w:jc w:val="center"/>
              <w:rPr>
                <w:rFonts w:ascii="Times New Roman" w:hAnsi="Times New Roman" w:cs="Times New Roman"/>
                <w:b/>
                <w:bCs w:val="0"/>
                <w:szCs w:val="21"/>
                <w:u w:val="single"/>
              </w:rPr>
            </w:pPr>
          </w:p>
        </w:tc>
        <w:tc>
          <w:tcPr>
            <w:tcW w:w="4014" w:type="dxa"/>
            <w:tcBorders>
              <w:tl2br w:val="nil"/>
              <w:tr2bl w:val="nil"/>
            </w:tcBorders>
            <w:vAlign w:val="center"/>
          </w:tcPr>
          <w:p w14:paraId="14626EA6">
            <w:pPr>
              <w:pStyle w:val="64"/>
              <w:spacing w:line="240" w:lineRule="auto"/>
              <w:rPr>
                <w:rFonts w:eastAsia="宋体"/>
                <w:b/>
                <w:bCs w:val="0"/>
                <w:color w:val="auto"/>
                <w:szCs w:val="21"/>
                <w:u w:val="single"/>
              </w:rPr>
            </w:pPr>
            <w:r>
              <w:rPr>
                <w:b/>
                <w:bCs w:val="0"/>
                <w:color w:val="auto"/>
                <w:szCs w:val="21"/>
                <w:u w:val="single"/>
              </w:rPr>
              <w:t>生产柠檬酸行业</w:t>
            </w:r>
          </w:p>
        </w:tc>
        <w:tc>
          <w:tcPr>
            <w:tcW w:w="706" w:type="dxa"/>
            <w:tcBorders>
              <w:tl2br w:val="nil"/>
              <w:tr2bl w:val="nil"/>
            </w:tcBorders>
            <w:vAlign w:val="center"/>
          </w:tcPr>
          <w:p w14:paraId="6A8067A9">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vMerge w:val="continue"/>
            <w:tcBorders>
              <w:tl2br w:val="nil"/>
              <w:tr2bl w:val="nil"/>
            </w:tcBorders>
            <w:vAlign w:val="center"/>
          </w:tcPr>
          <w:p w14:paraId="009C1E46">
            <w:pPr>
              <w:jc w:val="center"/>
              <w:rPr>
                <w:rFonts w:ascii="Times New Roman" w:hAnsi="Times New Roman" w:cs="Times New Roman"/>
                <w:b/>
                <w:bCs w:val="0"/>
                <w:szCs w:val="21"/>
                <w:u w:val="single"/>
              </w:rPr>
            </w:pPr>
          </w:p>
        </w:tc>
        <w:tc>
          <w:tcPr>
            <w:tcW w:w="806" w:type="dxa"/>
            <w:tcBorders>
              <w:tl2br w:val="nil"/>
              <w:tr2bl w:val="nil"/>
            </w:tcBorders>
            <w:vAlign w:val="center"/>
          </w:tcPr>
          <w:p w14:paraId="3DB286C4">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3A9B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76" w:type="dxa"/>
            <w:tcBorders>
              <w:tl2br w:val="nil"/>
              <w:tr2bl w:val="nil"/>
            </w:tcBorders>
            <w:vAlign w:val="center"/>
          </w:tcPr>
          <w:p w14:paraId="34FE0611">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家具制造行业</w:t>
            </w:r>
          </w:p>
        </w:tc>
        <w:tc>
          <w:tcPr>
            <w:tcW w:w="4014" w:type="dxa"/>
            <w:tcBorders>
              <w:tl2br w:val="nil"/>
              <w:tr2bl w:val="nil"/>
            </w:tcBorders>
            <w:vAlign w:val="center"/>
          </w:tcPr>
          <w:p w14:paraId="4AB1B7AB">
            <w:pPr>
              <w:pStyle w:val="64"/>
              <w:spacing w:line="240" w:lineRule="auto"/>
              <w:rPr>
                <w:rFonts w:eastAsia="宋体"/>
                <w:b/>
                <w:bCs w:val="0"/>
                <w:color w:val="auto"/>
                <w:szCs w:val="21"/>
                <w:u w:val="single"/>
              </w:rPr>
            </w:pPr>
            <w:r>
              <w:rPr>
                <w:b/>
                <w:bCs w:val="0"/>
                <w:color w:val="auto"/>
                <w:szCs w:val="21"/>
                <w:u w:val="single"/>
              </w:rPr>
              <w:t>生产家具制造使用的涂料、油漆等行业</w:t>
            </w:r>
          </w:p>
        </w:tc>
        <w:tc>
          <w:tcPr>
            <w:tcW w:w="706" w:type="dxa"/>
            <w:tcBorders>
              <w:tl2br w:val="nil"/>
              <w:tr2bl w:val="nil"/>
            </w:tcBorders>
            <w:vAlign w:val="center"/>
          </w:tcPr>
          <w:p w14:paraId="7EA69446">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tcBorders>
              <w:tl2br w:val="nil"/>
              <w:tr2bl w:val="nil"/>
            </w:tcBorders>
            <w:vAlign w:val="center"/>
          </w:tcPr>
          <w:p w14:paraId="4B3F8BA3">
            <w:pPr>
              <w:jc w:val="center"/>
              <w:rPr>
                <w:rFonts w:ascii="Times New Roman" w:hAnsi="Times New Roman" w:eastAsia="宋体" w:cs="Times New Roman"/>
                <w:b/>
                <w:bCs w:val="0"/>
                <w:szCs w:val="21"/>
                <w:u w:val="single"/>
              </w:rPr>
            </w:pPr>
            <w:r>
              <w:rPr>
                <w:rFonts w:ascii="Times New Roman" w:hAnsi="Times New Roman" w:cs="Times New Roman"/>
                <w:b/>
                <w:bCs w:val="0"/>
                <w:szCs w:val="21"/>
                <w:u w:val="single"/>
              </w:rPr>
              <w:t>本项目</w:t>
            </w:r>
            <w:r>
              <w:rPr>
                <w:rFonts w:hint="eastAsia" w:ascii="Times New Roman" w:hAnsi="Times New Roman" w:cs="Times New Roman"/>
                <w:b/>
                <w:bCs w:val="0"/>
                <w:szCs w:val="21"/>
                <w:u w:val="single"/>
              </w:rPr>
              <w:t>不涉及</w:t>
            </w:r>
          </w:p>
        </w:tc>
        <w:tc>
          <w:tcPr>
            <w:tcW w:w="806" w:type="dxa"/>
            <w:tcBorders>
              <w:tl2br w:val="nil"/>
              <w:tr2bl w:val="nil"/>
            </w:tcBorders>
            <w:vAlign w:val="center"/>
          </w:tcPr>
          <w:p w14:paraId="446DC7B5">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r w14:paraId="3522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76" w:type="dxa"/>
            <w:tcBorders>
              <w:tl2br w:val="nil"/>
              <w:tr2bl w:val="nil"/>
            </w:tcBorders>
            <w:vAlign w:val="center"/>
          </w:tcPr>
          <w:p w14:paraId="368104BD">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装备制造行业</w:t>
            </w:r>
          </w:p>
        </w:tc>
        <w:tc>
          <w:tcPr>
            <w:tcW w:w="4014" w:type="dxa"/>
            <w:tcBorders>
              <w:tl2br w:val="nil"/>
              <w:tr2bl w:val="nil"/>
            </w:tcBorders>
            <w:vAlign w:val="center"/>
          </w:tcPr>
          <w:p w14:paraId="50F97C5D">
            <w:pPr>
              <w:pStyle w:val="64"/>
              <w:spacing w:line="240" w:lineRule="auto"/>
              <w:rPr>
                <w:rFonts w:eastAsia="宋体"/>
                <w:b/>
                <w:bCs w:val="0"/>
                <w:color w:val="auto"/>
                <w:szCs w:val="21"/>
                <w:u w:val="single"/>
              </w:rPr>
            </w:pPr>
            <w:r>
              <w:rPr>
                <w:b/>
                <w:bCs w:val="0"/>
                <w:color w:val="auto"/>
                <w:szCs w:val="21"/>
                <w:u w:val="single"/>
              </w:rPr>
              <w:t>生产中含有电镀工艺的项目</w:t>
            </w:r>
          </w:p>
        </w:tc>
        <w:tc>
          <w:tcPr>
            <w:tcW w:w="706" w:type="dxa"/>
            <w:tcBorders>
              <w:tl2br w:val="nil"/>
              <w:tr2bl w:val="nil"/>
            </w:tcBorders>
            <w:vAlign w:val="center"/>
          </w:tcPr>
          <w:p w14:paraId="6E116F79">
            <w:pPr>
              <w:jc w:val="center"/>
              <w:rPr>
                <w:rFonts w:ascii="Times New Roman" w:hAnsi="Times New Roman" w:cs="Times New Roman"/>
                <w:b/>
                <w:bCs w:val="0"/>
                <w:szCs w:val="21"/>
                <w:u w:val="single"/>
              </w:rPr>
            </w:pPr>
            <w:r>
              <w:rPr>
                <w:rFonts w:ascii="Times New Roman" w:hAnsi="Times New Roman" w:cs="Times New Roman"/>
                <w:b/>
                <w:bCs w:val="0"/>
                <w:szCs w:val="21"/>
                <w:u w:val="single"/>
              </w:rPr>
              <w:t>禁止入区</w:t>
            </w:r>
          </w:p>
        </w:tc>
        <w:tc>
          <w:tcPr>
            <w:tcW w:w="2117" w:type="dxa"/>
            <w:tcBorders>
              <w:tl2br w:val="nil"/>
              <w:tr2bl w:val="nil"/>
            </w:tcBorders>
            <w:vAlign w:val="center"/>
          </w:tcPr>
          <w:p w14:paraId="2470CD7E">
            <w:pPr>
              <w:jc w:val="center"/>
              <w:rPr>
                <w:rFonts w:ascii="Times New Roman" w:hAnsi="Times New Roman" w:cs="Times New Roman"/>
                <w:b/>
                <w:bCs w:val="0"/>
                <w:szCs w:val="21"/>
                <w:u w:val="single"/>
              </w:rPr>
            </w:pPr>
            <w:r>
              <w:rPr>
                <w:rFonts w:ascii="Times New Roman" w:hAnsi="Times New Roman" w:cs="Times New Roman"/>
                <w:b/>
                <w:bCs w:val="0"/>
                <w:szCs w:val="21"/>
                <w:u w:val="single"/>
              </w:rPr>
              <w:t>本项目不涉及电镀工艺</w:t>
            </w:r>
          </w:p>
        </w:tc>
        <w:tc>
          <w:tcPr>
            <w:tcW w:w="806" w:type="dxa"/>
            <w:tcBorders>
              <w:tl2br w:val="nil"/>
              <w:tr2bl w:val="nil"/>
            </w:tcBorders>
            <w:vAlign w:val="center"/>
          </w:tcPr>
          <w:p w14:paraId="6103F229">
            <w:pPr>
              <w:tabs>
                <w:tab w:val="left" w:pos="1980"/>
              </w:tabs>
              <w:jc w:val="center"/>
              <w:rPr>
                <w:rFonts w:ascii="Times New Roman" w:hAnsi="Times New Roman" w:cs="Times New Roman"/>
                <w:b/>
                <w:bCs w:val="0"/>
                <w:szCs w:val="21"/>
                <w:u w:val="single"/>
              </w:rPr>
            </w:pPr>
            <w:r>
              <w:rPr>
                <w:rFonts w:ascii="Times New Roman" w:hAnsi="Times New Roman" w:cs="Times New Roman"/>
                <w:b/>
                <w:bCs w:val="0"/>
                <w:szCs w:val="21"/>
                <w:u w:val="single"/>
              </w:rPr>
              <w:t>相符</w:t>
            </w:r>
          </w:p>
        </w:tc>
      </w:tr>
    </w:tbl>
    <w:p w14:paraId="35663AB5">
      <w:pPr>
        <w:pStyle w:val="4"/>
        <w:numPr>
          <w:ilvl w:val="2"/>
          <w:numId w:val="0"/>
        </w:numPr>
        <w:ind w:leftChars="0"/>
      </w:pPr>
      <w:r>
        <w:rPr>
          <w:rFonts w:hint="eastAsia"/>
          <w:lang w:val="en-US" w:eastAsia="zh-CN"/>
        </w:rPr>
        <w:t>2.9.4</w:t>
      </w:r>
      <w:r>
        <w:rPr>
          <w:rFonts w:hint="eastAsia"/>
        </w:rPr>
        <w:t>“三线一单”相符性分析</w:t>
      </w:r>
    </w:p>
    <w:p w14:paraId="1148D4E5">
      <w:pPr>
        <w:spacing w:line="360" w:lineRule="auto"/>
        <w:ind w:firstLine="480" w:firstLineChars="200"/>
        <w:rPr>
          <w:rFonts w:ascii="Times New Roman" w:hAnsi="Times New Roman" w:cs="Times New Roman"/>
          <w:sz w:val="24"/>
        </w:rPr>
      </w:pPr>
      <w:r>
        <w:rPr>
          <w:rFonts w:ascii="Times New Roman" w:hAnsi="Times New Roman" w:cs="Times New Roman"/>
          <w:sz w:val="24"/>
        </w:rPr>
        <w:t>（1）生态保护红线</w:t>
      </w:r>
    </w:p>
    <w:p w14:paraId="29F26CE0">
      <w:pPr>
        <w:spacing w:line="360" w:lineRule="auto"/>
        <w:ind w:firstLine="480" w:firstLineChars="200"/>
        <w:rPr>
          <w:rFonts w:ascii="Times New Roman" w:hAnsi="Times New Roman" w:cs="Times New Roman"/>
          <w:sz w:val="24"/>
        </w:rPr>
      </w:pPr>
      <w:r>
        <w:rPr>
          <w:rFonts w:ascii="Times New Roman" w:hAnsi="Times New Roman" w:cs="Times New Roman"/>
          <w:sz w:val="24"/>
        </w:rPr>
        <w:t>根据《河南省生态环境准入清单》中河南省生态空间总体管控要求，生态保护红线总体要求如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p w14:paraId="2206F9AA">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本项目位于</w:t>
      </w:r>
      <w:r>
        <w:rPr>
          <w:rFonts w:hint="eastAsia" w:ascii="Times New Roman" w:hAnsi="Times New Roman" w:cs="Times New Roman"/>
          <w:sz w:val="24"/>
        </w:rPr>
        <w:t>清丰县产业集聚区</w:t>
      </w:r>
      <w:r>
        <w:rPr>
          <w:rFonts w:ascii="Times New Roman" w:hAnsi="Times New Roman" w:cs="Times New Roman"/>
          <w:sz w:val="24"/>
        </w:rPr>
        <w:t>，项目选址不涉及自然保护区、风景名胜区、森林公园、饮用水源保护区等，不在生态保护红线范围。</w:t>
      </w:r>
    </w:p>
    <w:p w14:paraId="691136A8">
      <w:pPr>
        <w:spacing w:line="360" w:lineRule="auto"/>
        <w:ind w:firstLine="480" w:firstLineChars="200"/>
        <w:rPr>
          <w:rFonts w:ascii="Times New Roman" w:hAnsi="Times New Roman" w:cs="Times New Roman"/>
          <w:sz w:val="24"/>
        </w:rPr>
      </w:pPr>
      <w:r>
        <w:rPr>
          <w:rFonts w:ascii="Times New Roman" w:hAnsi="Times New Roman" w:cs="Times New Roman"/>
          <w:sz w:val="24"/>
        </w:rPr>
        <w:t>（2）资源利用上线</w:t>
      </w:r>
    </w:p>
    <w:p w14:paraId="4BC7E8EE">
      <w:pPr>
        <w:spacing w:line="360" w:lineRule="auto"/>
        <w:ind w:firstLine="480" w:firstLineChars="200"/>
        <w:rPr>
          <w:rFonts w:ascii="Times New Roman" w:hAnsi="Times New Roman" w:cs="Times New Roman"/>
          <w:sz w:val="24"/>
        </w:rPr>
      </w:pPr>
      <w:r>
        <w:rPr>
          <w:rFonts w:ascii="Times New Roman" w:hAnsi="Times New Roman" w:cs="Times New Roman"/>
          <w:sz w:val="24"/>
        </w:rPr>
        <w:t>本项目运营期消耗资源主要为电、</w:t>
      </w:r>
      <w:r>
        <w:rPr>
          <w:rFonts w:hint="eastAsia" w:ascii="Times New Roman" w:hAnsi="Times New Roman" w:cs="Times New Roman"/>
          <w:sz w:val="24"/>
        </w:rPr>
        <w:t>水</w:t>
      </w:r>
      <w:r>
        <w:rPr>
          <w:rFonts w:ascii="Times New Roman" w:hAnsi="Times New Roman" w:cs="Times New Roman"/>
          <w:sz w:val="24"/>
        </w:rPr>
        <w:t>等。本项目用电由集聚区电网供给，不会达到供电量使用上线；</w:t>
      </w:r>
      <w:r>
        <w:rPr>
          <w:rFonts w:hint="eastAsia" w:ascii="Times New Roman" w:hAnsi="Times New Roman" w:cs="Times New Roman"/>
          <w:sz w:val="24"/>
        </w:rPr>
        <w:t>项目用水由产业集聚区集中供水，</w:t>
      </w:r>
      <w:r>
        <w:rPr>
          <w:rFonts w:ascii="Times New Roman" w:hAnsi="Times New Roman" w:cs="Times New Roman"/>
          <w:sz w:val="24"/>
        </w:rPr>
        <w:t>土地性质为</w:t>
      </w:r>
      <w:r>
        <w:rPr>
          <w:rFonts w:hint="eastAsia" w:ascii="Times New Roman" w:hAnsi="Times New Roman" w:cs="Times New Roman"/>
          <w:sz w:val="24"/>
        </w:rPr>
        <w:t>二</w:t>
      </w:r>
      <w:r>
        <w:rPr>
          <w:rFonts w:ascii="Times New Roman" w:hAnsi="Times New Roman" w:cs="Times New Roman"/>
          <w:sz w:val="24"/>
        </w:rPr>
        <w:t>类工业用地，土地利用不会突破区域土地资源上线。</w:t>
      </w:r>
    </w:p>
    <w:p w14:paraId="3F2E5CE1">
      <w:pPr>
        <w:spacing w:line="360" w:lineRule="auto"/>
        <w:ind w:firstLine="480" w:firstLineChars="200"/>
        <w:rPr>
          <w:rFonts w:ascii="Times New Roman" w:hAnsi="Times New Roman" w:cs="Times New Roman"/>
          <w:sz w:val="24"/>
        </w:rPr>
      </w:pPr>
      <w:r>
        <w:rPr>
          <w:rFonts w:ascii="Times New Roman" w:hAnsi="Times New Roman" w:cs="Times New Roman"/>
          <w:sz w:val="24"/>
        </w:rPr>
        <w:t>（3）环境质量底线</w:t>
      </w:r>
    </w:p>
    <w:p w14:paraId="0A2E736C">
      <w:pPr>
        <w:spacing w:line="360" w:lineRule="auto"/>
        <w:ind w:firstLine="480" w:firstLineChars="200"/>
        <w:rPr>
          <w:rFonts w:ascii="Times New Roman" w:hAnsi="Times New Roman" w:cs="Times New Roman"/>
          <w:sz w:val="24"/>
        </w:rPr>
      </w:pPr>
      <w:r>
        <w:rPr>
          <w:rFonts w:ascii="Times New Roman" w:hAnsi="Times New Roman" w:cs="Times New Roman"/>
          <w:sz w:val="24"/>
        </w:rPr>
        <w:t>本次评价选用2021年濮阳市环境质量概况数据，环境空气中二氧化氮、二氧化硫、一氧化碳年均值可以达到《环境空气质量标准》（GB3095-2012）二级标准，可吸入颗粒物、细颗粒物年均值和O</w:t>
      </w:r>
      <w:r>
        <w:rPr>
          <w:rFonts w:ascii="Times New Roman" w:hAnsi="Times New Roman" w:cs="Times New Roman"/>
          <w:sz w:val="24"/>
          <w:vertAlign w:val="subscript"/>
        </w:rPr>
        <w:t>3</w:t>
      </w:r>
      <w:r>
        <w:rPr>
          <w:rFonts w:ascii="Times New Roman" w:hAnsi="Times New Roman" w:cs="Times New Roman"/>
          <w:sz w:val="24"/>
        </w:rPr>
        <w:t>8h第90百分位数超出《环境空气质量标准》（GB3095-2012）二级标准。项目区域环境空气质量为不达标区。本项目运营期各工序废气经过可行技术处理后，均能够达标排放，对区域环境空气质量影响不大。</w:t>
      </w:r>
    </w:p>
    <w:p w14:paraId="35C2AAA5">
      <w:pPr>
        <w:spacing w:line="360" w:lineRule="auto"/>
        <w:ind w:firstLine="480" w:firstLineChars="200"/>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rPr>
        <w:t>生产</w:t>
      </w:r>
      <w:r>
        <w:rPr>
          <w:rFonts w:ascii="Times New Roman" w:hAnsi="Times New Roman" w:cs="Times New Roman"/>
          <w:sz w:val="24"/>
        </w:rPr>
        <w:t>废水经厂区污水处理站处理后进入</w:t>
      </w:r>
      <w:r>
        <w:rPr>
          <w:rFonts w:hint="eastAsia" w:ascii="Times New Roman" w:hAnsi="Times New Roman" w:cs="Times New Roman"/>
          <w:sz w:val="24"/>
        </w:rPr>
        <w:t>清丰中州水务第二</w:t>
      </w:r>
      <w:r>
        <w:rPr>
          <w:rFonts w:ascii="Times New Roman" w:hAnsi="Times New Roman" w:cs="Times New Roman"/>
          <w:sz w:val="24"/>
        </w:rPr>
        <w:t>污水处理厂深度处理达标后排入</w:t>
      </w:r>
      <w:r>
        <w:rPr>
          <w:rFonts w:hint="eastAsia" w:ascii="Times New Roman" w:hAnsi="Times New Roman" w:cs="Times New Roman"/>
          <w:sz w:val="24"/>
        </w:rPr>
        <w:t>潴龙河</w:t>
      </w:r>
      <w:r>
        <w:rPr>
          <w:rFonts w:ascii="Times New Roman" w:hAnsi="Times New Roman" w:cs="Times New Roman"/>
          <w:sz w:val="24"/>
        </w:rPr>
        <w:t>，对地表水环境质量影响不大；声环境质量达到《声环境质量标准》（GB3096-2008）3类标准。</w:t>
      </w:r>
    </w:p>
    <w:p w14:paraId="7666E523">
      <w:pPr>
        <w:spacing w:line="360" w:lineRule="auto"/>
        <w:ind w:firstLine="480" w:firstLineChars="200"/>
        <w:rPr>
          <w:rFonts w:ascii="Times New Roman" w:hAnsi="Times New Roman" w:cs="Times New Roman"/>
        </w:rPr>
      </w:pPr>
      <w:r>
        <w:rPr>
          <w:rFonts w:ascii="Times New Roman" w:hAnsi="Times New Roman" w:cs="Times New Roman"/>
          <w:sz w:val="24"/>
        </w:rPr>
        <w:t>本项目废气、废水、噪声、固废在采取报告中提出的治理措施后，能够达到相应的排放标准，因此对周边环境质量影响较小，不会改变当地的环境功能。</w:t>
      </w:r>
    </w:p>
    <w:p w14:paraId="7460D058">
      <w:pPr>
        <w:spacing w:line="360" w:lineRule="auto"/>
        <w:ind w:firstLine="480" w:firstLineChars="200"/>
        <w:rPr>
          <w:rFonts w:ascii="Times New Roman" w:hAnsi="Times New Roman" w:cs="Times New Roman"/>
          <w:sz w:val="24"/>
        </w:rPr>
      </w:pPr>
      <w:r>
        <w:rPr>
          <w:rFonts w:ascii="Times New Roman" w:hAnsi="Times New Roman" w:cs="Times New Roman"/>
          <w:sz w:val="24"/>
        </w:rPr>
        <w:t>（4）与</w:t>
      </w:r>
      <w:r>
        <w:rPr>
          <w:rFonts w:ascii="Times New Roman" w:hAnsi="Times New Roman" w:eastAsia="宋体" w:cs="Times New Roman"/>
          <w:sz w:val="24"/>
        </w:rPr>
        <w:t>《河南省生态环境分区管控总体要求（试行）》（豫环函〔2021〕171号）</w:t>
      </w:r>
      <w:r>
        <w:rPr>
          <w:rFonts w:ascii="Times New Roman" w:hAnsi="Times New Roman" w:cs="Times New Roman"/>
          <w:sz w:val="24"/>
        </w:rPr>
        <w:t>相符相分析</w:t>
      </w:r>
    </w:p>
    <w:p w14:paraId="0B80588E">
      <w:pPr>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河南省生态环境厅于2021年11月17日以豫环函〔2021〕171号发布了《河南省生态环境分区管控总体要求（试行）》，总体要求提出河南省“三线一单”生态环境分区管控体系以生态保护红线、环境质量底线、资源利用上线为约束，建立了“1+3+4+18+N”的生态环境准入清单。“1”为全省生态环境总体准入要求，“3”为我省京津冀及周边地区（2+26城市地区）、汾渭平原、苏皖鲁豫交界地区三大重点区域大气生态环境管控要求，“4”为省辖黄河流域、淮河流域、海河流域、长江流域四大流域水生态环境管控要求，适用于全省及重点区域、流域。</w:t>
      </w:r>
    </w:p>
    <w:p w14:paraId="25C4ECC3">
      <w:pPr>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本次工程与其相关内容相符性分析见下表。</w:t>
      </w:r>
    </w:p>
    <w:p w14:paraId="04902A0A">
      <w:pPr>
        <w:numPr>
          <w:ilvl w:val="0"/>
          <w:numId w:val="25"/>
        </w:numPr>
        <w:spacing w:line="240" w:lineRule="auto"/>
        <w:ind w:left="0" w:leftChars="0" w:firstLine="0" w:firstLineChars="0"/>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  与豫环函</w:t>
      </w:r>
      <w:r>
        <w:rPr>
          <w:rFonts w:hint="default" w:ascii="Times New Roman" w:hAnsi="Times New Roman" w:eastAsia="宋体" w:cs="Times New Roman"/>
          <w:b/>
          <w:color w:val="000000" w:themeColor="text1"/>
          <w:szCs w:val="21"/>
          <w14:textFill>
            <w14:solidFill>
              <w14:schemeClr w14:val="tx1"/>
            </w14:solidFill>
          </w14:textFill>
        </w:rPr>
        <w:t>〔2021〕171</w:t>
      </w:r>
      <w:r>
        <w:rPr>
          <w:rFonts w:hint="eastAsia" w:ascii="宋体" w:hAnsi="宋体" w:eastAsia="宋体" w:cs="宋体"/>
          <w:b/>
          <w:color w:val="000000" w:themeColor="text1"/>
          <w:szCs w:val="21"/>
          <w14:textFill>
            <w14:solidFill>
              <w14:schemeClr w14:val="tx1"/>
            </w14:solidFill>
          </w14:textFill>
        </w:rPr>
        <w:t>号相符性分析</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463"/>
        <w:gridCol w:w="5125"/>
        <w:gridCol w:w="1616"/>
        <w:gridCol w:w="676"/>
      </w:tblGrid>
      <w:tr w14:paraId="0DDC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230" w:type="dxa"/>
            <w:gridSpan w:val="3"/>
            <w:vAlign w:val="center"/>
          </w:tcPr>
          <w:p w14:paraId="29A624B4">
            <w:pPr>
              <w:jc w:val="center"/>
              <w:rPr>
                <w:rFonts w:ascii="Times New Roman" w:hAnsi="Times New Roman" w:cs="Times New Roman"/>
                <w:szCs w:val="21"/>
              </w:rPr>
            </w:pPr>
            <w:r>
              <w:rPr>
                <w:rFonts w:ascii="Times New Roman" w:hAnsi="Times New Roman" w:cs="Times New Roman"/>
                <w:szCs w:val="21"/>
              </w:rPr>
              <w:t>主要内容</w:t>
            </w:r>
          </w:p>
        </w:tc>
        <w:tc>
          <w:tcPr>
            <w:tcW w:w="1616" w:type="dxa"/>
            <w:vAlign w:val="center"/>
          </w:tcPr>
          <w:p w14:paraId="0935387F">
            <w:pPr>
              <w:jc w:val="center"/>
              <w:rPr>
                <w:rFonts w:ascii="Times New Roman" w:hAnsi="Times New Roman" w:cs="Times New Roman"/>
                <w:szCs w:val="21"/>
              </w:rPr>
            </w:pPr>
            <w:r>
              <w:rPr>
                <w:rFonts w:ascii="Times New Roman" w:hAnsi="Times New Roman" w:cs="Times New Roman"/>
                <w:szCs w:val="21"/>
              </w:rPr>
              <w:t>本次工程建设情况</w:t>
            </w:r>
          </w:p>
        </w:tc>
        <w:tc>
          <w:tcPr>
            <w:tcW w:w="676" w:type="dxa"/>
            <w:vAlign w:val="center"/>
          </w:tcPr>
          <w:p w14:paraId="3ACC5540">
            <w:pPr>
              <w:jc w:val="center"/>
              <w:rPr>
                <w:rFonts w:ascii="Times New Roman" w:hAnsi="Times New Roman" w:cs="Times New Roman"/>
                <w:szCs w:val="21"/>
              </w:rPr>
            </w:pPr>
            <w:r>
              <w:rPr>
                <w:rFonts w:ascii="Times New Roman" w:hAnsi="Times New Roman" w:cs="Times New Roman"/>
                <w:szCs w:val="21"/>
              </w:rPr>
              <w:t>相符性</w:t>
            </w:r>
          </w:p>
        </w:tc>
      </w:tr>
      <w:tr w14:paraId="2E65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Merge w:val="restart"/>
            <w:vAlign w:val="center"/>
          </w:tcPr>
          <w:p w14:paraId="72D8DC0D">
            <w:pPr>
              <w:jc w:val="center"/>
              <w:rPr>
                <w:rFonts w:ascii="Times New Roman" w:hAnsi="Times New Roman" w:cs="Times New Roman"/>
                <w:szCs w:val="21"/>
              </w:rPr>
            </w:pPr>
            <w:r>
              <w:rPr>
                <w:rFonts w:ascii="Times New Roman" w:hAnsi="Times New Roman" w:cs="Times New Roman"/>
                <w:szCs w:val="21"/>
              </w:rPr>
              <w:t>河南省产业发展总体准入要求</w:t>
            </w:r>
          </w:p>
        </w:tc>
        <w:tc>
          <w:tcPr>
            <w:tcW w:w="463" w:type="dxa"/>
            <w:vAlign w:val="center"/>
          </w:tcPr>
          <w:p w14:paraId="3ACC0D0D">
            <w:pPr>
              <w:jc w:val="center"/>
              <w:rPr>
                <w:rFonts w:ascii="Times New Roman" w:hAnsi="Times New Roman" w:cs="Times New Roman"/>
                <w:szCs w:val="21"/>
              </w:rPr>
            </w:pPr>
            <w:r>
              <w:rPr>
                <w:rFonts w:ascii="Times New Roman" w:hAnsi="Times New Roman" w:cs="Times New Roman"/>
                <w:szCs w:val="21"/>
              </w:rPr>
              <w:t>通用</w:t>
            </w:r>
          </w:p>
        </w:tc>
        <w:tc>
          <w:tcPr>
            <w:tcW w:w="5125" w:type="dxa"/>
            <w:vAlign w:val="center"/>
          </w:tcPr>
          <w:p w14:paraId="29370CFE">
            <w:pPr>
              <w:jc w:val="left"/>
              <w:rPr>
                <w:rFonts w:ascii="Times New Roman" w:hAnsi="Times New Roman" w:cs="Times New Roman"/>
                <w:szCs w:val="21"/>
              </w:rPr>
            </w:pPr>
            <w:r>
              <w:rPr>
                <w:rFonts w:ascii="Times New Roman" w:hAnsi="Times New Roman" w:cs="Times New Roman"/>
                <w:szCs w:val="21"/>
              </w:rPr>
              <w:t>1.不断促进全省产业高质量发展。培育壮大人工智能及新能源等新兴产业；持续巩固提升装备、食品、新型材料、汽车、电子信息等五大制造业主导产业优势地位；做好产业链、创新链、供应链、价值链、制度链“五链”耦合，把新基建、新技术、新材料、新装备、新产品、新业态作为高质量发展的主攻方向。</w:t>
            </w:r>
          </w:p>
          <w:p w14:paraId="28E5C48F">
            <w:pPr>
              <w:jc w:val="left"/>
              <w:rPr>
                <w:rFonts w:ascii="Times New Roman" w:hAnsi="Times New Roman" w:cs="Times New Roman"/>
                <w:szCs w:val="21"/>
              </w:rPr>
            </w:pPr>
            <w:r>
              <w:rPr>
                <w:rFonts w:ascii="Times New Roman" w:hAnsi="Times New Roman" w:cs="Times New Roman"/>
                <w:szCs w:val="21"/>
              </w:rPr>
              <w:t>2.禁止新改扩建《产业结构调整指导目录（2019年本）》明确的淘汰类项目；禁止引入《市场准入负面清单（202</w:t>
            </w:r>
            <w:r>
              <w:rPr>
                <w:rFonts w:hint="eastAsia" w:ascii="Times New Roman" w:hAnsi="Times New Roman" w:cs="Times New Roman"/>
                <w:szCs w:val="21"/>
              </w:rPr>
              <w:t>2</w:t>
            </w:r>
            <w:r>
              <w:rPr>
                <w:rFonts w:ascii="Times New Roman" w:hAnsi="Times New Roman" w:cs="Times New Roman"/>
                <w:szCs w:val="21"/>
              </w:rPr>
              <w:t>年版）》禁止准入类事项。</w:t>
            </w:r>
          </w:p>
          <w:p w14:paraId="2E5E0A51">
            <w:pPr>
              <w:jc w:val="left"/>
              <w:rPr>
                <w:rFonts w:ascii="Times New Roman" w:hAnsi="Times New Roman" w:cs="Times New Roman"/>
                <w:szCs w:val="21"/>
              </w:rPr>
            </w:pPr>
            <w:r>
              <w:rPr>
                <w:rFonts w:ascii="Times New Roman" w:hAnsi="Times New Roman" w:cs="Times New Roman"/>
                <w:szCs w:val="21"/>
              </w:rPr>
              <w:t>3.重点区域严禁新增钢铁、焦化、水泥熟料、平板玻璃、电解铝、氧化铝、煤化工产能，严控新增炼油产能；禁止建设生产和使用高VOCs含量的溶剂型涂料、油墨、胶粘剂等项目；全面取缔露天和敞开式喷涂作业；重点区域原则上禁止新建露天矿山建设项目。</w:t>
            </w:r>
          </w:p>
          <w:p w14:paraId="562AE647">
            <w:pPr>
              <w:jc w:val="left"/>
              <w:rPr>
                <w:rFonts w:ascii="Times New Roman" w:hAnsi="Times New Roman" w:cs="Times New Roman"/>
                <w:szCs w:val="21"/>
              </w:rPr>
            </w:pPr>
            <w:r>
              <w:rPr>
                <w:rFonts w:ascii="Times New Roman" w:hAnsi="Times New Roman" w:cs="Times New Roman"/>
                <w:szCs w:val="21"/>
              </w:rPr>
              <w:t>4.严把“两高”项目生态环境准入关，严格限制“两高”项目盲目发展。新改扩建“两高”项目须符合生态环境保护法律法规和相关法定规划，符合产业政策、国土空间规划、“三线一单”、能耗“双控”、煤炭消费减量替代、碳排放强度、污染物区域削减替代等约束性要求，按照《河南省淘汰落后产能综合标准体系（2020年本）》，严格执行能耗、环保、质量、安全、技术等法规标准。</w:t>
            </w:r>
          </w:p>
        </w:tc>
        <w:tc>
          <w:tcPr>
            <w:tcW w:w="1616" w:type="dxa"/>
            <w:vAlign w:val="center"/>
          </w:tcPr>
          <w:p w14:paraId="5C764709">
            <w:pPr>
              <w:jc w:val="center"/>
              <w:rPr>
                <w:rFonts w:ascii="Times New Roman" w:hAnsi="Times New Roman" w:cs="Times New Roman"/>
                <w:szCs w:val="21"/>
              </w:rPr>
            </w:pPr>
            <w:r>
              <w:rPr>
                <w:rFonts w:ascii="Times New Roman" w:hAnsi="Times New Roman" w:cs="Times New Roman"/>
                <w:szCs w:val="21"/>
              </w:rPr>
              <w:t>根据《产业结构调整指导目录》（20</w:t>
            </w:r>
            <w:r>
              <w:rPr>
                <w:rFonts w:hint="eastAsia" w:ascii="Times New Roman" w:hAnsi="Times New Roman" w:cs="Times New Roman"/>
                <w:szCs w:val="21"/>
                <w:lang w:val="en-US" w:eastAsia="zh-CN"/>
              </w:rPr>
              <w:t>24</w:t>
            </w:r>
            <w:r>
              <w:rPr>
                <w:rFonts w:ascii="Times New Roman" w:hAnsi="Times New Roman" w:cs="Times New Roman"/>
                <w:szCs w:val="21"/>
              </w:rPr>
              <w:t>年本），本项目允许类，项目不属于两高项目</w:t>
            </w:r>
          </w:p>
        </w:tc>
        <w:tc>
          <w:tcPr>
            <w:tcW w:w="676" w:type="dxa"/>
            <w:vAlign w:val="center"/>
          </w:tcPr>
          <w:p w14:paraId="4FC59663">
            <w:pPr>
              <w:jc w:val="center"/>
              <w:rPr>
                <w:rFonts w:ascii="Times New Roman" w:hAnsi="Times New Roman" w:cs="Times New Roman"/>
                <w:szCs w:val="21"/>
              </w:rPr>
            </w:pPr>
            <w:r>
              <w:rPr>
                <w:rFonts w:ascii="Times New Roman" w:hAnsi="Times New Roman" w:cs="Times New Roman"/>
                <w:szCs w:val="21"/>
              </w:rPr>
              <w:t>相符</w:t>
            </w:r>
          </w:p>
        </w:tc>
      </w:tr>
      <w:tr w14:paraId="329E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Merge w:val="continue"/>
            <w:vAlign w:val="center"/>
          </w:tcPr>
          <w:p w14:paraId="20178580">
            <w:pPr>
              <w:jc w:val="center"/>
              <w:rPr>
                <w:rFonts w:ascii="Times New Roman" w:hAnsi="Times New Roman" w:cs="Times New Roman"/>
                <w:szCs w:val="21"/>
              </w:rPr>
            </w:pPr>
          </w:p>
        </w:tc>
        <w:tc>
          <w:tcPr>
            <w:tcW w:w="463" w:type="dxa"/>
            <w:vAlign w:val="center"/>
          </w:tcPr>
          <w:p w14:paraId="0A08F048">
            <w:pPr>
              <w:jc w:val="center"/>
              <w:rPr>
                <w:rFonts w:ascii="Times New Roman" w:hAnsi="Times New Roman" w:cs="Times New Roman"/>
                <w:szCs w:val="21"/>
              </w:rPr>
            </w:pPr>
            <w:r>
              <w:rPr>
                <w:rFonts w:ascii="Times New Roman" w:hAnsi="Times New Roman" w:cs="Times New Roman"/>
                <w:szCs w:val="21"/>
              </w:rPr>
              <w:t>产业集聚区（园区）</w:t>
            </w:r>
          </w:p>
        </w:tc>
        <w:tc>
          <w:tcPr>
            <w:tcW w:w="5125" w:type="dxa"/>
            <w:vAlign w:val="center"/>
          </w:tcPr>
          <w:p w14:paraId="1A6347C0">
            <w:pPr>
              <w:jc w:val="left"/>
              <w:rPr>
                <w:rFonts w:ascii="Times New Roman" w:hAnsi="Times New Roman" w:cs="Times New Roman"/>
                <w:szCs w:val="21"/>
              </w:rPr>
            </w:pPr>
            <w:r>
              <w:rPr>
                <w:rFonts w:ascii="Times New Roman" w:hAnsi="Times New Roman" w:cs="Times New Roman"/>
                <w:szCs w:val="21"/>
              </w:rPr>
              <w:t>5.限制发展并逐步退出高耗能、高污染、低附加值的一般制造业，打造引领性强的高新产业集群或与城市功能相协调的产业集群。</w:t>
            </w:r>
          </w:p>
          <w:p w14:paraId="6316A9E7">
            <w:pPr>
              <w:jc w:val="left"/>
              <w:rPr>
                <w:rFonts w:ascii="Times New Roman" w:hAnsi="Times New Roman" w:cs="Times New Roman"/>
                <w:szCs w:val="21"/>
              </w:rPr>
            </w:pPr>
            <w:r>
              <w:rPr>
                <w:rFonts w:ascii="Times New Roman" w:hAnsi="Times New Roman" w:cs="Times New Roman"/>
                <w:szCs w:val="21"/>
              </w:rPr>
              <w:t>6.加快完善产业集聚区（园区）集中供热、污水集中处理等管网和垃圾收储运体系，推进环保治理、喷涂、印染、电镀等设施集中布局和共享，促进企业间资源循环链接和综合利用。</w:t>
            </w:r>
          </w:p>
          <w:p w14:paraId="57878C85">
            <w:pPr>
              <w:jc w:val="left"/>
              <w:rPr>
                <w:rFonts w:ascii="Times New Roman" w:hAnsi="Times New Roman" w:cs="Times New Roman"/>
                <w:szCs w:val="21"/>
              </w:rPr>
            </w:pPr>
            <w:r>
              <w:rPr>
                <w:rFonts w:ascii="Times New Roman" w:hAnsi="Times New Roman" w:cs="Times New Roman"/>
                <w:szCs w:val="21"/>
              </w:rPr>
              <w:t>7.禁止新增化工园区，园区外新建化工企业一律不批，对园区内环境基础设施不完善或长期不能稳定运行的企业一律不批新改扩建化工项目；整治提升以化工为主导产业的产业集聚区（园区），对达不到安全和安全防护距离要求或存在重大安全隐患的，依法限期整改或予以关闭；大幅提升化工园区废水、废气、危险废物收集处置能力和园区清洁能源供应以及环境监测监控能力等标准。</w:t>
            </w:r>
          </w:p>
        </w:tc>
        <w:tc>
          <w:tcPr>
            <w:tcW w:w="1616" w:type="dxa"/>
            <w:vAlign w:val="center"/>
          </w:tcPr>
          <w:p w14:paraId="677BA882">
            <w:pPr>
              <w:jc w:val="center"/>
              <w:rPr>
                <w:rFonts w:ascii="Times New Roman" w:hAnsi="Times New Roman" w:cs="Times New Roman"/>
                <w:szCs w:val="21"/>
              </w:rPr>
            </w:pPr>
            <w:r>
              <w:rPr>
                <w:rFonts w:ascii="Times New Roman" w:hAnsi="Times New Roman" w:cs="Times New Roman"/>
                <w:szCs w:val="21"/>
              </w:rPr>
              <w:t>本项目为</w:t>
            </w:r>
            <w:r>
              <w:rPr>
                <w:rFonts w:hint="eastAsia" w:ascii="Times New Roman" w:hAnsi="Times New Roman" w:cs="Times New Roman"/>
                <w:szCs w:val="21"/>
              </w:rPr>
              <w:t>木质家具</w:t>
            </w:r>
            <w:r>
              <w:rPr>
                <w:rFonts w:ascii="Times New Roman" w:hAnsi="Times New Roman" w:cs="Times New Roman"/>
                <w:szCs w:val="21"/>
              </w:rPr>
              <w:t>项目，位于</w:t>
            </w:r>
            <w:r>
              <w:rPr>
                <w:rFonts w:hint="eastAsia" w:ascii="Times New Roman" w:hAnsi="Times New Roman" w:cs="Times New Roman"/>
                <w:szCs w:val="21"/>
              </w:rPr>
              <w:t>濮阳市清丰县</w:t>
            </w:r>
            <w:r>
              <w:rPr>
                <w:rFonts w:ascii="Times New Roman" w:hAnsi="Times New Roman" w:cs="Times New Roman"/>
                <w:szCs w:val="21"/>
              </w:rPr>
              <w:t>产业集聚区，不属于新增园区，符合园区的主导产业规划，且不属于高耗能、高污染、低附加值项目</w:t>
            </w:r>
          </w:p>
        </w:tc>
        <w:tc>
          <w:tcPr>
            <w:tcW w:w="676" w:type="dxa"/>
            <w:vAlign w:val="center"/>
          </w:tcPr>
          <w:p w14:paraId="31CD3DEB">
            <w:pPr>
              <w:jc w:val="center"/>
              <w:rPr>
                <w:rFonts w:ascii="Times New Roman" w:hAnsi="Times New Roman" w:cs="Times New Roman"/>
                <w:szCs w:val="21"/>
              </w:rPr>
            </w:pPr>
            <w:r>
              <w:rPr>
                <w:rFonts w:ascii="Times New Roman" w:hAnsi="Times New Roman" w:cs="Times New Roman"/>
                <w:szCs w:val="21"/>
              </w:rPr>
              <w:t>相符</w:t>
            </w:r>
          </w:p>
        </w:tc>
      </w:tr>
      <w:tr w14:paraId="5F44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14:paraId="64688E2C">
            <w:pPr>
              <w:jc w:val="center"/>
              <w:rPr>
                <w:rFonts w:ascii="Times New Roman" w:hAnsi="Times New Roman" w:cs="Times New Roman"/>
                <w:szCs w:val="21"/>
              </w:rPr>
            </w:pPr>
            <w:r>
              <w:rPr>
                <w:rFonts w:ascii="Times New Roman" w:hAnsi="Times New Roman" w:cs="Times New Roman"/>
                <w:szCs w:val="21"/>
              </w:rPr>
              <w:t>河南省生态空间总体准入要求</w:t>
            </w:r>
          </w:p>
        </w:tc>
        <w:tc>
          <w:tcPr>
            <w:tcW w:w="463" w:type="dxa"/>
            <w:vAlign w:val="center"/>
          </w:tcPr>
          <w:p w14:paraId="6F58D042">
            <w:pPr>
              <w:jc w:val="center"/>
              <w:rPr>
                <w:rFonts w:ascii="Times New Roman" w:hAnsi="Times New Roman" w:cs="Times New Roman"/>
                <w:szCs w:val="21"/>
              </w:rPr>
            </w:pPr>
            <w:r>
              <w:rPr>
                <w:rFonts w:ascii="Times New Roman" w:hAnsi="Times New Roman" w:cs="Times New Roman"/>
                <w:szCs w:val="21"/>
              </w:rPr>
              <w:t>总体要求</w:t>
            </w:r>
          </w:p>
        </w:tc>
        <w:tc>
          <w:tcPr>
            <w:tcW w:w="5125" w:type="dxa"/>
            <w:vAlign w:val="center"/>
          </w:tcPr>
          <w:p w14:paraId="44FA2C7B">
            <w:pPr>
              <w:jc w:val="left"/>
              <w:rPr>
                <w:rFonts w:ascii="Times New Roman" w:hAnsi="Times New Roman" w:cs="Times New Roman"/>
                <w:szCs w:val="21"/>
              </w:rPr>
            </w:pPr>
            <w:r>
              <w:rPr>
                <w:rFonts w:ascii="Times New Roman" w:hAnsi="Times New Roman" w:cs="Times New Roman"/>
                <w:szCs w:val="21"/>
              </w:rPr>
              <w:t>1.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1616" w:type="dxa"/>
            <w:vAlign w:val="center"/>
          </w:tcPr>
          <w:p w14:paraId="2C72E883">
            <w:pPr>
              <w:jc w:val="center"/>
              <w:rPr>
                <w:rFonts w:ascii="Times New Roman" w:hAnsi="Times New Roman" w:cs="Times New Roman"/>
                <w:szCs w:val="21"/>
              </w:rPr>
            </w:pPr>
            <w:r>
              <w:rPr>
                <w:rFonts w:ascii="Times New Roman" w:hAnsi="Times New Roman" w:cs="Times New Roman"/>
                <w:szCs w:val="21"/>
              </w:rPr>
              <w:t>本项目位于濮阳市</w:t>
            </w:r>
            <w:r>
              <w:rPr>
                <w:rFonts w:hint="eastAsia" w:ascii="Times New Roman" w:hAnsi="Times New Roman" w:cs="Times New Roman"/>
                <w:szCs w:val="21"/>
              </w:rPr>
              <w:t>清丰县</w:t>
            </w:r>
            <w:r>
              <w:rPr>
                <w:rFonts w:ascii="Times New Roman" w:hAnsi="Times New Roman" w:cs="Times New Roman"/>
                <w:szCs w:val="21"/>
              </w:rPr>
              <w:t>产业集聚区，不会对周边生态环境造成</w:t>
            </w:r>
            <w:r>
              <w:rPr>
                <w:rFonts w:hint="eastAsia" w:ascii="Times New Roman" w:hAnsi="Times New Roman" w:cs="Times New Roman"/>
                <w:szCs w:val="21"/>
              </w:rPr>
              <w:t>不利</w:t>
            </w:r>
            <w:r>
              <w:rPr>
                <w:rFonts w:ascii="Times New Roman" w:hAnsi="Times New Roman" w:cs="Times New Roman"/>
                <w:szCs w:val="21"/>
              </w:rPr>
              <w:t>影响</w:t>
            </w:r>
          </w:p>
        </w:tc>
        <w:tc>
          <w:tcPr>
            <w:tcW w:w="676" w:type="dxa"/>
            <w:vAlign w:val="center"/>
          </w:tcPr>
          <w:p w14:paraId="5DAE8B13">
            <w:pPr>
              <w:jc w:val="center"/>
              <w:rPr>
                <w:rFonts w:ascii="Times New Roman" w:hAnsi="Times New Roman" w:cs="Times New Roman"/>
                <w:szCs w:val="21"/>
              </w:rPr>
            </w:pPr>
            <w:r>
              <w:rPr>
                <w:rFonts w:ascii="Times New Roman" w:hAnsi="Times New Roman" w:cs="Times New Roman"/>
                <w:szCs w:val="21"/>
              </w:rPr>
              <w:t>相符</w:t>
            </w:r>
          </w:p>
        </w:tc>
      </w:tr>
      <w:tr w14:paraId="73DB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Merge w:val="restart"/>
            <w:vAlign w:val="center"/>
          </w:tcPr>
          <w:p w14:paraId="4EFC3E53">
            <w:pPr>
              <w:jc w:val="center"/>
              <w:rPr>
                <w:rFonts w:ascii="Times New Roman" w:hAnsi="Times New Roman" w:cs="Times New Roman"/>
                <w:szCs w:val="21"/>
              </w:rPr>
            </w:pPr>
            <w:r>
              <w:rPr>
                <w:rFonts w:ascii="Times New Roman" w:hAnsi="Times New Roman" w:cs="Times New Roman"/>
                <w:szCs w:val="21"/>
              </w:rPr>
              <w:t>河南省大气生态环境总体准入要求</w:t>
            </w:r>
          </w:p>
        </w:tc>
        <w:tc>
          <w:tcPr>
            <w:tcW w:w="463" w:type="dxa"/>
            <w:vAlign w:val="center"/>
          </w:tcPr>
          <w:p w14:paraId="2BB16B82">
            <w:pPr>
              <w:jc w:val="center"/>
              <w:rPr>
                <w:rFonts w:ascii="Times New Roman" w:hAnsi="Times New Roman" w:cs="Times New Roman"/>
                <w:szCs w:val="21"/>
              </w:rPr>
            </w:pPr>
            <w:r>
              <w:rPr>
                <w:rFonts w:ascii="Times New Roman" w:hAnsi="Times New Roman" w:cs="Times New Roman"/>
                <w:szCs w:val="21"/>
              </w:rPr>
              <w:t>空间布局约束</w:t>
            </w:r>
          </w:p>
        </w:tc>
        <w:tc>
          <w:tcPr>
            <w:tcW w:w="5125" w:type="dxa"/>
            <w:vAlign w:val="center"/>
          </w:tcPr>
          <w:p w14:paraId="71AF3EBD">
            <w:pPr>
              <w:jc w:val="left"/>
              <w:rPr>
                <w:rFonts w:ascii="Times New Roman" w:hAnsi="Times New Roman" w:cs="Times New Roman"/>
                <w:szCs w:val="21"/>
              </w:rPr>
            </w:pPr>
            <w:r>
              <w:rPr>
                <w:rFonts w:ascii="Times New Roman" w:hAnsi="Times New Roman" w:cs="Times New Roman"/>
                <w:szCs w:val="21"/>
              </w:rPr>
              <w:t>1.集中供暖区禁止新改扩分散燃煤供热锅炉，已建成的不能达标排放的燃煤供热锅炉，应当期限内拆除；在保证电力、热力、天然气供应前提下，加快推进热电联产机组供热半径30公里范围内燃煤锅炉及落后燃煤小热电关停整合；城市建成区生物质锅炉实施超低排放改造，燃气锅炉实施低氮改造；对不能稳定达标排放、改造升级无望的污染企业，依法依规停产限产、关停退出。</w:t>
            </w:r>
          </w:p>
          <w:p w14:paraId="5119C6C7">
            <w:pPr>
              <w:jc w:val="left"/>
              <w:rPr>
                <w:rFonts w:ascii="Times New Roman" w:hAnsi="Times New Roman" w:cs="Times New Roman"/>
                <w:szCs w:val="21"/>
              </w:rPr>
            </w:pPr>
            <w:r>
              <w:rPr>
                <w:rFonts w:ascii="Times New Roman" w:hAnsi="Times New Roman" w:cs="Times New Roman"/>
                <w:szCs w:val="21"/>
              </w:rPr>
              <w:t>2.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VOCs排放建设项目；新建涉VOCs排放的工业企业要入园区；实行区域内VOCs排放等量或倍量削减替代。</w:t>
            </w:r>
          </w:p>
        </w:tc>
        <w:tc>
          <w:tcPr>
            <w:tcW w:w="1616" w:type="dxa"/>
            <w:vAlign w:val="center"/>
          </w:tcPr>
          <w:p w14:paraId="51D19F94">
            <w:pPr>
              <w:rPr>
                <w:rFonts w:ascii="Times New Roman" w:hAnsi="Times New Roman" w:cs="Times New Roman"/>
                <w:szCs w:val="21"/>
              </w:rPr>
            </w:pPr>
            <w:r>
              <w:rPr>
                <w:rFonts w:ascii="Times New Roman" w:hAnsi="Times New Roman" w:cs="Times New Roman"/>
              </w:rPr>
              <w:t>本项目位于濮阳市清丰产业集聚区，不涉及燃煤锅炉，本项目涉及VOCs排放，但属于园区</w:t>
            </w:r>
          </w:p>
        </w:tc>
        <w:tc>
          <w:tcPr>
            <w:tcW w:w="676" w:type="dxa"/>
            <w:vAlign w:val="center"/>
          </w:tcPr>
          <w:p w14:paraId="54EC16D8">
            <w:pPr>
              <w:jc w:val="center"/>
              <w:rPr>
                <w:rFonts w:ascii="Times New Roman" w:hAnsi="Times New Roman" w:cs="Times New Roman"/>
                <w:szCs w:val="21"/>
              </w:rPr>
            </w:pPr>
            <w:r>
              <w:rPr>
                <w:rFonts w:ascii="Times New Roman" w:hAnsi="Times New Roman" w:cs="Times New Roman"/>
                <w:szCs w:val="21"/>
              </w:rPr>
              <w:t>相符</w:t>
            </w:r>
          </w:p>
        </w:tc>
      </w:tr>
      <w:tr w14:paraId="5390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Merge w:val="continue"/>
            <w:vAlign w:val="center"/>
          </w:tcPr>
          <w:p w14:paraId="16922F44">
            <w:pPr>
              <w:jc w:val="center"/>
              <w:rPr>
                <w:rFonts w:ascii="Times New Roman" w:hAnsi="Times New Roman" w:cs="Times New Roman"/>
                <w:szCs w:val="21"/>
              </w:rPr>
            </w:pPr>
          </w:p>
        </w:tc>
        <w:tc>
          <w:tcPr>
            <w:tcW w:w="463" w:type="dxa"/>
            <w:vAlign w:val="center"/>
          </w:tcPr>
          <w:p w14:paraId="42300261">
            <w:pPr>
              <w:jc w:val="center"/>
              <w:rPr>
                <w:rFonts w:ascii="Times New Roman" w:hAnsi="Times New Roman" w:cs="Times New Roman"/>
                <w:szCs w:val="21"/>
              </w:rPr>
            </w:pPr>
            <w:r>
              <w:rPr>
                <w:rFonts w:ascii="Times New Roman" w:hAnsi="Times New Roman" w:cs="Times New Roman"/>
                <w:szCs w:val="21"/>
              </w:rPr>
              <w:t>污染物排放管控</w:t>
            </w:r>
          </w:p>
        </w:tc>
        <w:tc>
          <w:tcPr>
            <w:tcW w:w="5125" w:type="dxa"/>
            <w:vAlign w:val="center"/>
          </w:tcPr>
          <w:p w14:paraId="5FCAE489">
            <w:pPr>
              <w:jc w:val="left"/>
              <w:rPr>
                <w:rFonts w:ascii="Times New Roman" w:hAnsi="Times New Roman" w:cs="Times New Roman"/>
                <w:szCs w:val="21"/>
              </w:rPr>
            </w:pPr>
            <w:r>
              <w:rPr>
                <w:rFonts w:ascii="Times New Roman" w:hAnsi="Times New Roman" w:cs="Times New Roman"/>
                <w:szCs w:val="21"/>
              </w:rPr>
              <w:t>3.实施工业低碳行动。推进钢铁、水泥、铝加工、平板玻璃、煤化工、煤电、有色金属等产业绿色、减量、提质发展，开展全流程清洁化、循环化、低碳化改造，加快建设绿色制造体系；对具有一定规模、符合条件的钢铁企业实施超低排放改造；煤化工企业全面完成VOCs治理；水泥企业生产工序达到超低排放标准。</w:t>
            </w:r>
          </w:p>
          <w:p w14:paraId="1102F86F">
            <w:pPr>
              <w:jc w:val="left"/>
              <w:rPr>
                <w:rFonts w:ascii="Times New Roman" w:hAnsi="Times New Roman" w:cs="Times New Roman"/>
                <w:szCs w:val="21"/>
              </w:rPr>
            </w:pPr>
            <w:r>
              <w:rPr>
                <w:rFonts w:ascii="Times New Roman" w:hAnsi="Times New Roman" w:cs="Times New Roman"/>
                <w:szCs w:val="21"/>
              </w:rPr>
              <w:t>4.重点行业二氧化硫、氮氧化物、颗粒物、VOCs全面执行大气污染物特别排放限值；综合整治VOCs排放，新改扩建涉VOCs排放项目，应加强废气收集，安装高效治理设施；对确有必要新建或改造升级的高端铸造建设项目，原则上应使用天然气或电力等清洁能源；所有产生颗粒物或VOCs的工序应配备高效收集和处理装置；县级以上建成区餐饮企业全部安装油烟净化设施并符合河南省《餐饮业油烟污染物排放标准》（DB41/1604-2018）。</w:t>
            </w:r>
          </w:p>
          <w:p w14:paraId="0539D3A1">
            <w:pPr>
              <w:jc w:val="left"/>
              <w:rPr>
                <w:rFonts w:ascii="Times New Roman" w:hAnsi="Times New Roman" w:cs="Times New Roman"/>
                <w:szCs w:val="21"/>
              </w:rPr>
            </w:pPr>
            <w:r>
              <w:rPr>
                <w:rFonts w:ascii="Times New Roman" w:hAnsi="Times New Roman" w:cs="Times New Roman"/>
                <w:szCs w:val="21"/>
              </w:rPr>
              <w:t>5.强化项目环评及“三同时”管理，国家、省绩效分级重点行业的新改扩建项目达到B级以上要求。</w:t>
            </w:r>
          </w:p>
          <w:p w14:paraId="7DFF286A">
            <w:pPr>
              <w:jc w:val="left"/>
              <w:rPr>
                <w:rFonts w:ascii="Times New Roman" w:hAnsi="Times New Roman" w:cs="Times New Roman"/>
                <w:szCs w:val="21"/>
              </w:rPr>
            </w:pPr>
            <w:r>
              <w:rPr>
                <w:rFonts w:ascii="Times New Roman" w:hAnsi="Times New Roman" w:cs="Times New Roman"/>
                <w:szCs w:val="21"/>
              </w:rPr>
              <w:t>6.积极发展铁路运输，完善干线铁路布局，加快铁路专用线建设。推动铁路专用线直通大型工矿企业和物流园区，实现“点到点”铁路运输；新改扩建涉及大宗物料运输的建设项目，原则上不得利用公路运输；以推动大宗物料及粮油等农副产品运输“公转铁”为重点，鼓励钢铁、电力、焦化、电解铝、水泥、汽车制造等大型生产企业新建或改扩建铁路专用线；支持煤炭、钢铁、建材等大型专业化物流园区、交易集散基地新建或改扩建铁路专用线。</w:t>
            </w:r>
          </w:p>
          <w:p w14:paraId="39FF5672">
            <w:pPr>
              <w:jc w:val="left"/>
              <w:rPr>
                <w:rFonts w:ascii="Times New Roman" w:hAnsi="Times New Roman" w:cs="Times New Roman"/>
                <w:szCs w:val="21"/>
              </w:rPr>
            </w:pPr>
            <w:r>
              <w:rPr>
                <w:rFonts w:ascii="Times New Roman" w:hAnsi="Times New Roman" w:cs="Times New Roman"/>
                <w:szCs w:val="21"/>
              </w:rPr>
              <w:t>7.鼓励工业炉窑使用电、天然气等清洁能源或由周边热电厂供热；大力推广优质能源替代民用散煤；农村地区综合推广使用生物质成型燃料、沼气、太阳能等清洁能源，减少散煤使用。</w:t>
            </w:r>
          </w:p>
        </w:tc>
        <w:tc>
          <w:tcPr>
            <w:tcW w:w="1616" w:type="dxa"/>
            <w:vAlign w:val="center"/>
          </w:tcPr>
          <w:p w14:paraId="1A891B1E">
            <w:pPr>
              <w:rPr>
                <w:rFonts w:ascii="Times New Roman" w:hAnsi="Times New Roman" w:cs="Times New Roman"/>
                <w:szCs w:val="21"/>
              </w:rPr>
            </w:pPr>
            <w:r>
              <w:t>本项目</w:t>
            </w:r>
            <w:r>
              <w:rPr>
                <w:rFonts w:hint="eastAsia"/>
              </w:rPr>
              <w:t>木加工工序配备中央除尘系统，调漆、喷漆、烘干过程产生的废气经</w:t>
            </w:r>
            <w:r>
              <w:t>活性炭吸附浓缩脱附</w:t>
            </w:r>
            <w:r>
              <w:rPr>
                <w:rFonts w:ascii="Times New Roman" w:hAnsi="Times New Roman" w:cs="Times New Roman"/>
              </w:rPr>
              <w:t>+</w:t>
            </w:r>
            <w:r>
              <w:t>催化燃烧装置</w:t>
            </w:r>
            <w:r>
              <w:rPr>
                <w:rFonts w:hint="eastAsia"/>
              </w:rPr>
              <w:t>处理，打磨过程产生的粉尘经脉冲布袋式除尘器处理</w:t>
            </w:r>
            <w:r>
              <w:t>；生产废水</w:t>
            </w:r>
            <w:r>
              <w:rPr>
                <w:rFonts w:hint="eastAsia"/>
              </w:rPr>
              <w:t>经</w:t>
            </w:r>
            <w:r>
              <w:t>厂区污水处理站处理</w:t>
            </w:r>
            <w:r>
              <w:rPr>
                <w:rFonts w:hint="eastAsia"/>
              </w:rPr>
              <w:t>、生活污水经化粪池处理</w:t>
            </w:r>
            <w:r>
              <w:t>后通过市政污水管网排入</w:t>
            </w:r>
            <w:r>
              <w:rPr>
                <w:rFonts w:hint="eastAsia"/>
              </w:rPr>
              <w:t>园区污水处理厂</w:t>
            </w:r>
            <w:r>
              <w:t>，达标尾水排入</w:t>
            </w:r>
            <w:r>
              <w:rPr>
                <w:rFonts w:hint="eastAsia"/>
              </w:rPr>
              <w:t>潴龙河</w:t>
            </w:r>
            <w:r>
              <w:t>。</w:t>
            </w:r>
          </w:p>
        </w:tc>
        <w:tc>
          <w:tcPr>
            <w:tcW w:w="676" w:type="dxa"/>
            <w:vAlign w:val="center"/>
          </w:tcPr>
          <w:p w14:paraId="56F70B41">
            <w:pPr>
              <w:jc w:val="center"/>
              <w:rPr>
                <w:rFonts w:ascii="Times New Roman" w:hAnsi="Times New Roman" w:cs="Times New Roman"/>
                <w:szCs w:val="21"/>
              </w:rPr>
            </w:pPr>
            <w:r>
              <w:rPr>
                <w:rFonts w:ascii="Times New Roman" w:hAnsi="Times New Roman" w:cs="Times New Roman"/>
                <w:szCs w:val="21"/>
              </w:rPr>
              <w:t>相符</w:t>
            </w:r>
          </w:p>
        </w:tc>
      </w:tr>
      <w:tr w14:paraId="6F14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8" w:hRule="atLeast"/>
        </w:trPr>
        <w:tc>
          <w:tcPr>
            <w:tcW w:w="642" w:type="dxa"/>
            <w:vMerge w:val="restart"/>
            <w:vAlign w:val="center"/>
          </w:tcPr>
          <w:p w14:paraId="606EC605">
            <w:pPr>
              <w:jc w:val="center"/>
              <w:rPr>
                <w:rFonts w:ascii="Times New Roman" w:hAnsi="Times New Roman" w:cs="Times New Roman"/>
                <w:szCs w:val="21"/>
              </w:rPr>
            </w:pPr>
            <w:r>
              <w:rPr>
                <w:rFonts w:ascii="Times New Roman" w:hAnsi="Times New Roman" w:cs="Times New Roman"/>
                <w:szCs w:val="21"/>
              </w:rPr>
              <w:t>河南省水生态环境总体准入要求</w:t>
            </w:r>
          </w:p>
        </w:tc>
        <w:tc>
          <w:tcPr>
            <w:tcW w:w="463" w:type="dxa"/>
            <w:vAlign w:val="center"/>
          </w:tcPr>
          <w:p w14:paraId="6C9A377F">
            <w:pPr>
              <w:jc w:val="center"/>
              <w:rPr>
                <w:rFonts w:ascii="Times New Roman" w:hAnsi="Times New Roman" w:cs="Times New Roman"/>
                <w:szCs w:val="21"/>
              </w:rPr>
            </w:pPr>
            <w:r>
              <w:rPr>
                <w:rFonts w:ascii="Times New Roman" w:hAnsi="Times New Roman" w:cs="Times New Roman"/>
                <w:szCs w:val="21"/>
              </w:rPr>
              <w:t>空间布局约束</w:t>
            </w:r>
          </w:p>
        </w:tc>
        <w:tc>
          <w:tcPr>
            <w:tcW w:w="5125" w:type="dxa"/>
            <w:vAlign w:val="center"/>
          </w:tcPr>
          <w:p w14:paraId="37B89A8A">
            <w:pPr>
              <w:jc w:val="left"/>
              <w:rPr>
                <w:rFonts w:ascii="Times New Roman" w:hAnsi="Times New Roman" w:cs="Times New Roman"/>
                <w:szCs w:val="21"/>
              </w:rPr>
            </w:pPr>
            <w:r>
              <w:rPr>
                <w:rFonts w:ascii="Times New Roman" w:hAnsi="Times New Roman" w:cs="Times New Roman"/>
                <w:szCs w:val="21"/>
              </w:rPr>
              <w:t>1.在属于水污染防治重点控制单元的区域内，不予审批耗水量大、废水排放量大的煤化工、化学原料药及生物发酵制药、制浆造纸、制革及毛皮鞣制、印染等行业单纯新建和单纯扩大产能的项目。</w:t>
            </w:r>
          </w:p>
          <w:p w14:paraId="22D74927">
            <w:pPr>
              <w:jc w:val="left"/>
              <w:rPr>
                <w:rFonts w:ascii="Times New Roman" w:hAnsi="Times New Roman" w:cs="Times New Roman"/>
                <w:szCs w:val="21"/>
              </w:rPr>
            </w:pPr>
            <w:r>
              <w:rPr>
                <w:rFonts w:ascii="Times New Roman" w:hAnsi="Times New Roman" w:cs="Times New Roman"/>
                <w:szCs w:val="21"/>
              </w:rPr>
              <w:t>2.在省辖黄河和淮河流域干流沿岸，严格控制石油化工、化学原料和化学制品制造、制浆造纸、医药制造、化学纤维制造、有色金属冶炼、纺织印染等项目环境风险，合理布局生产装置及危险化学品仓储等设施。</w:t>
            </w:r>
          </w:p>
          <w:p w14:paraId="4A024D09">
            <w:pPr>
              <w:jc w:val="left"/>
              <w:rPr>
                <w:rFonts w:ascii="Times New Roman" w:hAnsi="Times New Roman" w:cs="Times New Roman"/>
                <w:szCs w:val="21"/>
              </w:rPr>
            </w:pPr>
            <w:r>
              <w:rPr>
                <w:rFonts w:ascii="Times New Roman" w:hAnsi="Times New Roman" w:cs="Times New Roman"/>
                <w:szCs w:val="21"/>
              </w:rPr>
              <w:t>3.城市建成区内现有的钢铁、有色金属、造纸、印染、原料药制造、化工等污染较重的企业，应有序搬迁改造或依法关闭。</w:t>
            </w:r>
          </w:p>
        </w:tc>
        <w:tc>
          <w:tcPr>
            <w:tcW w:w="1616" w:type="dxa"/>
            <w:vAlign w:val="center"/>
          </w:tcPr>
          <w:p w14:paraId="08176F2C">
            <w:pPr>
              <w:jc w:val="center"/>
              <w:rPr>
                <w:rFonts w:ascii="Times New Roman" w:hAnsi="Times New Roman" w:cs="Times New Roman"/>
                <w:szCs w:val="21"/>
              </w:rPr>
            </w:pPr>
            <w:r>
              <w:rPr>
                <w:rFonts w:ascii="Times New Roman" w:hAnsi="Times New Roman" w:cs="Times New Roman"/>
                <w:szCs w:val="21"/>
              </w:rPr>
              <w:t>本项目为</w:t>
            </w:r>
            <w:r>
              <w:rPr>
                <w:rFonts w:hint="eastAsia" w:ascii="Times New Roman" w:hAnsi="Times New Roman" w:cs="Times New Roman"/>
                <w:szCs w:val="21"/>
              </w:rPr>
              <w:t>木质家具</w:t>
            </w:r>
            <w:r>
              <w:rPr>
                <w:rFonts w:ascii="Times New Roman" w:hAnsi="Times New Roman" w:cs="Times New Roman"/>
                <w:szCs w:val="21"/>
              </w:rPr>
              <w:t>项目，位于濮阳市</w:t>
            </w:r>
            <w:r>
              <w:rPr>
                <w:rFonts w:hint="eastAsia" w:ascii="Times New Roman" w:hAnsi="Times New Roman" w:cs="Times New Roman"/>
                <w:szCs w:val="21"/>
              </w:rPr>
              <w:t>清丰县</w:t>
            </w:r>
            <w:r>
              <w:rPr>
                <w:rFonts w:ascii="Times New Roman" w:hAnsi="Times New Roman" w:cs="Times New Roman"/>
                <w:szCs w:val="21"/>
              </w:rPr>
              <w:t>产业集聚区</w:t>
            </w:r>
            <w:r>
              <w:rPr>
                <w:rFonts w:hint="eastAsia" w:ascii="Times New Roman" w:hAnsi="Times New Roman" w:cs="Times New Roman"/>
                <w:szCs w:val="21"/>
              </w:rPr>
              <w:t>家具园区</w:t>
            </w:r>
            <w:r>
              <w:rPr>
                <w:rFonts w:ascii="Times New Roman" w:hAnsi="Times New Roman" w:cs="Times New Roman"/>
                <w:szCs w:val="21"/>
              </w:rPr>
              <w:t>，符合空间布局约束</w:t>
            </w:r>
          </w:p>
        </w:tc>
        <w:tc>
          <w:tcPr>
            <w:tcW w:w="676" w:type="dxa"/>
            <w:vAlign w:val="center"/>
          </w:tcPr>
          <w:p w14:paraId="6B422648">
            <w:pPr>
              <w:jc w:val="center"/>
              <w:rPr>
                <w:rFonts w:ascii="Times New Roman" w:hAnsi="Times New Roman" w:cs="Times New Roman"/>
                <w:szCs w:val="21"/>
              </w:rPr>
            </w:pPr>
            <w:r>
              <w:rPr>
                <w:rFonts w:ascii="Times New Roman" w:hAnsi="Times New Roman" w:cs="Times New Roman"/>
                <w:szCs w:val="21"/>
              </w:rPr>
              <w:t>相符</w:t>
            </w:r>
          </w:p>
        </w:tc>
      </w:tr>
      <w:tr w14:paraId="6AA8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Merge w:val="continue"/>
            <w:vAlign w:val="center"/>
          </w:tcPr>
          <w:p w14:paraId="5FEC9258">
            <w:pPr>
              <w:jc w:val="center"/>
              <w:rPr>
                <w:rFonts w:ascii="Times New Roman" w:hAnsi="Times New Roman" w:cs="Times New Roman"/>
                <w:szCs w:val="21"/>
              </w:rPr>
            </w:pPr>
          </w:p>
        </w:tc>
        <w:tc>
          <w:tcPr>
            <w:tcW w:w="463" w:type="dxa"/>
            <w:vAlign w:val="center"/>
          </w:tcPr>
          <w:p w14:paraId="4B19B4CD">
            <w:pPr>
              <w:jc w:val="center"/>
              <w:rPr>
                <w:rFonts w:ascii="Times New Roman" w:hAnsi="Times New Roman" w:cs="Times New Roman"/>
                <w:szCs w:val="21"/>
              </w:rPr>
            </w:pPr>
            <w:r>
              <w:rPr>
                <w:rFonts w:ascii="Times New Roman" w:hAnsi="Times New Roman" w:cs="Times New Roman"/>
                <w:szCs w:val="21"/>
              </w:rPr>
              <w:t>污染物排放管控</w:t>
            </w:r>
          </w:p>
        </w:tc>
        <w:tc>
          <w:tcPr>
            <w:tcW w:w="5125" w:type="dxa"/>
            <w:vAlign w:val="center"/>
          </w:tcPr>
          <w:p w14:paraId="46988FD4">
            <w:pPr>
              <w:jc w:val="left"/>
              <w:rPr>
                <w:rFonts w:ascii="Times New Roman" w:hAnsi="Times New Roman" w:cs="Times New Roman"/>
                <w:szCs w:val="21"/>
              </w:rPr>
            </w:pPr>
            <w:r>
              <w:rPr>
                <w:rFonts w:ascii="Times New Roman" w:hAnsi="Times New Roman" w:cs="Times New Roman"/>
                <w:szCs w:val="21"/>
              </w:rPr>
              <w:t>4.新改扩建造纸、焦化、氮肥、农副食品加工、毛皮制革、印染、有色金属、原料药制造、电镀等重点水污染物排放行业建设项目实行主要污染物排放等量或减量置换。</w:t>
            </w:r>
          </w:p>
          <w:p w14:paraId="3056CB88">
            <w:pPr>
              <w:jc w:val="left"/>
              <w:rPr>
                <w:rFonts w:ascii="Times New Roman" w:hAnsi="Times New Roman" w:cs="Times New Roman"/>
                <w:szCs w:val="21"/>
              </w:rPr>
            </w:pPr>
            <w:r>
              <w:rPr>
                <w:rFonts w:ascii="Times New Roman" w:hAnsi="Times New Roman" w:cs="Times New Roman"/>
                <w:szCs w:val="21"/>
              </w:rPr>
              <w:t>5.鼓励钢铁、纺织印染、造纸、石油石化、化工、制革等高耗水企业废水深度处理回用。</w:t>
            </w:r>
          </w:p>
          <w:p w14:paraId="6EEAF9B3">
            <w:pPr>
              <w:jc w:val="left"/>
              <w:rPr>
                <w:rFonts w:ascii="Times New Roman" w:hAnsi="Times New Roman" w:cs="Times New Roman"/>
                <w:szCs w:val="21"/>
              </w:rPr>
            </w:pPr>
            <w:r>
              <w:rPr>
                <w:rFonts w:ascii="Times New Roman" w:hAnsi="Times New Roman" w:cs="Times New Roman"/>
                <w:szCs w:val="21"/>
              </w:rPr>
              <w:t>6.新建、升级产业集聚区（园区）要同步规划、建设污水集中处理等设施；现有省级产业集聚区建成区域实现管网全配套，污水集中处理设施稳定达标运行，同时安装自动在线监控装置。</w:t>
            </w:r>
          </w:p>
          <w:p w14:paraId="78AE2DC7">
            <w:pPr>
              <w:jc w:val="left"/>
              <w:rPr>
                <w:rFonts w:ascii="Times New Roman" w:hAnsi="Times New Roman" w:cs="Times New Roman"/>
                <w:szCs w:val="21"/>
              </w:rPr>
            </w:pPr>
            <w:r>
              <w:rPr>
                <w:rFonts w:ascii="Times New Roman" w:hAnsi="Times New Roman" w:cs="Times New Roman"/>
                <w:szCs w:val="21"/>
              </w:rPr>
              <w:t>7.新建城区的污水处理设施和污水管网，要与城市发展同步规划、同步建设，做到雨污分流；新建或提升改造的城镇污水处理厂须达到或优于一级A排放标准；具备条件的污水处理厂应建设尾水人工湿地；限制含重金属工业废水进入城市生活污水处理厂。</w:t>
            </w:r>
          </w:p>
          <w:p w14:paraId="11C330DF">
            <w:pPr>
              <w:jc w:val="left"/>
              <w:rPr>
                <w:rFonts w:ascii="Times New Roman" w:hAnsi="Times New Roman" w:cs="Times New Roman"/>
                <w:szCs w:val="21"/>
              </w:rPr>
            </w:pPr>
            <w:r>
              <w:rPr>
                <w:rFonts w:ascii="Times New Roman" w:hAnsi="Times New Roman" w:cs="Times New Roman"/>
                <w:szCs w:val="21"/>
              </w:rPr>
              <w:t>8.按照“减量化、稳定化、无害化、资源化”要求，加快推进城镇污水处理厂污泥无害化处理处置和资源化利用；依法查处取缔非法污泥堆放点，禁止重金属等污染物不达标的污泥进行土地利用；2021年年底，全省城市和县城污泥无害化处置率分别达到95%以上和85%以上。</w:t>
            </w:r>
          </w:p>
        </w:tc>
        <w:tc>
          <w:tcPr>
            <w:tcW w:w="1616" w:type="dxa"/>
            <w:vAlign w:val="center"/>
          </w:tcPr>
          <w:p w14:paraId="536B28E4">
            <w:pPr>
              <w:jc w:val="center"/>
              <w:rPr>
                <w:rFonts w:ascii="Times New Roman" w:hAnsi="Times New Roman" w:cs="Times New Roman"/>
                <w:szCs w:val="21"/>
              </w:rPr>
            </w:pPr>
            <w:r>
              <w:rPr>
                <w:rFonts w:ascii="Times New Roman" w:hAnsi="Times New Roman" w:cs="Times New Roman"/>
                <w:szCs w:val="21"/>
              </w:rPr>
              <w:t>本项目为</w:t>
            </w:r>
            <w:r>
              <w:rPr>
                <w:rFonts w:hint="eastAsia" w:ascii="Times New Roman" w:hAnsi="Times New Roman" w:cs="Times New Roman"/>
                <w:szCs w:val="21"/>
              </w:rPr>
              <w:t>木质家具</w:t>
            </w:r>
            <w:r>
              <w:rPr>
                <w:rFonts w:ascii="Times New Roman" w:hAnsi="Times New Roman" w:cs="Times New Roman"/>
                <w:szCs w:val="21"/>
              </w:rPr>
              <w:t>项目，</w:t>
            </w:r>
            <w:r>
              <w:rPr>
                <w:rFonts w:ascii="Times New Roman" w:hAnsi="Times New Roman" w:eastAsia="宋体" w:cs="Times New Roman"/>
                <w:szCs w:val="21"/>
              </w:rPr>
              <w:t>生产废水</w:t>
            </w:r>
            <w:r>
              <w:rPr>
                <w:rFonts w:hint="eastAsia" w:ascii="Times New Roman" w:hAnsi="Times New Roman" w:eastAsia="宋体" w:cs="Times New Roman"/>
                <w:szCs w:val="21"/>
              </w:rPr>
              <w:t>经</w:t>
            </w:r>
            <w:r>
              <w:rPr>
                <w:rFonts w:ascii="Times New Roman" w:hAnsi="Times New Roman" w:eastAsia="宋体" w:cs="Times New Roman"/>
                <w:szCs w:val="21"/>
              </w:rPr>
              <w:t>厂区污水处理站处理</w:t>
            </w:r>
            <w:r>
              <w:rPr>
                <w:rFonts w:hint="eastAsia" w:ascii="Times New Roman" w:hAnsi="Times New Roman" w:eastAsia="宋体" w:cs="Times New Roman"/>
                <w:szCs w:val="21"/>
              </w:rPr>
              <w:t>、生活污水经化粪池处理</w:t>
            </w:r>
            <w:r>
              <w:rPr>
                <w:rFonts w:ascii="Times New Roman" w:hAnsi="Times New Roman" w:eastAsia="宋体" w:cs="Times New Roman"/>
                <w:szCs w:val="21"/>
              </w:rPr>
              <w:t>后通过市政污水管网排入</w:t>
            </w:r>
            <w:r>
              <w:rPr>
                <w:rFonts w:hint="eastAsia" w:ascii="Times New Roman" w:hAnsi="Times New Roman" w:eastAsia="宋体" w:cs="Times New Roman"/>
                <w:szCs w:val="21"/>
              </w:rPr>
              <w:t>污水处理厂</w:t>
            </w:r>
            <w:r>
              <w:rPr>
                <w:rFonts w:ascii="Times New Roman" w:hAnsi="Times New Roman" w:eastAsia="宋体" w:cs="Times New Roman"/>
                <w:szCs w:val="21"/>
              </w:rPr>
              <w:t>，达标尾水排入</w:t>
            </w:r>
            <w:r>
              <w:rPr>
                <w:rFonts w:hint="eastAsia" w:ascii="Times New Roman" w:hAnsi="Times New Roman" w:eastAsia="宋体" w:cs="Times New Roman"/>
                <w:szCs w:val="21"/>
              </w:rPr>
              <w:t>潴龙河</w:t>
            </w:r>
          </w:p>
        </w:tc>
        <w:tc>
          <w:tcPr>
            <w:tcW w:w="676" w:type="dxa"/>
            <w:vAlign w:val="center"/>
          </w:tcPr>
          <w:p w14:paraId="541DB472">
            <w:pPr>
              <w:jc w:val="center"/>
              <w:rPr>
                <w:rFonts w:ascii="Times New Roman" w:hAnsi="Times New Roman" w:cs="Times New Roman"/>
                <w:szCs w:val="21"/>
              </w:rPr>
            </w:pPr>
            <w:r>
              <w:rPr>
                <w:rFonts w:ascii="Times New Roman" w:hAnsi="Times New Roman" w:cs="Times New Roman"/>
                <w:szCs w:val="21"/>
              </w:rPr>
              <w:t>相符</w:t>
            </w:r>
          </w:p>
        </w:tc>
      </w:tr>
      <w:tr w14:paraId="6CFD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Merge w:val="continue"/>
            <w:vAlign w:val="center"/>
          </w:tcPr>
          <w:p w14:paraId="5E9DBFBC">
            <w:pPr>
              <w:jc w:val="center"/>
              <w:rPr>
                <w:rFonts w:ascii="Times New Roman" w:hAnsi="Times New Roman" w:cs="Times New Roman"/>
                <w:szCs w:val="21"/>
              </w:rPr>
            </w:pPr>
          </w:p>
        </w:tc>
        <w:tc>
          <w:tcPr>
            <w:tcW w:w="463" w:type="dxa"/>
            <w:vAlign w:val="center"/>
          </w:tcPr>
          <w:p w14:paraId="19A29D0E">
            <w:pPr>
              <w:jc w:val="center"/>
              <w:rPr>
                <w:rFonts w:ascii="Times New Roman" w:hAnsi="Times New Roman" w:cs="Times New Roman"/>
                <w:szCs w:val="21"/>
              </w:rPr>
            </w:pPr>
            <w:r>
              <w:rPr>
                <w:rFonts w:ascii="Times New Roman" w:hAnsi="Times New Roman" w:cs="Times New Roman"/>
                <w:szCs w:val="21"/>
              </w:rPr>
              <w:t>环境风险防控</w:t>
            </w:r>
          </w:p>
        </w:tc>
        <w:tc>
          <w:tcPr>
            <w:tcW w:w="5125" w:type="dxa"/>
            <w:vAlign w:val="center"/>
          </w:tcPr>
          <w:p w14:paraId="1103ABA9">
            <w:pPr>
              <w:jc w:val="left"/>
              <w:rPr>
                <w:rFonts w:ascii="Times New Roman" w:hAnsi="Times New Roman" w:cs="Times New Roman"/>
                <w:szCs w:val="21"/>
              </w:rPr>
            </w:pPr>
            <w:r>
              <w:rPr>
                <w:rFonts w:ascii="Times New Roman" w:hAnsi="Times New Roman" w:cs="Times New Roman"/>
                <w:szCs w:val="21"/>
              </w:rPr>
              <w:t>9.严格限制并逐步淘汰、替代高风险化学品生产、使用（涉及高风险化学品生产、使用的行业包括石油加工、炼焦、化学原料及化学制品制造、医药制造、有色金属冶炼及压延加工、毛皮皮革、有色金属矿采选、铅蓄电池制造等）。</w:t>
            </w:r>
          </w:p>
          <w:p w14:paraId="4EEFA1A3">
            <w:pPr>
              <w:jc w:val="left"/>
              <w:rPr>
                <w:rFonts w:ascii="Times New Roman" w:hAnsi="Times New Roman" w:cs="Times New Roman"/>
                <w:szCs w:val="21"/>
              </w:rPr>
            </w:pPr>
            <w:r>
              <w:rPr>
                <w:rFonts w:ascii="Times New Roman" w:hAnsi="Times New Roman" w:cs="Times New Roman"/>
                <w:szCs w:val="21"/>
              </w:rPr>
              <w:t>10.建立集中式饮用水水源地突发环境事件应急预案，建立饮用水水源地污染来源预警、水质安全应急处理和水厂应急处理三位一体的饮用水水源地应急保障体系；依法清理饮用水水源保护区内违法建筑和排污口。</w:t>
            </w:r>
          </w:p>
          <w:p w14:paraId="3A6188EA">
            <w:pPr>
              <w:jc w:val="left"/>
              <w:rPr>
                <w:rFonts w:ascii="Times New Roman" w:hAnsi="Times New Roman" w:cs="Times New Roman"/>
                <w:szCs w:val="21"/>
              </w:rPr>
            </w:pPr>
            <w:r>
              <w:rPr>
                <w:rFonts w:ascii="Times New Roman" w:hAnsi="Times New Roman" w:cs="Times New Roman"/>
                <w:szCs w:val="21"/>
              </w:rPr>
              <w:t>11.完善四大流域上、下游政府及相关部门之间的联防联控、信息共享、闸坝调度机制，落实应急防范措施，强化应急演练，避免发生重、特大水污染事件。</w:t>
            </w:r>
          </w:p>
        </w:tc>
        <w:tc>
          <w:tcPr>
            <w:tcW w:w="1616" w:type="dxa"/>
            <w:vAlign w:val="center"/>
          </w:tcPr>
          <w:p w14:paraId="566338F4">
            <w:pPr>
              <w:jc w:val="center"/>
              <w:rPr>
                <w:rFonts w:ascii="Times New Roman" w:hAnsi="Times New Roman" w:cs="Times New Roman"/>
                <w:szCs w:val="21"/>
              </w:rPr>
            </w:pPr>
            <w:r>
              <w:rPr>
                <w:rFonts w:ascii="Times New Roman" w:hAnsi="Times New Roman" w:cs="Times New Roman"/>
                <w:szCs w:val="21"/>
              </w:rPr>
              <w:t>本项目不涉及高风险化学品，待本项目</w:t>
            </w:r>
            <w:r>
              <w:rPr>
                <w:rFonts w:hint="eastAsia" w:ascii="Times New Roman" w:hAnsi="Times New Roman" w:cs="Times New Roman"/>
                <w:szCs w:val="21"/>
              </w:rPr>
              <w:t>正式投运前需编制</w:t>
            </w:r>
            <w:r>
              <w:rPr>
                <w:rFonts w:ascii="Times New Roman" w:hAnsi="Times New Roman" w:cs="Times New Roman"/>
                <w:szCs w:val="21"/>
              </w:rPr>
              <w:t>突发环境事件应急预案</w:t>
            </w:r>
          </w:p>
        </w:tc>
        <w:tc>
          <w:tcPr>
            <w:tcW w:w="676" w:type="dxa"/>
            <w:vAlign w:val="center"/>
          </w:tcPr>
          <w:p w14:paraId="1AB51815">
            <w:pPr>
              <w:jc w:val="center"/>
              <w:rPr>
                <w:rFonts w:ascii="Times New Roman" w:hAnsi="Times New Roman" w:cs="Times New Roman"/>
                <w:szCs w:val="21"/>
              </w:rPr>
            </w:pPr>
            <w:r>
              <w:rPr>
                <w:rFonts w:ascii="Times New Roman" w:hAnsi="Times New Roman" w:cs="Times New Roman"/>
                <w:szCs w:val="21"/>
              </w:rPr>
              <w:t>相符</w:t>
            </w:r>
          </w:p>
        </w:tc>
      </w:tr>
      <w:tr w14:paraId="76CB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Merge w:val="restart"/>
            <w:vAlign w:val="center"/>
          </w:tcPr>
          <w:p w14:paraId="127BBE56">
            <w:pPr>
              <w:jc w:val="center"/>
              <w:rPr>
                <w:rFonts w:ascii="Times New Roman" w:hAnsi="Times New Roman" w:cs="Times New Roman"/>
                <w:szCs w:val="21"/>
              </w:rPr>
            </w:pPr>
            <w:r>
              <w:rPr>
                <w:rFonts w:ascii="Times New Roman" w:hAnsi="Times New Roman" w:cs="Times New Roman"/>
                <w:szCs w:val="21"/>
              </w:rPr>
              <w:t>河南省资源利用效率总体准入要求</w:t>
            </w:r>
          </w:p>
        </w:tc>
        <w:tc>
          <w:tcPr>
            <w:tcW w:w="463" w:type="dxa"/>
            <w:vAlign w:val="center"/>
          </w:tcPr>
          <w:p w14:paraId="7ED52197">
            <w:pPr>
              <w:jc w:val="center"/>
              <w:rPr>
                <w:rFonts w:ascii="Times New Roman" w:hAnsi="Times New Roman" w:cs="Times New Roman"/>
                <w:szCs w:val="21"/>
              </w:rPr>
            </w:pPr>
            <w:r>
              <w:rPr>
                <w:rFonts w:ascii="Times New Roman" w:hAnsi="Times New Roman" w:cs="Times New Roman"/>
                <w:szCs w:val="21"/>
              </w:rPr>
              <w:t>能源</w:t>
            </w:r>
          </w:p>
        </w:tc>
        <w:tc>
          <w:tcPr>
            <w:tcW w:w="5125" w:type="dxa"/>
            <w:vAlign w:val="center"/>
          </w:tcPr>
          <w:p w14:paraId="4947CDCC">
            <w:pPr>
              <w:jc w:val="left"/>
              <w:rPr>
                <w:rFonts w:ascii="Times New Roman" w:hAnsi="Times New Roman" w:cs="Times New Roman"/>
                <w:szCs w:val="21"/>
              </w:rPr>
            </w:pPr>
            <w:r>
              <w:rPr>
                <w:rFonts w:ascii="Times New Roman" w:hAnsi="Times New Roman" w:cs="Times New Roman"/>
                <w:szCs w:val="21"/>
              </w:rPr>
              <w:t>1.控制高硫高灰煤开发和销售，推进煤炭清洁化利用，煤炭入选率提高到80%。</w:t>
            </w:r>
          </w:p>
          <w:p w14:paraId="45853A13">
            <w:pPr>
              <w:jc w:val="left"/>
              <w:rPr>
                <w:rFonts w:ascii="Times New Roman" w:hAnsi="Times New Roman" w:cs="Times New Roman"/>
                <w:szCs w:val="21"/>
              </w:rPr>
            </w:pPr>
            <w:r>
              <w:rPr>
                <w:rFonts w:ascii="Times New Roman" w:hAnsi="Times New Roman" w:cs="Times New Roman"/>
                <w:szCs w:val="21"/>
              </w:rPr>
              <w:t>2.新建高耗煤项目单位产品（产值）能耗要达到国内先进水平；到2025年，通过实施节能降碳行动，钢铁、电解铝、水泥、平板玻璃行业能效达到标杆水平的产能比例超过30%，行业整体能效水平明显提升，碳排放强度明显下降，绿色低碳发展能力显著增强。</w:t>
            </w:r>
          </w:p>
          <w:p w14:paraId="42E68A26">
            <w:pPr>
              <w:jc w:val="left"/>
              <w:rPr>
                <w:rFonts w:ascii="Times New Roman" w:hAnsi="Times New Roman" w:cs="Times New Roman"/>
                <w:szCs w:val="21"/>
              </w:rPr>
            </w:pPr>
            <w:r>
              <w:rPr>
                <w:rFonts w:ascii="Times New Roman" w:hAnsi="Times New Roman" w:cs="Times New Roman"/>
                <w:szCs w:val="21"/>
              </w:rPr>
              <w:t>3.禁燃区内，禁止销售、燃用高污染燃料；禁止新建、扩建燃用高污染燃料的设施，已建成的，应当在城市人民政府规定的期限内改用天然气、页岩气、液化石油气、电或者其他清洁能源。</w:t>
            </w:r>
          </w:p>
          <w:p w14:paraId="1E34E2D2">
            <w:pPr>
              <w:jc w:val="left"/>
              <w:rPr>
                <w:rFonts w:ascii="Times New Roman" w:hAnsi="Times New Roman" w:cs="Times New Roman"/>
                <w:szCs w:val="21"/>
              </w:rPr>
            </w:pPr>
            <w:r>
              <w:rPr>
                <w:rFonts w:ascii="Times New Roman" w:hAnsi="Times New Roman" w:cs="Times New Roman"/>
                <w:szCs w:val="21"/>
              </w:rPr>
              <w:t>4.禁燃区内，鼓励有条件的工业窑炉开展煤改气、煤改电；鼓励符合条件的区域建设大型风电基地，因地制宜推动分散式风电开发；鼓励新型工业、高技术企业利用天然气，深入推进城镇天然气利用工程，扩大天然气利用规模和提升供气保障能力。</w:t>
            </w:r>
          </w:p>
        </w:tc>
        <w:tc>
          <w:tcPr>
            <w:tcW w:w="1616" w:type="dxa"/>
            <w:vAlign w:val="center"/>
          </w:tcPr>
          <w:p w14:paraId="18B61614">
            <w:pPr>
              <w:jc w:val="center"/>
              <w:rPr>
                <w:rFonts w:ascii="Times New Roman" w:hAnsi="Times New Roman" w:cs="Times New Roman"/>
                <w:szCs w:val="21"/>
              </w:rPr>
            </w:pPr>
            <w:r>
              <w:rPr>
                <w:rFonts w:ascii="Times New Roman" w:hAnsi="Times New Roman" w:cs="Times New Roman"/>
                <w:szCs w:val="21"/>
              </w:rPr>
              <w:t>本项目不涉及煤炭使用</w:t>
            </w:r>
          </w:p>
        </w:tc>
        <w:tc>
          <w:tcPr>
            <w:tcW w:w="676" w:type="dxa"/>
            <w:vAlign w:val="center"/>
          </w:tcPr>
          <w:p w14:paraId="6ABE9211">
            <w:pPr>
              <w:jc w:val="center"/>
              <w:rPr>
                <w:rFonts w:ascii="Times New Roman" w:hAnsi="Times New Roman" w:cs="Times New Roman"/>
                <w:szCs w:val="21"/>
              </w:rPr>
            </w:pPr>
            <w:r>
              <w:rPr>
                <w:rFonts w:ascii="Times New Roman" w:hAnsi="Times New Roman" w:cs="Times New Roman"/>
                <w:szCs w:val="21"/>
              </w:rPr>
              <w:t>相符</w:t>
            </w:r>
          </w:p>
        </w:tc>
      </w:tr>
      <w:tr w14:paraId="5F9A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Merge w:val="continue"/>
            <w:vAlign w:val="center"/>
          </w:tcPr>
          <w:p w14:paraId="23FB682C">
            <w:pPr>
              <w:jc w:val="center"/>
              <w:rPr>
                <w:rFonts w:ascii="Times New Roman" w:hAnsi="Times New Roman" w:cs="Times New Roman"/>
                <w:szCs w:val="21"/>
              </w:rPr>
            </w:pPr>
          </w:p>
        </w:tc>
        <w:tc>
          <w:tcPr>
            <w:tcW w:w="463" w:type="dxa"/>
            <w:vAlign w:val="center"/>
          </w:tcPr>
          <w:p w14:paraId="2441C9DF">
            <w:pPr>
              <w:jc w:val="center"/>
              <w:rPr>
                <w:rFonts w:ascii="Times New Roman" w:hAnsi="Times New Roman" w:cs="Times New Roman"/>
                <w:szCs w:val="21"/>
              </w:rPr>
            </w:pPr>
            <w:r>
              <w:rPr>
                <w:rFonts w:ascii="Times New Roman" w:hAnsi="Times New Roman" w:cs="Times New Roman"/>
                <w:szCs w:val="21"/>
              </w:rPr>
              <w:t>水资源</w:t>
            </w:r>
          </w:p>
        </w:tc>
        <w:tc>
          <w:tcPr>
            <w:tcW w:w="5125" w:type="dxa"/>
            <w:vAlign w:val="center"/>
          </w:tcPr>
          <w:p w14:paraId="3A126F22">
            <w:pPr>
              <w:jc w:val="left"/>
              <w:rPr>
                <w:rFonts w:ascii="Times New Roman" w:hAnsi="Times New Roman" w:cs="Times New Roman"/>
                <w:szCs w:val="21"/>
              </w:rPr>
            </w:pPr>
            <w:r>
              <w:rPr>
                <w:rFonts w:ascii="Times New Roman" w:hAnsi="Times New Roman" w:cs="Times New Roman"/>
                <w:szCs w:val="21"/>
              </w:rPr>
              <w:t>1.在生态脆弱、严重缺水和地下水超采地区，严格控制高耗水新改扩建项目。</w:t>
            </w:r>
          </w:p>
          <w:p w14:paraId="4E59ADC5">
            <w:pPr>
              <w:jc w:val="left"/>
              <w:rPr>
                <w:rFonts w:ascii="Times New Roman" w:hAnsi="Times New Roman" w:cs="Times New Roman"/>
                <w:szCs w:val="21"/>
              </w:rPr>
            </w:pPr>
            <w:r>
              <w:rPr>
                <w:rFonts w:ascii="Times New Roman" w:hAnsi="Times New Roman" w:cs="Times New Roman"/>
                <w:szCs w:val="21"/>
              </w:rPr>
              <w:t>2.新改扩建设计规模5万立方米以上的污水处理厂，应当配套建设再生水利用系统。</w:t>
            </w:r>
          </w:p>
          <w:p w14:paraId="6641412A">
            <w:pPr>
              <w:jc w:val="left"/>
              <w:rPr>
                <w:rFonts w:ascii="Times New Roman" w:hAnsi="Times New Roman" w:cs="Times New Roman"/>
                <w:szCs w:val="21"/>
              </w:rPr>
            </w:pPr>
            <w:r>
              <w:rPr>
                <w:rFonts w:ascii="Times New Roman" w:hAnsi="Times New Roman" w:cs="Times New Roman"/>
                <w:szCs w:val="21"/>
              </w:rPr>
              <w:t>3.对取用水总量已经达到或超过控制指标的地方，暂停审批建设项目新增取水，对取用水总量接近控制目标的地方，限制审批建设项目新增取水。</w:t>
            </w:r>
          </w:p>
          <w:p w14:paraId="6AD8346A">
            <w:pPr>
              <w:jc w:val="left"/>
              <w:rPr>
                <w:rFonts w:ascii="Times New Roman" w:hAnsi="Times New Roman" w:cs="Times New Roman"/>
                <w:szCs w:val="21"/>
              </w:rPr>
            </w:pPr>
            <w:r>
              <w:rPr>
                <w:rFonts w:ascii="Times New Roman" w:hAnsi="Times New Roman" w:cs="Times New Roman"/>
                <w:szCs w:val="21"/>
              </w:rPr>
              <w:t>4.到2025年，高效节水灌溉面积达到4000万亩，农田灌溉水有效利用系数提高到0.63，万元工业增加值用水量较2020年降低10%；到2035年，全省用水总量控制在302亿立方米以内。</w:t>
            </w:r>
          </w:p>
          <w:p w14:paraId="4D71F5C6">
            <w:pPr>
              <w:jc w:val="left"/>
              <w:rPr>
                <w:rFonts w:ascii="Times New Roman" w:hAnsi="Times New Roman" w:cs="Times New Roman"/>
                <w:szCs w:val="21"/>
              </w:rPr>
            </w:pPr>
            <w:r>
              <w:rPr>
                <w:rFonts w:ascii="Times New Roman" w:hAnsi="Times New Roman" w:cs="Times New Roman"/>
                <w:szCs w:val="21"/>
              </w:rPr>
              <w:t>5.严格控制开采深层承压水，地热水、矿泉水开发严格实施取水许可和采矿许可。</w:t>
            </w:r>
          </w:p>
          <w:p w14:paraId="1B9BE0A8">
            <w:pPr>
              <w:jc w:val="left"/>
              <w:rPr>
                <w:rFonts w:ascii="Times New Roman" w:hAnsi="Times New Roman" w:cs="Times New Roman"/>
                <w:szCs w:val="21"/>
              </w:rPr>
            </w:pPr>
            <w:r>
              <w:rPr>
                <w:rFonts w:ascii="Times New Roman" w:hAnsi="Times New Roman" w:cs="Times New Roman"/>
                <w:szCs w:val="21"/>
              </w:rPr>
              <w:t>6.在地下水禁采区内，除应急供水外严禁新凿取水井，停止新增地下水取水许可；对禁采区内已有地下水用户要加强取水许可管理，对取水许可证到期的，无特殊情况不再核发取水许可证，促进地下水用户转换水源。</w:t>
            </w:r>
          </w:p>
          <w:p w14:paraId="6786903F">
            <w:pPr>
              <w:jc w:val="left"/>
              <w:rPr>
                <w:rFonts w:ascii="Times New Roman" w:hAnsi="Times New Roman" w:cs="Times New Roman"/>
                <w:szCs w:val="21"/>
              </w:rPr>
            </w:pPr>
            <w:r>
              <w:rPr>
                <w:rFonts w:ascii="Times New Roman" w:hAnsi="Times New Roman" w:cs="Times New Roman"/>
                <w:szCs w:val="21"/>
              </w:rPr>
              <w:t>7.在地下水限采区内，城市供水管网覆盖范围内除应急供水外，严禁新凿取水井；对已批准开采地下水的用户，要根据超采程度逐步核减地下水开采总量和年度取水指标，逐步实现地下水采补平衡；对城市供水管网覆盖范围外，无其他替代水源、确需取用地下水的，要严格论证审批，加强日常监督管理，严控新增取用地下水。</w:t>
            </w:r>
          </w:p>
        </w:tc>
        <w:tc>
          <w:tcPr>
            <w:tcW w:w="1616" w:type="dxa"/>
            <w:vAlign w:val="center"/>
          </w:tcPr>
          <w:p w14:paraId="33523AB7">
            <w:pPr>
              <w:jc w:val="center"/>
              <w:rPr>
                <w:rFonts w:ascii="Times New Roman" w:hAnsi="Times New Roman" w:cs="Times New Roman"/>
                <w:szCs w:val="21"/>
              </w:rPr>
            </w:pPr>
            <w:r>
              <w:rPr>
                <w:rFonts w:ascii="Times New Roman" w:hAnsi="Times New Roman" w:cs="Times New Roman"/>
                <w:szCs w:val="21"/>
              </w:rPr>
              <w:t>本项目</w:t>
            </w:r>
            <w:r>
              <w:rPr>
                <w:rFonts w:ascii="Times New Roman" w:hAnsi="Times New Roman" w:eastAsia="宋体" w:cs="Times New Roman"/>
                <w:szCs w:val="21"/>
              </w:rPr>
              <w:t>生产废水</w:t>
            </w:r>
            <w:r>
              <w:rPr>
                <w:rFonts w:hint="eastAsia" w:ascii="Times New Roman" w:hAnsi="Times New Roman" w:eastAsia="宋体" w:cs="Times New Roman"/>
                <w:szCs w:val="21"/>
              </w:rPr>
              <w:t>经</w:t>
            </w:r>
            <w:r>
              <w:rPr>
                <w:rFonts w:ascii="Times New Roman" w:hAnsi="Times New Roman" w:eastAsia="宋体" w:cs="Times New Roman"/>
                <w:szCs w:val="21"/>
              </w:rPr>
              <w:t>厂区污水处理站处理</w:t>
            </w:r>
            <w:r>
              <w:rPr>
                <w:rFonts w:hint="eastAsia" w:ascii="Times New Roman" w:hAnsi="Times New Roman" w:eastAsia="宋体" w:cs="Times New Roman"/>
                <w:szCs w:val="21"/>
              </w:rPr>
              <w:t>、生活污水经化粪池处理</w:t>
            </w:r>
            <w:r>
              <w:rPr>
                <w:rFonts w:ascii="Times New Roman" w:hAnsi="Times New Roman" w:eastAsia="宋体" w:cs="Times New Roman"/>
                <w:szCs w:val="21"/>
              </w:rPr>
              <w:t>后通过市政污水管网排入</w:t>
            </w:r>
            <w:r>
              <w:rPr>
                <w:rFonts w:hint="eastAsia" w:ascii="Times New Roman" w:hAnsi="Times New Roman" w:eastAsia="宋体" w:cs="Times New Roman"/>
                <w:szCs w:val="21"/>
              </w:rPr>
              <w:t>污水处理厂</w:t>
            </w:r>
            <w:r>
              <w:rPr>
                <w:rFonts w:ascii="Times New Roman" w:hAnsi="Times New Roman" w:eastAsia="宋体" w:cs="Times New Roman"/>
                <w:szCs w:val="21"/>
              </w:rPr>
              <w:t>，达标尾水排入</w:t>
            </w:r>
            <w:r>
              <w:rPr>
                <w:rFonts w:hint="eastAsia" w:ascii="Times New Roman" w:hAnsi="Times New Roman" w:eastAsia="宋体" w:cs="Times New Roman"/>
                <w:szCs w:val="21"/>
              </w:rPr>
              <w:t>潴龙河</w:t>
            </w:r>
            <w:r>
              <w:rPr>
                <w:rFonts w:ascii="Times New Roman" w:hAnsi="Times New Roman" w:cs="Times New Roman"/>
                <w:szCs w:val="21"/>
              </w:rPr>
              <w:t>。</w:t>
            </w:r>
            <w:r>
              <w:rPr>
                <w:rFonts w:hint="eastAsia" w:ascii="Times New Roman" w:hAnsi="Times New Roman" w:cs="Times New Roman"/>
                <w:szCs w:val="21"/>
              </w:rPr>
              <w:t>项目用水由产业集聚区集中供给</w:t>
            </w:r>
          </w:p>
        </w:tc>
        <w:tc>
          <w:tcPr>
            <w:tcW w:w="676" w:type="dxa"/>
            <w:vAlign w:val="center"/>
          </w:tcPr>
          <w:p w14:paraId="1DAAC7A0">
            <w:pPr>
              <w:jc w:val="center"/>
              <w:rPr>
                <w:rFonts w:ascii="Times New Roman" w:hAnsi="Times New Roman" w:cs="Times New Roman"/>
                <w:szCs w:val="21"/>
              </w:rPr>
            </w:pPr>
            <w:r>
              <w:rPr>
                <w:rFonts w:ascii="Times New Roman" w:hAnsi="Times New Roman" w:cs="Times New Roman"/>
                <w:szCs w:val="21"/>
              </w:rPr>
              <w:t>相符</w:t>
            </w:r>
          </w:p>
        </w:tc>
      </w:tr>
      <w:tr w14:paraId="2C38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Merge w:val="continue"/>
            <w:vAlign w:val="center"/>
          </w:tcPr>
          <w:p w14:paraId="67A22EFA">
            <w:pPr>
              <w:jc w:val="center"/>
              <w:rPr>
                <w:rFonts w:ascii="Times New Roman" w:hAnsi="Times New Roman" w:cs="Times New Roman"/>
                <w:szCs w:val="21"/>
              </w:rPr>
            </w:pPr>
          </w:p>
        </w:tc>
        <w:tc>
          <w:tcPr>
            <w:tcW w:w="463" w:type="dxa"/>
            <w:vAlign w:val="center"/>
          </w:tcPr>
          <w:p w14:paraId="2F7186C1">
            <w:pPr>
              <w:jc w:val="center"/>
              <w:rPr>
                <w:rFonts w:ascii="Times New Roman" w:hAnsi="Times New Roman" w:cs="Times New Roman"/>
                <w:szCs w:val="21"/>
              </w:rPr>
            </w:pPr>
            <w:r>
              <w:rPr>
                <w:rFonts w:ascii="Times New Roman" w:hAnsi="Times New Roman" w:cs="Times New Roman"/>
                <w:szCs w:val="21"/>
              </w:rPr>
              <w:t>土地资源</w:t>
            </w:r>
          </w:p>
        </w:tc>
        <w:tc>
          <w:tcPr>
            <w:tcW w:w="5125" w:type="dxa"/>
            <w:vAlign w:val="center"/>
          </w:tcPr>
          <w:p w14:paraId="3290C67F">
            <w:pPr>
              <w:jc w:val="left"/>
              <w:rPr>
                <w:rFonts w:ascii="Times New Roman" w:hAnsi="Times New Roman" w:cs="Times New Roman"/>
                <w:szCs w:val="21"/>
              </w:rPr>
            </w:pPr>
            <w:r>
              <w:rPr>
                <w:rFonts w:ascii="Times New Roman" w:hAnsi="Times New Roman" w:cs="Times New Roman"/>
                <w:szCs w:val="21"/>
              </w:rPr>
              <w:t>1.禁止在国土空间规划确定的禁止开垦的范围内从事土地开发活动。</w:t>
            </w:r>
          </w:p>
          <w:p w14:paraId="243CE4B6">
            <w:pPr>
              <w:jc w:val="left"/>
              <w:rPr>
                <w:rFonts w:ascii="Times New Roman" w:hAnsi="Times New Roman" w:cs="Times New Roman"/>
                <w:szCs w:val="21"/>
              </w:rPr>
            </w:pPr>
            <w:r>
              <w:rPr>
                <w:rFonts w:ascii="Times New Roman" w:hAnsi="Times New Roman" w:cs="Times New Roman"/>
                <w:szCs w:val="21"/>
              </w:rPr>
              <w:t>2.推动化肥使用量零增长行动，全面推广测土配方施肥技术，有机肥替代，加强免耕机械种肥异位同播技术研究与推广。</w:t>
            </w:r>
          </w:p>
          <w:p w14:paraId="59586B50">
            <w:pPr>
              <w:jc w:val="left"/>
              <w:rPr>
                <w:rFonts w:ascii="Times New Roman" w:hAnsi="Times New Roman" w:cs="Times New Roman"/>
                <w:szCs w:val="21"/>
              </w:rPr>
            </w:pPr>
            <w:r>
              <w:rPr>
                <w:rFonts w:ascii="Times New Roman" w:hAnsi="Times New Roman" w:cs="Times New Roman"/>
                <w:szCs w:val="21"/>
              </w:rPr>
              <w:t>3.闭矿后的涉重金属矿区，参照建设用地开展土壤环境调查评估，合理确定复垦后的土地用途；在灵宝、新密、登封、桐柏等地，将土壤污染治理纳入矿山生态环境恢复治理验收内容，未开展土壤污染治理的，验收不予通过。</w:t>
            </w:r>
          </w:p>
          <w:p w14:paraId="0F650DF9">
            <w:pPr>
              <w:jc w:val="left"/>
              <w:rPr>
                <w:rFonts w:ascii="Times New Roman" w:hAnsi="Times New Roman" w:cs="Times New Roman"/>
                <w:szCs w:val="21"/>
              </w:rPr>
            </w:pPr>
            <w:r>
              <w:rPr>
                <w:rFonts w:ascii="Times New Roman" w:hAnsi="Times New Roman" w:cs="Times New Roman"/>
                <w:szCs w:val="21"/>
              </w:rPr>
              <w:t>4.主题公园用地要优先利用存量和低效建设用地，严格控制新增建设用地，禁止占用耕地（亦不得通过先行办理分批次农用地转用等形式变相占用耕地）、天然林地、国家级公益林地和城镇公园绿地。</w:t>
            </w:r>
          </w:p>
        </w:tc>
        <w:tc>
          <w:tcPr>
            <w:tcW w:w="1616" w:type="dxa"/>
            <w:vAlign w:val="center"/>
          </w:tcPr>
          <w:p w14:paraId="4FBD27B7">
            <w:pPr>
              <w:jc w:val="center"/>
              <w:rPr>
                <w:rFonts w:ascii="Times New Roman" w:hAnsi="Times New Roman" w:cs="Times New Roman"/>
                <w:szCs w:val="21"/>
              </w:rPr>
            </w:pPr>
            <w:r>
              <w:rPr>
                <w:rFonts w:ascii="Times New Roman" w:hAnsi="Times New Roman" w:cs="Times New Roman"/>
                <w:szCs w:val="21"/>
              </w:rPr>
              <w:t>本项目位于濮阳市</w:t>
            </w:r>
            <w:r>
              <w:rPr>
                <w:rFonts w:hint="eastAsia" w:ascii="Times New Roman" w:hAnsi="Times New Roman" w:cs="Times New Roman"/>
                <w:szCs w:val="21"/>
              </w:rPr>
              <w:t>清丰县</w:t>
            </w:r>
            <w:r>
              <w:rPr>
                <w:rFonts w:ascii="Times New Roman" w:hAnsi="Times New Roman" w:cs="Times New Roman"/>
                <w:szCs w:val="21"/>
              </w:rPr>
              <w:t>产业集聚区</w:t>
            </w:r>
            <w:r>
              <w:rPr>
                <w:rFonts w:hint="eastAsia" w:ascii="Times New Roman" w:hAnsi="Times New Roman" w:cs="Times New Roman"/>
                <w:szCs w:val="21"/>
              </w:rPr>
              <w:t>家具园区</w:t>
            </w:r>
            <w:r>
              <w:rPr>
                <w:rFonts w:ascii="Times New Roman" w:hAnsi="Times New Roman" w:cs="Times New Roman"/>
                <w:szCs w:val="21"/>
              </w:rPr>
              <w:t>，</w:t>
            </w:r>
            <w:r>
              <w:rPr>
                <w:rFonts w:hint="eastAsia" w:ascii="Times New Roman" w:hAnsi="Times New Roman" w:cs="Times New Roman"/>
                <w:szCs w:val="21"/>
              </w:rPr>
              <w:t>租赁闲置厂房</w:t>
            </w:r>
          </w:p>
        </w:tc>
        <w:tc>
          <w:tcPr>
            <w:tcW w:w="676" w:type="dxa"/>
            <w:vAlign w:val="center"/>
          </w:tcPr>
          <w:p w14:paraId="633979CE">
            <w:pPr>
              <w:jc w:val="center"/>
              <w:rPr>
                <w:rFonts w:ascii="Times New Roman" w:hAnsi="Times New Roman" w:cs="Times New Roman"/>
                <w:szCs w:val="21"/>
              </w:rPr>
            </w:pPr>
            <w:r>
              <w:rPr>
                <w:rFonts w:ascii="Times New Roman" w:hAnsi="Times New Roman" w:cs="Times New Roman"/>
                <w:szCs w:val="21"/>
              </w:rPr>
              <w:t>相符</w:t>
            </w:r>
          </w:p>
        </w:tc>
      </w:tr>
      <w:tr w14:paraId="49B4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14:paraId="4073EF46">
            <w:pPr>
              <w:jc w:val="center"/>
              <w:rPr>
                <w:rFonts w:ascii="Times New Roman" w:hAnsi="Times New Roman" w:cs="Times New Roman"/>
                <w:szCs w:val="21"/>
              </w:rPr>
            </w:pPr>
            <w:r>
              <w:rPr>
                <w:rFonts w:ascii="Times New Roman" w:hAnsi="Times New Roman" w:cs="Times New Roman"/>
                <w:szCs w:val="21"/>
              </w:rPr>
              <w:t>重点区域大气生态环境管控要求</w:t>
            </w:r>
          </w:p>
        </w:tc>
        <w:tc>
          <w:tcPr>
            <w:tcW w:w="463" w:type="dxa"/>
            <w:vAlign w:val="center"/>
          </w:tcPr>
          <w:p w14:paraId="63129952">
            <w:pPr>
              <w:jc w:val="center"/>
              <w:rPr>
                <w:rFonts w:ascii="Times New Roman" w:hAnsi="Times New Roman" w:cs="Times New Roman"/>
                <w:szCs w:val="21"/>
              </w:rPr>
            </w:pPr>
            <w:r>
              <w:rPr>
                <w:rFonts w:ascii="Times New Roman" w:hAnsi="Times New Roman" w:cs="Times New Roman"/>
                <w:szCs w:val="21"/>
              </w:rPr>
              <w:t>苏皖鲁豫交界地区</w:t>
            </w:r>
          </w:p>
        </w:tc>
        <w:tc>
          <w:tcPr>
            <w:tcW w:w="5125" w:type="dxa"/>
            <w:vAlign w:val="center"/>
          </w:tcPr>
          <w:p w14:paraId="03644C67">
            <w:pPr>
              <w:jc w:val="left"/>
              <w:rPr>
                <w:rFonts w:ascii="Times New Roman" w:hAnsi="Times New Roman" w:cs="Times New Roman"/>
                <w:szCs w:val="21"/>
              </w:rPr>
            </w:pPr>
            <w:r>
              <w:rPr>
                <w:rFonts w:ascii="Times New Roman" w:hAnsi="Times New Roman" w:cs="Times New Roman"/>
                <w:szCs w:val="21"/>
              </w:rPr>
              <w:t>1.禁燃区内禁止销售、燃用高污染燃料；禁止新改扩建燃用高污染燃料的设施，已建成的应当限期整改，采用清洁能源替代。</w:t>
            </w:r>
          </w:p>
          <w:p w14:paraId="30161562">
            <w:pPr>
              <w:jc w:val="left"/>
              <w:rPr>
                <w:rFonts w:ascii="Times New Roman" w:hAnsi="Times New Roman" w:cs="Times New Roman"/>
                <w:szCs w:val="21"/>
              </w:rPr>
            </w:pPr>
            <w:r>
              <w:rPr>
                <w:rFonts w:ascii="Times New Roman" w:hAnsi="Times New Roman" w:cs="Times New Roman"/>
                <w:szCs w:val="21"/>
              </w:rPr>
              <w:t>2.强化重点行业大气污染物排放限值，强化污染物排放管控要求，关停淘汰落后产能。</w:t>
            </w:r>
          </w:p>
          <w:p w14:paraId="008BF08A">
            <w:pPr>
              <w:jc w:val="left"/>
              <w:rPr>
                <w:rFonts w:ascii="Times New Roman" w:hAnsi="Times New Roman" w:cs="Times New Roman"/>
                <w:szCs w:val="21"/>
              </w:rPr>
            </w:pPr>
            <w:r>
              <w:rPr>
                <w:rFonts w:ascii="Times New Roman" w:hAnsi="Times New Roman" w:cs="Times New Roman"/>
                <w:szCs w:val="21"/>
              </w:rPr>
              <w:t>3.加大天然气、液化石油气、煤制天然气、太阳能等清洁能源的供应和推广力度，逐步提高城市清洁能源使用比重。</w:t>
            </w:r>
          </w:p>
        </w:tc>
        <w:tc>
          <w:tcPr>
            <w:tcW w:w="1616" w:type="dxa"/>
            <w:vAlign w:val="center"/>
          </w:tcPr>
          <w:p w14:paraId="4EBC967B">
            <w:pPr>
              <w:jc w:val="center"/>
              <w:rPr>
                <w:rFonts w:ascii="Times New Roman" w:hAnsi="Times New Roman" w:cs="Times New Roman"/>
                <w:szCs w:val="21"/>
              </w:rPr>
            </w:pPr>
            <w:r>
              <w:rPr>
                <w:rFonts w:ascii="Times New Roman" w:hAnsi="Times New Roman" w:cs="Times New Roman"/>
                <w:szCs w:val="21"/>
              </w:rPr>
              <w:t>本项目不涉及高污染燃料的使用</w:t>
            </w:r>
          </w:p>
        </w:tc>
        <w:tc>
          <w:tcPr>
            <w:tcW w:w="676" w:type="dxa"/>
            <w:vAlign w:val="center"/>
          </w:tcPr>
          <w:p w14:paraId="54A7EDDC">
            <w:pPr>
              <w:jc w:val="center"/>
              <w:rPr>
                <w:rFonts w:ascii="Times New Roman" w:hAnsi="Times New Roman" w:cs="Times New Roman"/>
                <w:szCs w:val="21"/>
              </w:rPr>
            </w:pPr>
            <w:r>
              <w:rPr>
                <w:rFonts w:ascii="Times New Roman" w:hAnsi="Times New Roman" w:cs="Times New Roman"/>
                <w:szCs w:val="21"/>
              </w:rPr>
              <w:t>相符</w:t>
            </w:r>
          </w:p>
        </w:tc>
      </w:tr>
      <w:tr w14:paraId="7C69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14:paraId="0715A83A">
            <w:pPr>
              <w:jc w:val="center"/>
              <w:rPr>
                <w:rFonts w:ascii="Times New Roman" w:hAnsi="Times New Roman" w:cs="Times New Roman"/>
                <w:szCs w:val="21"/>
              </w:rPr>
            </w:pPr>
            <w:r>
              <w:rPr>
                <w:rFonts w:ascii="Times New Roman" w:hAnsi="Times New Roman" w:cs="Times New Roman"/>
                <w:szCs w:val="21"/>
              </w:rPr>
              <w:t>重点流域水生态环境管控要求</w:t>
            </w:r>
          </w:p>
        </w:tc>
        <w:tc>
          <w:tcPr>
            <w:tcW w:w="463" w:type="dxa"/>
            <w:vAlign w:val="center"/>
          </w:tcPr>
          <w:p w14:paraId="7AD3A15D">
            <w:pPr>
              <w:jc w:val="center"/>
              <w:rPr>
                <w:rFonts w:ascii="Times New Roman" w:hAnsi="Times New Roman" w:cs="Times New Roman"/>
                <w:szCs w:val="21"/>
              </w:rPr>
            </w:pPr>
            <w:r>
              <w:rPr>
                <w:rFonts w:ascii="Times New Roman" w:hAnsi="Times New Roman" w:cs="Times New Roman"/>
                <w:szCs w:val="21"/>
              </w:rPr>
              <w:t>省辖淮河流域</w:t>
            </w:r>
          </w:p>
        </w:tc>
        <w:tc>
          <w:tcPr>
            <w:tcW w:w="5125" w:type="dxa"/>
            <w:vAlign w:val="center"/>
          </w:tcPr>
          <w:p w14:paraId="44D12549">
            <w:pPr>
              <w:jc w:val="left"/>
              <w:rPr>
                <w:rFonts w:ascii="Times New Roman" w:hAnsi="Times New Roman" w:cs="Times New Roman"/>
                <w:szCs w:val="21"/>
              </w:rPr>
            </w:pPr>
            <w:r>
              <w:rPr>
                <w:rFonts w:ascii="Times New Roman" w:hAnsi="Times New Roman" w:cs="Times New Roman"/>
                <w:szCs w:val="21"/>
              </w:rPr>
              <w:t>1.深入开展城镇污水收集和处理设施建设，推进污水管网全覆盖、全收集、全处理，加快城市建成区排水管网清污分流、污水处理厂提质增效。</w:t>
            </w:r>
          </w:p>
          <w:p w14:paraId="56F97319">
            <w:pPr>
              <w:jc w:val="left"/>
              <w:rPr>
                <w:rFonts w:ascii="Times New Roman" w:hAnsi="Times New Roman" w:cs="Times New Roman"/>
                <w:szCs w:val="21"/>
              </w:rPr>
            </w:pPr>
            <w:r>
              <w:rPr>
                <w:rFonts w:ascii="Times New Roman" w:hAnsi="Times New Roman" w:cs="Times New Roman"/>
                <w:szCs w:val="21"/>
              </w:rPr>
              <w:t>2.严格执行流域洪河、惠济河、贾鲁河、清潩河流域水污染物排放标准，控制排放总量。</w:t>
            </w:r>
          </w:p>
          <w:p w14:paraId="2FEE571D">
            <w:pPr>
              <w:jc w:val="left"/>
              <w:rPr>
                <w:rFonts w:ascii="Times New Roman" w:hAnsi="Times New Roman" w:cs="Times New Roman"/>
                <w:szCs w:val="21"/>
              </w:rPr>
            </w:pPr>
            <w:r>
              <w:rPr>
                <w:rFonts w:ascii="Times New Roman" w:hAnsi="Times New Roman" w:cs="Times New Roman"/>
                <w:szCs w:val="21"/>
              </w:rPr>
              <w:t>3.加强跨界污染风险防范，建立上下游水污染防治联动协作机制；对具有通航功能的重点河流加强船舶污染物防控，防治事故性溢油和操作性排放的油污染。</w:t>
            </w:r>
          </w:p>
          <w:p w14:paraId="5DCBC167">
            <w:pPr>
              <w:jc w:val="left"/>
              <w:rPr>
                <w:rFonts w:ascii="Times New Roman" w:hAnsi="Times New Roman" w:cs="Times New Roman"/>
                <w:szCs w:val="21"/>
              </w:rPr>
            </w:pPr>
            <w:r>
              <w:rPr>
                <w:rFonts w:ascii="Times New Roman" w:hAnsi="Times New Roman" w:cs="Times New Roman"/>
                <w:szCs w:val="21"/>
              </w:rPr>
              <w:t>4.采取闸坝联合调度、生态补水、水资源置换等措施，合理安排闸坝下泄水量和泄流时段，继续维持河湖基本生态用水需求，改善贾鲁河、惠济河、黑河等流量保障情况；开展其他断流河流生态流量保障机制。</w:t>
            </w:r>
          </w:p>
          <w:p w14:paraId="00E20054">
            <w:pPr>
              <w:jc w:val="left"/>
              <w:rPr>
                <w:rFonts w:ascii="Times New Roman" w:hAnsi="Times New Roman" w:cs="Times New Roman"/>
                <w:szCs w:val="21"/>
              </w:rPr>
            </w:pPr>
            <w:r>
              <w:rPr>
                <w:rFonts w:ascii="Times New Roman" w:hAnsi="Times New Roman" w:cs="Times New Roman"/>
                <w:szCs w:val="21"/>
              </w:rPr>
              <w:t>5.推进沙河、颍河等淮河重要支流和引江济淮工程（河南段）沿线水环境综合治理。</w:t>
            </w:r>
          </w:p>
          <w:p w14:paraId="54CC1E26">
            <w:pPr>
              <w:jc w:val="left"/>
              <w:rPr>
                <w:rFonts w:ascii="Times New Roman" w:hAnsi="Times New Roman" w:cs="Times New Roman"/>
                <w:szCs w:val="21"/>
              </w:rPr>
            </w:pPr>
            <w:r>
              <w:rPr>
                <w:rFonts w:ascii="Times New Roman" w:hAnsi="Times New Roman" w:cs="Times New Roman"/>
                <w:szCs w:val="21"/>
              </w:rPr>
              <w:t>6.重点推进南水北调受水区地下水压采工作，加快公共供水管网建设，逐步关停自备井。</w:t>
            </w:r>
          </w:p>
          <w:p w14:paraId="12D6F250">
            <w:pPr>
              <w:jc w:val="left"/>
              <w:rPr>
                <w:rFonts w:ascii="Times New Roman" w:hAnsi="Times New Roman" w:cs="Times New Roman"/>
                <w:szCs w:val="21"/>
              </w:rPr>
            </w:pPr>
            <w:r>
              <w:rPr>
                <w:rFonts w:ascii="Times New Roman" w:hAnsi="Times New Roman" w:cs="Times New Roman"/>
                <w:szCs w:val="21"/>
              </w:rPr>
              <w:t>7.积极推广管道输水灌溉、喷灌、微灌等高效节水灌溉技术，组织开展灌区现代化改造试点；实现农业种植结构优化调整、农业用水方式由粗放式向集约化转变。</w:t>
            </w:r>
          </w:p>
          <w:p w14:paraId="7AE4035A">
            <w:pPr>
              <w:jc w:val="left"/>
              <w:rPr>
                <w:rFonts w:ascii="Times New Roman" w:hAnsi="Times New Roman" w:cs="Times New Roman"/>
                <w:szCs w:val="21"/>
              </w:rPr>
            </w:pPr>
            <w:r>
              <w:rPr>
                <w:rFonts w:ascii="Times New Roman" w:hAnsi="Times New Roman" w:cs="Times New Roman"/>
                <w:szCs w:val="21"/>
              </w:rPr>
              <w:t>8.完善鼓励和淘汰的用水工艺、技术和装备目录。重点开展火电、钢铁、石化、化工、纺织、造纸、食品等高耗水工业行业节水技术改造，大力推进工业水循环利用，推进节水型企业、节水型工业园区建设。</w:t>
            </w:r>
          </w:p>
          <w:p w14:paraId="5E1FE42D">
            <w:pPr>
              <w:jc w:val="left"/>
              <w:rPr>
                <w:rFonts w:ascii="Times New Roman" w:hAnsi="Times New Roman" w:cs="Times New Roman"/>
                <w:szCs w:val="21"/>
              </w:rPr>
            </w:pPr>
            <w:r>
              <w:rPr>
                <w:rFonts w:ascii="Times New Roman" w:hAnsi="Times New Roman" w:cs="Times New Roman"/>
                <w:szCs w:val="21"/>
              </w:rPr>
              <w:t>9.大力推进雨水、再生水、矿井水、苦咸水等非常规水源利用，将非常规水源纳入区域水资源统一配置；鼓励省辖淮河流域钢铁、造纸、化工、制革等高耗水企业废水深度处理回用。</w:t>
            </w:r>
          </w:p>
        </w:tc>
        <w:tc>
          <w:tcPr>
            <w:tcW w:w="1616" w:type="dxa"/>
            <w:vAlign w:val="center"/>
          </w:tcPr>
          <w:p w14:paraId="452057DB">
            <w:pPr>
              <w:jc w:val="center"/>
              <w:rPr>
                <w:rFonts w:ascii="Times New Roman" w:hAnsi="Times New Roman" w:cs="Times New Roman"/>
                <w:szCs w:val="21"/>
              </w:rPr>
            </w:pPr>
            <w:r>
              <w:rPr>
                <w:rFonts w:ascii="Times New Roman" w:hAnsi="Times New Roman" w:cs="Times New Roman"/>
                <w:szCs w:val="21"/>
              </w:rPr>
              <w:t>本项目</w:t>
            </w:r>
            <w:r>
              <w:rPr>
                <w:rFonts w:ascii="Times New Roman" w:hAnsi="Times New Roman" w:eastAsia="宋体" w:cs="Times New Roman"/>
                <w:szCs w:val="21"/>
              </w:rPr>
              <w:t>生产废水</w:t>
            </w:r>
            <w:r>
              <w:rPr>
                <w:rFonts w:hint="eastAsia" w:ascii="Times New Roman" w:hAnsi="Times New Roman" w:eastAsia="宋体" w:cs="Times New Roman"/>
                <w:szCs w:val="21"/>
              </w:rPr>
              <w:t>经</w:t>
            </w:r>
            <w:r>
              <w:rPr>
                <w:rFonts w:ascii="Times New Roman" w:hAnsi="Times New Roman" w:eastAsia="宋体" w:cs="Times New Roman"/>
                <w:szCs w:val="21"/>
              </w:rPr>
              <w:t>厂区污水处理站处理</w:t>
            </w:r>
            <w:r>
              <w:rPr>
                <w:rFonts w:hint="eastAsia" w:ascii="Times New Roman" w:hAnsi="Times New Roman" w:eastAsia="宋体" w:cs="Times New Roman"/>
                <w:szCs w:val="21"/>
              </w:rPr>
              <w:t>、生活污水经化粪池处理</w:t>
            </w:r>
            <w:r>
              <w:rPr>
                <w:rFonts w:ascii="Times New Roman" w:hAnsi="Times New Roman" w:eastAsia="宋体" w:cs="Times New Roman"/>
                <w:szCs w:val="21"/>
              </w:rPr>
              <w:t>后通过市政污水管网排入</w:t>
            </w:r>
            <w:r>
              <w:rPr>
                <w:rFonts w:hint="eastAsia" w:ascii="Times New Roman" w:hAnsi="Times New Roman" w:eastAsia="宋体" w:cs="Times New Roman"/>
                <w:szCs w:val="21"/>
              </w:rPr>
              <w:t>污水处理厂</w:t>
            </w:r>
            <w:r>
              <w:rPr>
                <w:rFonts w:ascii="Times New Roman" w:hAnsi="Times New Roman" w:eastAsia="宋体" w:cs="Times New Roman"/>
                <w:szCs w:val="21"/>
              </w:rPr>
              <w:t>，达标尾水排入</w:t>
            </w:r>
            <w:r>
              <w:rPr>
                <w:rFonts w:hint="eastAsia" w:ascii="Times New Roman" w:hAnsi="Times New Roman" w:eastAsia="宋体" w:cs="Times New Roman"/>
                <w:szCs w:val="21"/>
              </w:rPr>
              <w:t>潴龙河</w:t>
            </w:r>
            <w:r>
              <w:rPr>
                <w:rFonts w:ascii="Times New Roman" w:hAnsi="Times New Roman" w:cs="Times New Roman"/>
                <w:szCs w:val="21"/>
              </w:rPr>
              <w:t>。</w:t>
            </w:r>
            <w:r>
              <w:rPr>
                <w:rFonts w:hint="eastAsia" w:ascii="Times New Roman" w:hAnsi="Times New Roman" w:cs="Times New Roman"/>
                <w:szCs w:val="21"/>
              </w:rPr>
              <w:t>项目用水由产业集聚区集中供给</w:t>
            </w:r>
          </w:p>
        </w:tc>
        <w:tc>
          <w:tcPr>
            <w:tcW w:w="676" w:type="dxa"/>
            <w:vAlign w:val="center"/>
          </w:tcPr>
          <w:p w14:paraId="1AD9977C">
            <w:pPr>
              <w:jc w:val="center"/>
              <w:rPr>
                <w:rFonts w:ascii="Times New Roman" w:hAnsi="Times New Roman" w:cs="Times New Roman"/>
                <w:szCs w:val="21"/>
              </w:rPr>
            </w:pPr>
            <w:r>
              <w:rPr>
                <w:rFonts w:ascii="Times New Roman" w:hAnsi="Times New Roman" w:cs="Times New Roman"/>
                <w:szCs w:val="21"/>
              </w:rPr>
              <w:t>相符</w:t>
            </w:r>
          </w:p>
        </w:tc>
      </w:tr>
    </w:tbl>
    <w:p w14:paraId="2405180D">
      <w:pPr>
        <w:spacing w:line="360" w:lineRule="auto"/>
        <w:ind w:firstLine="480" w:firstLineChars="200"/>
        <w:rPr>
          <w:rFonts w:ascii="Times New Roman" w:hAnsi="Times New Roman" w:eastAsia="宋体" w:cs="Times New Roman"/>
          <w:b/>
          <w:bCs/>
          <w:sz w:val="24"/>
          <w:u w:val="single"/>
        </w:rPr>
      </w:pPr>
      <w:r>
        <w:rPr>
          <w:rFonts w:ascii="Times New Roman" w:hAnsi="Times New Roman" w:eastAsia="宋体" w:cs="Times New Roman"/>
          <w:kern w:val="0"/>
          <w:sz w:val="24"/>
          <w:lang w:bidi="ar"/>
        </w:rPr>
        <w:t>本项目位于</w:t>
      </w:r>
      <w:r>
        <w:rPr>
          <w:rFonts w:hint="eastAsia" w:ascii="Times New Roman" w:hAnsi="Times New Roman" w:eastAsia="宋体" w:cs="Times New Roman"/>
          <w:sz w:val="24"/>
        </w:rPr>
        <w:t>清丰县产业集聚区</w:t>
      </w:r>
      <w:r>
        <w:rPr>
          <w:rFonts w:ascii="Times New Roman" w:hAnsi="Times New Roman" w:eastAsia="宋体" w:cs="Times New Roman"/>
          <w:kern w:val="0"/>
          <w:sz w:val="24"/>
          <w:lang w:bidi="ar"/>
        </w:rPr>
        <w:t>，根据《濮阳市生态环境局关于发布“三线一单”生态环境分区管控准入清单的函》（濮环函〔2021〕17号），</w:t>
      </w:r>
      <w:r>
        <w:rPr>
          <w:rFonts w:hint="eastAsia" w:ascii="Times New Roman" w:hAnsi="Times New Roman" w:eastAsia="宋体" w:cs="Times New Roman"/>
          <w:b w:val="0"/>
          <w:bCs w:val="0"/>
          <w:sz w:val="24"/>
          <w:szCs w:val="24"/>
          <w:u w:val="none"/>
          <w:lang w:val="en-US" w:eastAsia="zh-CN"/>
        </w:rPr>
        <w:t>濮阳市生态环境局关于发布“三线一单”生态环境分区管控准入清单的函》（濮环函〔2021〕17号）</w:t>
      </w:r>
      <w:r>
        <w:rPr>
          <w:rFonts w:hint="default" w:ascii="Times New Roman" w:hAnsi="Times New Roman" w:eastAsia="宋体" w:cs="Times New Roman"/>
          <w:b w:val="0"/>
          <w:bCs w:val="0"/>
          <w:sz w:val="24"/>
          <w:szCs w:val="24"/>
          <w:u w:val="none"/>
          <w:lang w:val="en-US" w:eastAsia="zh-CN"/>
        </w:rPr>
        <w:t>相关要求</w:t>
      </w:r>
      <w:r>
        <w:rPr>
          <w:rFonts w:hint="eastAsia" w:ascii="Times New Roman" w:hAnsi="Times New Roman" w:eastAsia="宋体" w:cs="Times New Roman"/>
          <w:b w:val="0"/>
          <w:bCs w:val="0"/>
          <w:sz w:val="24"/>
          <w:szCs w:val="24"/>
          <w:u w:val="none"/>
          <w:lang w:val="en-US" w:eastAsia="zh-CN"/>
        </w:rPr>
        <w:t>，</w:t>
      </w:r>
      <w:r>
        <w:rPr>
          <w:rFonts w:hint="eastAsia" w:ascii="宋体" w:hAnsi="宋体" w:eastAsia="宋体" w:cs="宋体"/>
          <w:sz w:val="24"/>
          <w:shd w:val="clear" w:color="auto" w:fill="FFFFFF"/>
        </w:rPr>
        <w:t>项目所在地</w:t>
      </w:r>
      <w:r>
        <w:rPr>
          <w:rFonts w:ascii="Times New Roman" w:hAnsi="Times New Roman" w:eastAsia="宋体" w:cs="Times New Roman"/>
          <w:sz w:val="24"/>
        </w:rPr>
        <w:t>管控单元属重点管控单元-</w:t>
      </w:r>
      <w:r>
        <w:rPr>
          <w:rFonts w:hint="eastAsia" w:ascii="Times New Roman" w:hAnsi="Times New Roman" w:eastAsia="宋体" w:cs="Times New Roman"/>
          <w:sz w:val="24"/>
        </w:rPr>
        <w:t>清丰县</w:t>
      </w:r>
      <w:r>
        <w:rPr>
          <w:rFonts w:ascii="Times New Roman" w:hAnsi="Times New Roman" w:eastAsia="宋体" w:cs="Times New Roman"/>
          <w:sz w:val="24"/>
        </w:rPr>
        <w:t>产业集聚区（环境管控单元编码：ZH41092220001），项目与</w:t>
      </w:r>
      <w:r>
        <w:rPr>
          <w:rFonts w:hint="eastAsia" w:ascii="Times New Roman" w:hAnsi="Times New Roman" w:eastAsia="宋体" w:cs="Times New Roman"/>
          <w:sz w:val="24"/>
        </w:rPr>
        <w:t>濮阳市生态环境、清丰</w:t>
      </w:r>
      <w:r>
        <w:rPr>
          <w:rFonts w:ascii="Times New Roman" w:hAnsi="Times New Roman" w:eastAsia="宋体" w:cs="Times New Roman"/>
          <w:sz w:val="24"/>
        </w:rPr>
        <w:t>县产业集聚区生态环境准入要求如下。</w:t>
      </w:r>
    </w:p>
    <w:p w14:paraId="48E49F24">
      <w:pPr>
        <w:widowControl/>
        <w:spacing w:line="360" w:lineRule="auto"/>
        <w:ind w:firstLine="480" w:firstLineChars="200"/>
        <w:jc w:val="left"/>
        <w:rPr>
          <w:rFonts w:ascii="Times New Roman" w:hAnsi="Times New Roman" w:cs="Times New Roman"/>
        </w:rPr>
      </w:pPr>
      <w:r>
        <w:rPr>
          <w:rFonts w:ascii="Times New Roman" w:hAnsi="Times New Roman" w:eastAsia="宋体" w:cs="Times New Roman"/>
          <w:kern w:val="0"/>
          <w:sz w:val="24"/>
          <w:lang w:bidi="ar"/>
        </w:rPr>
        <w:t>项目与濮阳市生态环境准入要求如下。</w:t>
      </w:r>
    </w:p>
    <w:p w14:paraId="17E7BFFE">
      <w:pPr>
        <w:numPr>
          <w:ilvl w:val="0"/>
          <w:numId w:val="25"/>
        </w:numPr>
        <w:spacing w:line="240" w:lineRule="auto"/>
        <w:ind w:left="0" w:leftChars="0" w:firstLine="0" w:firstLineChars="0"/>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  与濮阳市生态环境总体准入相符性</w:t>
      </w:r>
    </w:p>
    <w:tbl>
      <w:tblPr>
        <w:tblStyle w:val="30"/>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5"/>
        <w:gridCol w:w="5517"/>
        <w:gridCol w:w="1615"/>
        <w:gridCol w:w="616"/>
      </w:tblGrid>
      <w:tr w14:paraId="5B76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tcBorders>
              <w:tl2br w:val="nil"/>
              <w:tr2bl w:val="nil"/>
            </w:tcBorders>
            <w:vAlign w:val="center"/>
          </w:tcPr>
          <w:p w14:paraId="5CABFB60">
            <w:pPr>
              <w:pStyle w:val="84"/>
              <w:rPr>
                <w:rFonts w:ascii="Times New Roman" w:hAnsi="Times New Roman" w:eastAsia="宋体"/>
                <w:sz w:val="21"/>
                <w:szCs w:val="21"/>
              </w:rPr>
            </w:pPr>
            <w:r>
              <w:rPr>
                <w:rFonts w:ascii="Times New Roman" w:hAnsi="Times New Roman" w:eastAsia="宋体"/>
                <w:sz w:val="21"/>
                <w:szCs w:val="21"/>
              </w:rPr>
              <w:t>类别</w:t>
            </w:r>
          </w:p>
        </w:tc>
        <w:tc>
          <w:tcPr>
            <w:tcW w:w="5517" w:type="dxa"/>
            <w:tcBorders>
              <w:tl2br w:val="nil"/>
              <w:tr2bl w:val="nil"/>
            </w:tcBorders>
            <w:vAlign w:val="center"/>
          </w:tcPr>
          <w:p w14:paraId="1B7A386B">
            <w:pPr>
              <w:pStyle w:val="84"/>
              <w:rPr>
                <w:rFonts w:ascii="Times New Roman" w:hAnsi="Times New Roman" w:eastAsia="宋体"/>
                <w:sz w:val="21"/>
                <w:szCs w:val="21"/>
              </w:rPr>
            </w:pPr>
            <w:r>
              <w:rPr>
                <w:rFonts w:ascii="Times New Roman" w:hAnsi="Times New Roman" w:eastAsia="宋体"/>
                <w:sz w:val="21"/>
                <w:szCs w:val="21"/>
              </w:rPr>
              <w:t>主要要求</w:t>
            </w:r>
          </w:p>
        </w:tc>
        <w:tc>
          <w:tcPr>
            <w:tcW w:w="1615" w:type="dxa"/>
            <w:tcBorders>
              <w:tl2br w:val="nil"/>
              <w:tr2bl w:val="nil"/>
            </w:tcBorders>
            <w:vAlign w:val="center"/>
          </w:tcPr>
          <w:p w14:paraId="00D9F254">
            <w:pPr>
              <w:pStyle w:val="84"/>
              <w:rPr>
                <w:rFonts w:ascii="Times New Roman" w:hAnsi="Times New Roman" w:eastAsia="宋体"/>
                <w:sz w:val="21"/>
                <w:szCs w:val="21"/>
              </w:rPr>
            </w:pPr>
            <w:r>
              <w:rPr>
                <w:rFonts w:ascii="Times New Roman" w:hAnsi="Times New Roman" w:eastAsia="宋体"/>
                <w:sz w:val="21"/>
                <w:szCs w:val="21"/>
              </w:rPr>
              <w:t>本项目情况</w:t>
            </w:r>
          </w:p>
        </w:tc>
        <w:tc>
          <w:tcPr>
            <w:tcW w:w="616" w:type="dxa"/>
            <w:tcBorders>
              <w:tl2br w:val="nil"/>
              <w:tr2bl w:val="nil"/>
            </w:tcBorders>
            <w:vAlign w:val="center"/>
          </w:tcPr>
          <w:p w14:paraId="725436FD">
            <w:pPr>
              <w:pStyle w:val="84"/>
              <w:rPr>
                <w:rFonts w:ascii="Times New Roman" w:hAnsi="Times New Roman" w:eastAsia="宋体"/>
                <w:sz w:val="21"/>
                <w:szCs w:val="21"/>
              </w:rPr>
            </w:pPr>
            <w:r>
              <w:rPr>
                <w:rFonts w:ascii="Times New Roman" w:hAnsi="Times New Roman" w:eastAsia="宋体"/>
                <w:sz w:val="21"/>
                <w:szCs w:val="21"/>
              </w:rPr>
              <w:t>符合性</w:t>
            </w:r>
          </w:p>
        </w:tc>
      </w:tr>
      <w:tr w14:paraId="0A01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565" w:type="dxa"/>
            <w:vMerge w:val="restart"/>
            <w:tcBorders>
              <w:tl2br w:val="nil"/>
              <w:tr2bl w:val="nil"/>
            </w:tcBorders>
            <w:vAlign w:val="center"/>
          </w:tcPr>
          <w:p w14:paraId="4670DF53">
            <w:pPr>
              <w:pStyle w:val="84"/>
              <w:rPr>
                <w:rFonts w:ascii="Times New Roman" w:hAnsi="Times New Roman" w:eastAsia="宋体"/>
                <w:sz w:val="21"/>
                <w:szCs w:val="21"/>
              </w:rPr>
            </w:pPr>
            <w:r>
              <w:rPr>
                <w:rFonts w:ascii="Times New Roman" w:hAnsi="Times New Roman" w:eastAsia="宋体"/>
                <w:sz w:val="21"/>
                <w:szCs w:val="21"/>
              </w:rPr>
              <w:t>空间布局约束</w:t>
            </w:r>
          </w:p>
        </w:tc>
        <w:tc>
          <w:tcPr>
            <w:tcW w:w="5517" w:type="dxa"/>
            <w:tcBorders>
              <w:tl2br w:val="nil"/>
              <w:tr2bl w:val="nil"/>
            </w:tcBorders>
            <w:vAlign w:val="center"/>
          </w:tcPr>
          <w:p w14:paraId="76E0D3E5">
            <w:pPr>
              <w:rPr>
                <w:rFonts w:ascii="Times New Roman" w:hAnsi="Times New Roman" w:eastAsia="宋体" w:cs="Times New Roman"/>
                <w:szCs w:val="21"/>
              </w:rPr>
            </w:pPr>
            <w:r>
              <w:rPr>
                <w:rFonts w:ascii="Times New Roman" w:hAnsi="Times New Roman" w:eastAsia="宋体" w:cs="Times New Roman"/>
                <w:szCs w:val="21"/>
              </w:rPr>
              <w:t>禁止新建严重污染水环境和破坏生态的建设项目，淘汰污染水环境的落后工艺、技术和设备，推进涉及污染水环境的工业企业清洁生产。对于需取得排污许可证的企业，禁止无排污许可证或者违反排污许可证的规定排放废水、废气。马颊河保护重点区域内，禁止建设畜禽养殖场、养殖小区、水产养殖场，禁止倾倒、抛撒、堆放、填埋生活垃圾、餐厨垃圾、建筑垃圾、工业固体废物、医疗固体废物、放射性物质等废弃物，禁止擅自从事占用、围垦、取土、取水、砍伐林木等行为。</w:t>
            </w:r>
          </w:p>
        </w:tc>
        <w:tc>
          <w:tcPr>
            <w:tcW w:w="1615" w:type="dxa"/>
            <w:tcBorders>
              <w:tl2br w:val="nil"/>
              <w:tr2bl w:val="nil"/>
            </w:tcBorders>
            <w:vAlign w:val="center"/>
          </w:tcPr>
          <w:p w14:paraId="6D5F008F">
            <w:pPr>
              <w:pStyle w:val="84"/>
              <w:rPr>
                <w:rFonts w:ascii="Times New Roman" w:hAnsi="Times New Roman" w:eastAsia="宋体"/>
                <w:sz w:val="21"/>
                <w:szCs w:val="21"/>
              </w:rPr>
            </w:pPr>
            <w:r>
              <w:rPr>
                <w:rFonts w:hint="eastAsia" w:ascii="Times New Roman" w:hAnsi="Times New Roman" w:eastAsia="宋体"/>
                <w:sz w:val="21"/>
                <w:szCs w:val="21"/>
              </w:rPr>
              <w:t>本项目属于木质家具项目，位于清丰县产业集聚区，不属于上述禁止类项目</w:t>
            </w:r>
          </w:p>
        </w:tc>
        <w:tc>
          <w:tcPr>
            <w:tcW w:w="616" w:type="dxa"/>
            <w:vMerge w:val="restart"/>
            <w:tcBorders>
              <w:tl2br w:val="nil"/>
              <w:tr2bl w:val="nil"/>
            </w:tcBorders>
            <w:vAlign w:val="center"/>
          </w:tcPr>
          <w:p w14:paraId="1FCFDD5D">
            <w:pPr>
              <w:pStyle w:val="84"/>
              <w:rPr>
                <w:rFonts w:ascii="Times New Roman" w:hAnsi="Times New Roman" w:eastAsia="宋体"/>
                <w:sz w:val="21"/>
                <w:szCs w:val="21"/>
              </w:rPr>
            </w:pPr>
            <w:r>
              <w:rPr>
                <w:rFonts w:ascii="Times New Roman" w:hAnsi="Times New Roman" w:eastAsia="宋体"/>
                <w:sz w:val="21"/>
                <w:szCs w:val="21"/>
              </w:rPr>
              <w:t>符合</w:t>
            </w:r>
          </w:p>
        </w:tc>
      </w:tr>
      <w:tr w14:paraId="0E07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5" w:type="dxa"/>
            <w:vMerge w:val="continue"/>
            <w:tcBorders>
              <w:tl2br w:val="nil"/>
              <w:tr2bl w:val="nil"/>
            </w:tcBorders>
            <w:vAlign w:val="center"/>
          </w:tcPr>
          <w:p w14:paraId="2D86EA10">
            <w:pPr>
              <w:pStyle w:val="84"/>
              <w:rPr>
                <w:rFonts w:ascii="Times New Roman" w:hAnsi="Times New Roman" w:eastAsia="宋体"/>
                <w:sz w:val="21"/>
                <w:szCs w:val="21"/>
              </w:rPr>
            </w:pPr>
          </w:p>
        </w:tc>
        <w:tc>
          <w:tcPr>
            <w:tcW w:w="5517" w:type="dxa"/>
            <w:tcBorders>
              <w:tl2br w:val="nil"/>
              <w:tr2bl w:val="nil"/>
            </w:tcBorders>
            <w:vAlign w:val="center"/>
          </w:tcPr>
          <w:p w14:paraId="27933027">
            <w:pPr>
              <w:rPr>
                <w:rFonts w:ascii="Times New Roman" w:hAnsi="Times New Roman" w:eastAsia="宋体" w:cs="Times New Roman"/>
                <w:szCs w:val="21"/>
              </w:rPr>
            </w:pPr>
            <w:r>
              <w:rPr>
                <w:rFonts w:ascii="Times New Roman" w:hAnsi="Times New Roman" w:eastAsia="宋体" w:cs="Times New Roman"/>
                <w:szCs w:val="21"/>
              </w:rPr>
              <w:t>禁止在地质环境脆弱区开发矿产资源，禁止开采已有土壤覆盖层的古河道埋藏沙，禁止开挖耕地烧制实心砖瓦。禁止开采区内，除国家基础性、公益性地质调查及符合政策要求的、以国家战略性矿产地储备为矿产资源勘查项目外，一律不得新设探、采矿权，严厉打击和取缔违法采矿活动。已经设立的矿业权，在维护矿业权人合法权益的前提下，依法有序退出。在限制开采区内，要严格控制开采矿种矿业权设置，确实需要设置矿业权时，要严格规划审查，进行规划论证。</w:t>
            </w:r>
          </w:p>
        </w:tc>
        <w:tc>
          <w:tcPr>
            <w:tcW w:w="1615" w:type="dxa"/>
            <w:tcBorders>
              <w:tl2br w:val="nil"/>
              <w:tr2bl w:val="nil"/>
            </w:tcBorders>
            <w:vAlign w:val="center"/>
          </w:tcPr>
          <w:p w14:paraId="31CBAA35">
            <w:pPr>
              <w:pStyle w:val="84"/>
              <w:rPr>
                <w:rFonts w:ascii="Times New Roman" w:hAnsi="Times New Roman" w:eastAsia="宋体"/>
                <w:sz w:val="21"/>
                <w:szCs w:val="21"/>
              </w:rPr>
            </w:pPr>
            <w:r>
              <w:rPr>
                <w:rFonts w:ascii="Times New Roman" w:hAnsi="Times New Roman" w:eastAsia="宋体"/>
                <w:sz w:val="21"/>
                <w:szCs w:val="21"/>
              </w:rPr>
              <w:t>不涉及</w:t>
            </w:r>
          </w:p>
        </w:tc>
        <w:tc>
          <w:tcPr>
            <w:tcW w:w="616" w:type="dxa"/>
            <w:vMerge w:val="continue"/>
            <w:tcBorders>
              <w:tl2br w:val="nil"/>
              <w:tr2bl w:val="nil"/>
            </w:tcBorders>
            <w:vAlign w:val="center"/>
          </w:tcPr>
          <w:p w14:paraId="104F5445">
            <w:pPr>
              <w:pStyle w:val="84"/>
              <w:rPr>
                <w:rFonts w:ascii="Times New Roman" w:hAnsi="Times New Roman" w:eastAsia="宋体"/>
                <w:sz w:val="21"/>
                <w:szCs w:val="21"/>
              </w:rPr>
            </w:pPr>
          </w:p>
        </w:tc>
      </w:tr>
      <w:tr w14:paraId="7A25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565" w:type="dxa"/>
            <w:vMerge w:val="continue"/>
            <w:tcBorders>
              <w:tl2br w:val="nil"/>
              <w:tr2bl w:val="nil"/>
            </w:tcBorders>
            <w:vAlign w:val="center"/>
          </w:tcPr>
          <w:p w14:paraId="2D087B80">
            <w:pPr>
              <w:pStyle w:val="84"/>
              <w:rPr>
                <w:rFonts w:ascii="Times New Roman" w:hAnsi="Times New Roman" w:eastAsia="宋体"/>
                <w:sz w:val="21"/>
                <w:szCs w:val="21"/>
              </w:rPr>
            </w:pPr>
          </w:p>
        </w:tc>
        <w:tc>
          <w:tcPr>
            <w:tcW w:w="5517" w:type="dxa"/>
            <w:tcBorders>
              <w:tl2br w:val="nil"/>
              <w:tr2bl w:val="nil"/>
            </w:tcBorders>
            <w:vAlign w:val="center"/>
          </w:tcPr>
          <w:p w14:paraId="7E356DED">
            <w:pPr>
              <w:rPr>
                <w:rFonts w:ascii="Times New Roman" w:hAnsi="Times New Roman" w:eastAsia="宋体" w:cs="Times New Roman"/>
                <w:szCs w:val="21"/>
              </w:rPr>
            </w:pPr>
            <w:r>
              <w:rPr>
                <w:rFonts w:ascii="Times New Roman" w:hAnsi="Times New Roman" w:eastAsia="宋体" w:cs="Times New Roman"/>
                <w:szCs w:val="21"/>
              </w:rPr>
              <w:t>严格控制新建、扩建钢铁、石油、化工、电力、有色金属冶炼、水泥、建筑陶瓷等重点行业高排放、高污染工业项目。禁止在人口集中区域从事经营性露天喷漆、喷涂、喷砂等产生含挥发性有机物废气的作业；禁止露天焚烧落叶、树枝、枯草等产生烟尘污染的物质，以及非法焚烧电子废弃物、油毡、橡胶、塑料、皮革、沥青、垃圾等产生有毒有害、恶臭或者强烈异味气体的物质。市、县人民政府划定并公布高污染燃料禁燃区，在禁燃区内，禁止销售、燃用高污染燃料，禁止新建、扩建燃用高污染燃料的设施。</w:t>
            </w:r>
          </w:p>
        </w:tc>
        <w:tc>
          <w:tcPr>
            <w:tcW w:w="1615" w:type="dxa"/>
            <w:tcBorders>
              <w:tl2br w:val="nil"/>
              <w:tr2bl w:val="nil"/>
            </w:tcBorders>
            <w:vAlign w:val="center"/>
          </w:tcPr>
          <w:p w14:paraId="34EA015E">
            <w:pPr>
              <w:pStyle w:val="84"/>
              <w:rPr>
                <w:rFonts w:ascii="Times New Roman" w:hAnsi="Times New Roman" w:eastAsia="宋体"/>
                <w:sz w:val="21"/>
                <w:szCs w:val="21"/>
              </w:rPr>
            </w:pPr>
            <w:r>
              <w:rPr>
                <w:rFonts w:ascii="Times New Roman" w:hAnsi="Times New Roman" w:eastAsia="宋体"/>
                <w:sz w:val="21"/>
                <w:szCs w:val="21"/>
              </w:rPr>
              <w:t>项目属于</w:t>
            </w:r>
            <w:r>
              <w:rPr>
                <w:rFonts w:hint="eastAsia" w:ascii="Times New Roman" w:hAnsi="Times New Roman" w:eastAsia="宋体"/>
                <w:sz w:val="21"/>
                <w:szCs w:val="21"/>
              </w:rPr>
              <w:t>木质家具</w:t>
            </w:r>
            <w:r>
              <w:rPr>
                <w:rFonts w:ascii="Times New Roman" w:hAnsi="Times New Roman" w:eastAsia="宋体"/>
                <w:sz w:val="21"/>
                <w:szCs w:val="21"/>
              </w:rPr>
              <w:t>项目，位于</w:t>
            </w:r>
            <w:r>
              <w:rPr>
                <w:rFonts w:hint="eastAsia" w:ascii="Times New Roman" w:hAnsi="Times New Roman" w:eastAsia="宋体"/>
                <w:sz w:val="21"/>
                <w:szCs w:val="21"/>
              </w:rPr>
              <w:t>清丰县产业集聚区</w:t>
            </w:r>
            <w:r>
              <w:rPr>
                <w:rFonts w:ascii="Times New Roman" w:hAnsi="Times New Roman" w:eastAsia="宋体"/>
                <w:sz w:val="21"/>
                <w:szCs w:val="21"/>
              </w:rPr>
              <w:t>，</w:t>
            </w:r>
            <w:r>
              <w:rPr>
                <w:rFonts w:hint="eastAsia" w:ascii="Times New Roman" w:hAnsi="Times New Roman" w:eastAsia="宋体"/>
                <w:sz w:val="21"/>
                <w:szCs w:val="21"/>
              </w:rPr>
              <w:t>不属于重点行业高排放、高污染工业项目，</w:t>
            </w:r>
            <w:r>
              <w:rPr>
                <w:rFonts w:ascii="Times New Roman" w:hAnsi="Times New Roman" w:eastAsia="宋体"/>
                <w:sz w:val="21"/>
                <w:szCs w:val="21"/>
              </w:rPr>
              <w:t>选址不属于人口集中区</w:t>
            </w:r>
          </w:p>
        </w:tc>
        <w:tc>
          <w:tcPr>
            <w:tcW w:w="616" w:type="dxa"/>
            <w:vMerge w:val="continue"/>
            <w:tcBorders>
              <w:tl2br w:val="nil"/>
              <w:tr2bl w:val="nil"/>
            </w:tcBorders>
            <w:vAlign w:val="center"/>
          </w:tcPr>
          <w:p w14:paraId="57EC485E">
            <w:pPr>
              <w:pStyle w:val="84"/>
              <w:rPr>
                <w:rFonts w:ascii="Times New Roman" w:hAnsi="Times New Roman" w:eastAsia="宋体"/>
                <w:sz w:val="21"/>
                <w:szCs w:val="21"/>
              </w:rPr>
            </w:pPr>
          </w:p>
        </w:tc>
      </w:tr>
      <w:tr w14:paraId="076D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 w:hRule="atLeast"/>
          <w:jc w:val="center"/>
        </w:trPr>
        <w:tc>
          <w:tcPr>
            <w:tcW w:w="565" w:type="dxa"/>
            <w:vMerge w:val="continue"/>
            <w:tcBorders>
              <w:tl2br w:val="nil"/>
              <w:tr2bl w:val="nil"/>
            </w:tcBorders>
            <w:vAlign w:val="center"/>
          </w:tcPr>
          <w:p w14:paraId="32FD120A">
            <w:pPr>
              <w:pStyle w:val="84"/>
              <w:rPr>
                <w:rFonts w:ascii="Times New Roman" w:hAnsi="Times New Roman" w:eastAsia="宋体"/>
                <w:sz w:val="21"/>
                <w:szCs w:val="21"/>
              </w:rPr>
            </w:pPr>
          </w:p>
        </w:tc>
        <w:tc>
          <w:tcPr>
            <w:tcW w:w="5517" w:type="dxa"/>
            <w:tcBorders>
              <w:tl2br w:val="nil"/>
              <w:tr2bl w:val="nil"/>
            </w:tcBorders>
            <w:vAlign w:val="center"/>
          </w:tcPr>
          <w:p w14:paraId="7ED6AA54">
            <w:pPr>
              <w:rPr>
                <w:rFonts w:ascii="Times New Roman" w:hAnsi="Times New Roman" w:eastAsia="宋体" w:cs="Times New Roman"/>
                <w:szCs w:val="21"/>
              </w:rPr>
            </w:pPr>
            <w:r>
              <w:rPr>
                <w:rFonts w:ascii="Times New Roman" w:hAnsi="Times New Roman" w:eastAsia="宋体" w:cs="Times New Roman"/>
                <w:szCs w:val="21"/>
              </w:rPr>
              <w:t>除热电联产外，严格控制新建燃煤发电项目。原则上禁止新建、扩建钢铁、电解铝、水泥、平板玻璃、传统煤化工（甲醇、合成氨）、焦化、铸造、铝用炭素、砖瓦窑、耐火材料等行业单纯新增产能项目。禁止建设生产和使用高VOCs含量的溶剂型涂料、油墨、胶粘剂等项目。禁止新建燃料类煤气发生炉和35蒸吨/时及以下燃煤锅炉。</w:t>
            </w:r>
          </w:p>
        </w:tc>
        <w:tc>
          <w:tcPr>
            <w:tcW w:w="1615" w:type="dxa"/>
            <w:tcBorders>
              <w:tl2br w:val="nil"/>
              <w:tr2bl w:val="nil"/>
            </w:tcBorders>
            <w:vAlign w:val="center"/>
          </w:tcPr>
          <w:p w14:paraId="130EE705">
            <w:pPr>
              <w:pStyle w:val="84"/>
              <w:rPr>
                <w:rFonts w:ascii="Times New Roman" w:hAnsi="Times New Roman" w:eastAsia="宋体"/>
                <w:sz w:val="21"/>
                <w:szCs w:val="21"/>
              </w:rPr>
            </w:pPr>
            <w:r>
              <w:rPr>
                <w:rFonts w:hint="eastAsia" w:ascii="Times New Roman" w:hAnsi="Times New Roman" w:eastAsia="宋体"/>
                <w:sz w:val="21"/>
                <w:szCs w:val="21"/>
              </w:rPr>
              <w:t>本项目所用涂料为低</w:t>
            </w:r>
            <w:r>
              <w:rPr>
                <w:rFonts w:ascii="Times New Roman" w:hAnsi="Times New Roman" w:eastAsia="宋体"/>
                <w:sz w:val="21"/>
                <w:szCs w:val="21"/>
              </w:rPr>
              <w:t>VOCs</w:t>
            </w:r>
            <w:r>
              <w:rPr>
                <w:rFonts w:hint="eastAsia" w:ascii="Times New Roman" w:hAnsi="Times New Roman" w:eastAsia="宋体"/>
                <w:sz w:val="21"/>
                <w:szCs w:val="21"/>
              </w:rPr>
              <w:t>涂料</w:t>
            </w:r>
          </w:p>
        </w:tc>
        <w:tc>
          <w:tcPr>
            <w:tcW w:w="616" w:type="dxa"/>
            <w:vMerge w:val="continue"/>
            <w:tcBorders>
              <w:tl2br w:val="nil"/>
              <w:tr2bl w:val="nil"/>
            </w:tcBorders>
            <w:vAlign w:val="center"/>
          </w:tcPr>
          <w:p w14:paraId="53088491">
            <w:pPr>
              <w:pStyle w:val="84"/>
              <w:rPr>
                <w:rFonts w:ascii="Times New Roman" w:hAnsi="Times New Roman" w:eastAsia="宋体"/>
                <w:sz w:val="21"/>
                <w:szCs w:val="21"/>
              </w:rPr>
            </w:pPr>
          </w:p>
        </w:tc>
      </w:tr>
      <w:tr w14:paraId="5B97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 w:hRule="atLeast"/>
          <w:jc w:val="center"/>
        </w:trPr>
        <w:tc>
          <w:tcPr>
            <w:tcW w:w="565" w:type="dxa"/>
            <w:vMerge w:val="continue"/>
            <w:tcBorders>
              <w:tl2br w:val="nil"/>
              <w:tr2bl w:val="nil"/>
            </w:tcBorders>
            <w:vAlign w:val="center"/>
          </w:tcPr>
          <w:p w14:paraId="53A11739">
            <w:pPr>
              <w:pStyle w:val="84"/>
              <w:rPr>
                <w:rFonts w:ascii="Times New Roman" w:hAnsi="Times New Roman" w:eastAsia="宋体"/>
                <w:sz w:val="21"/>
                <w:szCs w:val="21"/>
              </w:rPr>
            </w:pPr>
          </w:p>
        </w:tc>
        <w:tc>
          <w:tcPr>
            <w:tcW w:w="5517" w:type="dxa"/>
            <w:tcBorders>
              <w:tl2br w:val="nil"/>
              <w:tr2bl w:val="nil"/>
            </w:tcBorders>
            <w:vAlign w:val="center"/>
          </w:tcPr>
          <w:p w14:paraId="3C389041">
            <w:pPr>
              <w:rPr>
                <w:rFonts w:ascii="Times New Roman" w:hAnsi="Times New Roman" w:eastAsia="宋体" w:cs="Times New Roman"/>
                <w:szCs w:val="21"/>
              </w:rPr>
            </w:pPr>
            <w:r>
              <w:rPr>
                <w:rFonts w:ascii="Times New Roman" w:hAnsi="Times New Roman" w:eastAsia="宋体" w:cs="Times New Roman"/>
                <w:szCs w:val="21"/>
              </w:rPr>
              <w:t>调整不符合生态环境功能定位的产业布局、产业规模和产业结构，按照《产业结构调整指导目录（2019 年本）》和《河南省部分工业行业淘汰落后生产工艺装备和产品目录》，对禁止和限制发展的行业、生产工艺和产业进行关停淘汰。关停退出热效率低下、敞开未封闭，装备简易落后、自动化水平低，布局分散、规模小、无组织排放突出，以及无治理设施或治理设施工艺落后的工业炉窑</w:t>
            </w:r>
          </w:p>
        </w:tc>
        <w:tc>
          <w:tcPr>
            <w:tcW w:w="1615" w:type="dxa"/>
            <w:tcBorders>
              <w:tl2br w:val="nil"/>
              <w:tr2bl w:val="nil"/>
            </w:tcBorders>
            <w:vAlign w:val="center"/>
          </w:tcPr>
          <w:p w14:paraId="02037D96">
            <w:pPr>
              <w:pStyle w:val="84"/>
              <w:rPr>
                <w:rFonts w:ascii="Times New Roman" w:hAnsi="Times New Roman" w:eastAsia="宋体"/>
                <w:sz w:val="21"/>
                <w:szCs w:val="21"/>
              </w:rPr>
            </w:pPr>
            <w:r>
              <w:rPr>
                <w:rFonts w:ascii="Times New Roman" w:hAnsi="Times New Roman" w:eastAsia="宋体"/>
                <w:sz w:val="21"/>
                <w:szCs w:val="21"/>
              </w:rPr>
              <w:t>不涉及</w:t>
            </w:r>
          </w:p>
        </w:tc>
        <w:tc>
          <w:tcPr>
            <w:tcW w:w="616" w:type="dxa"/>
            <w:vMerge w:val="continue"/>
            <w:tcBorders>
              <w:tl2br w:val="nil"/>
              <w:tr2bl w:val="nil"/>
            </w:tcBorders>
            <w:vAlign w:val="center"/>
          </w:tcPr>
          <w:p w14:paraId="362D8A1B">
            <w:pPr>
              <w:pStyle w:val="84"/>
              <w:rPr>
                <w:rFonts w:ascii="Times New Roman" w:hAnsi="Times New Roman" w:eastAsia="宋体"/>
                <w:sz w:val="21"/>
                <w:szCs w:val="21"/>
              </w:rPr>
            </w:pPr>
          </w:p>
        </w:tc>
      </w:tr>
      <w:tr w14:paraId="2C24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565" w:type="dxa"/>
            <w:vMerge w:val="continue"/>
            <w:tcBorders>
              <w:tl2br w:val="nil"/>
              <w:tr2bl w:val="nil"/>
            </w:tcBorders>
            <w:vAlign w:val="center"/>
          </w:tcPr>
          <w:p w14:paraId="3C1D7090">
            <w:pPr>
              <w:pStyle w:val="84"/>
              <w:rPr>
                <w:rFonts w:ascii="Times New Roman" w:hAnsi="Times New Roman" w:eastAsia="宋体"/>
                <w:sz w:val="21"/>
                <w:szCs w:val="21"/>
              </w:rPr>
            </w:pPr>
          </w:p>
        </w:tc>
        <w:tc>
          <w:tcPr>
            <w:tcW w:w="5517" w:type="dxa"/>
            <w:tcBorders>
              <w:tl2br w:val="nil"/>
              <w:tr2bl w:val="nil"/>
            </w:tcBorders>
            <w:vAlign w:val="center"/>
          </w:tcPr>
          <w:p w14:paraId="77C2C350">
            <w:pPr>
              <w:rPr>
                <w:rFonts w:ascii="Times New Roman" w:hAnsi="Times New Roman" w:eastAsia="宋体" w:cs="Times New Roman"/>
                <w:szCs w:val="21"/>
              </w:rPr>
            </w:pPr>
            <w:r>
              <w:rPr>
                <w:rFonts w:ascii="Times New Roman" w:hAnsi="Times New Roman" w:eastAsia="宋体" w:cs="Times New Roman"/>
                <w:szCs w:val="21"/>
              </w:rPr>
              <w:t>坚决遏制高耗能、高排放项目盲目发展。新建、改建、扩建“两高”项目应符合生态环境保护法律法规和相关法定规划，满足重点污染物排放总量控制、碳排放达峰目标、生态环境准入清单、相关规划环评和相应行业建设项目环境准入条件、环评文件审批原则要求。对于不符合相关法律法规的，依法不予审批。按照相关文件要求，沿黄重点地区严格“高污染、高耗水、高耗能”项目准入。</w:t>
            </w:r>
          </w:p>
        </w:tc>
        <w:tc>
          <w:tcPr>
            <w:tcW w:w="1615" w:type="dxa"/>
            <w:tcBorders>
              <w:tl2br w:val="nil"/>
              <w:tr2bl w:val="nil"/>
            </w:tcBorders>
            <w:vAlign w:val="center"/>
          </w:tcPr>
          <w:p w14:paraId="4818B4E4">
            <w:pPr>
              <w:pStyle w:val="84"/>
              <w:rPr>
                <w:rFonts w:ascii="Times New Roman" w:hAnsi="Times New Roman" w:eastAsia="宋体"/>
                <w:sz w:val="21"/>
                <w:szCs w:val="21"/>
              </w:rPr>
            </w:pPr>
            <w:r>
              <w:rPr>
                <w:rFonts w:hint="eastAsia" w:ascii="Times New Roman" w:hAnsi="Times New Roman" w:eastAsia="宋体"/>
                <w:sz w:val="21"/>
                <w:szCs w:val="21"/>
              </w:rPr>
              <w:t>本项目不属于两高项目</w:t>
            </w:r>
          </w:p>
        </w:tc>
        <w:tc>
          <w:tcPr>
            <w:tcW w:w="616" w:type="dxa"/>
            <w:vMerge w:val="continue"/>
            <w:tcBorders>
              <w:tl2br w:val="nil"/>
              <w:tr2bl w:val="nil"/>
            </w:tcBorders>
            <w:vAlign w:val="center"/>
          </w:tcPr>
          <w:p w14:paraId="303E09E0">
            <w:pPr>
              <w:pStyle w:val="84"/>
              <w:rPr>
                <w:rFonts w:ascii="Times New Roman" w:hAnsi="Times New Roman" w:eastAsia="宋体"/>
                <w:sz w:val="21"/>
                <w:szCs w:val="21"/>
              </w:rPr>
            </w:pPr>
          </w:p>
        </w:tc>
      </w:tr>
      <w:tr w14:paraId="30CE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565" w:type="dxa"/>
            <w:vMerge w:val="continue"/>
            <w:tcBorders>
              <w:tl2br w:val="nil"/>
              <w:tr2bl w:val="nil"/>
            </w:tcBorders>
            <w:vAlign w:val="center"/>
          </w:tcPr>
          <w:p w14:paraId="2C30A3F0">
            <w:pPr>
              <w:pStyle w:val="84"/>
              <w:rPr>
                <w:rFonts w:ascii="Times New Roman" w:hAnsi="Times New Roman" w:eastAsia="宋体"/>
                <w:sz w:val="21"/>
                <w:szCs w:val="21"/>
              </w:rPr>
            </w:pPr>
          </w:p>
        </w:tc>
        <w:tc>
          <w:tcPr>
            <w:tcW w:w="5517" w:type="dxa"/>
            <w:tcBorders>
              <w:tl2br w:val="nil"/>
              <w:tr2bl w:val="nil"/>
            </w:tcBorders>
            <w:vAlign w:val="center"/>
          </w:tcPr>
          <w:p w14:paraId="4A2E94AF">
            <w:pPr>
              <w:rPr>
                <w:rFonts w:ascii="Times New Roman" w:hAnsi="Times New Roman" w:eastAsia="宋体" w:cs="Times New Roman"/>
                <w:szCs w:val="21"/>
              </w:rPr>
            </w:pPr>
            <w:r>
              <w:rPr>
                <w:rFonts w:ascii="Times New Roman" w:hAnsi="Times New Roman" w:eastAsia="宋体" w:cs="Times New Roman"/>
                <w:szCs w:val="21"/>
              </w:rPr>
              <w:t>切实加快市城区工业企业退城入园步伐，推动经济高质量发展，按照相关要求完成市城区工业企业退城入园任务。</w:t>
            </w:r>
          </w:p>
        </w:tc>
        <w:tc>
          <w:tcPr>
            <w:tcW w:w="1615" w:type="dxa"/>
            <w:tcBorders>
              <w:tl2br w:val="nil"/>
              <w:tr2bl w:val="nil"/>
            </w:tcBorders>
            <w:vAlign w:val="center"/>
          </w:tcPr>
          <w:p w14:paraId="5EC42A67">
            <w:pPr>
              <w:pStyle w:val="84"/>
              <w:rPr>
                <w:rFonts w:ascii="Times New Roman" w:hAnsi="Times New Roman" w:eastAsia="宋体"/>
                <w:sz w:val="21"/>
                <w:szCs w:val="21"/>
              </w:rPr>
            </w:pPr>
            <w:r>
              <w:rPr>
                <w:rFonts w:ascii="Times New Roman" w:hAnsi="Times New Roman" w:eastAsia="宋体"/>
                <w:sz w:val="21"/>
                <w:szCs w:val="21"/>
              </w:rPr>
              <w:t>位于</w:t>
            </w:r>
            <w:r>
              <w:rPr>
                <w:rFonts w:hint="eastAsia" w:ascii="Times New Roman" w:hAnsi="Times New Roman" w:eastAsia="宋体"/>
                <w:sz w:val="21"/>
                <w:szCs w:val="21"/>
              </w:rPr>
              <w:t>清丰县</w:t>
            </w:r>
            <w:r>
              <w:rPr>
                <w:rFonts w:ascii="Times New Roman" w:hAnsi="Times New Roman" w:eastAsia="宋体"/>
                <w:sz w:val="21"/>
                <w:szCs w:val="21"/>
              </w:rPr>
              <w:t>产业集聚区</w:t>
            </w:r>
            <w:r>
              <w:rPr>
                <w:rFonts w:hint="eastAsia" w:ascii="Times New Roman" w:hAnsi="Times New Roman" w:eastAsia="宋体"/>
                <w:sz w:val="21"/>
                <w:szCs w:val="21"/>
              </w:rPr>
              <w:t>家具园区</w:t>
            </w:r>
          </w:p>
        </w:tc>
        <w:tc>
          <w:tcPr>
            <w:tcW w:w="616" w:type="dxa"/>
            <w:vMerge w:val="continue"/>
            <w:tcBorders>
              <w:tl2br w:val="nil"/>
              <w:tr2bl w:val="nil"/>
            </w:tcBorders>
            <w:vAlign w:val="center"/>
          </w:tcPr>
          <w:p w14:paraId="49307A45">
            <w:pPr>
              <w:pStyle w:val="84"/>
              <w:rPr>
                <w:rFonts w:ascii="Times New Roman" w:hAnsi="Times New Roman" w:eastAsia="宋体"/>
                <w:sz w:val="21"/>
                <w:szCs w:val="21"/>
              </w:rPr>
            </w:pPr>
          </w:p>
        </w:tc>
      </w:tr>
      <w:tr w14:paraId="10FD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5" w:type="dxa"/>
            <w:vMerge w:val="restart"/>
            <w:tcBorders>
              <w:tl2br w:val="nil"/>
              <w:tr2bl w:val="nil"/>
            </w:tcBorders>
            <w:vAlign w:val="center"/>
          </w:tcPr>
          <w:p w14:paraId="5E91D408">
            <w:pPr>
              <w:pStyle w:val="84"/>
              <w:rPr>
                <w:rFonts w:ascii="Times New Roman" w:hAnsi="Times New Roman" w:eastAsia="宋体"/>
                <w:sz w:val="21"/>
                <w:szCs w:val="21"/>
              </w:rPr>
            </w:pPr>
            <w:r>
              <w:rPr>
                <w:rFonts w:ascii="Times New Roman" w:hAnsi="Times New Roman" w:eastAsia="宋体"/>
                <w:sz w:val="21"/>
                <w:szCs w:val="21"/>
              </w:rPr>
              <w:t>污染物排放管控</w:t>
            </w:r>
          </w:p>
        </w:tc>
        <w:tc>
          <w:tcPr>
            <w:tcW w:w="5517" w:type="dxa"/>
            <w:tcBorders>
              <w:tl2br w:val="nil"/>
              <w:tr2bl w:val="nil"/>
            </w:tcBorders>
            <w:vAlign w:val="center"/>
          </w:tcPr>
          <w:p w14:paraId="3D8CA8AB">
            <w:pPr>
              <w:rPr>
                <w:rFonts w:ascii="Times New Roman" w:hAnsi="Times New Roman" w:eastAsia="宋体" w:cs="Times New Roman"/>
                <w:szCs w:val="21"/>
              </w:rPr>
            </w:pPr>
            <w:r>
              <w:rPr>
                <w:rFonts w:ascii="Times New Roman" w:hAnsi="Times New Roman" w:eastAsia="宋体" w:cs="Times New Roman"/>
                <w:szCs w:val="21"/>
              </w:rPr>
              <w:t>新、改、扩建项目主要污染物排放要求满足当地总量减排要求。</w:t>
            </w:r>
          </w:p>
        </w:tc>
        <w:tc>
          <w:tcPr>
            <w:tcW w:w="1615" w:type="dxa"/>
            <w:tcBorders>
              <w:tl2br w:val="nil"/>
              <w:tr2bl w:val="nil"/>
            </w:tcBorders>
            <w:vAlign w:val="center"/>
          </w:tcPr>
          <w:p w14:paraId="0F2CF594">
            <w:pPr>
              <w:pStyle w:val="84"/>
              <w:rPr>
                <w:rFonts w:ascii="Times New Roman" w:hAnsi="Times New Roman" w:eastAsia="宋体"/>
                <w:sz w:val="21"/>
                <w:szCs w:val="21"/>
              </w:rPr>
            </w:pPr>
            <w:r>
              <w:rPr>
                <w:rFonts w:ascii="Times New Roman" w:hAnsi="Times New Roman" w:eastAsia="宋体"/>
                <w:sz w:val="21"/>
                <w:szCs w:val="21"/>
              </w:rPr>
              <w:t>项目为</w:t>
            </w:r>
            <w:r>
              <w:rPr>
                <w:rFonts w:hint="eastAsia" w:ascii="Times New Roman" w:hAnsi="Times New Roman" w:eastAsia="宋体"/>
                <w:sz w:val="21"/>
                <w:szCs w:val="21"/>
              </w:rPr>
              <w:t>新</w:t>
            </w:r>
            <w:r>
              <w:rPr>
                <w:rFonts w:ascii="Times New Roman" w:hAnsi="Times New Roman" w:eastAsia="宋体"/>
                <w:sz w:val="21"/>
                <w:szCs w:val="21"/>
              </w:rPr>
              <w:t>建，主要污染物排放要求满足当地总量减排要求</w:t>
            </w:r>
          </w:p>
        </w:tc>
        <w:tc>
          <w:tcPr>
            <w:tcW w:w="616" w:type="dxa"/>
            <w:vMerge w:val="restart"/>
            <w:tcBorders>
              <w:tl2br w:val="nil"/>
              <w:tr2bl w:val="nil"/>
            </w:tcBorders>
            <w:vAlign w:val="center"/>
          </w:tcPr>
          <w:p w14:paraId="021BA830">
            <w:pPr>
              <w:pStyle w:val="84"/>
              <w:rPr>
                <w:rFonts w:ascii="Times New Roman" w:hAnsi="Times New Roman" w:eastAsia="宋体"/>
                <w:sz w:val="21"/>
                <w:szCs w:val="21"/>
              </w:rPr>
            </w:pPr>
            <w:r>
              <w:rPr>
                <w:rFonts w:ascii="Times New Roman" w:hAnsi="Times New Roman" w:eastAsia="宋体"/>
                <w:sz w:val="21"/>
                <w:szCs w:val="21"/>
              </w:rPr>
              <w:t>符合</w:t>
            </w:r>
          </w:p>
        </w:tc>
      </w:tr>
      <w:tr w14:paraId="2641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65" w:type="dxa"/>
            <w:vMerge w:val="continue"/>
            <w:tcBorders>
              <w:tl2br w:val="nil"/>
              <w:tr2bl w:val="nil"/>
            </w:tcBorders>
            <w:vAlign w:val="center"/>
          </w:tcPr>
          <w:p w14:paraId="78A8A9D7">
            <w:pPr>
              <w:pStyle w:val="84"/>
              <w:rPr>
                <w:rFonts w:ascii="Times New Roman" w:hAnsi="Times New Roman" w:eastAsia="宋体"/>
                <w:sz w:val="21"/>
                <w:szCs w:val="21"/>
              </w:rPr>
            </w:pPr>
          </w:p>
        </w:tc>
        <w:tc>
          <w:tcPr>
            <w:tcW w:w="5517" w:type="dxa"/>
            <w:tcBorders>
              <w:tl2br w:val="nil"/>
              <w:tr2bl w:val="nil"/>
            </w:tcBorders>
            <w:vAlign w:val="center"/>
          </w:tcPr>
          <w:p w14:paraId="737C7A7C">
            <w:pPr>
              <w:rPr>
                <w:rFonts w:ascii="Times New Roman" w:hAnsi="Times New Roman" w:eastAsia="宋体" w:cs="Times New Roman"/>
                <w:szCs w:val="21"/>
              </w:rPr>
            </w:pPr>
            <w:r>
              <w:rPr>
                <w:rFonts w:ascii="Times New Roman" w:hAnsi="Times New Roman" w:eastAsia="宋体" w:cs="Times New Roman"/>
                <w:szCs w:val="21"/>
              </w:rPr>
              <w:t>持续调整优化产业结构：加快调整不符合生态环境功能定位的产业布局、产业规模和产业结构，加大过剩和落后产能压减力度，开展传统产业集群升级改造；持续调整优化能源结构：严控煤炭消费总量，推动集中供暖建设、清洁取暖建设，提高天然气供应保障能力，发展可再生能源；持续调整优化交通运输结构：大力发展铁路运输，提高晋豫鲁铁路等现有铁路资源利用效率，加大公路网建设力度，加快推进机动车结构升级。</w:t>
            </w:r>
          </w:p>
        </w:tc>
        <w:tc>
          <w:tcPr>
            <w:tcW w:w="1615" w:type="dxa"/>
            <w:tcBorders>
              <w:tl2br w:val="nil"/>
              <w:tr2bl w:val="nil"/>
            </w:tcBorders>
            <w:vAlign w:val="center"/>
          </w:tcPr>
          <w:p w14:paraId="0162D5A8">
            <w:pPr>
              <w:pStyle w:val="84"/>
              <w:rPr>
                <w:rFonts w:ascii="Times New Roman" w:hAnsi="Times New Roman" w:eastAsia="宋体"/>
                <w:sz w:val="21"/>
                <w:szCs w:val="21"/>
              </w:rPr>
            </w:pPr>
            <w:r>
              <w:rPr>
                <w:rFonts w:hint="eastAsia" w:ascii="Times New Roman" w:hAnsi="Times New Roman" w:eastAsia="宋体"/>
                <w:sz w:val="21"/>
                <w:szCs w:val="21"/>
              </w:rPr>
              <w:t>本项目生产无需供热</w:t>
            </w:r>
          </w:p>
        </w:tc>
        <w:tc>
          <w:tcPr>
            <w:tcW w:w="616" w:type="dxa"/>
            <w:vMerge w:val="continue"/>
            <w:tcBorders>
              <w:tl2br w:val="nil"/>
              <w:tr2bl w:val="nil"/>
            </w:tcBorders>
            <w:vAlign w:val="center"/>
          </w:tcPr>
          <w:p w14:paraId="718F5FFC">
            <w:pPr>
              <w:pStyle w:val="84"/>
              <w:rPr>
                <w:rFonts w:ascii="Times New Roman" w:hAnsi="Times New Roman" w:eastAsia="宋体"/>
                <w:sz w:val="21"/>
                <w:szCs w:val="21"/>
              </w:rPr>
            </w:pPr>
          </w:p>
        </w:tc>
      </w:tr>
      <w:tr w14:paraId="12CC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565" w:type="dxa"/>
            <w:vMerge w:val="continue"/>
            <w:tcBorders>
              <w:tl2br w:val="nil"/>
              <w:tr2bl w:val="nil"/>
            </w:tcBorders>
            <w:vAlign w:val="center"/>
          </w:tcPr>
          <w:p w14:paraId="472C4AA0">
            <w:pPr>
              <w:pStyle w:val="84"/>
              <w:rPr>
                <w:rFonts w:ascii="Times New Roman" w:hAnsi="Times New Roman" w:eastAsia="宋体"/>
                <w:sz w:val="21"/>
                <w:szCs w:val="21"/>
              </w:rPr>
            </w:pPr>
          </w:p>
        </w:tc>
        <w:tc>
          <w:tcPr>
            <w:tcW w:w="5517" w:type="dxa"/>
            <w:tcBorders>
              <w:tl2br w:val="nil"/>
              <w:tr2bl w:val="nil"/>
            </w:tcBorders>
            <w:vAlign w:val="center"/>
          </w:tcPr>
          <w:p w14:paraId="530D2742">
            <w:pPr>
              <w:rPr>
                <w:rFonts w:ascii="Times New Roman" w:hAnsi="Times New Roman" w:eastAsia="宋体" w:cs="Times New Roman"/>
                <w:szCs w:val="21"/>
              </w:rPr>
            </w:pPr>
            <w:r>
              <w:rPr>
                <w:rFonts w:ascii="Times New Roman" w:hAnsi="Times New Roman" w:eastAsia="宋体" w:cs="Times New Roman"/>
                <w:szCs w:val="21"/>
              </w:rPr>
              <w:t>全面推进源头替代，在技术成熟的家具、工业涂装等行业，大力推广使用低挥发性有机物含量涂料、油墨、胶粘剂；加强废气收集和处理，推进石油、化工、电力等排污单位治污设施升级改造，加强大气污染物排放精细化管理，严格控制无组织排放。</w:t>
            </w:r>
          </w:p>
        </w:tc>
        <w:tc>
          <w:tcPr>
            <w:tcW w:w="1615" w:type="dxa"/>
            <w:tcBorders>
              <w:tl2br w:val="nil"/>
              <w:tr2bl w:val="nil"/>
            </w:tcBorders>
            <w:vAlign w:val="center"/>
          </w:tcPr>
          <w:p w14:paraId="1C50456D">
            <w:pPr>
              <w:pStyle w:val="84"/>
              <w:rPr>
                <w:rFonts w:ascii="Times New Roman" w:hAnsi="Times New Roman" w:eastAsia="宋体"/>
                <w:sz w:val="21"/>
                <w:szCs w:val="21"/>
              </w:rPr>
            </w:pPr>
            <w:r>
              <w:rPr>
                <w:rFonts w:ascii="Times New Roman" w:hAnsi="Times New Roman" w:eastAsia="宋体"/>
                <w:sz w:val="21"/>
                <w:szCs w:val="21"/>
              </w:rPr>
              <w:t>废气经高效环保设施装置处理后，达标排放</w:t>
            </w:r>
          </w:p>
        </w:tc>
        <w:tc>
          <w:tcPr>
            <w:tcW w:w="616" w:type="dxa"/>
            <w:vMerge w:val="continue"/>
            <w:tcBorders>
              <w:tl2br w:val="nil"/>
              <w:tr2bl w:val="nil"/>
            </w:tcBorders>
            <w:vAlign w:val="center"/>
          </w:tcPr>
          <w:p w14:paraId="61C8A434">
            <w:pPr>
              <w:pStyle w:val="84"/>
              <w:rPr>
                <w:rFonts w:ascii="Times New Roman" w:hAnsi="Times New Roman" w:eastAsia="宋体"/>
                <w:sz w:val="21"/>
                <w:szCs w:val="21"/>
              </w:rPr>
            </w:pPr>
          </w:p>
        </w:tc>
      </w:tr>
      <w:tr w14:paraId="2437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565" w:type="dxa"/>
            <w:vMerge w:val="continue"/>
            <w:tcBorders>
              <w:tl2br w:val="nil"/>
              <w:tr2bl w:val="nil"/>
            </w:tcBorders>
            <w:vAlign w:val="center"/>
          </w:tcPr>
          <w:p w14:paraId="093F7B78">
            <w:pPr>
              <w:pStyle w:val="84"/>
              <w:rPr>
                <w:rFonts w:ascii="Times New Roman" w:hAnsi="Times New Roman" w:eastAsia="宋体"/>
                <w:sz w:val="21"/>
                <w:szCs w:val="21"/>
              </w:rPr>
            </w:pPr>
          </w:p>
        </w:tc>
        <w:tc>
          <w:tcPr>
            <w:tcW w:w="5517" w:type="dxa"/>
            <w:tcBorders>
              <w:tl2br w:val="nil"/>
              <w:tr2bl w:val="nil"/>
            </w:tcBorders>
            <w:vAlign w:val="center"/>
          </w:tcPr>
          <w:p w14:paraId="6353B8DD">
            <w:pPr>
              <w:rPr>
                <w:rFonts w:ascii="Times New Roman" w:hAnsi="Times New Roman" w:eastAsia="宋体" w:cs="Times New Roman"/>
                <w:szCs w:val="21"/>
              </w:rPr>
            </w:pPr>
            <w:r>
              <w:rPr>
                <w:rFonts w:ascii="Times New Roman" w:hAnsi="Times New Roman" w:eastAsia="宋体" w:cs="Times New Roman"/>
                <w:szCs w:val="21"/>
              </w:rPr>
              <w:t>加快城镇污水收集和处理设施建设，推进城市建成区黑臭水体治理，促进城镇污水再生利用，加快城镇污水处理厂污泥安全处置；加快河道综合治理与水生态修复，推动入河排污口综合整治，持续推进农村环境综合整治，强化畜禽养殖粪污综合治理。</w:t>
            </w:r>
          </w:p>
        </w:tc>
        <w:tc>
          <w:tcPr>
            <w:tcW w:w="1615" w:type="dxa"/>
            <w:tcBorders>
              <w:tl2br w:val="nil"/>
              <w:tr2bl w:val="nil"/>
            </w:tcBorders>
            <w:vAlign w:val="center"/>
          </w:tcPr>
          <w:p w14:paraId="0586EF04">
            <w:pPr>
              <w:pStyle w:val="84"/>
              <w:rPr>
                <w:rFonts w:ascii="Times New Roman" w:hAnsi="Times New Roman" w:eastAsia="宋体"/>
                <w:sz w:val="21"/>
                <w:szCs w:val="21"/>
              </w:rPr>
            </w:pPr>
            <w:r>
              <w:rPr>
                <w:rFonts w:ascii="Times New Roman" w:hAnsi="Times New Roman" w:eastAsia="宋体"/>
                <w:sz w:val="21"/>
                <w:szCs w:val="21"/>
              </w:rPr>
              <w:t>废水经污水处理站处理后，排入污水处理厂进一步处理</w:t>
            </w:r>
          </w:p>
        </w:tc>
        <w:tc>
          <w:tcPr>
            <w:tcW w:w="616" w:type="dxa"/>
            <w:vMerge w:val="continue"/>
            <w:tcBorders>
              <w:tl2br w:val="nil"/>
              <w:tr2bl w:val="nil"/>
            </w:tcBorders>
            <w:vAlign w:val="center"/>
          </w:tcPr>
          <w:p w14:paraId="6F9A81A7">
            <w:pPr>
              <w:pStyle w:val="84"/>
              <w:rPr>
                <w:rFonts w:ascii="Times New Roman" w:hAnsi="Times New Roman" w:eastAsia="宋体"/>
                <w:sz w:val="21"/>
                <w:szCs w:val="21"/>
              </w:rPr>
            </w:pPr>
          </w:p>
        </w:tc>
      </w:tr>
      <w:tr w14:paraId="6C58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565" w:type="dxa"/>
            <w:vMerge w:val="restart"/>
            <w:tcBorders>
              <w:tl2br w:val="nil"/>
              <w:tr2bl w:val="nil"/>
            </w:tcBorders>
            <w:vAlign w:val="center"/>
          </w:tcPr>
          <w:p w14:paraId="2C618F30">
            <w:pPr>
              <w:pStyle w:val="84"/>
              <w:rPr>
                <w:rFonts w:ascii="Times New Roman" w:hAnsi="Times New Roman" w:eastAsia="宋体"/>
                <w:sz w:val="21"/>
                <w:szCs w:val="21"/>
              </w:rPr>
            </w:pPr>
            <w:r>
              <w:rPr>
                <w:rFonts w:ascii="Times New Roman" w:hAnsi="Times New Roman" w:eastAsia="宋体"/>
                <w:sz w:val="21"/>
                <w:szCs w:val="21"/>
              </w:rPr>
              <w:t>环境风险防控</w:t>
            </w:r>
          </w:p>
        </w:tc>
        <w:tc>
          <w:tcPr>
            <w:tcW w:w="5517" w:type="dxa"/>
            <w:tcBorders>
              <w:tl2br w:val="nil"/>
              <w:tr2bl w:val="nil"/>
            </w:tcBorders>
            <w:vAlign w:val="center"/>
          </w:tcPr>
          <w:p w14:paraId="2B37AEF1">
            <w:pPr>
              <w:rPr>
                <w:rFonts w:ascii="Times New Roman" w:hAnsi="Times New Roman" w:eastAsia="宋体" w:cs="Times New Roman"/>
                <w:szCs w:val="21"/>
              </w:rPr>
            </w:pPr>
            <w:r>
              <w:rPr>
                <w:rFonts w:ascii="Times New Roman" w:hAnsi="Times New Roman" w:eastAsia="宋体" w:cs="Times New Roman"/>
                <w:szCs w:val="21"/>
              </w:rPr>
              <w:t>强化空气质量预测预报能力建设，提升预测预报精准程度。实施“一厂一策”清单化管理，做到减排措施全覆盖</w:t>
            </w:r>
          </w:p>
        </w:tc>
        <w:tc>
          <w:tcPr>
            <w:tcW w:w="1615" w:type="dxa"/>
            <w:tcBorders>
              <w:tl2br w:val="nil"/>
              <w:tr2bl w:val="nil"/>
            </w:tcBorders>
            <w:vAlign w:val="center"/>
          </w:tcPr>
          <w:p w14:paraId="088A46D9">
            <w:pPr>
              <w:pStyle w:val="84"/>
              <w:rPr>
                <w:rFonts w:ascii="Times New Roman" w:hAnsi="Times New Roman" w:eastAsia="宋体"/>
                <w:sz w:val="21"/>
                <w:szCs w:val="21"/>
              </w:rPr>
            </w:pPr>
            <w:r>
              <w:rPr>
                <w:rFonts w:ascii="Times New Roman" w:hAnsi="Times New Roman" w:eastAsia="宋体"/>
                <w:sz w:val="21"/>
                <w:szCs w:val="21"/>
              </w:rPr>
              <w:t>项目运营后，要求做好大气污染源清单编制工作</w:t>
            </w:r>
          </w:p>
        </w:tc>
        <w:tc>
          <w:tcPr>
            <w:tcW w:w="616" w:type="dxa"/>
            <w:vMerge w:val="restart"/>
            <w:tcBorders>
              <w:tl2br w:val="nil"/>
              <w:tr2bl w:val="nil"/>
            </w:tcBorders>
            <w:vAlign w:val="center"/>
          </w:tcPr>
          <w:p w14:paraId="322D3981">
            <w:pPr>
              <w:pStyle w:val="84"/>
              <w:rPr>
                <w:rFonts w:ascii="Times New Roman" w:hAnsi="Times New Roman" w:eastAsia="宋体"/>
                <w:sz w:val="21"/>
                <w:szCs w:val="21"/>
              </w:rPr>
            </w:pPr>
            <w:r>
              <w:rPr>
                <w:rFonts w:ascii="Times New Roman" w:hAnsi="Times New Roman" w:eastAsia="宋体"/>
                <w:sz w:val="21"/>
                <w:szCs w:val="21"/>
              </w:rPr>
              <w:t>符合</w:t>
            </w:r>
          </w:p>
        </w:tc>
      </w:tr>
      <w:tr w14:paraId="51D5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565" w:type="dxa"/>
            <w:vMerge w:val="continue"/>
            <w:tcBorders>
              <w:tl2br w:val="nil"/>
              <w:tr2bl w:val="nil"/>
            </w:tcBorders>
            <w:vAlign w:val="center"/>
          </w:tcPr>
          <w:p w14:paraId="673850A4">
            <w:pPr>
              <w:pStyle w:val="84"/>
              <w:rPr>
                <w:rFonts w:ascii="Times New Roman" w:hAnsi="Times New Roman" w:eastAsia="宋体"/>
                <w:sz w:val="21"/>
                <w:szCs w:val="21"/>
              </w:rPr>
            </w:pPr>
          </w:p>
        </w:tc>
        <w:tc>
          <w:tcPr>
            <w:tcW w:w="5517" w:type="dxa"/>
            <w:tcBorders>
              <w:tl2br w:val="nil"/>
              <w:tr2bl w:val="nil"/>
            </w:tcBorders>
            <w:vAlign w:val="center"/>
          </w:tcPr>
          <w:p w14:paraId="0FCEE579">
            <w:pPr>
              <w:rPr>
                <w:rFonts w:ascii="Times New Roman" w:hAnsi="Times New Roman" w:eastAsia="宋体" w:cs="Times New Roman"/>
                <w:szCs w:val="21"/>
              </w:rPr>
            </w:pPr>
            <w:r>
              <w:rPr>
                <w:rFonts w:ascii="Times New Roman" w:hAnsi="Times New Roman" w:eastAsia="宋体" w:cs="Times New Roman"/>
                <w:szCs w:val="21"/>
              </w:rPr>
              <w:t>黄河、金堤河、马颊河、卫河、徒骇河等重要河流，建立与上下游城市的联防联控机制，市域上下游县、区强化信息共享、实行共河共治，完善闸坝调度机制，避免发生重、特大跨界水污染事故</w:t>
            </w:r>
          </w:p>
        </w:tc>
        <w:tc>
          <w:tcPr>
            <w:tcW w:w="1615" w:type="dxa"/>
            <w:tcBorders>
              <w:tl2br w:val="nil"/>
              <w:tr2bl w:val="nil"/>
            </w:tcBorders>
            <w:vAlign w:val="center"/>
          </w:tcPr>
          <w:p w14:paraId="2542E9F0">
            <w:pPr>
              <w:pStyle w:val="84"/>
              <w:rPr>
                <w:rFonts w:ascii="Times New Roman" w:hAnsi="Times New Roman" w:eastAsia="宋体"/>
                <w:sz w:val="21"/>
                <w:szCs w:val="21"/>
              </w:rPr>
            </w:pPr>
            <w:r>
              <w:rPr>
                <w:rFonts w:ascii="Times New Roman" w:hAnsi="Times New Roman" w:eastAsia="宋体"/>
                <w:sz w:val="21"/>
                <w:szCs w:val="21"/>
              </w:rPr>
              <w:t>建设单位按要求编制环境应急预案，并实施应急措施</w:t>
            </w:r>
          </w:p>
        </w:tc>
        <w:tc>
          <w:tcPr>
            <w:tcW w:w="616" w:type="dxa"/>
            <w:vMerge w:val="continue"/>
            <w:tcBorders>
              <w:tl2br w:val="nil"/>
              <w:tr2bl w:val="nil"/>
            </w:tcBorders>
            <w:vAlign w:val="center"/>
          </w:tcPr>
          <w:p w14:paraId="2666F56C">
            <w:pPr>
              <w:pStyle w:val="84"/>
              <w:rPr>
                <w:rFonts w:ascii="Times New Roman" w:hAnsi="Times New Roman" w:eastAsia="宋体"/>
                <w:sz w:val="21"/>
                <w:szCs w:val="21"/>
              </w:rPr>
            </w:pPr>
          </w:p>
        </w:tc>
      </w:tr>
      <w:tr w14:paraId="1828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565" w:type="dxa"/>
            <w:vMerge w:val="continue"/>
            <w:tcBorders>
              <w:tl2br w:val="nil"/>
              <w:tr2bl w:val="nil"/>
            </w:tcBorders>
            <w:vAlign w:val="center"/>
          </w:tcPr>
          <w:p w14:paraId="4BD68E77">
            <w:pPr>
              <w:pStyle w:val="84"/>
              <w:rPr>
                <w:rFonts w:ascii="Times New Roman" w:hAnsi="Times New Roman" w:eastAsia="宋体"/>
                <w:sz w:val="21"/>
                <w:szCs w:val="21"/>
              </w:rPr>
            </w:pPr>
          </w:p>
        </w:tc>
        <w:tc>
          <w:tcPr>
            <w:tcW w:w="5517" w:type="dxa"/>
            <w:tcBorders>
              <w:tl2br w:val="nil"/>
              <w:tr2bl w:val="nil"/>
            </w:tcBorders>
            <w:vAlign w:val="center"/>
          </w:tcPr>
          <w:p w14:paraId="6C01DEDD">
            <w:pPr>
              <w:rPr>
                <w:rFonts w:ascii="Times New Roman" w:hAnsi="Times New Roman" w:eastAsia="宋体" w:cs="Times New Roman"/>
                <w:szCs w:val="21"/>
              </w:rPr>
            </w:pPr>
            <w:r>
              <w:rPr>
                <w:rFonts w:ascii="Times New Roman" w:hAnsi="Times New Roman" w:eastAsia="宋体" w:cs="Times New Roman"/>
                <w:szCs w:val="21"/>
              </w:rPr>
              <w:t>加强重金属污染防治监管；推进固体废物堆存场所排查整治；强化生活污染源管控，开展城乡生活垃圾分类；推进固体废物处理处置及综合利用</w:t>
            </w:r>
          </w:p>
        </w:tc>
        <w:tc>
          <w:tcPr>
            <w:tcW w:w="1615" w:type="dxa"/>
            <w:tcBorders>
              <w:tl2br w:val="nil"/>
              <w:tr2bl w:val="nil"/>
            </w:tcBorders>
            <w:vAlign w:val="center"/>
          </w:tcPr>
          <w:p w14:paraId="2D752FFE">
            <w:pPr>
              <w:pStyle w:val="84"/>
              <w:rPr>
                <w:rFonts w:ascii="Times New Roman" w:hAnsi="Times New Roman" w:eastAsia="宋体"/>
                <w:sz w:val="21"/>
                <w:szCs w:val="21"/>
              </w:rPr>
            </w:pPr>
            <w:r>
              <w:rPr>
                <w:rFonts w:ascii="Times New Roman" w:hAnsi="Times New Roman" w:eastAsia="宋体"/>
                <w:sz w:val="21"/>
                <w:szCs w:val="21"/>
              </w:rPr>
              <w:t>运营后，做好建立固废台账</w:t>
            </w:r>
          </w:p>
        </w:tc>
        <w:tc>
          <w:tcPr>
            <w:tcW w:w="616" w:type="dxa"/>
            <w:vMerge w:val="continue"/>
            <w:tcBorders>
              <w:tl2br w:val="nil"/>
              <w:tr2bl w:val="nil"/>
            </w:tcBorders>
            <w:vAlign w:val="center"/>
          </w:tcPr>
          <w:p w14:paraId="1FFDC12F">
            <w:pPr>
              <w:pStyle w:val="84"/>
              <w:rPr>
                <w:rFonts w:ascii="Times New Roman" w:hAnsi="Times New Roman" w:eastAsia="宋体"/>
                <w:sz w:val="21"/>
                <w:szCs w:val="21"/>
              </w:rPr>
            </w:pPr>
          </w:p>
        </w:tc>
      </w:tr>
      <w:tr w14:paraId="20F0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5" w:type="dxa"/>
            <w:vMerge w:val="restart"/>
            <w:tcBorders>
              <w:tl2br w:val="nil"/>
              <w:tr2bl w:val="nil"/>
            </w:tcBorders>
            <w:vAlign w:val="center"/>
          </w:tcPr>
          <w:p w14:paraId="22A291AE">
            <w:pPr>
              <w:pStyle w:val="84"/>
              <w:rPr>
                <w:rFonts w:ascii="Times New Roman" w:hAnsi="Times New Roman" w:eastAsia="宋体"/>
                <w:sz w:val="21"/>
                <w:szCs w:val="21"/>
              </w:rPr>
            </w:pPr>
            <w:r>
              <w:rPr>
                <w:rFonts w:ascii="Times New Roman" w:hAnsi="Times New Roman" w:eastAsia="宋体"/>
                <w:sz w:val="21"/>
                <w:szCs w:val="21"/>
              </w:rPr>
              <w:t>资源开发效率要求</w:t>
            </w:r>
          </w:p>
        </w:tc>
        <w:tc>
          <w:tcPr>
            <w:tcW w:w="5517" w:type="dxa"/>
            <w:tcBorders>
              <w:tl2br w:val="nil"/>
              <w:tr2bl w:val="nil"/>
            </w:tcBorders>
            <w:vAlign w:val="center"/>
          </w:tcPr>
          <w:p w14:paraId="2A1AB866">
            <w:pPr>
              <w:rPr>
                <w:rFonts w:ascii="Times New Roman" w:hAnsi="Times New Roman" w:eastAsia="宋体" w:cs="Times New Roman"/>
                <w:szCs w:val="21"/>
              </w:rPr>
            </w:pPr>
            <w:r>
              <w:rPr>
                <w:rFonts w:ascii="Times New Roman" w:hAnsi="Times New Roman" w:eastAsia="宋体" w:cs="Times New Roman"/>
                <w:szCs w:val="21"/>
              </w:rPr>
              <w:t>十四五期间，全市煤炭消费总量控制完成国家、省、市下达目标</w:t>
            </w:r>
          </w:p>
          <w:p w14:paraId="23C9BAE9">
            <w:pPr>
              <w:rPr>
                <w:rFonts w:ascii="Times New Roman" w:hAnsi="Times New Roman" w:eastAsia="宋体" w:cs="Times New Roman"/>
                <w:szCs w:val="21"/>
              </w:rPr>
            </w:pPr>
            <w:r>
              <w:rPr>
                <w:rFonts w:ascii="Times New Roman" w:hAnsi="Times New Roman" w:eastAsia="宋体" w:cs="Times New Roman"/>
                <w:szCs w:val="21"/>
              </w:rPr>
              <w:t>要求。全市能耗增量控制目标控制完成国家、省、市下达目标要求。</w:t>
            </w:r>
          </w:p>
        </w:tc>
        <w:tc>
          <w:tcPr>
            <w:tcW w:w="1615" w:type="dxa"/>
            <w:vMerge w:val="restart"/>
            <w:tcBorders>
              <w:tl2br w:val="nil"/>
              <w:tr2bl w:val="nil"/>
            </w:tcBorders>
            <w:vAlign w:val="center"/>
          </w:tcPr>
          <w:p w14:paraId="55F3DD0A">
            <w:pPr>
              <w:pStyle w:val="84"/>
              <w:rPr>
                <w:rFonts w:ascii="Times New Roman" w:hAnsi="Times New Roman" w:eastAsia="宋体"/>
                <w:sz w:val="21"/>
                <w:szCs w:val="21"/>
              </w:rPr>
            </w:pPr>
            <w:r>
              <w:rPr>
                <w:rFonts w:ascii="Times New Roman" w:hAnsi="Times New Roman" w:eastAsia="宋体"/>
                <w:sz w:val="21"/>
                <w:szCs w:val="21"/>
              </w:rPr>
              <w:t>项目不使用煤，</w:t>
            </w:r>
            <w:r>
              <w:rPr>
                <w:rFonts w:hint="eastAsia" w:ascii="Times New Roman" w:hAnsi="Times New Roman" w:eastAsia="宋体"/>
                <w:sz w:val="21"/>
                <w:szCs w:val="21"/>
              </w:rPr>
              <w:t>用水由清丰县产业集聚区集中供水</w:t>
            </w:r>
          </w:p>
        </w:tc>
        <w:tc>
          <w:tcPr>
            <w:tcW w:w="616" w:type="dxa"/>
            <w:vMerge w:val="restart"/>
            <w:tcBorders>
              <w:tl2br w:val="nil"/>
              <w:tr2bl w:val="nil"/>
            </w:tcBorders>
            <w:vAlign w:val="center"/>
          </w:tcPr>
          <w:p w14:paraId="4A0094DB">
            <w:pPr>
              <w:pStyle w:val="84"/>
              <w:rPr>
                <w:rFonts w:ascii="Times New Roman" w:hAnsi="Times New Roman" w:eastAsia="宋体"/>
                <w:sz w:val="21"/>
                <w:szCs w:val="21"/>
              </w:rPr>
            </w:pPr>
            <w:r>
              <w:rPr>
                <w:rFonts w:ascii="Times New Roman" w:hAnsi="Times New Roman" w:eastAsia="宋体"/>
                <w:sz w:val="21"/>
                <w:szCs w:val="21"/>
              </w:rPr>
              <w:t>符合</w:t>
            </w:r>
          </w:p>
        </w:tc>
      </w:tr>
      <w:tr w14:paraId="32CE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65" w:type="dxa"/>
            <w:vMerge w:val="continue"/>
            <w:tcBorders>
              <w:tl2br w:val="nil"/>
              <w:tr2bl w:val="nil"/>
            </w:tcBorders>
            <w:vAlign w:val="center"/>
          </w:tcPr>
          <w:p w14:paraId="7745C702">
            <w:pPr>
              <w:pStyle w:val="84"/>
              <w:rPr>
                <w:rFonts w:ascii="Times New Roman" w:hAnsi="Times New Roman" w:eastAsia="宋体"/>
                <w:sz w:val="21"/>
                <w:szCs w:val="21"/>
              </w:rPr>
            </w:pPr>
          </w:p>
        </w:tc>
        <w:tc>
          <w:tcPr>
            <w:tcW w:w="5517" w:type="dxa"/>
            <w:tcBorders>
              <w:tl2br w:val="nil"/>
              <w:tr2bl w:val="nil"/>
            </w:tcBorders>
            <w:vAlign w:val="center"/>
          </w:tcPr>
          <w:p w14:paraId="1471965C">
            <w:pPr>
              <w:rPr>
                <w:rFonts w:ascii="Times New Roman" w:hAnsi="Times New Roman" w:eastAsia="宋体" w:cs="Times New Roman"/>
                <w:szCs w:val="21"/>
              </w:rPr>
            </w:pPr>
            <w:r>
              <w:rPr>
                <w:rFonts w:ascii="Times New Roman" w:hAnsi="Times New Roman" w:eastAsia="宋体" w:cs="Times New Roman"/>
                <w:szCs w:val="21"/>
              </w:rPr>
              <w:t>十四五期间，全市年用水总量控制完成国家、省、市下达目标要求。各行业节水取得突出成效，水资源利用效率显著提升，实施计划用水管理、价格管理和节水“三同时”管理。</w:t>
            </w:r>
          </w:p>
        </w:tc>
        <w:tc>
          <w:tcPr>
            <w:tcW w:w="1615" w:type="dxa"/>
            <w:vMerge w:val="continue"/>
            <w:tcBorders>
              <w:tl2br w:val="nil"/>
              <w:tr2bl w:val="nil"/>
            </w:tcBorders>
            <w:vAlign w:val="center"/>
          </w:tcPr>
          <w:p w14:paraId="39FDE289">
            <w:pPr>
              <w:pStyle w:val="84"/>
              <w:rPr>
                <w:rFonts w:ascii="Times New Roman" w:hAnsi="Times New Roman" w:eastAsia="宋体"/>
                <w:sz w:val="21"/>
                <w:szCs w:val="21"/>
              </w:rPr>
            </w:pPr>
          </w:p>
        </w:tc>
        <w:tc>
          <w:tcPr>
            <w:tcW w:w="616" w:type="dxa"/>
            <w:vMerge w:val="continue"/>
            <w:tcBorders>
              <w:tl2br w:val="nil"/>
              <w:tr2bl w:val="nil"/>
            </w:tcBorders>
            <w:vAlign w:val="center"/>
          </w:tcPr>
          <w:p w14:paraId="16C00AAE">
            <w:pPr>
              <w:pStyle w:val="84"/>
              <w:rPr>
                <w:rFonts w:ascii="Times New Roman" w:hAnsi="Times New Roman" w:eastAsia="宋体"/>
                <w:sz w:val="21"/>
                <w:szCs w:val="21"/>
              </w:rPr>
            </w:pPr>
          </w:p>
        </w:tc>
      </w:tr>
      <w:tr w14:paraId="341B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65" w:type="dxa"/>
            <w:vMerge w:val="continue"/>
            <w:tcBorders>
              <w:tl2br w:val="nil"/>
              <w:tr2bl w:val="nil"/>
            </w:tcBorders>
            <w:vAlign w:val="center"/>
          </w:tcPr>
          <w:p w14:paraId="7EC4FFB7">
            <w:pPr>
              <w:pStyle w:val="84"/>
              <w:rPr>
                <w:rFonts w:ascii="Times New Roman" w:hAnsi="Times New Roman" w:eastAsia="宋体"/>
                <w:sz w:val="21"/>
                <w:szCs w:val="21"/>
              </w:rPr>
            </w:pPr>
          </w:p>
        </w:tc>
        <w:tc>
          <w:tcPr>
            <w:tcW w:w="5517" w:type="dxa"/>
            <w:tcBorders>
              <w:tl2br w:val="nil"/>
              <w:tr2bl w:val="nil"/>
            </w:tcBorders>
            <w:vAlign w:val="center"/>
          </w:tcPr>
          <w:p w14:paraId="79610CF4">
            <w:pPr>
              <w:rPr>
                <w:rFonts w:ascii="Times New Roman" w:hAnsi="Times New Roman" w:eastAsia="宋体" w:cs="Times New Roman"/>
                <w:szCs w:val="21"/>
              </w:rPr>
            </w:pPr>
            <w:r>
              <w:rPr>
                <w:rFonts w:ascii="Times New Roman" w:hAnsi="Times New Roman" w:eastAsia="宋体" w:cs="Times New Roman"/>
                <w:szCs w:val="21"/>
              </w:rPr>
              <w:t>实行严格的耕地保护制度和节约用地制度，提高土地资源利用效率，实现从扩张型发展向内涵式发展的转变。新增建设用地土壤环境安全保障率100%。</w:t>
            </w:r>
          </w:p>
        </w:tc>
        <w:tc>
          <w:tcPr>
            <w:tcW w:w="1615" w:type="dxa"/>
            <w:vMerge w:val="continue"/>
            <w:tcBorders>
              <w:tl2br w:val="nil"/>
              <w:tr2bl w:val="nil"/>
            </w:tcBorders>
            <w:vAlign w:val="center"/>
          </w:tcPr>
          <w:p w14:paraId="6AFC8881">
            <w:pPr>
              <w:pStyle w:val="84"/>
              <w:rPr>
                <w:rFonts w:ascii="Times New Roman" w:hAnsi="Times New Roman" w:eastAsia="宋体"/>
                <w:sz w:val="21"/>
                <w:szCs w:val="21"/>
              </w:rPr>
            </w:pPr>
          </w:p>
        </w:tc>
        <w:tc>
          <w:tcPr>
            <w:tcW w:w="616" w:type="dxa"/>
            <w:vMerge w:val="continue"/>
            <w:tcBorders>
              <w:tl2br w:val="nil"/>
              <w:tr2bl w:val="nil"/>
            </w:tcBorders>
            <w:vAlign w:val="center"/>
          </w:tcPr>
          <w:p w14:paraId="3221FC5F">
            <w:pPr>
              <w:pStyle w:val="84"/>
              <w:rPr>
                <w:rFonts w:ascii="Times New Roman" w:hAnsi="Times New Roman" w:eastAsia="宋体"/>
                <w:sz w:val="21"/>
                <w:szCs w:val="21"/>
              </w:rPr>
            </w:pPr>
          </w:p>
        </w:tc>
      </w:tr>
    </w:tbl>
    <w:p w14:paraId="4E75943B">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本项目与</w:t>
      </w:r>
      <w:r>
        <w:rPr>
          <w:rFonts w:hint="eastAsia" w:ascii="Times New Roman" w:hAnsi="Times New Roman" w:eastAsia="宋体" w:cs="Times New Roman"/>
          <w:sz w:val="24"/>
        </w:rPr>
        <w:t>清丰县</w:t>
      </w:r>
      <w:r>
        <w:rPr>
          <w:rFonts w:ascii="Times New Roman" w:hAnsi="Times New Roman" w:eastAsia="宋体" w:cs="Times New Roman"/>
          <w:sz w:val="24"/>
        </w:rPr>
        <w:t>产业集聚区生态环境准入要求如下。</w:t>
      </w:r>
    </w:p>
    <w:p w14:paraId="6DA724C3">
      <w:pPr>
        <w:bidi w:val="0"/>
      </w:pPr>
    </w:p>
    <w:p w14:paraId="69B02DC7">
      <w:pPr>
        <w:bidi w:val="0"/>
      </w:pPr>
    </w:p>
    <w:p w14:paraId="67AB19A9">
      <w:pPr>
        <w:bidi w:val="0"/>
      </w:pPr>
    </w:p>
    <w:p w14:paraId="5BF2A19E">
      <w:pPr>
        <w:numPr>
          <w:ilvl w:val="0"/>
          <w:numId w:val="25"/>
        </w:numPr>
        <w:spacing w:line="240" w:lineRule="auto"/>
        <w:ind w:left="0" w:leftChars="0" w:firstLine="0" w:firstLineChars="0"/>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  与清丰县产业集聚区生态环境准入相符性</w:t>
      </w:r>
    </w:p>
    <w:tbl>
      <w:tblPr>
        <w:tblStyle w:val="30"/>
        <w:tblW w:w="8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8"/>
        <w:gridCol w:w="5810"/>
        <w:gridCol w:w="1525"/>
        <w:gridCol w:w="518"/>
      </w:tblGrid>
      <w:tr w14:paraId="48BF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6278" w:type="dxa"/>
            <w:gridSpan w:val="2"/>
            <w:tcBorders>
              <w:tl2br w:val="nil"/>
              <w:tr2bl w:val="nil"/>
            </w:tcBorders>
            <w:noWrap/>
            <w:vAlign w:val="center"/>
          </w:tcPr>
          <w:p w14:paraId="0CA6FFDF">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管控要求</w:t>
            </w:r>
          </w:p>
        </w:tc>
        <w:tc>
          <w:tcPr>
            <w:tcW w:w="1525" w:type="dxa"/>
            <w:tcBorders>
              <w:tl2br w:val="nil"/>
              <w:tr2bl w:val="nil"/>
            </w:tcBorders>
            <w:noWrap/>
            <w:vAlign w:val="center"/>
          </w:tcPr>
          <w:p w14:paraId="68048C6B">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本项目情况</w:t>
            </w:r>
          </w:p>
        </w:tc>
        <w:tc>
          <w:tcPr>
            <w:tcW w:w="518" w:type="dxa"/>
            <w:tcBorders>
              <w:tl2br w:val="nil"/>
              <w:tr2bl w:val="nil"/>
            </w:tcBorders>
            <w:noWrap/>
            <w:vAlign w:val="center"/>
          </w:tcPr>
          <w:p w14:paraId="614C74DF">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相符性</w:t>
            </w:r>
          </w:p>
        </w:tc>
      </w:tr>
      <w:tr w14:paraId="7169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68" w:type="dxa"/>
            <w:tcBorders>
              <w:tl2br w:val="nil"/>
              <w:tr2bl w:val="nil"/>
            </w:tcBorders>
            <w:noWrap/>
            <w:vAlign w:val="center"/>
          </w:tcPr>
          <w:p w14:paraId="798D6267">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空间布局约束</w:t>
            </w:r>
          </w:p>
        </w:tc>
        <w:tc>
          <w:tcPr>
            <w:tcW w:w="5810" w:type="dxa"/>
            <w:tcBorders>
              <w:tl2br w:val="nil"/>
              <w:tr2bl w:val="nil"/>
            </w:tcBorders>
            <w:noWrap/>
            <w:vAlign w:val="center"/>
          </w:tcPr>
          <w:p w14:paraId="2718796D">
            <w:pPr>
              <w:pStyle w:val="12"/>
              <w:tabs>
                <w:tab w:val="left" w:pos="2010"/>
              </w:tabs>
              <w:ind w:firstLine="0" w:firstLineChars="0"/>
              <w:rPr>
                <w:rFonts w:ascii="Times New Roman" w:hAnsi="Times New Roman" w:eastAsia="宋体" w:cs="Times New Roman"/>
                <w:szCs w:val="21"/>
                <w:lang w:val="zh-CN"/>
              </w:rPr>
            </w:pPr>
            <w:r>
              <w:rPr>
                <w:rFonts w:hint="eastAsia" w:ascii="Times New Roman" w:hAnsi="Times New Roman" w:eastAsia="宋体" w:cs="Times New Roman"/>
                <w:szCs w:val="21"/>
                <w:lang w:val="zh-CN"/>
              </w:rPr>
              <w:t>1、禁止发展用排水量较大或污染严重风险较大的化学原料、医药中间体等化工项目，按照用排水量控制屠宰项目。</w:t>
            </w:r>
          </w:p>
          <w:p w14:paraId="23D1027B">
            <w:pPr>
              <w:pStyle w:val="12"/>
              <w:tabs>
                <w:tab w:val="left" w:pos="2010"/>
              </w:tabs>
              <w:ind w:firstLine="0" w:firstLineChars="0"/>
              <w:rPr>
                <w:rFonts w:ascii="Times New Roman" w:hAnsi="Times New Roman" w:eastAsia="宋体" w:cs="Times New Roman"/>
                <w:szCs w:val="21"/>
                <w:lang w:val="zh-CN"/>
              </w:rPr>
            </w:pPr>
            <w:r>
              <w:rPr>
                <w:rFonts w:hint="eastAsia" w:ascii="Times New Roman" w:hAnsi="Times New Roman" w:eastAsia="宋体" w:cs="Times New Roman"/>
                <w:szCs w:val="21"/>
                <w:lang w:val="zh-CN"/>
              </w:rPr>
              <w:t>2、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775A5643">
            <w:pPr>
              <w:pStyle w:val="12"/>
              <w:tabs>
                <w:tab w:val="left" w:pos="2010"/>
              </w:tabs>
              <w:ind w:firstLine="0" w:firstLineChars="0"/>
              <w:rPr>
                <w:rFonts w:ascii="Times New Roman" w:hAnsi="Times New Roman" w:eastAsia="宋体" w:cs="Times New Roman"/>
                <w:szCs w:val="21"/>
              </w:rPr>
            </w:pPr>
            <w:r>
              <w:rPr>
                <w:rFonts w:hint="eastAsia" w:ascii="Times New Roman" w:hAnsi="Times New Roman" w:eastAsia="宋体" w:cs="Times New Roman"/>
                <w:szCs w:val="21"/>
              </w:rPr>
              <w:t>3、</w:t>
            </w:r>
            <w:r>
              <w:rPr>
                <w:rFonts w:hint="eastAsia" w:ascii="Times New Roman" w:hAnsi="Times New Roman" w:eastAsia="宋体" w:cs="Times New Roman"/>
                <w:szCs w:val="21"/>
                <w:lang w:val="zh-CN"/>
              </w:rPr>
              <w:t>按照当地主导风向，从南至北依次布设家具制造、食品加工、机械加工，同时考虑到区内现有居民民点的整合，布设综合服务带贯通三个产业片区。</w:t>
            </w:r>
          </w:p>
        </w:tc>
        <w:tc>
          <w:tcPr>
            <w:tcW w:w="1525" w:type="dxa"/>
            <w:tcBorders>
              <w:tl2br w:val="nil"/>
              <w:tr2bl w:val="nil"/>
            </w:tcBorders>
            <w:noWrap/>
            <w:vAlign w:val="center"/>
          </w:tcPr>
          <w:p w14:paraId="4754FC53">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本项目不属于该项列举项目</w:t>
            </w:r>
          </w:p>
        </w:tc>
        <w:tc>
          <w:tcPr>
            <w:tcW w:w="518" w:type="dxa"/>
            <w:tcBorders>
              <w:tl2br w:val="nil"/>
              <w:tr2bl w:val="nil"/>
            </w:tcBorders>
            <w:noWrap/>
            <w:vAlign w:val="center"/>
          </w:tcPr>
          <w:p w14:paraId="08D1637C">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相符</w:t>
            </w:r>
          </w:p>
        </w:tc>
      </w:tr>
      <w:tr w14:paraId="3AE5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68" w:type="dxa"/>
            <w:tcBorders>
              <w:tl2br w:val="nil"/>
              <w:tr2bl w:val="nil"/>
            </w:tcBorders>
            <w:noWrap/>
            <w:vAlign w:val="center"/>
          </w:tcPr>
          <w:p w14:paraId="0F4250C4">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污染物排放管控</w:t>
            </w:r>
          </w:p>
        </w:tc>
        <w:tc>
          <w:tcPr>
            <w:tcW w:w="5810" w:type="dxa"/>
            <w:tcBorders>
              <w:tl2br w:val="nil"/>
              <w:tr2bl w:val="nil"/>
            </w:tcBorders>
            <w:noWrap/>
            <w:vAlign w:val="center"/>
          </w:tcPr>
          <w:p w14:paraId="3011CC11">
            <w:pPr>
              <w:pStyle w:val="12"/>
              <w:tabs>
                <w:tab w:val="left" w:pos="2010"/>
              </w:tabs>
              <w:ind w:firstLine="0" w:firstLineChars="0"/>
              <w:rPr>
                <w:rFonts w:ascii="Times New Roman" w:hAnsi="Times New Roman" w:eastAsia="宋体" w:cs="Times New Roman"/>
                <w:szCs w:val="21"/>
              </w:rPr>
            </w:pPr>
            <w:r>
              <w:rPr>
                <w:rFonts w:hint="eastAsia" w:ascii="Times New Roman" w:hAnsi="Times New Roman" w:eastAsia="宋体" w:cs="Times New Roman"/>
                <w:szCs w:val="21"/>
              </w:rPr>
              <w:t>1、禁止填埋场渗滤液直排或超标排放。</w:t>
            </w:r>
          </w:p>
          <w:p w14:paraId="679411D6">
            <w:pPr>
              <w:pStyle w:val="12"/>
              <w:tabs>
                <w:tab w:val="left" w:pos="2010"/>
              </w:tabs>
              <w:ind w:firstLine="0" w:firstLineChars="0"/>
              <w:rPr>
                <w:rFonts w:ascii="Times New Roman" w:hAnsi="Times New Roman" w:eastAsia="宋体" w:cs="Times New Roman"/>
                <w:szCs w:val="21"/>
              </w:rPr>
            </w:pPr>
            <w:r>
              <w:rPr>
                <w:rFonts w:hint="eastAsia" w:ascii="Times New Roman" w:hAnsi="Times New Roman" w:eastAsia="宋体" w:cs="Times New Roman"/>
                <w:szCs w:val="21"/>
              </w:rPr>
              <w:t>2</w:t>
            </w:r>
            <w:r>
              <w:rPr>
                <w:rFonts w:hint="eastAsia" w:ascii="Times New Roman" w:hAnsi="Times New Roman" w:eastAsia="宋体" w:cs="Times New Roman"/>
                <w:szCs w:val="21"/>
                <w:lang w:val="zh-CN"/>
              </w:rPr>
              <w:t>、大气：改善能源结构，推广使用天然气、电力等清洁能源；严格控制入区工业项目的类别；</w:t>
            </w:r>
            <w:r>
              <w:rPr>
                <w:rFonts w:hint="eastAsia" w:ascii="Times New Roman" w:hAnsi="Times New Roman" w:eastAsia="宋体" w:cs="Times New Roman"/>
                <w:szCs w:val="21"/>
              </w:rPr>
              <w:t>加强对工业喷涂项目挥发性有机物的治理工作，严格按照行业标准、治理方案，加强源头控制、过程控制和末端治理，提升清洁化生产水平。</w:t>
            </w:r>
          </w:p>
          <w:p w14:paraId="190B5C94">
            <w:pPr>
              <w:pStyle w:val="12"/>
              <w:tabs>
                <w:tab w:val="left" w:pos="2010"/>
              </w:tabs>
              <w:ind w:firstLine="0" w:firstLineChars="0"/>
              <w:rPr>
                <w:rFonts w:ascii="Times New Roman" w:hAnsi="Times New Roman" w:eastAsia="宋体" w:cs="Times New Roman"/>
                <w:szCs w:val="21"/>
                <w:lang w:val="zh-CN"/>
              </w:rPr>
            </w:pPr>
            <w:r>
              <w:rPr>
                <w:rFonts w:hint="eastAsia" w:ascii="Times New Roman" w:hAnsi="Times New Roman" w:eastAsia="宋体" w:cs="Times New Roman"/>
                <w:szCs w:val="21"/>
              </w:rPr>
              <w:t>3</w:t>
            </w:r>
            <w:r>
              <w:rPr>
                <w:rFonts w:hint="eastAsia" w:ascii="Times New Roman" w:hAnsi="Times New Roman" w:eastAsia="宋体" w:cs="Times New Roman"/>
                <w:szCs w:val="21"/>
                <w:lang w:val="zh-CN"/>
              </w:rPr>
              <w:t>、水：完善雨水、污水收集系统和排放系统，污水和生产物料输送管线需保证密封；不得建设地下或半地下式储罐设施。禁止含重金属废水进入城市生活污水处理厂。</w:t>
            </w:r>
          </w:p>
        </w:tc>
        <w:tc>
          <w:tcPr>
            <w:tcW w:w="1525" w:type="dxa"/>
            <w:tcBorders>
              <w:tl2br w:val="nil"/>
              <w:tr2bl w:val="nil"/>
            </w:tcBorders>
            <w:noWrap/>
            <w:vAlign w:val="center"/>
          </w:tcPr>
          <w:p w14:paraId="7D5B77E8">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本项目总量从现有工业污染负荷削减量中调剂。本项目排放污染物均满足相关行业污染物排放标准</w:t>
            </w:r>
          </w:p>
        </w:tc>
        <w:tc>
          <w:tcPr>
            <w:tcW w:w="518" w:type="dxa"/>
            <w:tcBorders>
              <w:tl2br w:val="nil"/>
              <w:tr2bl w:val="nil"/>
            </w:tcBorders>
            <w:noWrap/>
            <w:vAlign w:val="center"/>
          </w:tcPr>
          <w:p w14:paraId="2C17F393">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相符</w:t>
            </w:r>
          </w:p>
        </w:tc>
      </w:tr>
      <w:tr w14:paraId="69BE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68" w:type="dxa"/>
            <w:tcBorders>
              <w:tl2br w:val="nil"/>
              <w:tr2bl w:val="nil"/>
            </w:tcBorders>
            <w:noWrap/>
            <w:vAlign w:val="center"/>
          </w:tcPr>
          <w:p w14:paraId="10C38D8C">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环境风险防控</w:t>
            </w:r>
          </w:p>
        </w:tc>
        <w:tc>
          <w:tcPr>
            <w:tcW w:w="5810" w:type="dxa"/>
            <w:tcBorders>
              <w:tl2br w:val="nil"/>
              <w:tr2bl w:val="nil"/>
            </w:tcBorders>
            <w:noWrap/>
            <w:vAlign w:val="center"/>
          </w:tcPr>
          <w:p w14:paraId="6BADE947">
            <w:pPr>
              <w:pStyle w:val="12"/>
              <w:tabs>
                <w:tab w:val="left" w:pos="2010"/>
              </w:tabs>
              <w:ind w:firstLine="0" w:firstLineChars="0"/>
              <w:rPr>
                <w:rFonts w:ascii="Times New Roman" w:hAnsi="Times New Roman" w:eastAsia="宋体" w:cs="Times New Roman"/>
                <w:szCs w:val="21"/>
                <w:lang w:val="zh-CN"/>
              </w:rPr>
            </w:pPr>
            <w:r>
              <w:rPr>
                <w:rFonts w:hint="eastAsia" w:ascii="Times New Roman" w:hAnsi="Times New Roman" w:eastAsia="宋体" w:cs="Times New Roman"/>
                <w:szCs w:val="21"/>
                <w:lang w:val="zh-CN"/>
              </w:rPr>
              <w:t>1、有色金属冶炼、铅酸蓄电池、石油加工、化工、电镀、制革和危险化学品生产、储存、使用等企业在拆除生产设施设备、污染治理设施时，要事先制定残留污染物清理和安全处置方案。</w:t>
            </w:r>
          </w:p>
          <w:p w14:paraId="35BFEB6F">
            <w:pPr>
              <w:pStyle w:val="12"/>
              <w:tabs>
                <w:tab w:val="left" w:pos="2010"/>
              </w:tabs>
              <w:ind w:firstLine="0" w:firstLineChars="0"/>
              <w:rPr>
                <w:rFonts w:ascii="Times New Roman" w:hAnsi="Times New Roman" w:eastAsia="宋体" w:cs="Times New Roman"/>
                <w:szCs w:val="21"/>
                <w:lang w:val="zh-CN"/>
              </w:rPr>
            </w:pPr>
            <w:r>
              <w:rPr>
                <w:rFonts w:hint="eastAsia" w:ascii="Times New Roman" w:hAnsi="Times New Roman" w:eastAsia="宋体" w:cs="Times New Roman"/>
                <w:szCs w:val="21"/>
                <w:lang w:val="zh-CN"/>
              </w:rPr>
              <w:t>2、高关注地块划分污染风险等级，纳入优先管控名录。</w:t>
            </w:r>
          </w:p>
        </w:tc>
        <w:tc>
          <w:tcPr>
            <w:tcW w:w="1525" w:type="dxa"/>
            <w:tcBorders>
              <w:tl2br w:val="nil"/>
              <w:tr2bl w:val="nil"/>
            </w:tcBorders>
            <w:noWrap/>
            <w:vAlign w:val="center"/>
          </w:tcPr>
          <w:p w14:paraId="6F6F3BBD">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本项目不属于该项列举项目，不涉及高关注地块。</w:t>
            </w:r>
          </w:p>
        </w:tc>
        <w:tc>
          <w:tcPr>
            <w:tcW w:w="518" w:type="dxa"/>
            <w:tcBorders>
              <w:tl2br w:val="nil"/>
              <w:tr2bl w:val="nil"/>
            </w:tcBorders>
            <w:noWrap/>
            <w:vAlign w:val="center"/>
          </w:tcPr>
          <w:p w14:paraId="43C8B189">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相符</w:t>
            </w:r>
          </w:p>
        </w:tc>
      </w:tr>
      <w:tr w14:paraId="7483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68" w:type="dxa"/>
            <w:tcBorders>
              <w:tl2br w:val="nil"/>
              <w:tr2bl w:val="nil"/>
            </w:tcBorders>
            <w:noWrap/>
            <w:vAlign w:val="center"/>
          </w:tcPr>
          <w:p w14:paraId="45EE26B9">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资源开发效率要求</w:t>
            </w:r>
          </w:p>
        </w:tc>
        <w:tc>
          <w:tcPr>
            <w:tcW w:w="5810" w:type="dxa"/>
            <w:tcBorders>
              <w:tl2br w:val="nil"/>
              <w:tr2bl w:val="nil"/>
            </w:tcBorders>
            <w:noWrap/>
            <w:vAlign w:val="center"/>
          </w:tcPr>
          <w:p w14:paraId="79A99374">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地下水超采地区，</w:t>
            </w:r>
            <w:r>
              <w:rPr>
                <w:rFonts w:hint="eastAsia" w:ascii="Times New Roman" w:hAnsi="Times New Roman" w:eastAsia="宋体" w:cs="Times New Roman"/>
                <w:szCs w:val="21"/>
              </w:rPr>
              <w:t>控制高耗水新建、改建、扩建项目</w:t>
            </w:r>
            <w:r>
              <w:rPr>
                <w:rFonts w:hint="eastAsia" w:ascii="Times New Roman" w:hAnsi="Times New Roman" w:eastAsia="宋体" w:cs="Times New Roman"/>
                <w:szCs w:val="21"/>
                <w:lang w:val="zh-CN"/>
              </w:rPr>
              <w:t>。</w:t>
            </w:r>
          </w:p>
        </w:tc>
        <w:tc>
          <w:tcPr>
            <w:tcW w:w="1525" w:type="dxa"/>
            <w:tcBorders>
              <w:tl2br w:val="nil"/>
              <w:tr2bl w:val="nil"/>
            </w:tcBorders>
            <w:noWrap/>
            <w:vAlign w:val="center"/>
          </w:tcPr>
          <w:p w14:paraId="15583E7C">
            <w:pPr>
              <w:pStyle w:val="12"/>
              <w:tabs>
                <w:tab w:val="left" w:pos="2010"/>
              </w:tabs>
              <w:ind w:firstLine="0" w:firstLineChars="0"/>
              <w:jc w:val="center"/>
              <w:rPr>
                <w:rFonts w:ascii="Times New Roman" w:hAnsi="Times New Roman" w:eastAsia="宋体" w:cs="Times New Roman"/>
                <w:szCs w:val="21"/>
              </w:rPr>
            </w:pPr>
            <w:r>
              <w:rPr>
                <w:rFonts w:hint="eastAsia" w:ascii="Times New Roman" w:hAnsi="Times New Roman" w:eastAsia="宋体" w:cs="Times New Roman"/>
                <w:szCs w:val="21"/>
              </w:rPr>
              <w:t>本项目用水由产业集聚区集中供给，不涉及地下水开采。</w:t>
            </w:r>
          </w:p>
        </w:tc>
        <w:tc>
          <w:tcPr>
            <w:tcW w:w="518" w:type="dxa"/>
            <w:tcBorders>
              <w:tl2br w:val="nil"/>
              <w:tr2bl w:val="nil"/>
            </w:tcBorders>
            <w:noWrap/>
            <w:vAlign w:val="center"/>
          </w:tcPr>
          <w:p w14:paraId="468AD966">
            <w:pPr>
              <w:pStyle w:val="12"/>
              <w:tabs>
                <w:tab w:val="left" w:pos="2010"/>
              </w:tabs>
              <w:ind w:firstLine="0" w:firstLineChars="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相符</w:t>
            </w:r>
          </w:p>
        </w:tc>
      </w:tr>
    </w:tbl>
    <w:p w14:paraId="1D127DF3">
      <w:pPr>
        <w:pStyle w:val="4"/>
        <w:numPr>
          <w:ilvl w:val="2"/>
          <w:numId w:val="0"/>
        </w:numPr>
        <w:ind w:leftChars="0"/>
      </w:pPr>
      <w:r>
        <w:rPr>
          <w:rFonts w:hint="eastAsia"/>
          <w:lang w:val="en-US" w:eastAsia="zh-CN"/>
        </w:rPr>
        <w:t>2.9.5</w:t>
      </w:r>
      <w:r>
        <w:rPr>
          <w:rFonts w:hint="eastAsia"/>
        </w:rPr>
        <w:t>饮用水源保护区相符性分析</w:t>
      </w:r>
    </w:p>
    <w:p w14:paraId="44731BF8">
      <w:pPr>
        <w:pStyle w:val="27"/>
      </w:pPr>
      <w:bookmarkStart w:id="44" w:name="_Toc396139590"/>
      <w:bookmarkStart w:id="45" w:name="_Toc390251986"/>
      <w:bookmarkStart w:id="46" w:name="_Toc12961"/>
      <w:r>
        <w:t>根据豫政办〔2013〕107号文件：清丰县八里庄地下水井群(共24眼井)一级保护区范围</w:t>
      </w:r>
      <w:r>
        <w:rPr>
          <w:rFonts w:hint="eastAsia"/>
        </w:rPr>
        <w:t>：</w:t>
      </w:r>
      <w:r>
        <w:t>1～2号、3～4号、5～6号、7～8号、9～10号各组井群外包线内及外围30米、北至潴龙河所包含的区域；11～12号、13～14号、15～16号、17～18号、19～20号、21～22号、23～24号各组井群外包线内及外围30米的区域。准保护区范围</w:t>
      </w:r>
      <w:r>
        <w:rPr>
          <w:rFonts w:hint="eastAsia"/>
        </w:rPr>
        <w:t>：</w:t>
      </w:r>
      <w:r>
        <w:t>潴龙河017县道公路桥上游1560米至下游4166米河道内水域。</w:t>
      </w:r>
    </w:p>
    <w:p w14:paraId="3C7A993A">
      <w:pPr>
        <w:pStyle w:val="27"/>
      </w:pPr>
      <w:r>
        <w:t>本项目位于清丰县饮用水源准保护区水井西侧</w:t>
      </w:r>
      <w:r>
        <w:rPr>
          <w:rFonts w:hint="eastAsia"/>
        </w:rPr>
        <w:t>2.6</w:t>
      </w:r>
      <w:r>
        <w:t>km，位于饮用水源一级保护区西侧</w:t>
      </w:r>
      <w:r>
        <w:rPr>
          <w:rFonts w:hint="eastAsia"/>
        </w:rPr>
        <w:t>1.1</w:t>
      </w:r>
      <w:r>
        <w:t>km。</w:t>
      </w:r>
    </w:p>
    <w:p w14:paraId="1E47C953">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清丰县千吨万人饮用水源保护区划分</w:t>
      </w:r>
    </w:p>
    <w:p w14:paraId="664558F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依据《清丰县人民政府办公室关于划分部分集中式饮用水水源保护区的通知》（清政办〔2019〕24号），对全县7个乡镇的8个水厂、21口井集中式饮用水水源保护区划定如下：</w:t>
      </w:r>
    </w:p>
    <w:p w14:paraId="5EE57674">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（一）高堡乡</w:t>
      </w:r>
    </w:p>
    <w:p w14:paraId="25D2E3E8">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1．清丰县高堡乡王庄供水厂饮用水源保护区</w:t>
      </w:r>
    </w:p>
    <w:p w14:paraId="4DE40E5D">
      <w:pPr>
        <w:spacing w:line="360" w:lineRule="auto"/>
        <w:rPr>
          <w:rFonts w:ascii="Times New Roman" w:hAnsi="Times New Roman" w:eastAsia="宋体" w:cs="Times New Roman"/>
          <w:sz w:val="24"/>
        </w:rPr>
      </w:pPr>
      <w:r>
        <w:rPr>
          <w:rFonts w:ascii="Times New Roman" w:hAnsi="Times New Roman" w:eastAsia="宋体" w:cs="Times New Roman"/>
          <w:sz w:val="24"/>
        </w:rPr>
        <w:t>一级保护区范围：以外围井的外接多边形为边界，向外径向30米距离的区域。</w:t>
      </w:r>
    </w:p>
    <w:p w14:paraId="72E90F0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2．清丰县高堡乡第三供水厂饮用水源保护区</w:t>
      </w:r>
    </w:p>
    <w:p w14:paraId="5D9C5F90">
      <w:pPr>
        <w:spacing w:line="360" w:lineRule="auto"/>
        <w:rPr>
          <w:rFonts w:ascii="Times New Roman" w:hAnsi="Times New Roman" w:eastAsia="宋体" w:cs="Times New Roman"/>
          <w:sz w:val="24"/>
        </w:rPr>
      </w:pPr>
      <w:r>
        <w:rPr>
          <w:rFonts w:ascii="Times New Roman" w:hAnsi="Times New Roman" w:eastAsia="宋体" w:cs="Times New Roman"/>
          <w:sz w:val="24"/>
        </w:rPr>
        <w:t>一级保护区范围：1号水井以开采井为中心，半径30米的区域；2号水井以开采井为中心，半径30米的区域；3号水井以开采井为中心，半径30米的区域。</w:t>
      </w:r>
    </w:p>
    <w:p w14:paraId="695CF4CD">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（二）纸房乡</w:t>
      </w:r>
    </w:p>
    <w:p w14:paraId="7B130B8D">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清丰县纸房乡谢朱娄供水厂饮用水源保护区</w:t>
      </w:r>
    </w:p>
    <w:p w14:paraId="612BCC83">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一级保护区范围：以外围井的外接多边形为边界，向外径向30米距离的区域。</w:t>
      </w:r>
    </w:p>
    <w:p w14:paraId="54CB879B">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（三）瓦屋头镇</w:t>
      </w:r>
    </w:p>
    <w:p w14:paraId="4C6548E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清丰县瓦屋头镇第二供水厂饮用水源保护区</w:t>
      </w:r>
    </w:p>
    <w:p w14:paraId="7278183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级保护区范围：1号水井以开采井为中心，半径30米的区域；2号水井以开采井为中心，半径30米的区域，其中西侧以道路为界；3号水井以开采井为中心，半径30米的区域；4号水井以开采井为中心，半径30米的区域，其中南侧以瓦屋头镇第二中学北侧外墙为界。</w:t>
      </w:r>
    </w:p>
    <w:p w14:paraId="3670CC4D">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（四）马庄桥镇</w:t>
      </w:r>
    </w:p>
    <w:p w14:paraId="60E72D2E">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清丰县马庄桥镇供水厂饮用水源保护区</w:t>
      </w:r>
    </w:p>
    <w:p w14:paraId="0E62E481">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一级保护区范围：以外围井的外接多边形为边界，向外径向30米距离的区域。</w:t>
      </w:r>
    </w:p>
    <w:p w14:paraId="41DEA24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（五）大流乡</w:t>
      </w:r>
    </w:p>
    <w:p w14:paraId="3403D1A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清丰县大流乡供水厂饮用水源保护区</w:t>
      </w:r>
    </w:p>
    <w:p w14:paraId="5D9AB428">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一级保护区范围：1号井以单个开采井为中心，半径30米的区域；2号与3号井以外围井的外接多边形为边界，向外径向30米距离的区域。</w:t>
      </w:r>
    </w:p>
    <w:p w14:paraId="68A6EA0E">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（六）双庙乡</w:t>
      </w:r>
    </w:p>
    <w:p w14:paraId="775E1AA3">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清丰县双庙乡供水厂饮用水源保护区</w:t>
      </w:r>
    </w:p>
    <w:p w14:paraId="27E5EA25">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一级保护区范围：1号井以单个开采井为中心，半径30米的区域；2号井以单个开采井为中心，半径30米的区域。</w:t>
      </w:r>
    </w:p>
    <w:p w14:paraId="6181A08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（七）柳格镇</w:t>
      </w:r>
    </w:p>
    <w:p w14:paraId="1B99E910">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清丰县柳格镇供水厂饮用水源保护区</w:t>
      </w:r>
    </w:p>
    <w:p w14:paraId="35DF23F6">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一级保护区范围：1号井以单个开采井为中心，半径30米的区域。</w:t>
      </w:r>
    </w:p>
    <w:p w14:paraId="52C8A94D">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距离本项目厂址最近的乡镇饮用水源地保护区为清丰县柳格镇供水厂饮用水源保护区，位于本项目南侧</w:t>
      </w:r>
      <w:r>
        <w:rPr>
          <w:rFonts w:hint="eastAsia" w:ascii="Times New Roman" w:hAnsi="Times New Roman" w:eastAsia="宋体" w:cs="Times New Roman"/>
          <w:sz w:val="24"/>
        </w:rPr>
        <w:t>3.9</w:t>
      </w:r>
      <w:r>
        <w:rPr>
          <w:rFonts w:ascii="Times New Roman" w:hAnsi="Times New Roman" w:eastAsia="宋体" w:cs="Times New Roman"/>
          <w:sz w:val="24"/>
        </w:rPr>
        <w:t>km处，</w:t>
      </w:r>
      <w:r>
        <w:rPr>
          <w:rFonts w:hint="eastAsia" w:ascii="Times New Roman" w:hAnsi="Times New Roman" w:eastAsia="宋体" w:cs="Times New Roman"/>
          <w:sz w:val="24"/>
        </w:rPr>
        <w:t>其次为清丰县马庄桥镇供水厂，位于本项目西南6.8km（见附图14），因此本项目</w:t>
      </w:r>
      <w:r>
        <w:rPr>
          <w:rFonts w:ascii="Times New Roman" w:hAnsi="Times New Roman" w:eastAsia="宋体" w:cs="Times New Roman"/>
          <w:sz w:val="24"/>
        </w:rPr>
        <w:t>不在清丰县饮用水源保护区范围内，符合清丰县乡镇级“千吨万人”饮用水水源地保护规划。</w:t>
      </w:r>
    </w:p>
    <w:p w14:paraId="1A1392C3">
      <w:pPr>
        <w:pStyle w:val="3"/>
        <w:numPr>
          <w:ilvl w:val="1"/>
          <w:numId w:val="10"/>
        </w:numPr>
        <w:rPr>
          <w:rFonts w:hint="eastAsia"/>
          <w:lang w:val="zh-CN"/>
        </w:rPr>
      </w:pPr>
      <w:bookmarkStart w:id="47" w:name="_Toc20779"/>
      <w:bookmarkStart w:id="48" w:name="_Toc15488"/>
      <w:r>
        <w:rPr>
          <w:rFonts w:hint="eastAsia"/>
          <w:lang w:val="zh-CN"/>
        </w:rPr>
        <w:t>与环境保护政策相符性分析</w:t>
      </w:r>
      <w:bookmarkEnd w:id="44"/>
      <w:bookmarkEnd w:id="45"/>
      <w:bookmarkEnd w:id="46"/>
      <w:bookmarkEnd w:id="47"/>
      <w:bookmarkEnd w:id="48"/>
    </w:p>
    <w:p w14:paraId="0A9984AC">
      <w:pPr>
        <w:pStyle w:val="4"/>
        <w:numPr>
          <w:ilvl w:val="2"/>
          <w:numId w:val="0"/>
        </w:numPr>
        <w:ind w:leftChars="0"/>
        <w:rPr>
          <w:rFonts w:cs="Times New Roman"/>
        </w:rPr>
      </w:pPr>
      <w:r>
        <w:rPr>
          <w:rFonts w:hint="eastAsia"/>
          <w:lang w:val="en-US" w:eastAsia="zh-CN"/>
        </w:rPr>
        <w:t>2.10.1</w:t>
      </w:r>
      <w:r>
        <w:rPr>
          <w:rFonts w:cs="Times New Roman"/>
        </w:rPr>
        <w:t>与濮阳市生态环境保护委员会办公室关于印发《濮阳市2023年蓝天保卫战实施方案》的通知（濮环委办〔2023〕7号）相符性分析</w:t>
      </w:r>
    </w:p>
    <w:p w14:paraId="4571C868">
      <w:pPr>
        <w:numPr>
          <w:ilvl w:val="0"/>
          <w:numId w:val="28"/>
        </w:numPr>
        <w:ind w:left="425" w:leftChars="0" w:hanging="425" w:firstLineChars="0"/>
        <w:jc w:val="center"/>
        <w:rPr>
          <w:rFonts w:ascii="Times New Roman" w:hAnsi="Times New Roman" w:eastAsia="宋体" w:cs="Times New Roman"/>
          <w:b/>
          <w:bCs/>
        </w:rPr>
      </w:pPr>
      <w:r>
        <w:rPr>
          <w:rFonts w:ascii="Times New Roman" w:hAnsi="Times New Roman" w:cs="Times New Roman"/>
          <w:b/>
          <w:bCs/>
          <w:sz w:val="24"/>
        </w:rPr>
        <w:t xml:space="preserve"> </w:t>
      </w:r>
      <w:r>
        <w:rPr>
          <w:rFonts w:ascii="Times New Roman" w:hAnsi="Times New Roman" w:eastAsia="宋体" w:cs="Times New Roman"/>
          <w:b/>
          <w:szCs w:val="21"/>
        </w:rPr>
        <w:t>与</w:t>
      </w:r>
      <w:r>
        <w:rPr>
          <w:rFonts w:ascii="Times New Roman" w:hAnsi="Times New Roman" w:eastAsia="宋体" w:cs="Times New Roman"/>
          <w:b/>
          <w:bCs/>
        </w:rPr>
        <w:t>（濮环委办〔2023〕7号）相符性分析</w:t>
      </w:r>
    </w:p>
    <w:tbl>
      <w:tblPr>
        <w:tblStyle w:val="30"/>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77"/>
        <w:gridCol w:w="1046"/>
        <w:gridCol w:w="870"/>
      </w:tblGrid>
      <w:tr w14:paraId="0FD3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477" w:type="dxa"/>
            <w:vAlign w:val="center"/>
          </w:tcPr>
          <w:p w14:paraId="3C8F024A">
            <w:pPr>
              <w:adjustRightInd w:val="0"/>
              <w:snapToGrid w:val="0"/>
              <w:jc w:val="center"/>
              <w:rPr>
                <w:rFonts w:ascii="Times New Roman" w:hAnsi="Times New Roman" w:eastAsia="宋体" w:cs="Times New Roman"/>
              </w:rPr>
            </w:pPr>
            <w:r>
              <w:rPr>
                <w:rFonts w:ascii="Times New Roman" w:hAnsi="Times New Roman" w:eastAsia="宋体" w:cs="Times New Roman"/>
              </w:rPr>
              <w:t>相关要求</w:t>
            </w:r>
          </w:p>
        </w:tc>
        <w:tc>
          <w:tcPr>
            <w:tcW w:w="1046" w:type="dxa"/>
            <w:vAlign w:val="center"/>
          </w:tcPr>
          <w:p w14:paraId="4CC5D4A5">
            <w:pPr>
              <w:adjustRightInd w:val="0"/>
              <w:snapToGrid w:val="0"/>
              <w:jc w:val="center"/>
              <w:rPr>
                <w:rFonts w:ascii="Times New Roman" w:hAnsi="Times New Roman" w:eastAsia="宋体" w:cs="Times New Roman"/>
              </w:rPr>
            </w:pPr>
            <w:r>
              <w:rPr>
                <w:rFonts w:ascii="Times New Roman" w:hAnsi="Times New Roman" w:cs="Times New Roman"/>
              </w:rPr>
              <w:t>本项目</w:t>
            </w:r>
            <w:r>
              <w:rPr>
                <w:rFonts w:ascii="Times New Roman" w:hAnsi="Times New Roman" w:eastAsia="宋体" w:cs="Times New Roman"/>
              </w:rPr>
              <w:t>建设情况</w:t>
            </w:r>
          </w:p>
        </w:tc>
        <w:tc>
          <w:tcPr>
            <w:tcW w:w="870" w:type="dxa"/>
            <w:vAlign w:val="center"/>
          </w:tcPr>
          <w:p w14:paraId="2EC02A4B">
            <w:pPr>
              <w:adjustRightInd w:val="0"/>
              <w:snapToGrid w:val="0"/>
              <w:jc w:val="center"/>
              <w:rPr>
                <w:rFonts w:ascii="Times New Roman" w:hAnsi="Times New Roman" w:eastAsia="宋体" w:cs="Times New Roman"/>
              </w:rPr>
            </w:pPr>
            <w:r>
              <w:rPr>
                <w:rFonts w:ascii="Times New Roman" w:hAnsi="Times New Roman" w:eastAsia="宋体" w:cs="Times New Roman"/>
              </w:rPr>
              <w:t>相符性</w:t>
            </w:r>
          </w:p>
        </w:tc>
      </w:tr>
      <w:tr w14:paraId="38D8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477" w:type="dxa"/>
            <w:vAlign w:val="center"/>
          </w:tcPr>
          <w:p w14:paraId="73E952BB">
            <w:pPr>
              <w:adjustRightInd w:val="0"/>
              <w:snapToGrid w:val="0"/>
              <w:jc w:val="left"/>
              <w:rPr>
                <w:rFonts w:ascii="Times New Roman" w:hAnsi="Times New Roman" w:eastAsia="宋体" w:cs="Times New Roman"/>
              </w:rPr>
            </w:pPr>
            <w:r>
              <w:rPr>
                <w:rFonts w:ascii="Times New Roman" w:hAnsi="Times New Roman" w:eastAsia="宋体" w:cs="Times New Roman"/>
              </w:rPr>
              <w:t>（一）持续推进产业结构优化调整</w:t>
            </w:r>
          </w:p>
          <w:p w14:paraId="31E60C03">
            <w:pPr>
              <w:adjustRightInd w:val="0"/>
              <w:snapToGrid w:val="0"/>
              <w:jc w:val="left"/>
              <w:rPr>
                <w:rFonts w:ascii="Times New Roman" w:hAnsi="Times New Roman" w:eastAsia="宋体" w:cs="Times New Roman"/>
              </w:rPr>
            </w:pPr>
            <w:r>
              <w:rPr>
                <w:rFonts w:ascii="Times New Roman" w:hAnsi="Times New Roman" w:eastAsia="宋体" w:cs="Times New Roman"/>
              </w:rPr>
              <w:t>1.加快传统产业集群升级改造。组织对耐火材料、包装印刷、家具制造等行业产业集群开展排查摸底，2023年6月底前，建立重点行业产业集群及园区清单台账，研究制定“一群一策”整治提升方案，从生产工艺、产能规模、能耗水平、燃料类型、污染治理和区域环境综合整治等方面明确升级改造标准。支持建设集中供热（气）中心、集中涂装中心、活性炭集中再生处理中心、有机溶剂回收处置中心，培育一批绿色工厂、绿色工业园区，不断优化产业结构，推进工业企业绿色低碳高质量发展。加快推进濮阳市挥发性有机物综合治理活性炭集中再生中心（绿岛）建设，鼓励活性炭集中再生和使用活性炭吸附工艺的企业，采用建设运营、委托运营及活性炭集中再生运维等模式，降低企业活性炭使用成本，推进活性炭全周期监管，做到规范采购、定期更换、统一收集、集中再生。</w:t>
            </w:r>
          </w:p>
          <w:p w14:paraId="372E3E77">
            <w:pPr>
              <w:adjustRightInd w:val="0"/>
              <w:snapToGrid w:val="0"/>
              <w:jc w:val="left"/>
              <w:rPr>
                <w:rFonts w:ascii="Times New Roman" w:hAnsi="Times New Roman" w:eastAsia="宋体" w:cs="Times New Roman"/>
              </w:rPr>
            </w:pPr>
            <w:r>
              <w:rPr>
                <w:rFonts w:ascii="Times New Roman" w:hAnsi="Times New Roman" w:eastAsia="宋体" w:cs="Times New Roman"/>
              </w:rPr>
              <w:t>2.依法依规淘汰落后低效产能。严格落实国家和河南省落后产能淘汰有关要求，研究制定2023年落后产能淘汰退出工作方案，严格执行能耗、环保、质量、安全、技术等法规标准，明确落后产能淘汰目标任务，组织开展排查整治专项行动，对落后产能实施动态“清零”。</w:t>
            </w:r>
          </w:p>
        </w:tc>
        <w:tc>
          <w:tcPr>
            <w:tcW w:w="1046" w:type="dxa"/>
            <w:vAlign w:val="center"/>
          </w:tcPr>
          <w:p w14:paraId="4602B12A">
            <w:pPr>
              <w:adjustRightInd w:val="0"/>
              <w:snapToGrid w:val="0"/>
              <w:jc w:val="center"/>
              <w:rPr>
                <w:rFonts w:ascii="Times New Roman" w:hAnsi="Times New Roman" w:cs="Times New Roman"/>
              </w:rPr>
            </w:pPr>
            <w:r>
              <w:rPr>
                <w:rFonts w:ascii="Times New Roman" w:hAnsi="Times New Roman" w:eastAsia="宋体" w:cs="Times New Roman"/>
                <w:spacing w:val="2"/>
                <w:szCs w:val="21"/>
                <w:lang w:val="zh-CN" w:bidi="zh-CN"/>
              </w:rPr>
              <w:t>本项目</w:t>
            </w:r>
            <w:r>
              <w:rPr>
                <w:rFonts w:hint="eastAsia" w:ascii="Times New Roman" w:hAnsi="Times New Roman" w:eastAsia="宋体" w:cs="Times New Roman"/>
                <w:spacing w:val="2"/>
                <w:szCs w:val="21"/>
                <w:lang w:val="zh-CN" w:bidi="zh-CN"/>
              </w:rPr>
              <w:t>属于家具制造业，</w:t>
            </w:r>
            <w:r>
              <w:rPr>
                <w:rFonts w:ascii="Times New Roman" w:hAnsi="Times New Roman" w:eastAsia="宋体" w:cs="Times New Roman"/>
                <w:spacing w:val="2"/>
                <w:szCs w:val="21"/>
                <w:lang w:val="zh-CN" w:bidi="zh-CN"/>
              </w:rPr>
              <w:t>不属于落后淘汰低效产能项目，选址位于</w:t>
            </w:r>
            <w:r>
              <w:rPr>
                <w:rFonts w:hint="eastAsia" w:ascii="Times New Roman" w:hAnsi="Times New Roman" w:eastAsia="宋体" w:cs="Times New Roman"/>
                <w:spacing w:val="2"/>
                <w:szCs w:val="21"/>
                <w:lang w:val="zh-CN" w:bidi="zh-CN"/>
              </w:rPr>
              <w:t>清丰县</w:t>
            </w:r>
            <w:r>
              <w:rPr>
                <w:rFonts w:ascii="Times New Roman" w:hAnsi="Times New Roman" w:eastAsia="宋体" w:cs="Times New Roman"/>
                <w:spacing w:val="2"/>
                <w:szCs w:val="21"/>
                <w:lang w:val="zh-CN" w:bidi="zh-CN"/>
              </w:rPr>
              <w:t>产业集聚区</w:t>
            </w:r>
          </w:p>
        </w:tc>
        <w:tc>
          <w:tcPr>
            <w:tcW w:w="870" w:type="dxa"/>
            <w:vAlign w:val="center"/>
          </w:tcPr>
          <w:p w14:paraId="2FC4A254">
            <w:pPr>
              <w:adjustRightInd w:val="0"/>
              <w:snapToGrid w:val="0"/>
              <w:jc w:val="center"/>
              <w:rPr>
                <w:rFonts w:ascii="Times New Roman" w:hAnsi="Times New Roman" w:eastAsia="宋体" w:cs="Times New Roman"/>
              </w:rPr>
            </w:pPr>
            <w:r>
              <w:rPr>
                <w:rFonts w:ascii="Times New Roman" w:hAnsi="Times New Roman" w:eastAsia="宋体" w:cs="Times New Roman"/>
              </w:rPr>
              <w:t>相符</w:t>
            </w:r>
          </w:p>
        </w:tc>
      </w:tr>
      <w:tr w14:paraId="1A77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477" w:type="dxa"/>
            <w:vAlign w:val="center"/>
          </w:tcPr>
          <w:p w14:paraId="1743D8F3">
            <w:pPr>
              <w:adjustRightInd w:val="0"/>
              <w:snapToGrid w:val="0"/>
              <w:jc w:val="left"/>
              <w:rPr>
                <w:rFonts w:ascii="Times New Roman" w:hAnsi="Times New Roman" w:eastAsia="宋体" w:cs="Times New Roman"/>
              </w:rPr>
            </w:pPr>
            <w:r>
              <w:rPr>
                <w:rFonts w:ascii="Times New Roman" w:hAnsi="Times New Roman" w:eastAsia="宋体" w:cs="Times New Roman"/>
              </w:rPr>
              <w:t>（二）深入推进能源结构调整</w:t>
            </w:r>
          </w:p>
          <w:p w14:paraId="7B0DC64F">
            <w:pPr>
              <w:adjustRightInd w:val="0"/>
              <w:snapToGrid w:val="0"/>
              <w:jc w:val="left"/>
              <w:rPr>
                <w:rFonts w:ascii="Times New Roman" w:hAnsi="Times New Roman" w:eastAsia="宋体" w:cs="Times New Roman"/>
              </w:rPr>
            </w:pPr>
            <w:r>
              <w:rPr>
                <w:rFonts w:ascii="Times New Roman" w:hAnsi="Times New Roman" w:eastAsia="宋体" w:cs="Times New Roman"/>
              </w:rPr>
              <w:t>3.推进煤电结构优化调整。优化煤电项目布局，组织对30万千瓦以上热电联产机组供热半径30公里范围内的落后燃煤小热电机组（含自备电厂）和燃煤锅炉进行排查摸底，2023年5月底前建立清单台账，有序推进关停整合。研究制定2023年度煤电机组升级改造计划，统筹推进存量煤电企业节能降碳改造、灵活性改造、供热改造“三改联动”，建立改造任务台账，明确改造目标、工程措施、完成时限，加快煤电机组优化升级。4.实施工业炉窑清洁能源替代。在钢铁、建材、有色、石化化工、铸造等重点行业及其他行业加热、烘干、蒸汽供应等环节，加快淘汰不达标的燃煤锅炉和以煤、石油焦、渣油、重油等为燃料的加热炉、热处理炉、干燥炉等炉窑，实施清洁低碳能源或利用工厂余热、集中供热等进行替代。</w:t>
            </w:r>
          </w:p>
        </w:tc>
        <w:tc>
          <w:tcPr>
            <w:tcW w:w="1046" w:type="dxa"/>
            <w:vAlign w:val="center"/>
          </w:tcPr>
          <w:p w14:paraId="7B618F12">
            <w:pPr>
              <w:adjustRightInd w:val="0"/>
              <w:snapToGrid w:val="0"/>
              <w:jc w:val="center"/>
              <w:rPr>
                <w:rFonts w:ascii="Times New Roman" w:hAnsi="Times New Roman" w:cs="Times New Roman"/>
              </w:rPr>
            </w:pPr>
            <w:r>
              <w:rPr>
                <w:rFonts w:ascii="Times New Roman" w:hAnsi="Times New Roman" w:cs="Times New Roman"/>
              </w:rPr>
              <w:t>项目不涉及燃煤使用，且不涉及工业炉窑，</w:t>
            </w:r>
            <w:r>
              <w:rPr>
                <w:rFonts w:hint="eastAsia" w:ascii="Times New Roman" w:hAnsi="Times New Roman" w:cs="Times New Roman"/>
              </w:rPr>
              <w:t>项目生产无需供热</w:t>
            </w:r>
          </w:p>
        </w:tc>
        <w:tc>
          <w:tcPr>
            <w:tcW w:w="870" w:type="dxa"/>
            <w:vAlign w:val="center"/>
          </w:tcPr>
          <w:p w14:paraId="62D9C823">
            <w:pPr>
              <w:adjustRightInd w:val="0"/>
              <w:snapToGrid w:val="0"/>
              <w:jc w:val="center"/>
              <w:rPr>
                <w:rFonts w:ascii="Times New Roman" w:hAnsi="Times New Roman" w:eastAsia="宋体" w:cs="Times New Roman"/>
              </w:rPr>
            </w:pPr>
            <w:r>
              <w:rPr>
                <w:rFonts w:ascii="Times New Roman" w:hAnsi="Times New Roman" w:eastAsia="宋体" w:cs="Times New Roman"/>
              </w:rPr>
              <w:t>相符</w:t>
            </w:r>
          </w:p>
        </w:tc>
      </w:tr>
      <w:tr w14:paraId="5372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477" w:type="dxa"/>
            <w:vAlign w:val="center"/>
          </w:tcPr>
          <w:p w14:paraId="3AE96ACA">
            <w:pPr>
              <w:adjustRightInd w:val="0"/>
              <w:snapToGrid w:val="0"/>
              <w:jc w:val="left"/>
              <w:rPr>
                <w:rFonts w:ascii="Times New Roman" w:hAnsi="Times New Roman" w:eastAsia="宋体" w:cs="Times New Roman"/>
              </w:rPr>
            </w:pPr>
            <w:r>
              <w:rPr>
                <w:rFonts w:ascii="Times New Roman" w:hAnsi="Times New Roman" w:eastAsia="宋体" w:cs="Times New Roman"/>
              </w:rPr>
              <w:t>（四）强化面源污染治理</w:t>
            </w:r>
          </w:p>
          <w:p w14:paraId="6FEE17B1">
            <w:pPr>
              <w:adjustRightInd w:val="0"/>
              <w:snapToGrid w:val="0"/>
              <w:jc w:val="left"/>
              <w:rPr>
                <w:rFonts w:ascii="Times New Roman" w:hAnsi="Times New Roman" w:eastAsia="宋体" w:cs="Times New Roman"/>
              </w:rPr>
            </w:pPr>
            <w:r>
              <w:rPr>
                <w:rFonts w:ascii="Times New Roman" w:hAnsi="Times New Roman" w:eastAsia="宋体" w:cs="Times New Roman"/>
              </w:rPr>
              <w:t>9.加强扬尘防治精细化管理。开展扬尘治理提升行动，严格落实《城市房屋建筑和市政基础设施工程及道路扬尘污染防治差异化评价标准》、《河南省房屋建筑和市政基础设施工程扬尘治理监控平台数据接入标准》要求，做好建筑工地、线性工程、城乡结合部等关键部位和重点环节综合治理，加大扬尘污染防治执法监管力度，逐月开展降尘量监测，实施公开排名通报，各城市平均降尘量不得高于7吨/月·平方公里。持续开展城市清洁行动，强化道路扬尘综合整治，重点提升国省道、县乡道路、城乡结合部和背街小巷等各类道路清扫保洁效果，2023年底前实现建成区道路清扫覆盖率达到90%以上，道路机械化清扫率达到80%以上。</w:t>
            </w:r>
          </w:p>
        </w:tc>
        <w:tc>
          <w:tcPr>
            <w:tcW w:w="1046" w:type="dxa"/>
            <w:vAlign w:val="center"/>
          </w:tcPr>
          <w:p w14:paraId="2F9CB991">
            <w:pPr>
              <w:adjustRightInd w:val="0"/>
              <w:snapToGrid w:val="0"/>
              <w:jc w:val="center"/>
              <w:rPr>
                <w:rFonts w:ascii="Times New Roman" w:hAnsi="Times New Roman" w:cs="Times New Roman"/>
              </w:rPr>
            </w:pPr>
            <w:r>
              <w:rPr>
                <w:rFonts w:hint="eastAsia" w:ascii="Times New Roman" w:hAnsi="Times New Roman" w:cs="Times New Roman"/>
              </w:rPr>
              <w:t>本项目施工期仅为设备的安装调试，不涉及土建工程</w:t>
            </w:r>
          </w:p>
        </w:tc>
        <w:tc>
          <w:tcPr>
            <w:tcW w:w="870" w:type="dxa"/>
            <w:vAlign w:val="center"/>
          </w:tcPr>
          <w:p w14:paraId="358E3C9C">
            <w:pPr>
              <w:adjustRightInd w:val="0"/>
              <w:snapToGrid w:val="0"/>
              <w:jc w:val="center"/>
              <w:rPr>
                <w:rFonts w:ascii="Times New Roman" w:hAnsi="Times New Roman" w:eastAsia="宋体" w:cs="Times New Roman"/>
              </w:rPr>
            </w:pPr>
            <w:r>
              <w:rPr>
                <w:rFonts w:ascii="Times New Roman" w:hAnsi="Times New Roman" w:eastAsia="宋体" w:cs="Times New Roman"/>
              </w:rPr>
              <w:t>相符</w:t>
            </w:r>
          </w:p>
        </w:tc>
      </w:tr>
      <w:tr w14:paraId="789E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477" w:type="dxa"/>
            <w:vAlign w:val="center"/>
          </w:tcPr>
          <w:p w14:paraId="3BB2A8B8">
            <w:pPr>
              <w:adjustRightInd w:val="0"/>
              <w:snapToGrid w:val="0"/>
              <w:jc w:val="left"/>
              <w:rPr>
                <w:rFonts w:ascii="Times New Roman" w:hAnsi="Times New Roman" w:eastAsia="宋体" w:cs="Times New Roman"/>
              </w:rPr>
            </w:pPr>
            <w:r>
              <w:rPr>
                <w:rFonts w:ascii="Times New Roman" w:hAnsi="Times New Roman" w:eastAsia="宋体" w:cs="Times New Roman"/>
              </w:rPr>
              <w:t>（五）推进工业企业综合治理</w:t>
            </w:r>
          </w:p>
          <w:p w14:paraId="50FF2BE9">
            <w:pPr>
              <w:adjustRightInd w:val="0"/>
              <w:snapToGrid w:val="0"/>
              <w:jc w:val="left"/>
              <w:rPr>
                <w:rFonts w:ascii="Times New Roman" w:hAnsi="Times New Roman" w:eastAsia="宋体" w:cs="Times New Roman"/>
              </w:rPr>
            </w:pPr>
            <w:r>
              <w:rPr>
                <w:rFonts w:ascii="Times New Roman" w:hAnsi="Times New Roman" w:eastAsia="宋体" w:cs="Times New Roman"/>
              </w:rPr>
              <w:t>12.实施工业污染排放深度治理。以水泥、砖瓦窑、玻璃、陶瓷、耐火材料等行业工业窑炉为重点，全面提升污染物治理设施、无组织排放管控和在线监控设施运行管理水平，加强物料运输、装卸储存及生产过程中的无组织排放控制，推进实施清洁生产改造，确保污染物稳定达标排放。2023年5月底前，全面排查除尘脱硫一体化、简易碱法脱硫、简易氨法脱硫脱硝、湿法脱硝、氧化法脱硝等低效治理设施以及低温等离子、光催化、光氧化等VOCs简易低效治理设施；取缔直接向烟道内喷洒脱硫脱硝剂等敷衍式治理工艺。10月底前，对无法稳定达标排放的通过更换适宜高效治理工艺、提升现有治污设施处理能力、清洁能源替代等方式完成分类整治，对人工投加脱硫脱硝剂的简易设施实施自动化改造。巩固濮阳同力水泥有限公司、濮阳宏宇建材有限公司2家水泥企业超低排放改造成效，推动3家企业废气深度治理改造项目，完成8家企业简易低效治污设施提升改造项目，逾期未完成治理的实施停产整治</w:t>
            </w:r>
          </w:p>
          <w:p w14:paraId="00FD8184">
            <w:pPr>
              <w:adjustRightInd w:val="0"/>
              <w:snapToGrid w:val="0"/>
              <w:jc w:val="left"/>
              <w:rPr>
                <w:rFonts w:ascii="Times New Roman" w:hAnsi="Times New Roman" w:eastAsia="宋体" w:cs="Times New Roman"/>
              </w:rPr>
            </w:pPr>
            <w:r>
              <w:rPr>
                <w:rFonts w:ascii="Times New Roman" w:hAnsi="Times New Roman" w:eastAsia="宋体" w:cs="Times New Roman"/>
              </w:rPr>
              <w:t>13.开展锅炉综合治理“回头看”。巩固燃煤锅炉治理成效，全面排查淘汰并禁止新增35蒸吨/小时及以下的燃煤锅炉（含茶水炉、经营性炉灶、储粮烘干设备等燃煤设施）；鼓励淘汰4蒸吨/小时以下生物质锅炉，保留及现有生物质锅炉应采用专用炉具，禁止掺烧煤炭、垃圾、工业固体废物等其他物料。推进燃气锅炉低氮燃烧改造，取消烟气再循环系统开关阀，确有必要保留的，通过设置电动阀、气动阀或铅封等方式加强监管。加强燃煤锅炉、生物质锅炉除尘、脱硫、脱硝设施运行管理，强化全过程排放控制和监管力度，对于污染物无法稳定达标排放的，依法依规实施整治。12月底前，完成7家企业天然气锅炉低氮燃烧改造。将燃煤锅炉、10蒸吨/小时及以上燃气锅炉、4蒸吨/小时及以上生物质锅炉实施自动监控载入排污许可证，督促排污单位安装自动监控设施、与生态环境部门联网。14.开展生活垃圾焚烧企业提标治理。推进生活垃圾焚烧企业污染治理设施提标治理，加强垃圾运输、卸料、贮存等工段无组织排放治理，强化污染治理设施运行管理，指导帮扶企业做好活性炭喷射量、喷氨量、脱硫脱硝剂使用量、炉膛温度、启停窑等台账记录，确保污染治理设施正常运行、污染物稳定达标排放。15.稳步推进氨污染防控。加强氮肥、纯碱等行业氨排放治理，强化电力、建材等重点行业氨法脱硫脱硝氨逃逸防控，优化喷氨工艺，提升控制效率，有效减少氨逃逸，实现氮氧化物和氨的协同控制。2023年10月底前，完成河南省中原大化集团有限责任公司（天然气厂区）应急暂存池氨逸散治理。对于新建成涉氨法脱硫脱硝的重点行业企业，将氨自动监控载入排污许可证；持续推动已建成涉氨法脱硫脱硝的重点行业企业实施自动监控，督促排污单位安装自动监控设施、与生态环境部门联网，并载入排污许可证。16.建立重点行业工业企业全口径清单。2023年10月底前，全面排查重点行业企业原辅料及能源利用、生产工艺及装备、污染治理技术、污染物排放、无组织排放治理、在线监控及清洁运输等现状情况，编制完善电力、水泥、耐火材料、砖瓦窑等重点行业企业全口径清单，为大气污染防治提供精准科学依据，提升工业企业精细化管理水平。</w:t>
            </w:r>
          </w:p>
        </w:tc>
        <w:tc>
          <w:tcPr>
            <w:tcW w:w="1046" w:type="dxa"/>
            <w:vAlign w:val="center"/>
          </w:tcPr>
          <w:p w14:paraId="0444BC4C">
            <w:pPr>
              <w:adjustRightInd w:val="0"/>
              <w:snapToGrid w:val="0"/>
              <w:jc w:val="center"/>
              <w:rPr>
                <w:rFonts w:ascii="Times New Roman" w:hAnsi="Times New Roman" w:eastAsia="宋体" w:cs="Times New Roman"/>
              </w:rPr>
            </w:pPr>
            <w:r>
              <w:rPr>
                <w:rFonts w:ascii="Times New Roman" w:hAnsi="Times New Roman" w:eastAsia="宋体" w:cs="Times New Roman"/>
                <w:spacing w:val="2"/>
                <w:szCs w:val="21"/>
                <w:lang w:val="zh-CN" w:bidi="zh-CN"/>
              </w:rPr>
              <w:t>本项目属于</w:t>
            </w:r>
            <w:r>
              <w:rPr>
                <w:rFonts w:hint="eastAsia" w:ascii="Times New Roman" w:hAnsi="Times New Roman" w:eastAsia="宋体" w:cs="Times New Roman"/>
                <w:spacing w:val="2"/>
                <w:szCs w:val="21"/>
                <w:lang w:val="zh-CN" w:bidi="zh-CN"/>
              </w:rPr>
              <w:t>木质家具</w:t>
            </w:r>
            <w:r>
              <w:rPr>
                <w:rFonts w:ascii="Times New Roman" w:hAnsi="Times New Roman" w:eastAsia="宋体" w:cs="Times New Roman"/>
                <w:spacing w:val="2"/>
                <w:szCs w:val="21"/>
                <w:lang w:val="zh-CN" w:bidi="zh-CN"/>
              </w:rPr>
              <w:t>制造，厂区有机废气采用</w:t>
            </w:r>
            <w:r>
              <w:rPr>
                <w:rFonts w:ascii="Times New Roman" w:hAnsi="Times New Roman" w:eastAsia="宋体" w:cs="Times New Roman"/>
                <w:spacing w:val="2"/>
                <w:szCs w:val="21"/>
                <w:lang w:bidi="zh-CN"/>
              </w:rPr>
              <w:t>活性炭吸附+催化燃烧装置处理，无低效</w:t>
            </w:r>
            <w:r>
              <w:rPr>
                <w:rFonts w:ascii="Times New Roman" w:hAnsi="Times New Roman" w:eastAsia="宋体" w:cs="Times New Roman"/>
              </w:rPr>
              <w:t>低温等离子、光催化、光氧化等设备，厂区采用燃气导热油炉进行供热，不涉及燃煤及生物质锅炉使用</w:t>
            </w:r>
          </w:p>
        </w:tc>
        <w:tc>
          <w:tcPr>
            <w:tcW w:w="870" w:type="dxa"/>
            <w:vAlign w:val="center"/>
          </w:tcPr>
          <w:p w14:paraId="3639878A">
            <w:pPr>
              <w:adjustRightInd w:val="0"/>
              <w:snapToGrid w:val="0"/>
              <w:jc w:val="center"/>
              <w:rPr>
                <w:rFonts w:ascii="Times New Roman" w:hAnsi="Times New Roman" w:eastAsia="宋体" w:cs="Times New Roman"/>
              </w:rPr>
            </w:pPr>
            <w:r>
              <w:rPr>
                <w:rFonts w:ascii="Times New Roman" w:hAnsi="Times New Roman" w:eastAsia="宋体" w:cs="Times New Roman"/>
              </w:rPr>
              <w:t>相符</w:t>
            </w:r>
          </w:p>
        </w:tc>
      </w:tr>
      <w:tr w14:paraId="2A4E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477" w:type="dxa"/>
            <w:vAlign w:val="center"/>
          </w:tcPr>
          <w:p w14:paraId="5C641CF0">
            <w:pPr>
              <w:adjustRightInd w:val="0"/>
              <w:snapToGrid w:val="0"/>
              <w:jc w:val="left"/>
              <w:rPr>
                <w:rFonts w:ascii="Times New Roman" w:hAnsi="Times New Roman" w:eastAsia="宋体" w:cs="Times New Roman"/>
              </w:rPr>
            </w:pPr>
            <w:r>
              <w:rPr>
                <w:rFonts w:ascii="Times New Roman" w:hAnsi="Times New Roman" w:eastAsia="宋体" w:cs="Times New Roman"/>
              </w:rPr>
              <w:t>（六）加快挥发性有机物治理</w:t>
            </w:r>
          </w:p>
          <w:p w14:paraId="6AB26EFA">
            <w:pPr>
              <w:adjustRightInd w:val="0"/>
              <w:snapToGrid w:val="0"/>
              <w:jc w:val="left"/>
              <w:rPr>
                <w:rFonts w:ascii="Times New Roman" w:hAnsi="Times New Roman" w:eastAsia="宋体" w:cs="Times New Roman"/>
              </w:rPr>
            </w:pPr>
            <w:r>
              <w:rPr>
                <w:rFonts w:ascii="Times New Roman" w:hAnsi="Times New Roman" w:eastAsia="宋体" w:cs="Times New Roman"/>
              </w:rPr>
              <w:t>17.推进低VOCs含量原辅材料源头替代。按照“可替尽替、应代尽代”的原则，开展汽车制造、工业涂装、家具制造、包装印刷、钢结构制造、工程机械等行业溶剂型涂料、油墨、胶粘剂、清洗剂使用低VOCs含量原辅材料替代，明确治理任务，动态更新清单台账。汽车整车制造行业大力提升底漆、中涂、色漆低VOCs含量涂料使用比例；房屋建筑和市政工程全面推广使用低VOCs含量涂料和胶粘剂，除特殊功能要求外，室内地坪施工、室外构筑物防护和城市道路交通标志基本使用低VOCs含量涂料。城市建成区严格控制生产和使用溶剂型涂料、油墨、胶粘剂、清洗剂等建设项目。18.持续加大无组织排放整治力度。2023年5月底前，排查含VOCs物料储存、转移和输送、设备与管线组件泄漏、敞开液面逸散以及工艺过程等五类排放源，在保证安全生产前提下，督促企业通过采取设备与场所密闭、工艺改进、废气有效收集等措施，对VOCs无组织排放废气进行综合治理，将需要集气罩收集无组织排放的集气流速测量监控纳入日常管理。对气态、液态VOCs物料的设备与管线组件密封点大于等于1000个的企业开展泄漏检测与修复工作。产生含挥发性有机物废水的企业，采取密闭管道等措施逐步替代地漏、沟、渠、井等敞开式集输方式，减少挥发性有机物无组织排放。推动完成2家企业VOCs无组织排放治理，逾期未完成治理的实施停产整治。19.大力提升治理设施去除效率。强化涉VOCs企业活性炭设施日常管理，对设计风量、设备质量、气体流速、活性炭质量及填充量不符合规范化基本要求的，督促企业全面落实整改。4月底前，按照行业特点、企业规模、废气成分、废气量、含水（尘）率等，综合分析治理技术与VOCs废气处理工艺可行性、规模匹配性，建立问题企业清单台账，指导帮扶企业做好活性炭更换频次、更换量、购买记录、活性炭质检报告等台账记录，RTO和RCO设施吸附剂再生频次、焚烧温度等记录数据至少保留一年以上。6月底前，对废气处理效率低下的企业实施提升治理，完成2家企业VOCs治理提标改造项目，逾期未完成治理的实施停产整治。20.加强非正常工况废气排放管控。4月底前，指导帮扶石化、化工等行业企业制定2023年度开停车、检维修计划；6月底前，安装完成火炬、煤气放散管自动引燃设施，配套建设燃烧温度监控、废气流量计、助燃气体流量计等。动态更新旁路清单，除保障安全生产必须保留的应急类旁路外，应采取彻底拆除、切断、物理隔离等方式取缔旁路（含生产车间、生产装置建设的直排管线等）；对于确需保留的应急旁路，企业应向当地生态环境部门报备，在非紧急情况下保持关闭并铅封，通过安装自动监测设备、视频监控、流量计等方式加强监管，并保存历史记录，开启后应及时向当地生态环境部门报告，做好台账记录。21.提升涉VOCs园区及集群治理水平。重点排查使用溶剂型涂料、油墨、胶粘剂、清洗剂以及涉及有机化工生产、煤焦油加工处理的园区及产业集群，分类制定治理提升计划，家具、彩涂板、皮革制品、制鞋、包装印刷等以中小企业为主的园区和集群重点推进源头替代；汽修、人造板等企业集群重点推动优化整合；对排放量大，排放物质以烯烃、芳香烃、炔烃、醛类等为主的企业制定“一企一策”治理方案，提出针对性的治理措施；依法关停取缔不符合产业政策、整改达标无望的企业。4月底前，完成汽修行业的排查整治工作，有效提升行业环境管理水平。大力推进园区及集群VOCs无组织监控和预警监管平台，提升数字化监管能力。</w:t>
            </w:r>
          </w:p>
        </w:tc>
        <w:tc>
          <w:tcPr>
            <w:tcW w:w="1046" w:type="dxa"/>
            <w:vAlign w:val="center"/>
          </w:tcPr>
          <w:p w14:paraId="1A72D644">
            <w:pPr>
              <w:adjustRightInd w:val="0"/>
              <w:snapToGrid w:val="0"/>
              <w:jc w:val="center"/>
              <w:rPr>
                <w:rFonts w:ascii="Times New Roman" w:hAnsi="Times New Roman" w:eastAsia="宋体" w:cs="Times New Roman"/>
              </w:rPr>
            </w:pPr>
            <w:r>
              <w:rPr>
                <w:rFonts w:ascii="Times New Roman" w:hAnsi="Times New Roman" w:eastAsia="宋体" w:cs="Times New Roman"/>
                <w:spacing w:val="2"/>
                <w:szCs w:val="21"/>
                <w:lang w:val="zh-CN" w:bidi="zh-CN"/>
              </w:rPr>
              <w:t>本项目</w:t>
            </w:r>
            <w:r>
              <w:rPr>
                <w:rFonts w:hint="eastAsia" w:ascii="Times New Roman" w:hAnsi="Times New Roman" w:eastAsia="宋体" w:cs="Times New Roman"/>
                <w:spacing w:val="2"/>
                <w:szCs w:val="21"/>
                <w:lang w:val="zh-CN" w:bidi="zh-CN"/>
              </w:rPr>
              <w:t>所用涂料为</w:t>
            </w:r>
            <w:r>
              <w:rPr>
                <w:rFonts w:ascii="Times New Roman" w:hAnsi="Times New Roman" w:eastAsia="宋体" w:cs="Times New Roman"/>
              </w:rPr>
              <w:t>低VOCs</w:t>
            </w:r>
            <w:r>
              <w:rPr>
                <w:rFonts w:hint="eastAsia" w:ascii="Times New Roman" w:hAnsi="Times New Roman" w:eastAsia="宋体" w:cs="Times New Roman"/>
              </w:rPr>
              <w:t>涂料，企业应加强活性炭设施日常管理，</w:t>
            </w:r>
            <w:r>
              <w:rPr>
                <w:rFonts w:ascii="Times New Roman" w:hAnsi="Times New Roman" w:eastAsia="宋体" w:cs="Times New Roman"/>
                <w:spacing w:val="2"/>
                <w:szCs w:val="21"/>
                <w:lang w:bidi="zh-CN"/>
              </w:rPr>
              <w:t>针对</w:t>
            </w:r>
            <w:r>
              <w:rPr>
                <w:rFonts w:ascii="Times New Roman" w:hAnsi="Times New Roman" w:eastAsia="宋体" w:cs="Times New Roman"/>
              </w:rPr>
              <w:t>RCO设施吸附剂再生频次、焚烧温度等记录数据至少保留一年以上，加强非正常工况废气排放管控，制定2023年度开停车、检维修计划。</w:t>
            </w:r>
          </w:p>
        </w:tc>
        <w:tc>
          <w:tcPr>
            <w:tcW w:w="870" w:type="dxa"/>
            <w:vAlign w:val="center"/>
          </w:tcPr>
          <w:p w14:paraId="37DF4A71">
            <w:pPr>
              <w:adjustRightInd w:val="0"/>
              <w:snapToGrid w:val="0"/>
              <w:jc w:val="center"/>
              <w:rPr>
                <w:rFonts w:ascii="Times New Roman" w:hAnsi="Times New Roman" w:eastAsia="宋体" w:cs="Times New Roman"/>
              </w:rPr>
            </w:pPr>
            <w:r>
              <w:rPr>
                <w:rFonts w:ascii="Times New Roman" w:hAnsi="Times New Roman" w:eastAsia="宋体" w:cs="Times New Roman"/>
              </w:rPr>
              <w:t>相符</w:t>
            </w:r>
          </w:p>
        </w:tc>
      </w:tr>
    </w:tbl>
    <w:p w14:paraId="07614B4E">
      <w:pPr>
        <w:spacing w:line="360" w:lineRule="auto"/>
        <w:ind w:firstLine="480" w:firstLineChars="200"/>
        <w:rPr>
          <w:rFonts w:ascii="Times New Roman" w:hAnsi="Times New Roman" w:cs="Times New Roman"/>
          <w:sz w:val="24"/>
        </w:rPr>
      </w:pPr>
      <w:r>
        <w:rPr>
          <w:rFonts w:ascii="Times New Roman" w:hAnsi="Times New Roman" w:cs="Times New Roman"/>
          <w:sz w:val="24"/>
        </w:rPr>
        <w:t>由上表可见，本项目建设与《濮阳市2023年蓝天保卫战实施方案</w:t>
      </w:r>
      <w:r>
        <w:rPr>
          <w:rFonts w:ascii="Times New Roman" w:hAnsi="Times New Roman" w:cs="Times New Roman"/>
          <w:bCs/>
          <w:sz w:val="24"/>
        </w:rPr>
        <w:t>》（</w:t>
      </w:r>
      <w:r>
        <w:rPr>
          <w:rFonts w:ascii="Times New Roman" w:hAnsi="Times New Roman" w:eastAsia="宋体" w:cs="Times New Roman"/>
          <w:sz w:val="24"/>
        </w:rPr>
        <w:t>濮环委办</w:t>
      </w:r>
      <w:r>
        <w:rPr>
          <w:rFonts w:ascii="Times New Roman" w:hAnsi="Times New Roman" w:cs="Times New Roman"/>
          <w:bCs/>
          <w:sz w:val="24"/>
        </w:rPr>
        <w:t>〔2023〕7号</w:t>
      </w:r>
      <w:r>
        <w:rPr>
          <w:rFonts w:ascii="Times New Roman" w:hAnsi="Times New Roman" w:cs="Times New Roman"/>
          <w:sz w:val="24"/>
        </w:rPr>
        <w:t>）相符。</w:t>
      </w:r>
    </w:p>
    <w:p w14:paraId="15903C45">
      <w:pPr>
        <w:pStyle w:val="4"/>
        <w:numPr>
          <w:ilvl w:val="2"/>
          <w:numId w:val="0"/>
        </w:numPr>
        <w:ind w:leftChars="0"/>
        <w:rPr>
          <w:rFonts w:cs="Times New Roman"/>
        </w:rPr>
      </w:pPr>
      <w:r>
        <w:rPr>
          <w:rFonts w:hint="eastAsia" w:cs="Times New Roman"/>
          <w:lang w:val="en-US" w:eastAsia="zh-CN"/>
        </w:rPr>
        <w:t>2.10.2</w:t>
      </w:r>
      <w:r>
        <w:rPr>
          <w:rFonts w:cs="Times New Roman"/>
        </w:rPr>
        <w:t>与濮阳市生态环境保护委员会办公室关于印发《濮阳市2023年碧水保卫战实施方案》的通知（濮环委办〔2023〕8号）相符性分析</w:t>
      </w:r>
    </w:p>
    <w:p w14:paraId="03AF4330">
      <w:pPr>
        <w:numPr>
          <w:ilvl w:val="0"/>
          <w:numId w:val="28"/>
        </w:numPr>
        <w:ind w:left="425" w:leftChars="0" w:hanging="425" w:firstLineChars="0"/>
        <w:jc w:val="center"/>
        <w:rPr>
          <w:rFonts w:ascii="Times New Roman" w:hAnsi="Times New Roman" w:eastAsia="宋体" w:cs="Times New Roman"/>
          <w:b/>
          <w:bCs/>
        </w:rPr>
      </w:pPr>
      <w:r>
        <w:rPr>
          <w:rFonts w:ascii="Times New Roman" w:hAnsi="Times New Roman" w:eastAsia="宋体" w:cs="Times New Roman"/>
          <w:b/>
          <w:bCs/>
        </w:rPr>
        <w:t xml:space="preserve"> （</w:t>
      </w:r>
      <w:r>
        <w:rPr>
          <w:rFonts w:ascii="Times New Roman" w:hAnsi="Times New Roman" w:cs="Times New Roman"/>
          <w:b/>
          <w:bCs/>
        </w:rPr>
        <w:t>濮环委办〔2023〕8号</w:t>
      </w:r>
      <w:r>
        <w:rPr>
          <w:rFonts w:ascii="Times New Roman" w:hAnsi="Times New Roman" w:eastAsia="宋体" w:cs="Times New Roman"/>
          <w:b/>
          <w:bCs/>
        </w:rPr>
        <w:t>）相符性分析一览表</w:t>
      </w:r>
    </w:p>
    <w:tbl>
      <w:tblPr>
        <w:tblStyle w:val="30"/>
        <w:tblW w:w="8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43"/>
        <w:gridCol w:w="1572"/>
        <w:gridCol w:w="626"/>
      </w:tblGrid>
      <w:tr w14:paraId="2441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243" w:type="dxa"/>
            <w:vAlign w:val="center"/>
          </w:tcPr>
          <w:p w14:paraId="7892C8D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相关要求</w:t>
            </w:r>
          </w:p>
        </w:tc>
        <w:tc>
          <w:tcPr>
            <w:tcW w:w="1572" w:type="dxa"/>
            <w:vAlign w:val="center"/>
          </w:tcPr>
          <w:p w14:paraId="739007B2">
            <w:pPr>
              <w:adjustRightInd w:val="0"/>
              <w:snapToGrid w:val="0"/>
              <w:jc w:val="center"/>
              <w:rPr>
                <w:rFonts w:ascii="Times New Roman" w:hAnsi="Times New Roman" w:eastAsia="宋体" w:cs="Times New Roman"/>
                <w:szCs w:val="21"/>
              </w:rPr>
            </w:pPr>
            <w:r>
              <w:rPr>
                <w:rFonts w:ascii="Times New Roman" w:hAnsi="Times New Roman" w:cs="Times New Roman"/>
                <w:szCs w:val="21"/>
              </w:rPr>
              <w:t>本项目</w:t>
            </w:r>
            <w:r>
              <w:rPr>
                <w:rFonts w:ascii="Times New Roman" w:hAnsi="Times New Roman" w:eastAsia="宋体" w:cs="Times New Roman"/>
                <w:szCs w:val="21"/>
              </w:rPr>
              <w:t>建设情况</w:t>
            </w:r>
          </w:p>
        </w:tc>
        <w:tc>
          <w:tcPr>
            <w:tcW w:w="626" w:type="dxa"/>
            <w:vAlign w:val="center"/>
          </w:tcPr>
          <w:p w14:paraId="6C2EB9ED">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相符性</w:t>
            </w:r>
          </w:p>
        </w:tc>
      </w:tr>
      <w:tr w14:paraId="2908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243" w:type="dxa"/>
            <w:vAlign w:val="center"/>
          </w:tcPr>
          <w:p w14:paraId="4B44C789">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一）持续打好城市黑臭水体治理攻坚战1.深化城市黑臭水体排查整治。巩固城市黑臭水体治理成效，把黑臭水体治理纳入河湖长制重点工作，确保黑臭水体整治“长制久清”。开展城市建成区黑臭水体排查整治和环境保护专项行动，核实完善黑臭水体治理清单，建立治理台账、制定治理方案并组织实施。到2023年年底，县级城市建成区黑臭水体消除比例达到60%。</w:t>
            </w:r>
          </w:p>
        </w:tc>
        <w:tc>
          <w:tcPr>
            <w:tcW w:w="1572" w:type="dxa"/>
            <w:vAlign w:val="center"/>
          </w:tcPr>
          <w:p w14:paraId="7BC443D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项目产生废水经厂区污水处理站处理后经管网进清丰中州水务有限公司第二污水处理厂进一步处理后，处理达标后排入</w:t>
            </w:r>
            <w:r>
              <w:rPr>
                <w:rFonts w:hint="eastAsia" w:ascii="Times New Roman" w:hAnsi="Times New Roman" w:eastAsia="宋体" w:cs="Times New Roman"/>
                <w:szCs w:val="21"/>
              </w:rPr>
              <w:t>潴龙河</w:t>
            </w:r>
            <w:r>
              <w:rPr>
                <w:rFonts w:ascii="Times New Roman" w:hAnsi="Times New Roman" w:eastAsia="宋体" w:cs="Times New Roman"/>
                <w:szCs w:val="21"/>
              </w:rPr>
              <w:t>，对地表水体影响较小</w:t>
            </w:r>
          </w:p>
        </w:tc>
        <w:tc>
          <w:tcPr>
            <w:tcW w:w="626" w:type="dxa"/>
            <w:vAlign w:val="center"/>
          </w:tcPr>
          <w:p w14:paraId="7C8AB02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相符</w:t>
            </w:r>
          </w:p>
        </w:tc>
      </w:tr>
      <w:tr w14:paraId="2D6C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243" w:type="dxa"/>
            <w:vAlign w:val="center"/>
          </w:tcPr>
          <w:p w14:paraId="5CDEB47F">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（二）巩固提升饮用水水源地安全保障水平</w:t>
            </w:r>
          </w:p>
          <w:p w14:paraId="7B8F6AFF">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5.持续强化饮用水水源保护。科学划定、调整、取消饮用水水源保护区(范围)，规范保护区勘界备案，完善标识标牌设立。开展饮用水水源保护区环境风险隐患排立整治，实施“动态清零行动"。开展县级以上集中式饮用水水源地环境状况调查评估和乡镇级及以下水源地基础信息调查。推进乡镇级及以下水源地保护区划定工作。加大饮用水安全状况信息公开力度。</w:t>
            </w:r>
          </w:p>
        </w:tc>
        <w:tc>
          <w:tcPr>
            <w:tcW w:w="1572" w:type="dxa"/>
            <w:vAlign w:val="center"/>
          </w:tcPr>
          <w:p w14:paraId="76E02DE7">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根据饮用水源保护区分析内容，项目不在其保护范围内，且废水经</w:t>
            </w:r>
            <w:r>
              <w:rPr>
                <w:rFonts w:hint="eastAsia" w:ascii="Times New Roman" w:hAnsi="Times New Roman" w:eastAsia="宋体" w:cs="Times New Roman"/>
                <w:kern w:val="0"/>
                <w:szCs w:val="21"/>
              </w:rPr>
              <w:t>清丰中州水务有限公司第二污水处理厂</w:t>
            </w:r>
            <w:r>
              <w:rPr>
                <w:rFonts w:ascii="Times New Roman" w:hAnsi="Times New Roman" w:eastAsia="宋体" w:cs="Times New Roman"/>
                <w:szCs w:val="21"/>
              </w:rPr>
              <w:t>处理后达标排放</w:t>
            </w:r>
          </w:p>
        </w:tc>
        <w:tc>
          <w:tcPr>
            <w:tcW w:w="626" w:type="dxa"/>
            <w:vAlign w:val="center"/>
          </w:tcPr>
          <w:p w14:paraId="5B5E096D">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相符</w:t>
            </w:r>
          </w:p>
        </w:tc>
      </w:tr>
      <w:tr w14:paraId="4608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243" w:type="dxa"/>
            <w:vAlign w:val="center"/>
          </w:tcPr>
          <w:p w14:paraId="780F7195">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(三)持续推动河流水生态保护治理和修复</w:t>
            </w:r>
          </w:p>
          <w:p w14:paraId="241ED514">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6.加强水生态保护与修复。开展黄河流域水生态环境质量状况调查与评估，加强黄河干流、西水坡等水质较好水体的保护，谋划实施一批水源涵养、湿地保护与修复、河湖水生态保护和修复、生态缓冲带建设、水系连通和水环境监管能力建设等项目，加强现有湿地公园的保护和修复，健全水体生态系统功能。7.开展重点河流综合整治。加快推动金堤河、马颊河、徒骇河、青碱沟、房刘庄沟、范水、梁庙沟、永顺沟等污染较重河流治理；编制完善“一河一策”整治方案，统筹推进农业面源污染、工业污染、城乡生活污染防治，谋划建设一批污水处理厂及管网建设项目、水污染防治、河道综合治理、湿地保护与修复等工程项目，持续提升水环境质量。全市地表水环境质量排名靠后的县（区），查找问题原因，采取措施，提升水生态环境质量。</w:t>
            </w:r>
          </w:p>
        </w:tc>
        <w:tc>
          <w:tcPr>
            <w:tcW w:w="1572" w:type="dxa"/>
            <w:vAlign w:val="center"/>
          </w:tcPr>
          <w:p w14:paraId="7D66850D">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本项目纳污河流为</w:t>
            </w:r>
            <w:r>
              <w:rPr>
                <w:rFonts w:hint="eastAsia" w:ascii="Times New Roman" w:hAnsi="Times New Roman" w:eastAsia="宋体" w:cs="Times New Roman"/>
                <w:szCs w:val="21"/>
              </w:rPr>
              <w:t>潴龙河</w:t>
            </w:r>
            <w:r>
              <w:rPr>
                <w:rFonts w:ascii="Times New Roman" w:hAnsi="Times New Roman" w:eastAsia="宋体" w:cs="Times New Roman"/>
                <w:szCs w:val="21"/>
              </w:rPr>
              <w:t>，属于</w:t>
            </w:r>
            <w:r>
              <w:rPr>
                <w:rFonts w:hint="eastAsia" w:ascii="Times New Roman" w:hAnsi="Times New Roman" w:eastAsia="宋体" w:cs="Times New Roman"/>
                <w:szCs w:val="21"/>
              </w:rPr>
              <w:t>海河</w:t>
            </w:r>
            <w:r>
              <w:rPr>
                <w:rFonts w:ascii="Times New Roman" w:hAnsi="Times New Roman" w:eastAsia="宋体" w:cs="Times New Roman"/>
                <w:szCs w:val="21"/>
              </w:rPr>
              <w:t>支流，废水总量控制指标采用消减替代</w:t>
            </w:r>
          </w:p>
        </w:tc>
        <w:tc>
          <w:tcPr>
            <w:tcW w:w="626" w:type="dxa"/>
            <w:vAlign w:val="center"/>
          </w:tcPr>
          <w:p w14:paraId="72B17927">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相符</w:t>
            </w:r>
          </w:p>
        </w:tc>
      </w:tr>
    </w:tbl>
    <w:p w14:paraId="5FE93BDE">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由上表可见，本项目建设与《濮阳市2023年碧水保卫战实施方案》（濮环委办〔2023〕8号）相符。</w:t>
      </w:r>
    </w:p>
    <w:p w14:paraId="105721F9">
      <w:pPr>
        <w:pStyle w:val="4"/>
        <w:numPr>
          <w:ilvl w:val="2"/>
          <w:numId w:val="0"/>
        </w:numPr>
        <w:ind w:leftChars="0"/>
        <w:rPr>
          <w:rFonts w:cs="Times New Roman"/>
        </w:rPr>
      </w:pPr>
      <w:r>
        <w:rPr>
          <w:rFonts w:hint="eastAsia" w:cs="Times New Roman"/>
          <w:lang w:val="en-US" w:eastAsia="zh-CN"/>
        </w:rPr>
        <w:t>2.10.3</w:t>
      </w:r>
      <w:r>
        <w:rPr>
          <w:rFonts w:cs="Times New Roman"/>
        </w:rPr>
        <w:t>与濮阳市生态环境保护委员会办公室关于印发《濮阳市2023年净土保实施方案》的通知（濮环委办</w:t>
      </w:r>
      <w:r>
        <w:rPr>
          <w:rFonts w:cs="Times New Roman"/>
          <w:bCs/>
        </w:rPr>
        <w:t>〔2023〕</w:t>
      </w:r>
      <w:r>
        <w:rPr>
          <w:rFonts w:cs="Times New Roman"/>
        </w:rPr>
        <w:t>13号）相符性分析</w:t>
      </w:r>
    </w:p>
    <w:p w14:paraId="1B671C43">
      <w:pPr>
        <w:numPr>
          <w:ilvl w:val="0"/>
          <w:numId w:val="28"/>
        </w:numPr>
        <w:ind w:left="425" w:leftChars="0" w:hanging="425" w:firstLineChars="0"/>
        <w:jc w:val="center"/>
        <w:rPr>
          <w:rFonts w:ascii="Times New Roman" w:hAnsi="Times New Roman" w:eastAsia="宋体" w:cs="Times New Roman"/>
          <w:b/>
          <w:bCs/>
        </w:rPr>
      </w:pPr>
      <w:r>
        <w:rPr>
          <w:rFonts w:ascii="Times New Roman" w:hAnsi="Times New Roman" w:eastAsia="宋体" w:cs="Times New Roman"/>
          <w:b/>
          <w:bCs/>
        </w:rPr>
        <w:t xml:space="preserve"> 与（</w:t>
      </w:r>
      <w:r>
        <w:rPr>
          <w:rFonts w:ascii="Times New Roman" w:hAnsi="Times New Roman" w:cs="Times New Roman"/>
          <w:b/>
          <w:bCs/>
        </w:rPr>
        <w:t>濮环委办〔2023〕13号</w:t>
      </w:r>
      <w:r>
        <w:rPr>
          <w:rFonts w:ascii="Times New Roman" w:hAnsi="Times New Roman" w:eastAsia="宋体" w:cs="Times New Roman"/>
          <w:b/>
          <w:bCs/>
        </w:rPr>
        <w:t>）相符性分析一览表</w:t>
      </w:r>
    </w:p>
    <w:tbl>
      <w:tblPr>
        <w:tblStyle w:val="30"/>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99"/>
        <w:gridCol w:w="1258"/>
        <w:gridCol w:w="874"/>
      </w:tblGrid>
      <w:tr w14:paraId="2F92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299" w:type="dxa"/>
            <w:vAlign w:val="center"/>
          </w:tcPr>
          <w:p w14:paraId="5507C89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相关要求</w:t>
            </w:r>
          </w:p>
        </w:tc>
        <w:tc>
          <w:tcPr>
            <w:tcW w:w="1258" w:type="dxa"/>
            <w:vAlign w:val="center"/>
          </w:tcPr>
          <w:p w14:paraId="07393DD9">
            <w:pPr>
              <w:adjustRightInd w:val="0"/>
              <w:snapToGrid w:val="0"/>
              <w:jc w:val="center"/>
              <w:rPr>
                <w:rFonts w:ascii="Times New Roman" w:hAnsi="Times New Roman" w:eastAsia="宋体" w:cs="Times New Roman"/>
                <w:szCs w:val="21"/>
              </w:rPr>
            </w:pPr>
            <w:r>
              <w:rPr>
                <w:rFonts w:ascii="Times New Roman" w:hAnsi="Times New Roman" w:cs="Times New Roman"/>
                <w:szCs w:val="21"/>
              </w:rPr>
              <w:t>本项目</w:t>
            </w:r>
            <w:r>
              <w:rPr>
                <w:rFonts w:ascii="Times New Roman" w:hAnsi="Times New Roman" w:eastAsia="宋体" w:cs="Times New Roman"/>
                <w:szCs w:val="21"/>
              </w:rPr>
              <w:t>建设情况</w:t>
            </w:r>
          </w:p>
        </w:tc>
        <w:tc>
          <w:tcPr>
            <w:tcW w:w="874" w:type="dxa"/>
            <w:vAlign w:val="center"/>
          </w:tcPr>
          <w:p w14:paraId="0CBA14C7">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相符性</w:t>
            </w:r>
          </w:p>
        </w:tc>
      </w:tr>
      <w:tr w14:paraId="6660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299" w:type="dxa"/>
            <w:vAlign w:val="center"/>
          </w:tcPr>
          <w:p w14:paraId="7DF34F7B">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(一)加强土壤污染风险管控</w:t>
            </w:r>
          </w:p>
          <w:p w14:paraId="43C19C9F">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1.深入推进农用地土壤镉等重金属污染源头防治行动。加强土壤重金属污染源头防控，动态更新涉镉等重金属行业企业清单。2.推动重点监管单位规范化监管。完成土壤污染重点监管单位名录更新，及时向社会公开，依法纳入排污许可管理，全面落实法律义务。新纳入的重点监管单位本年度内开展一次隐患排查、自行监测。对石油化工、化工等重点行业开展隐患排查“回头看”工作。3.全面加强固体废物监管。全面提升危险废物环境监管、利用处置和环境风险防范“三个能力”，推动危险废物监管和利用处置能力改革工作。动态更新涉危险废物企业“四个清单”，有序推进固废监管信息化建设，强化危险废物源头管控和收集转运等过程监管。持续开展小微企业危险废物收集和废铅酸蓄电池收集转运试点工作。5.扎实开展新污染物治理。建立健全新污染物污染防治机制，以持久性有机污染物、内分泌干扰物、抗生素等为重点，统筹推进新污染物环境治理。开展新污染物环境风险评估，以高关注、高产(用)量的新污染物为重点，开展环境信息调查和环境风险筛查，建立省级重点管控新污染物清单。严格落实重点管控新污染物禁止、限制、限排等环境风险管控。扎实做好国际公约管控化学物质调查统计。6.强化“一废一库一品一重”环境风险防控。开展全市危险废物非法堆放、贮存、倾倒和填埋问题排查，严厉打击非法转移、倾倒、处置等违法行为。加强废弃危险化学品等危险废物环境管理，完善危险废物申报登记制度，压实涉废弃危险化学品企业主体责任，强化废弃危险化学品等危险废物全过程管理。推动涉重金属企业绿色发展，动态更新全口径涉重金属重点行业企业清单，推动实施一批重金属减排工程。9.加强关闭搬迁企业地块风险管控。利用重点行业企业用地土壤污染状况调查成果和注销、撤销排污许可企业信息，将可能存在土壤污染风险的关闭搬迁企业地块纳入监管，确定全市优先监管地块清单，推进土壤污染状况调查和土壤污染风险评估；有污染扩散风险的，开展环境监测，农药、化工等重点行业地块依法落实风险管控或修复措施。加强暂不开发利用污染地块风险管控，县级制定污染地块风险管控年度计划,落实风险管控措施，利用卫星遥感、无人机、视频监控等手段开展检查。10.有序推进土壤污染风险管控和修复。从严管控农药、化工等行业的重度污染地块规划用途，确需开发利用的，鼓励用于拓展生态空间。强化风险管控和修复工程监管，污染土壤转运实施联单制管理，防止转运非法处置，重视污染地块风险管控和修复过程中产生的异味等二次污染。11.加强土壤污染状况调查监督管理。以企业用地调查确定的潜在高风险地块，且用论变更为住宅、公共管理与公共服务的地块为重点，进行土壤污染状况调查监督检查。市生态环境部门应选择布点采样、检测分析中任一环节或全部环节开展监督检查，做好过程质量控制。规范建设用地土壤污染风险管控和修复从业单位和个人执业信用管理，各省辖市生态环境部门将本年度报告评审情况在官网予以公布。</w:t>
            </w:r>
          </w:p>
        </w:tc>
        <w:tc>
          <w:tcPr>
            <w:tcW w:w="1258" w:type="dxa"/>
            <w:vAlign w:val="center"/>
          </w:tcPr>
          <w:p w14:paraId="5FF64CEE">
            <w:pPr>
              <w:adjustRightInd w:val="0"/>
              <w:snapToGrid w:val="0"/>
              <w:jc w:val="center"/>
              <w:rPr>
                <w:rFonts w:ascii="Times New Roman" w:hAnsi="Times New Roman" w:eastAsia="宋体" w:cs="Times New Roman"/>
                <w:szCs w:val="21"/>
              </w:rPr>
            </w:pPr>
            <w:r>
              <w:rPr>
                <w:rFonts w:ascii="Times New Roman" w:hAnsi="Times New Roman" w:cs="Times New Roman"/>
                <w:szCs w:val="21"/>
              </w:rPr>
              <w:t>本项目运行过程不涉及重金属排放；项目产生危险废物收集暂存后交由资质单位进行处置；项目不涉及持久性有机污染物、内分泌干扰物、抗生素等重点新增污染物排放；危险废物严格落实相关管理制度，禁止</w:t>
            </w:r>
            <w:r>
              <w:rPr>
                <w:rFonts w:ascii="Times New Roman" w:hAnsi="Times New Roman" w:eastAsia="宋体" w:cs="Times New Roman"/>
                <w:szCs w:val="21"/>
              </w:rPr>
              <w:t>非法转移、倾倒、处置等违法行为；加强废弃危险化学品等危险废物环境管理，完善危险废物申报登记制度。项目厂址不属于搬迁企业，</w:t>
            </w:r>
            <w:r>
              <w:rPr>
                <w:rFonts w:hint="eastAsia" w:ascii="Times New Roman" w:hAnsi="Times New Roman" w:eastAsia="宋体" w:cs="Times New Roman"/>
                <w:szCs w:val="21"/>
              </w:rPr>
              <w:t>本项目现状为工业用地</w:t>
            </w:r>
            <w:r>
              <w:rPr>
                <w:rFonts w:ascii="Times New Roman" w:hAnsi="Times New Roman" w:eastAsia="宋体" w:cs="Times New Roman"/>
                <w:szCs w:val="21"/>
              </w:rPr>
              <w:t>。</w:t>
            </w:r>
          </w:p>
        </w:tc>
        <w:tc>
          <w:tcPr>
            <w:tcW w:w="874" w:type="dxa"/>
            <w:vAlign w:val="center"/>
          </w:tcPr>
          <w:p w14:paraId="7FDA4CA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相符</w:t>
            </w:r>
          </w:p>
        </w:tc>
      </w:tr>
      <w:tr w14:paraId="6AD1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299" w:type="dxa"/>
            <w:vAlign w:val="center"/>
          </w:tcPr>
          <w:p w14:paraId="0D357FEB">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(二)积极推进地下水污染防治</w:t>
            </w:r>
          </w:p>
          <w:p w14:paraId="2A633F9D">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12.持续推进地下水环境状况调查评估。探索地下水环境状况调查评估成果集成，汇编地下水污染防治项目案例。以垃圾填埋场为重点，有序开展重点污染源及周边地下水环境状况调查评估，2023年年底前完成一批垃圾填埋场地下水环境状况调查,。建立地下水污染防治重点排污单位名录。探索开展地下水污染防治重点区划分，推动地下水环境分区管理、分级防治。13.加强地下水污染风险管控。以“十四五”国家地下水环境质量考核点位为重点，实施地下水质量达标或保持方案，开展点位周边污染源排查，建立风险台账，落实水质达标或保持措施以化学品生产企业、加油站、垃圾填埋场、危险废物处置场、产业集聚区等为重点，强化地下水重点污染源风险排查和管控。</w:t>
            </w:r>
          </w:p>
        </w:tc>
        <w:tc>
          <w:tcPr>
            <w:tcW w:w="1258" w:type="dxa"/>
            <w:vAlign w:val="center"/>
          </w:tcPr>
          <w:p w14:paraId="72DE408B">
            <w:pPr>
              <w:adjustRightInd w:val="0"/>
              <w:snapToGrid w:val="0"/>
              <w:jc w:val="center"/>
              <w:rPr>
                <w:rFonts w:ascii="Times New Roman" w:hAnsi="Times New Roman" w:cs="Times New Roman"/>
                <w:szCs w:val="21"/>
              </w:rPr>
            </w:pPr>
            <w:r>
              <w:rPr>
                <w:rFonts w:ascii="Times New Roman" w:hAnsi="Times New Roman" w:cs="Times New Roman"/>
                <w:szCs w:val="21"/>
              </w:rPr>
              <w:t>项目建设过程严格落实地下水防渗要求，同时厂区设有地下水监测井，定期开展地下水现状监测，及时发现并管控地下水污染，积极推进</w:t>
            </w:r>
            <w:r>
              <w:rPr>
                <w:rFonts w:ascii="Times New Roman" w:hAnsi="Times New Roman" w:eastAsia="宋体" w:cs="Times New Roman"/>
                <w:szCs w:val="21"/>
              </w:rPr>
              <w:t>水土“同管”“同防”同治”三种防控模式</w:t>
            </w:r>
          </w:p>
        </w:tc>
        <w:tc>
          <w:tcPr>
            <w:tcW w:w="874" w:type="dxa"/>
            <w:vAlign w:val="center"/>
          </w:tcPr>
          <w:p w14:paraId="292480A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相符</w:t>
            </w:r>
          </w:p>
        </w:tc>
      </w:tr>
      <w:tr w14:paraId="60F3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6299" w:type="dxa"/>
            <w:vAlign w:val="center"/>
          </w:tcPr>
          <w:p w14:paraId="71ECC17B">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(四)全面提升环境管理水平</w:t>
            </w:r>
          </w:p>
          <w:p w14:paraId="372D2632">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26.完善环境监测机制。不断完善国家土壤环境监测网例行监测制度。持续推进土壤污染重点监管单位自行监测及周边监测，加强监督检查，逐步完善规范自行监测及周边监测工作，确保发挥应有作用，保障我市土壤及地下水环境安全。探索建立地下水例行性监测制度，逐步完善地下水质量监测网络。强化土壤、地下水监测质量保证和质量控制工作，完善数据共享机制。加强农业农村环境监测网络建设系统整合农田氮磷流失监测、地表水、农村生态环境质量监测数据。持续做好大中型灌区灌溉水质监测工作。27.加强生态环境执法。强化土壤、地下水和农业农村生态环境保护日常监督执法，重点检查土壤重点监管单位法定义务落实情况、企业拆除活动污染防治措施落实情况、污染地块违规开发利用、农村环境突出问题等。落实生态环境损害赔偿制度，对符合条件的土壤、地下永生态环境损害事件启动生态环境损害赔偿。提升突发环境事件土壤生态环境保护应急处置能力，制定突发环境事件应急预案应包括防止土壤和地下水环境污染内容。</w:t>
            </w:r>
          </w:p>
        </w:tc>
        <w:tc>
          <w:tcPr>
            <w:tcW w:w="1258" w:type="dxa"/>
            <w:vAlign w:val="center"/>
          </w:tcPr>
          <w:p w14:paraId="793CCBC0">
            <w:pPr>
              <w:adjustRightInd w:val="0"/>
              <w:snapToGrid w:val="0"/>
              <w:jc w:val="center"/>
              <w:rPr>
                <w:rFonts w:ascii="Times New Roman" w:hAnsi="Times New Roman" w:cs="Times New Roman"/>
                <w:szCs w:val="21"/>
              </w:rPr>
            </w:pPr>
            <w:r>
              <w:rPr>
                <w:rFonts w:ascii="Times New Roman" w:hAnsi="Times New Roman" w:cs="Times New Roman"/>
                <w:szCs w:val="21"/>
              </w:rPr>
              <w:t>根据土壤监测频次，每5年针对土壤环境进行监测，</w:t>
            </w:r>
            <w:r>
              <w:rPr>
                <w:rFonts w:ascii="Times New Roman" w:hAnsi="Times New Roman" w:eastAsia="宋体" w:cs="Times New Roman"/>
                <w:szCs w:val="21"/>
              </w:rPr>
              <w:t>确保发挥应有作用，保障土壤及地下水环境安全</w:t>
            </w:r>
          </w:p>
        </w:tc>
        <w:tc>
          <w:tcPr>
            <w:tcW w:w="874" w:type="dxa"/>
            <w:vAlign w:val="center"/>
          </w:tcPr>
          <w:p w14:paraId="3607178A">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相符</w:t>
            </w:r>
          </w:p>
        </w:tc>
      </w:tr>
    </w:tbl>
    <w:p w14:paraId="5BF2C9B9">
      <w:pPr>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由上表可见，本项目建设与《濮阳市2023年净土保卫战实施方案》（濮环委办〔2023〕13号）相符</w:t>
      </w:r>
      <w:r>
        <w:rPr>
          <w:rFonts w:ascii="Times New Roman" w:hAnsi="Times New Roman" w:cs="Times New Roman"/>
          <w:sz w:val="24"/>
        </w:rPr>
        <w:t>。</w:t>
      </w:r>
    </w:p>
    <w:p w14:paraId="63A7EECF">
      <w:pPr>
        <w:pStyle w:val="4"/>
        <w:numPr>
          <w:ilvl w:val="2"/>
          <w:numId w:val="0"/>
        </w:numPr>
        <w:ind w:leftChars="0"/>
      </w:pPr>
      <w:r>
        <w:rPr>
          <w:rFonts w:hint="eastAsia"/>
          <w:lang w:val="en-US" w:eastAsia="zh-CN"/>
        </w:rPr>
        <w:t>2.10.4</w:t>
      </w:r>
      <w:r>
        <w:rPr>
          <w:rFonts w:hint="eastAsia"/>
        </w:rPr>
        <w:t>本项目</w:t>
      </w:r>
      <w:r>
        <w:t>与《</w:t>
      </w:r>
      <w:r>
        <w:rPr>
          <w:rFonts w:hint="eastAsia"/>
        </w:rPr>
        <w:t>关于全面加强挥发性有机物污染治理的通知</w:t>
      </w:r>
      <w:r>
        <w:t>》</w:t>
      </w:r>
      <w:r>
        <w:rPr>
          <w:rFonts w:hint="eastAsia"/>
        </w:rPr>
        <w:t>（豫环办〔2022〕24号）</w:t>
      </w:r>
      <w:r>
        <w:t>相符性分析</w:t>
      </w:r>
    </w:p>
    <w:p w14:paraId="36379FAC">
      <w:pPr>
        <w:numPr>
          <w:ilvl w:val="0"/>
          <w:numId w:val="28"/>
        </w:numPr>
        <w:ind w:left="425" w:leftChars="0" w:hanging="425" w:firstLineChars="0"/>
        <w:jc w:val="center"/>
        <w:rPr>
          <w:rFonts w:ascii="Times New Roman" w:hAnsi="Times New Roman" w:eastAsia="宋体" w:cs="Times New Roman"/>
          <w:b/>
          <w:bCs/>
        </w:rPr>
      </w:pPr>
      <w:r>
        <w:rPr>
          <w:rFonts w:hint="eastAsia" w:ascii="Times New Roman" w:hAnsi="Times New Roman" w:eastAsia="宋体" w:cs="Times New Roman"/>
          <w:b/>
          <w:bCs/>
        </w:rPr>
        <w:t xml:space="preserve"> </w:t>
      </w:r>
      <w:r>
        <w:rPr>
          <w:rFonts w:ascii="Times New Roman" w:hAnsi="Times New Roman" w:eastAsia="宋体" w:cs="Times New Roman"/>
          <w:b/>
          <w:bCs/>
        </w:rPr>
        <w:t>与</w:t>
      </w:r>
      <w:r>
        <w:rPr>
          <w:rFonts w:hint="eastAsia" w:ascii="Times New Roman" w:hAnsi="Times New Roman" w:eastAsia="宋体" w:cs="Times New Roman"/>
          <w:b/>
          <w:bCs/>
        </w:rPr>
        <w:t>豫环办〔2022〕24号</w:t>
      </w:r>
      <w:r>
        <w:rPr>
          <w:rFonts w:ascii="Times New Roman" w:hAnsi="Times New Roman" w:eastAsia="宋体" w:cs="Times New Roman"/>
          <w:b/>
          <w:bCs/>
        </w:rPr>
        <w:t>相符性分析</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5160"/>
        <w:gridCol w:w="2396"/>
      </w:tblGrid>
      <w:tr w14:paraId="6676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3" w:type="dxa"/>
            <w:vAlign w:val="center"/>
          </w:tcPr>
          <w:p w14:paraId="4AD56ECB">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类别</w:t>
            </w:r>
          </w:p>
        </w:tc>
        <w:tc>
          <w:tcPr>
            <w:tcW w:w="5160" w:type="dxa"/>
            <w:vAlign w:val="center"/>
          </w:tcPr>
          <w:p w14:paraId="327683B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要求</w:t>
            </w:r>
          </w:p>
        </w:tc>
        <w:tc>
          <w:tcPr>
            <w:tcW w:w="2396" w:type="dxa"/>
            <w:vAlign w:val="center"/>
          </w:tcPr>
          <w:p w14:paraId="7C0A43AC">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本项目情况</w:t>
            </w:r>
          </w:p>
        </w:tc>
      </w:tr>
      <w:tr w14:paraId="1F0B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3" w:type="dxa"/>
            <w:vAlign w:val="center"/>
          </w:tcPr>
          <w:p w14:paraId="5D5DA6D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加强源头控制，推进绿色生产</w:t>
            </w:r>
          </w:p>
        </w:tc>
        <w:tc>
          <w:tcPr>
            <w:tcW w:w="5160" w:type="dxa"/>
          </w:tcPr>
          <w:p w14:paraId="1F2643B7">
            <w:pPr>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2022年5月底前，全面排查使用粉末涂料、水性涂料、无溶剂涂料、辐射固化涂料等企业，核实原辅材料VOCs含量限值与《低挥发性有机化合物含量涂料产品技术要求》相符性，并建立台账，记录原辅材料的使用量、废弃量、去向以及VOCs含量。</w:t>
            </w:r>
          </w:p>
        </w:tc>
        <w:tc>
          <w:tcPr>
            <w:tcW w:w="2396" w:type="dxa"/>
            <w:vAlign w:val="center"/>
          </w:tcPr>
          <w:p w14:paraId="149EF095">
            <w:pPr>
              <w:rPr>
                <w:rFonts w:ascii="Times New Roman" w:hAnsi="Times New Roman" w:eastAsia="宋体" w:cs="Times New Roman"/>
                <w:color w:val="000000"/>
                <w:szCs w:val="21"/>
              </w:rPr>
            </w:pPr>
            <w:r>
              <w:rPr>
                <w:rFonts w:ascii="Times New Roman" w:hAnsi="Times New Roman" w:eastAsia="宋体" w:cs="Times New Roman"/>
                <w:color w:val="000000"/>
                <w:szCs w:val="21"/>
              </w:rPr>
              <w:t>本项目使用水性漆，VOCs含量符合《低挥发性有机化合物含量涂料产品技术要求》，投产后按要求建立台账</w:t>
            </w:r>
          </w:p>
        </w:tc>
      </w:tr>
      <w:tr w14:paraId="1959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3" w:type="dxa"/>
            <w:vAlign w:val="center"/>
          </w:tcPr>
          <w:p w14:paraId="59F8FE60">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强化收集效果，减少无组织排放</w:t>
            </w:r>
          </w:p>
        </w:tc>
        <w:tc>
          <w:tcPr>
            <w:tcW w:w="5160" w:type="dxa"/>
          </w:tcPr>
          <w:p w14:paraId="669DEA17">
            <w:pPr>
              <w:pStyle w:val="17"/>
              <w:ind w:firstLineChars="200"/>
              <w:rPr>
                <w:rFonts w:ascii="Times New Roman" w:hAnsi="Times New Roman" w:cs="Times New Roman"/>
                <w:szCs w:val="21"/>
              </w:rPr>
            </w:pPr>
            <w:r>
              <w:rPr>
                <w:rFonts w:ascii="Times New Roman" w:hAnsi="Times New Roman" w:cs="Times New Roman"/>
                <w:szCs w:val="21"/>
              </w:rPr>
              <w:t>产生VOCs的生产环节优先采用密闭设备、在密闭空间中操作等密闭收集方式，并保持负压运行；采用集气罩、侧吸风等措施收集无组织VOCs废气企业，距集气罩开口面最远处的VOCs无组织排放位置，控制风速不低于0.3米/秒；含VOCs物料输送应采用重力流或泵送方式，有机液体进料鼓励采用底部、浸入管给料方式。</w:t>
            </w:r>
          </w:p>
        </w:tc>
        <w:tc>
          <w:tcPr>
            <w:tcW w:w="2396" w:type="dxa"/>
            <w:vAlign w:val="center"/>
          </w:tcPr>
          <w:p w14:paraId="326FAEED">
            <w:pPr>
              <w:jc w:val="left"/>
              <w:rPr>
                <w:rFonts w:ascii="Times New Roman" w:hAnsi="Times New Roman" w:eastAsia="宋体" w:cs="Times New Roman"/>
                <w:color w:val="000000"/>
                <w:szCs w:val="21"/>
              </w:rPr>
            </w:pPr>
            <w:r>
              <w:rPr>
                <w:rFonts w:ascii="Times New Roman" w:hAnsi="Times New Roman" w:cs="Times New Roman"/>
                <w:bCs/>
                <w:iCs/>
                <w:szCs w:val="21"/>
              </w:rPr>
              <w:t>本项目</w:t>
            </w:r>
            <w:r>
              <w:rPr>
                <w:rFonts w:ascii="Times New Roman" w:hAnsi="Times New Roman" w:cs="Times New Roman"/>
                <w:szCs w:val="21"/>
              </w:rPr>
              <w:t>生产</w:t>
            </w:r>
            <w:r>
              <w:rPr>
                <w:rFonts w:ascii="Times New Roman" w:hAnsi="Times New Roman" w:eastAsia="宋体" w:cs="Times New Roman"/>
                <w:color w:val="000000"/>
                <w:szCs w:val="21"/>
              </w:rPr>
              <w:t>VOCs在密闭厂房内进行，采用负压收集，要求无组织排放位置，控制风速不低于0.3米/秒</w:t>
            </w:r>
          </w:p>
        </w:tc>
      </w:tr>
      <w:tr w14:paraId="0B37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3" w:type="dxa"/>
            <w:vAlign w:val="center"/>
          </w:tcPr>
          <w:p w14:paraId="47E2AD6C">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提升治理水平，全面达标排放</w:t>
            </w:r>
          </w:p>
        </w:tc>
        <w:tc>
          <w:tcPr>
            <w:tcW w:w="5160" w:type="dxa"/>
          </w:tcPr>
          <w:p w14:paraId="2F47C987">
            <w:pPr>
              <w:ind w:firstLine="420" w:firstLineChars="200"/>
              <w:jc w:val="left"/>
              <w:rPr>
                <w:rFonts w:ascii="Times New Roman" w:hAnsi="Times New Roman" w:cs="Times New Roman"/>
                <w:szCs w:val="21"/>
              </w:rPr>
            </w:pPr>
            <w:r>
              <w:rPr>
                <w:rFonts w:ascii="Times New Roman" w:hAnsi="Times New Roman" w:cs="Times New Roman"/>
                <w:szCs w:val="21"/>
              </w:rPr>
              <w:t>各地在2022年5月15日前全面梳理辖区内采用单一UV光氧催化、低温等离子、碱液喷淋等低效VOCs治理工艺企业，6月10日前在单一工艺基础上增加活性炭吸附工艺（颗粒状、柱状活性炭碘值不低于800毫克/克，蜂窝状活性炭碘值不低于650毫克/克），或建设RCO、RTO等高效处理工艺，确保废气污染物稳定达标排放。各地要在5月底前全面排查采用活性炭吸附工艺企业，活性炭装填量、更换时间、废活性炭暂存转运情况、活性炭购买发票、活性炭碘值等，无法提供活性炭更换记录、碘值报告或活性炭碘值不满足要求的，一周内按要求更换新活性炭；根据废气量、活性炭箱截面积及长度核算废气停留时间及风速，不满足《吸附法工业有机废气治理工程技术规范》（HJ2026-2013）要求的，一周内更换活性炭箱；严禁露天堆存废活性炭，废活性炭厂内暂存时间不得超过一个月</w:t>
            </w:r>
          </w:p>
        </w:tc>
        <w:tc>
          <w:tcPr>
            <w:tcW w:w="2396" w:type="dxa"/>
            <w:vAlign w:val="center"/>
          </w:tcPr>
          <w:p w14:paraId="72DA1840">
            <w:pPr>
              <w:jc w:val="left"/>
              <w:rPr>
                <w:rFonts w:ascii="Times New Roman" w:hAnsi="Times New Roman" w:eastAsia="宋体" w:cs="Times New Roman"/>
                <w:color w:val="000000"/>
                <w:szCs w:val="21"/>
              </w:rPr>
            </w:pPr>
            <w:r>
              <w:rPr>
                <w:rFonts w:ascii="Times New Roman" w:hAnsi="Times New Roman" w:cs="Times New Roman"/>
                <w:bCs/>
                <w:iCs/>
                <w:szCs w:val="21"/>
              </w:rPr>
              <w:t>本项目</w:t>
            </w:r>
            <w:r>
              <w:rPr>
                <w:rFonts w:ascii="Times New Roman" w:hAnsi="Times New Roman" w:cs="Times New Roman"/>
                <w:szCs w:val="21"/>
              </w:rPr>
              <w:t>调漆、喷漆、烘干过程产生的废气经活性炭吸附浓缩脱附+催化燃烧装置处理</w:t>
            </w:r>
            <w:r>
              <w:rPr>
                <w:rFonts w:ascii="Times New Roman" w:hAnsi="Times New Roman" w:cs="Times New Roman"/>
                <w:bCs/>
                <w:iCs/>
                <w:szCs w:val="21"/>
              </w:rPr>
              <w:t>。</w:t>
            </w:r>
          </w:p>
        </w:tc>
      </w:tr>
    </w:tbl>
    <w:p w14:paraId="411F2B39">
      <w:pPr>
        <w:pStyle w:val="4"/>
        <w:numPr>
          <w:ilvl w:val="2"/>
          <w:numId w:val="0"/>
        </w:numPr>
        <w:ind w:leftChars="0"/>
      </w:pPr>
      <w:r>
        <w:rPr>
          <w:rFonts w:hint="eastAsia"/>
          <w:lang w:val="en-US" w:eastAsia="zh-CN"/>
        </w:rPr>
        <w:t>2.10.5</w:t>
      </w:r>
      <w:r>
        <w:t>本项目与《工业</w:t>
      </w:r>
      <w:r>
        <w:rPr>
          <w:color w:val="auto"/>
        </w:rPr>
        <w:t>涂装</w:t>
      </w:r>
      <w:r>
        <w:rPr>
          <w:rFonts w:hint="eastAsia"/>
          <w:color w:val="auto"/>
        </w:rPr>
        <w:t>工序</w:t>
      </w:r>
      <w:r>
        <w:rPr>
          <w:color w:val="auto"/>
        </w:rPr>
        <w:t>挥</w:t>
      </w:r>
      <w:r>
        <w:t>发性有机物污染防治技术规范（DB41/T 1946-2020）》相符性分析</w:t>
      </w:r>
    </w:p>
    <w:p w14:paraId="03AC949E">
      <w:pPr>
        <w:numPr>
          <w:ilvl w:val="0"/>
          <w:numId w:val="28"/>
        </w:numPr>
        <w:ind w:left="425" w:leftChars="0" w:hanging="425" w:firstLineChars="0"/>
        <w:jc w:val="center"/>
        <w:rPr>
          <w:rFonts w:hint="eastAsia" w:ascii="Times New Roman" w:hAnsi="Times New Roman" w:eastAsia="宋体" w:cs="Times New Roman"/>
          <w:b/>
          <w:bCs/>
        </w:rPr>
      </w:pPr>
      <w:r>
        <w:rPr>
          <w:rFonts w:hint="eastAsia" w:ascii="Times New Roman" w:hAnsi="Times New Roman" w:eastAsia="宋体" w:cs="Times New Roman"/>
          <w:b/>
          <w:bCs/>
        </w:rPr>
        <w:t xml:space="preserve"> 与（DB41/T 1946-2020）相符性分析</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5633"/>
        <w:gridCol w:w="2325"/>
      </w:tblGrid>
      <w:tr w14:paraId="6A90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347411B0">
            <w:pPr>
              <w:jc w:val="center"/>
              <w:rPr>
                <w:rFonts w:ascii="Times New Roman" w:hAnsi="Times New Roman" w:eastAsia="宋体" w:cs="Times New Roman"/>
                <w:bCs/>
                <w:szCs w:val="21"/>
              </w:rPr>
            </w:pPr>
            <w:r>
              <w:rPr>
                <w:rFonts w:ascii="Times New Roman" w:hAnsi="Times New Roman" w:eastAsia="宋体" w:cs="Times New Roman"/>
                <w:bCs/>
                <w:szCs w:val="21"/>
              </w:rPr>
              <w:t>类别</w:t>
            </w:r>
          </w:p>
        </w:tc>
        <w:tc>
          <w:tcPr>
            <w:tcW w:w="5633" w:type="dxa"/>
            <w:vAlign w:val="center"/>
          </w:tcPr>
          <w:p w14:paraId="28E99F9C">
            <w:pPr>
              <w:jc w:val="center"/>
              <w:rPr>
                <w:rFonts w:ascii="Times New Roman" w:hAnsi="Times New Roman" w:eastAsia="宋体" w:cs="Times New Roman"/>
                <w:bCs/>
                <w:szCs w:val="21"/>
              </w:rPr>
            </w:pPr>
            <w:r>
              <w:rPr>
                <w:rFonts w:ascii="Times New Roman" w:hAnsi="Times New Roman" w:eastAsia="宋体" w:cs="Times New Roman"/>
                <w:bCs/>
                <w:szCs w:val="21"/>
              </w:rPr>
              <w:t>有关技污染防治技术规范</w:t>
            </w:r>
          </w:p>
        </w:tc>
        <w:tc>
          <w:tcPr>
            <w:tcW w:w="2325" w:type="dxa"/>
            <w:vAlign w:val="center"/>
          </w:tcPr>
          <w:p w14:paraId="254C2B93">
            <w:pPr>
              <w:jc w:val="center"/>
              <w:rPr>
                <w:rFonts w:ascii="Times New Roman" w:hAnsi="Times New Roman" w:eastAsia="宋体" w:cs="Times New Roman"/>
                <w:bCs/>
                <w:szCs w:val="21"/>
              </w:rPr>
            </w:pPr>
            <w:r>
              <w:rPr>
                <w:rFonts w:ascii="Times New Roman" w:hAnsi="Times New Roman" w:eastAsia="宋体" w:cs="Times New Roman"/>
                <w:bCs/>
                <w:szCs w:val="21"/>
              </w:rPr>
              <w:t>本项目措施</w:t>
            </w:r>
          </w:p>
        </w:tc>
      </w:tr>
      <w:tr w14:paraId="6BC9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66A091DF">
            <w:pPr>
              <w:jc w:val="center"/>
              <w:rPr>
                <w:rFonts w:ascii="Times New Roman" w:hAnsi="Times New Roman" w:eastAsia="宋体" w:cs="Times New Roman"/>
                <w:bCs/>
                <w:szCs w:val="21"/>
              </w:rPr>
            </w:pPr>
            <w:r>
              <w:rPr>
                <w:rFonts w:ascii="Times New Roman" w:hAnsi="Times New Roman" w:eastAsia="宋体" w:cs="Times New Roman"/>
                <w:bCs/>
                <w:szCs w:val="21"/>
              </w:rPr>
              <w:t>1、总体要求</w:t>
            </w:r>
          </w:p>
        </w:tc>
        <w:tc>
          <w:tcPr>
            <w:tcW w:w="5633" w:type="dxa"/>
            <w:vAlign w:val="center"/>
          </w:tcPr>
          <w:p w14:paraId="7A19D331">
            <w:pPr>
              <w:jc w:val="center"/>
              <w:rPr>
                <w:rFonts w:ascii="Times New Roman" w:hAnsi="Times New Roman" w:eastAsia="宋体" w:cs="Times New Roman"/>
                <w:bCs/>
                <w:szCs w:val="21"/>
              </w:rPr>
            </w:pPr>
            <w:r>
              <w:rPr>
                <w:rFonts w:ascii="Times New Roman" w:hAnsi="Times New Roman" w:eastAsia="宋体" w:cs="Times New Roman"/>
                <w:bCs/>
                <w:szCs w:val="21"/>
              </w:rPr>
              <w:t>1.1新建企业原则上应进入园区，并符合规划及政策要求，涂装工序的设置应满足环境防护距离要求。1.2坚持源头控制、过程管理、末端治理和环境管理相结合并防止二次污染的全过程VOCs综合防治原则。1.3VOCs污染治理应满足达标排放、总量控制要求。1.4涉涂装工序企业集中的工业园区和产业集群宜建设集中喷涂中心，配备高效废气处理设施。1.5活性炭使用量大的工业园区和产业集群宜建设区域性活性炭集中再生基地，集中回收、再生利用。</w:t>
            </w:r>
          </w:p>
        </w:tc>
        <w:tc>
          <w:tcPr>
            <w:tcW w:w="2325" w:type="dxa"/>
            <w:vAlign w:val="center"/>
          </w:tcPr>
          <w:p w14:paraId="23613A89">
            <w:pPr>
              <w:jc w:val="center"/>
              <w:rPr>
                <w:rFonts w:ascii="Times New Roman" w:hAnsi="Times New Roman" w:eastAsia="宋体" w:cs="Times New Roman"/>
                <w:bCs/>
                <w:szCs w:val="21"/>
              </w:rPr>
            </w:pPr>
            <w:r>
              <w:rPr>
                <w:rFonts w:ascii="Times New Roman" w:hAnsi="Times New Roman" w:eastAsia="宋体" w:cs="Times New Roman"/>
                <w:bCs/>
                <w:szCs w:val="21"/>
              </w:rPr>
              <w:t>本项目位于</w:t>
            </w:r>
            <w:r>
              <w:rPr>
                <w:rFonts w:hint="eastAsia" w:ascii="Times New Roman" w:hAnsi="Times New Roman" w:eastAsia="宋体" w:cs="Times New Roman"/>
                <w:bCs/>
                <w:szCs w:val="21"/>
              </w:rPr>
              <w:t>清丰县</w:t>
            </w:r>
            <w:r>
              <w:rPr>
                <w:rFonts w:ascii="Times New Roman" w:hAnsi="Times New Roman" w:eastAsia="宋体" w:cs="Times New Roman"/>
                <w:bCs/>
                <w:szCs w:val="21"/>
              </w:rPr>
              <w:t>产业集聚区，项目产生的非甲烷总烃经活性炭吸附脱附催化燃烧装置处理后经15m高排气筒排放，可以满足相应排放标准，项目所在园区不涉及企业集中喷涂。</w:t>
            </w:r>
          </w:p>
        </w:tc>
      </w:tr>
      <w:tr w14:paraId="2A16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051FB131">
            <w:pPr>
              <w:jc w:val="center"/>
              <w:rPr>
                <w:rFonts w:ascii="Times New Roman" w:hAnsi="Times New Roman" w:eastAsia="宋体" w:cs="Times New Roman"/>
                <w:bCs/>
                <w:szCs w:val="21"/>
              </w:rPr>
            </w:pPr>
            <w:r>
              <w:rPr>
                <w:rFonts w:ascii="Times New Roman" w:hAnsi="Times New Roman" w:eastAsia="宋体" w:cs="Times New Roman"/>
                <w:bCs/>
                <w:szCs w:val="21"/>
              </w:rPr>
              <w:t>2、源头控制</w:t>
            </w:r>
          </w:p>
        </w:tc>
        <w:tc>
          <w:tcPr>
            <w:tcW w:w="5633" w:type="dxa"/>
            <w:vAlign w:val="center"/>
          </w:tcPr>
          <w:p w14:paraId="443B8AEC">
            <w:pPr>
              <w:jc w:val="center"/>
              <w:rPr>
                <w:rFonts w:ascii="Times New Roman" w:hAnsi="Times New Roman" w:eastAsia="宋体" w:cs="Times New Roman"/>
                <w:bCs/>
                <w:szCs w:val="21"/>
              </w:rPr>
            </w:pPr>
            <w:r>
              <w:rPr>
                <w:rFonts w:ascii="Times New Roman" w:hAnsi="Times New Roman" w:eastAsia="宋体" w:cs="Times New Roman"/>
                <w:bCs/>
                <w:szCs w:val="21"/>
              </w:rPr>
              <w:t>2.1强化源头替代。宜采用粉末、水性、高固体分、辐射固化等低VOCs含量涂料，以及低VOCs含量、低反应活性的清洗剂，替代溶剂型涂料、清洗剂。2.2使用的低VOCs含量原辅材料应符合相应标准要求。2.3涂装工艺、设备选择推广紧凑式涂装工艺，减少涂覆、烘干次数。2.4采用高效涂装设备，提高涂覆效率。采用静电喷涂、高压无气喷涂、辊涂等技术，减少空气喷涂的应用；推广自动化、智能化喷涂替代人工喷涂。</w:t>
            </w:r>
          </w:p>
        </w:tc>
        <w:tc>
          <w:tcPr>
            <w:tcW w:w="2325" w:type="dxa"/>
            <w:vAlign w:val="center"/>
          </w:tcPr>
          <w:p w14:paraId="43AC6C3B">
            <w:pPr>
              <w:jc w:val="center"/>
              <w:rPr>
                <w:rFonts w:ascii="Times New Roman" w:hAnsi="Times New Roman" w:eastAsia="宋体" w:cs="Times New Roman"/>
                <w:bCs/>
                <w:szCs w:val="21"/>
              </w:rPr>
            </w:pPr>
            <w:r>
              <w:rPr>
                <w:rFonts w:ascii="Times New Roman" w:hAnsi="Times New Roman" w:eastAsia="宋体" w:cs="Times New Roman"/>
                <w:bCs/>
                <w:szCs w:val="21"/>
              </w:rPr>
              <w:t>本项目所使用漆料符合《低挥发性有机化合物含量涂料产品技术要求（GB T 38597-2020）》标准。</w:t>
            </w:r>
          </w:p>
        </w:tc>
      </w:tr>
      <w:tr w14:paraId="785F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1E9ABE7D">
            <w:pPr>
              <w:jc w:val="center"/>
              <w:rPr>
                <w:rFonts w:ascii="Times New Roman" w:hAnsi="Times New Roman" w:eastAsia="宋体" w:cs="Times New Roman"/>
                <w:bCs/>
                <w:szCs w:val="21"/>
              </w:rPr>
            </w:pPr>
            <w:r>
              <w:rPr>
                <w:rFonts w:ascii="Times New Roman" w:hAnsi="Times New Roman" w:eastAsia="宋体" w:cs="Times New Roman"/>
                <w:bCs/>
                <w:szCs w:val="21"/>
              </w:rPr>
              <w:t>3、过程管理</w:t>
            </w:r>
          </w:p>
        </w:tc>
        <w:tc>
          <w:tcPr>
            <w:tcW w:w="5633" w:type="dxa"/>
            <w:vAlign w:val="center"/>
          </w:tcPr>
          <w:p w14:paraId="54F345E6">
            <w:pPr>
              <w:jc w:val="center"/>
              <w:rPr>
                <w:rFonts w:ascii="Times New Roman" w:hAnsi="Times New Roman" w:eastAsia="宋体" w:cs="Times New Roman"/>
                <w:bCs/>
                <w:szCs w:val="21"/>
              </w:rPr>
            </w:pPr>
            <w:r>
              <w:rPr>
                <w:rFonts w:ascii="Times New Roman" w:hAnsi="Times New Roman" w:eastAsia="宋体" w:cs="Times New Roman"/>
                <w:bCs/>
                <w:szCs w:val="21"/>
              </w:rPr>
              <w:t>3.1贮存过程：VOCs原辅材料应存储于密闭容器内，并存放于封闭空间。确保VOCs原辅材料贮存过程中容器加盖、封口，无破损、无泄漏，保持密闭。3.2调配过程：VOCs原辅材料的调配应在密闭装置或封闭空间内进行，计量、搅拌、调配过程产生的废气应收集处理。3.3输送过程：VOCs原辅材料应采用密闭管道或采用密闭容器输送。VOCs原辅材料在贮存、调配、输送过程中一旦发现泄漏，应及时修复和处置。3.4涂装过程：喷枪选择。根据涂装对象大小和形状选择合适的喷枪，平面状大型被涂物可选用大型喷枪，涂装对象小、凹凸不规则或局部涂装作业时宜使用小型喷枪，涂料用量少的情况下宜使用重力式喷枪。喷涂操作。降低喷枪压力和喷涂速率并保持平衡，喷枪应与被涂面垂直，喷涂距离宜15cm～20cm，喷枪运行速度宜0.4m/s～0.7m/s。换色作业。准确控制换色涂料用量，缩短换色时间，按照从浅到深的顺序涂装。类似颜色涂装宜持续作业、批量完成。装备设施。涂覆、流平、干燥等作业应在封闭空间内操作，保持门窗为常闭状态，废气收集排至VOCs处理设施。无法在封闭空间内操作的，应采取局部废气收集措施，废气收集排至VOCs处理设施。涂料回收。对于涂料可回收的喷涂工艺及设备，应配备涂料回收装置，回收的涂料循环利用。3.5清洗过程合理控制有机清洗剂用量，少量多次清洗。集中清洗应在密闭装置或封闭空间内进行，清洗过程产生的VOCs废气应收集处理。使用后的有机清洗剂应放入密闭容器，回收储存。清洗完成后，沾染有机清洗剂的废抹布等应放入密闭容器，减少无组织排放。</w:t>
            </w:r>
          </w:p>
        </w:tc>
        <w:tc>
          <w:tcPr>
            <w:tcW w:w="2325" w:type="dxa"/>
            <w:vAlign w:val="center"/>
          </w:tcPr>
          <w:p w14:paraId="76C82E7F">
            <w:pPr>
              <w:jc w:val="center"/>
              <w:rPr>
                <w:rFonts w:ascii="Times New Roman" w:hAnsi="Times New Roman" w:eastAsia="宋体" w:cs="Times New Roman"/>
                <w:bCs/>
                <w:szCs w:val="21"/>
              </w:rPr>
            </w:pPr>
            <w:r>
              <w:rPr>
                <w:rFonts w:ascii="Times New Roman" w:hAnsi="Times New Roman" w:eastAsia="宋体" w:cs="Times New Roman"/>
                <w:bCs/>
                <w:szCs w:val="21"/>
              </w:rPr>
              <w:t>本项目所用漆料能均在密闭的容器内，并存放在车间内部，调漆过程在</w:t>
            </w:r>
            <w:r>
              <w:rPr>
                <w:rFonts w:hint="eastAsia" w:ascii="Times New Roman" w:hAnsi="Times New Roman" w:eastAsia="宋体" w:cs="Times New Roman"/>
                <w:bCs/>
                <w:szCs w:val="21"/>
              </w:rPr>
              <w:t>喷漆</w:t>
            </w:r>
            <w:r>
              <w:rPr>
                <w:rFonts w:ascii="Times New Roman" w:hAnsi="Times New Roman" w:eastAsia="宋体" w:cs="Times New Roman"/>
                <w:bCs/>
                <w:szCs w:val="21"/>
              </w:rPr>
              <w:t>房内进行，与</w:t>
            </w:r>
            <w:r>
              <w:rPr>
                <w:rFonts w:hint="eastAsia" w:ascii="Times New Roman" w:hAnsi="Times New Roman" w:eastAsia="宋体" w:cs="Times New Roman"/>
                <w:bCs/>
                <w:szCs w:val="21"/>
              </w:rPr>
              <w:t>喷涂</w:t>
            </w:r>
            <w:r>
              <w:rPr>
                <w:rFonts w:ascii="Times New Roman" w:hAnsi="Times New Roman" w:eastAsia="宋体" w:cs="Times New Roman"/>
                <w:bCs/>
                <w:szCs w:val="21"/>
              </w:rPr>
              <w:t>、烘干废气进入到废气处理装置。</w:t>
            </w:r>
          </w:p>
        </w:tc>
      </w:tr>
      <w:tr w14:paraId="111B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114E1DB4">
            <w:pPr>
              <w:jc w:val="center"/>
              <w:rPr>
                <w:rFonts w:ascii="Times New Roman" w:hAnsi="Times New Roman" w:eastAsia="宋体" w:cs="Times New Roman"/>
                <w:bCs/>
                <w:szCs w:val="21"/>
              </w:rPr>
            </w:pPr>
            <w:r>
              <w:rPr>
                <w:rFonts w:ascii="Times New Roman" w:hAnsi="Times New Roman" w:eastAsia="宋体" w:cs="Times New Roman"/>
                <w:bCs/>
                <w:szCs w:val="21"/>
              </w:rPr>
              <w:t>4、末端治理</w:t>
            </w:r>
          </w:p>
        </w:tc>
        <w:tc>
          <w:tcPr>
            <w:tcW w:w="5633" w:type="dxa"/>
            <w:vAlign w:val="center"/>
          </w:tcPr>
          <w:p w14:paraId="187865E5">
            <w:pPr>
              <w:jc w:val="center"/>
              <w:rPr>
                <w:rFonts w:ascii="Times New Roman" w:hAnsi="Times New Roman" w:eastAsia="宋体" w:cs="Times New Roman"/>
                <w:bCs/>
                <w:szCs w:val="21"/>
              </w:rPr>
            </w:pPr>
            <w:r>
              <w:rPr>
                <w:rFonts w:ascii="Times New Roman" w:hAnsi="Times New Roman" w:eastAsia="宋体" w:cs="Times New Roman"/>
                <w:bCs/>
                <w:szCs w:val="21"/>
              </w:rPr>
              <w:t>4.1排放控制要求：工业涂装工序VOCs排放应符合GB37822、GB16297或相关行业、地方排放标准的规定。收集的废气中非甲烷总烃初始排放速率≥2kg/h时，配置的VOCs处理设施处理效率不低于80%。4.2废气收集：企业应设置高效废气收集系统，考虑生产工艺、操作方式、废气性质、处理方法等因素，对VOCs废气进行分类收集。喷涂、晾干、调配、流平废气宜收集后合并处理。4.3预处理：预处理工艺应根据废气的成分、性质、污染物的含量和后续VOCs处理设施要求等因素进行选择。4.4处理工艺选择：处理工艺选择应遵循安全第一，同时兼顾成熟可靠和经济适用的原则。依据排放废气的浓度、组分、风量、温度、湿度、压力，以及生产工况等，合理选择处理工艺。</w:t>
            </w:r>
          </w:p>
        </w:tc>
        <w:tc>
          <w:tcPr>
            <w:tcW w:w="2325" w:type="dxa"/>
            <w:vAlign w:val="center"/>
          </w:tcPr>
          <w:p w14:paraId="53BB7F53">
            <w:pPr>
              <w:jc w:val="center"/>
              <w:rPr>
                <w:rFonts w:ascii="Times New Roman" w:hAnsi="Times New Roman" w:eastAsia="宋体" w:cs="Times New Roman"/>
                <w:bCs/>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喷涂</w:t>
            </w:r>
            <w:r>
              <w:rPr>
                <w:rFonts w:ascii="Times New Roman" w:hAnsi="Times New Roman" w:eastAsia="宋体" w:cs="Times New Roman"/>
                <w:bCs/>
                <w:szCs w:val="21"/>
              </w:rPr>
              <w:t>及烘干产生的废气经活性炭吸附—脱附催化燃烧装置处理后通过15m高排气筒排放，该处理工艺相对较成熟，经处理后，有机废气排放浓度和排放速率均可满足相应标准。</w:t>
            </w:r>
          </w:p>
        </w:tc>
      </w:tr>
      <w:tr w14:paraId="5B06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7EDA2977">
            <w:pPr>
              <w:jc w:val="center"/>
              <w:rPr>
                <w:rFonts w:ascii="Times New Roman" w:hAnsi="Times New Roman" w:eastAsia="宋体" w:cs="Times New Roman"/>
                <w:bCs/>
                <w:szCs w:val="21"/>
              </w:rPr>
            </w:pPr>
            <w:r>
              <w:rPr>
                <w:rFonts w:ascii="Times New Roman" w:hAnsi="Times New Roman" w:eastAsia="宋体" w:cs="Times New Roman"/>
                <w:bCs/>
                <w:szCs w:val="21"/>
              </w:rPr>
              <w:t>5、二次污染防治</w:t>
            </w:r>
          </w:p>
        </w:tc>
        <w:tc>
          <w:tcPr>
            <w:tcW w:w="5633" w:type="dxa"/>
            <w:vAlign w:val="center"/>
          </w:tcPr>
          <w:p w14:paraId="2CBBC4C1">
            <w:pPr>
              <w:jc w:val="center"/>
              <w:rPr>
                <w:rFonts w:ascii="Times New Roman" w:hAnsi="Times New Roman" w:eastAsia="宋体" w:cs="Times New Roman"/>
                <w:bCs/>
                <w:szCs w:val="21"/>
              </w:rPr>
            </w:pPr>
            <w:r>
              <w:rPr>
                <w:rFonts w:ascii="Times New Roman" w:hAnsi="Times New Roman" w:eastAsia="宋体" w:cs="Times New Roman"/>
                <w:bCs/>
                <w:szCs w:val="21"/>
              </w:rPr>
              <w:t>废有机溶剂、涂料渣、废过滤棉、废吸附剂、废催化剂以及其它含VOCs的废料，按危险废弃物处置要求进行暂存、处理。</w:t>
            </w:r>
          </w:p>
        </w:tc>
        <w:tc>
          <w:tcPr>
            <w:tcW w:w="2325" w:type="dxa"/>
            <w:vAlign w:val="center"/>
          </w:tcPr>
          <w:p w14:paraId="533B3D7D">
            <w:pPr>
              <w:jc w:val="center"/>
              <w:rPr>
                <w:rFonts w:ascii="Times New Roman" w:hAnsi="Times New Roman" w:eastAsia="宋体" w:cs="Times New Roman"/>
                <w:bCs/>
                <w:szCs w:val="21"/>
              </w:rPr>
            </w:pPr>
            <w:r>
              <w:rPr>
                <w:rFonts w:ascii="Times New Roman" w:hAnsi="Times New Roman" w:eastAsia="宋体" w:cs="Times New Roman"/>
                <w:bCs/>
                <w:szCs w:val="21"/>
              </w:rPr>
              <w:t>本项目产生的危险废物经危废暂存间暂存后分别交由相应有资质单位处理。危险废物严格按照《危险废物贮存污染控制标准》</w:t>
            </w:r>
            <w:r>
              <w:rPr>
                <w:rFonts w:hint="eastAsia" w:ascii="Times New Roman" w:hAnsi="Times New Roman" w:eastAsia="宋体" w:cs="Times New Roman"/>
                <w:bCs/>
                <w:szCs w:val="21"/>
              </w:rPr>
              <w:t>（2023）</w:t>
            </w:r>
          </w:p>
        </w:tc>
      </w:tr>
      <w:tr w14:paraId="3820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5F27ABED">
            <w:pPr>
              <w:jc w:val="center"/>
              <w:rPr>
                <w:rFonts w:ascii="Times New Roman" w:hAnsi="Times New Roman" w:eastAsia="宋体" w:cs="Times New Roman"/>
                <w:bCs/>
                <w:szCs w:val="21"/>
              </w:rPr>
            </w:pPr>
            <w:r>
              <w:rPr>
                <w:rFonts w:ascii="Times New Roman" w:hAnsi="Times New Roman" w:eastAsia="宋体" w:cs="Times New Roman"/>
                <w:bCs/>
                <w:szCs w:val="21"/>
              </w:rPr>
              <w:t>6、环境管理</w:t>
            </w:r>
          </w:p>
        </w:tc>
        <w:tc>
          <w:tcPr>
            <w:tcW w:w="5633" w:type="dxa"/>
            <w:vAlign w:val="center"/>
          </w:tcPr>
          <w:p w14:paraId="438A6766">
            <w:pPr>
              <w:jc w:val="center"/>
              <w:rPr>
                <w:rFonts w:ascii="Times New Roman" w:hAnsi="Times New Roman" w:eastAsia="宋体" w:cs="Times New Roman"/>
                <w:bCs/>
                <w:szCs w:val="21"/>
              </w:rPr>
            </w:pPr>
            <w:r>
              <w:rPr>
                <w:rFonts w:ascii="Times New Roman" w:hAnsi="Times New Roman" w:eastAsia="宋体" w:cs="Times New Roman"/>
                <w:bCs/>
                <w:szCs w:val="21"/>
              </w:rPr>
              <w:t>6.1建立全过程防治制度：制定规章制度和激励机制控制单位涂装面积的涂料消耗量。建立运行、维护和操作相关制度及规程，健全主要设备运行台账。建立定期教育培训制度。对专业管理人员和技术人员进行培训，使其掌握治理设备设施的常规 操作和应急状况处理措施。6.2规范污染治理设施的运行维护企业应对治理设施的正常运行和安全管理负责。治理设施的管理应纳入生产管理中，配备专业管理人员和技术人员。治理设施应先于产生废气的生产工艺设备开启、后于生产工艺设备停机，并实现联动控制。经过治理后的废气排放应符合国家和地方环境保护相关规定，治理过程应避免产生二次污染。由于紧急事故或设备维修等原因造成治理设备停止运行时，应立即停止涂装生产，并采取必要措施，减轻对环境的影响，同时立即报告当地生态环境主管部门。企业应按照相应行业排污许可证申请与核发技术规范等国家、地方管理要求，做好VOCs治理工作相关记录台账，台账保存期限不少于3年</w:t>
            </w:r>
          </w:p>
        </w:tc>
        <w:tc>
          <w:tcPr>
            <w:tcW w:w="2325" w:type="dxa"/>
            <w:vAlign w:val="center"/>
          </w:tcPr>
          <w:p w14:paraId="58F999F4">
            <w:pPr>
              <w:jc w:val="center"/>
              <w:rPr>
                <w:rFonts w:ascii="Times New Roman" w:hAnsi="Times New Roman" w:eastAsia="宋体" w:cs="Times New Roman"/>
                <w:bCs/>
                <w:szCs w:val="21"/>
              </w:rPr>
            </w:pPr>
            <w:r>
              <w:rPr>
                <w:rFonts w:ascii="Times New Roman" w:hAnsi="Times New Roman" w:eastAsia="宋体" w:cs="Times New Roman"/>
                <w:bCs/>
                <w:szCs w:val="21"/>
              </w:rPr>
              <w:t>本项目营运后，会建立全过程防治制度，规范污染治理设施的运行维护企业应对治理设施的正常运行和安全管理负责并建立VOCs治理工作相关记录台账</w:t>
            </w:r>
          </w:p>
        </w:tc>
      </w:tr>
    </w:tbl>
    <w:p w14:paraId="38B40F09">
      <w:pPr>
        <w:pStyle w:val="4"/>
        <w:numPr>
          <w:ilvl w:val="2"/>
          <w:numId w:val="0"/>
        </w:numPr>
        <w:ind w:leftChars="0"/>
      </w:pPr>
      <w:r>
        <w:rPr>
          <w:rFonts w:hint="eastAsia"/>
          <w:lang w:val="en-US" w:eastAsia="zh-CN"/>
        </w:rPr>
        <w:t>2.10.6</w:t>
      </w:r>
      <w:r>
        <w:rPr>
          <w:rFonts w:hint="eastAsia"/>
        </w:rPr>
        <w:t>与</w:t>
      </w:r>
      <w:r>
        <w:t>重污染天气应急减排措施相符性分析</w:t>
      </w:r>
    </w:p>
    <w:p w14:paraId="76FDB889">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根据《河南省生态环境保护委员会办公室关于印发河南省2022年大气、水、土壤污染防治攻坚及农业农村污染治理攻坚实施方案的通知》（豫环委办</w:t>
      </w:r>
      <w:r>
        <w:rPr>
          <w:rFonts w:ascii="Times New Roman" w:hAnsi="Times New Roman" w:eastAsia="宋体" w:cs="Times New Roman"/>
          <w:sz w:val="24"/>
          <w:szCs w:val="18"/>
        </w:rPr>
        <w:t>〔2022〕</w:t>
      </w:r>
      <w:r>
        <w:rPr>
          <w:rFonts w:ascii="Times New Roman" w:hAnsi="Times New Roman" w:eastAsia="宋体" w:cs="Times New Roman"/>
          <w:color w:val="000000" w:themeColor="text1"/>
          <w:kern w:val="0"/>
          <w:sz w:val="24"/>
          <w14:textFill>
            <w14:solidFill>
              <w14:schemeClr w14:val="tx1"/>
            </w14:solidFill>
          </w14:textFill>
        </w:rPr>
        <w:t>9号）</w:t>
      </w:r>
      <w:r>
        <w:rPr>
          <w:rFonts w:ascii="Times New Roman" w:hAnsi="Times New Roman" w:cs="Times New Roman"/>
          <w:color w:val="000000" w:themeColor="text1"/>
          <w:kern w:val="0"/>
          <w:sz w:val="24"/>
          <w14:textFill>
            <w14:solidFill>
              <w14:schemeClr w14:val="tx1"/>
            </w14:solidFill>
          </w14:textFill>
        </w:rPr>
        <w:t>、</w:t>
      </w:r>
      <w:r>
        <w:rPr>
          <w:rFonts w:ascii="Times New Roman" w:hAnsi="Times New Roman" w:eastAsia="宋体" w:cs="Times New Roman"/>
          <w:sz w:val="24"/>
          <w:szCs w:val="18"/>
        </w:rPr>
        <w:t>《濮阳市生态环境保护委员会办公室关于印发濮阳市2022年大气、水、土壤污染防治攻坚战及农业农村污染治理攻坚战实施方案的通知》（濮环委办〔2022〕5号）</w:t>
      </w:r>
      <w:r>
        <w:rPr>
          <w:rFonts w:ascii="Times New Roman" w:hAnsi="Times New Roman" w:eastAsia="宋体" w:cs="Times New Roman"/>
          <w:color w:val="000000" w:themeColor="text1"/>
          <w:kern w:val="0"/>
          <w:sz w:val="24"/>
          <w14:textFill>
            <w14:solidFill>
              <w14:schemeClr w14:val="tx1"/>
            </w14:solidFill>
          </w14:textFill>
        </w:rPr>
        <w:t>重点行业企业新建、扩建项目达到A级绩效水平，改建项目达到B级以上绩效水平。本项目属于木质家具制造[C2110]，</w:t>
      </w:r>
      <w:r>
        <w:rPr>
          <w:rFonts w:ascii="Times New Roman" w:hAnsi="Times New Roman" w:eastAsia="宋体" w:cs="Times New Roman"/>
          <w:color w:val="000000" w:themeColor="text1"/>
          <w:kern w:val="0"/>
          <w:sz w:val="24"/>
          <w:lang w:val="zh-CN"/>
          <w14:textFill>
            <w14:solidFill>
              <w14:schemeClr w14:val="tx1"/>
            </w14:solidFill>
          </w14:textFill>
        </w:rPr>
        <w:t>经对照《</w:t>
      </w:r>
      <w:r>
        <w:rPr>
          <w:rFonts w:ascii="Times New Roman" w:hAnsi="Times New Roman" w:eastAsia="宋体" w:cs="Times New Roman"/>
          <w:color w:val="000000" w:themeColor="text1"/>
          <w:kern w:val="0"/>
          <w:sz w:val="24"/>
          <w14:textFill>
            <w14:solidFill>
              <w14:schemeClr w14:val="tx1"/>
            </w14:solidFill>
          </w14:textFill>
        </w:rPr>
        <w:t>关于印发《重污染天气重点行业应急减排措施制定技术指南（2020年修订版）》的函》（环办大气函</w:t>
      </w:r>
      <w:r>
        <w:rPr>
          <w:rFonts w:ascii="Times New Roman" w:hAnsi="Times New Roman" w:eastAsia="宋体" w:cs="Times New Roman"/>
          <w:sz w:val="24"/>
          <w:szCs w:val="18"/>
        </w:rPr>
        <w:t>〔2020〕</w:t>
      </w:r>
      <w:r>
        <w:rPr>
          <w:rFonts w:ascii="Times New Roman" w:hAnsi="Times New Roman" w:eastAsia="宋体" w:cs="Times New Roman"/>
          <w:color w:val="000000" w:themeColor="text1"/>
          <w:kern w:val="0"/>
          <w:sz w:val="24"/>
          <w14:textFill>
            <w14:solidFill>
              <w14:schemeClr w14:val="tx1"/>
            </w14:solidFill>
          </w14:textFill>
        </w:rPr>
        <w:t>340号），本项目属于重点行业中“三十六、家具制造”，应对照A级绩效水平进行建设。</w:t>
      </w:r>
    </w:p>
    <w:p w14:paraId="4EFBE29E">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本项目与技术指南中</w:t>
      </w:r>
      <w:r>
        <w:rPr>
          <w:rFonts w:ascii="Times New Roman" w:hAnsi="Times New Roman" w:cs="Times New Roman"/>
          <w:color w:val="000000" w:themeColor="text1"/>
          <w:kern w:val="0"/>
          <w:sz w:val="24"/>
          <w14:textFill>
            <w14:solidFill>
              <w14:schemeClr w14:val="tx1"/>
            </w14:solidFill>
          </w14:textFill>
        </w:rPr>
        <w:t>家具制造</w:t>
      </w:r>
      <w:r>
        <w:rPr>
          <w:rFonts w:ascii="Times New Roman" w:hAnsi="Times New Roman" w:eastAsia="宋体" w:cs="Times New Roman"/>
          <w:color w:val="000000" w:themeColor="text1"/>
          <w:kern w:val="0"/>
          <w:sz w:val="24"/>
          <w14:textFill>
            <w14:solidFill>
              <w14:schemeClr w14:val="tx1"/>
            </w14:solidFill>
          </w14:textFill>
        </w:rPr>
        <w:t>行业绩效分级</w:t>
      </w:r>
      <w:r>
        <w:rPr>
          <w:rFonts w:ascii="Times New Roman" w:hAnsi="Times New Roman" w:cs="Times New Roman"/>
          <w:color w:val="000000" w:themeColor="text1"/>
          <w:kern w:val="0"/>
          <w:sz w:val="24"/>
          <w14:textFill>
            <w14:solidFill>
              <w14:schemeClr w14:val="tx1"/>
            </w14:solidFill>
          </w14:textFill>
        </w:rPr>
        <w:t>A级</w:t>
      </w:r>
      <w:r>
        <w:rPr>
          <w:rFonts w:ascii="Times New Roman" w:hAnsi="Times New Roman" w:eastAsia="宋体" w:cs="Times New Roman"/>
          <w:color w:val="000000" w:themeColor="text1"/>
          <w:kern w:val="0"/>
          <w:sz w:val="24"/>
          <w14:textFill>
            <w14:solidFill>
              <w14:schemeClr w14:val="tx1"/>
            </w14:solidFill>
          </w14:textFill>
        </w:rPr>
        <w:t>指标对照</w:t>
      </w:r>
      <w:r>
        <w:rPr>
          <w:rFonts w:ascii="Times New Roman" w:hAnsi="Times New Roman" w:cs="Times New Roman"/>
          <w:color w:val="000000" w:themeColor="text1"/>
          <w:kern w:val="0"/>
          <w:sz w:val="24"/>
          <w14:textFill>
            <w14:solidFill>
              <w14:schemeClr w14:val="tx1"/>
            </w14:solidFill>
          </w14:textFill>
        </w:rPr>
        <w:t>见下表</w:t>
      </w:r>
      <w:r>
        <w:rPr>
          <w:rFonts w:ascii="Times New Roman" w:hAnsi="Times New Roman" w:eastAsia="宋体" w:cs="Times New Roman"/>
          <w:color w:val="000000" w:themeColor="text1"/>
          <w:kern w:val="0"/>
          <w:sz w:val="24"/>
          <w14:textFill>
            <w14:solidFill>
              <w14:schemeClr w14:val="tx1"/>
            </w14:solidFill>
          </w14:textFill>
        </w:rPr>
        <w:t>。</w:t>
      </w:r>
    </w:p>
    <w:p w14:paraId="52BA9FD8">
      <w:pPr>
        <w:numPr>
          <w:ilvl w:val="0"/>
          <w:numId w:val="28"/>
        </w:numPr>
        <w:ind w:left="425" w:leftChars="0" w:hanging="425" w:firstLineChars="0"/>
        <w:jc w:val="center"/>
        <w:rPr>
          <w:rFonts w:hint="eastAsia" w:ascii="Times New Roman" w:hAnsi="Times New Roman" w:eastAsia="宋体" w:cs="Times New Roman"/>
          <w:b/>
          <w:bCs/>
        </w:rPr>
      </w:pPr>
      <w:r>
        <w:rPr>
          <w:rFonts w:hint="eastAsia" w:ascii="Times New Roman" w:hAnsi="Times New Roman" w:eastAsia="宋体" w:cs="Times New Roman"/>
          <w:b/>
          <w:bCs/>
        </w:rPr>
        <w:t>本项目与家具行业绩效分级指标（A级）相符性分析一览表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4892"/>
        <w:gridCol w:w="2015"/>
        <w:gridCol w:w="740"/>
      </w:tblGrid>
      <w:tr w14:paraId="0E85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535D172E">
            <w:pPr>
              <w:jc w:val="center"/>
              <w:rPr>
                <w:rFonts w:ascii="Times New Roman" w:hAnsi="Times New Roman" w:eastAsia="宋体" w:cs="Times New Roman"/>
                <w:szCs w:val="21"/>
              </w:rPr>
            </w:pPr>
            <w:r>
              <w:rPr>
                <w:rFonts w:hint="eastAsia" w:ascii="Times New Roman" w:hAnsi="Times New Roman" w:eastAsia="宋体" w:cs="Times New Roman"/>
                <w:szCs w:val="21"/>
              </w:rPr>
              <w:t>差异化</w:t>
            </w:r>
          </w:p>
          <w:p w14:paraId="17D597F4">
            <w:pPr>
              <w:jc w:val="center"/>
              <w:rPr>
                <w:rFonts w:ascii="Times New Roman" w:hAnsi="Times New Roman" w:eastAsia="宋体" w:cs="Times New Roman"/>
                <w:szCs w:val="21"/>
              </w:rPr>
            </w:pPr>
            <w:r>
              <w:rPr>
                <w:rFonts w:hint="eastAsia" w:ascii="Times New Roman" w:hAnsi="Times New Roman" w:eastAsia="宋体" w:cs="Times New Roman"/>
                <w:szCs w:val="21"/>
              </w:rPr>
              <w:t>指标</w:t>
            </w:r>
          </w:p>
        </w:tc>
        <w:tc>
          <w:tcPr>
            <w:tcW w:w="4892" w:type="dxa"/>
            <w:vAlign w:val="center"/>
          </w:tcPr>
          <w:p w14:paraId="204A8889">
            <w:pPr>
              <w:jc w:val="center"/>
              <w:rPr>
                <w:rFonts w:ascii="Times New Roman" w:hAnsi="Times New Roman" w:eastAsia="宋体" w:cs="Times New Roman"/>
                <w:szCs w:val="21"/>
              </w:rPr>
            </w:pPr>
            <w:r>
              <w:rPr>
                <w:rFonts w:hint="eastAsia" w:ascii="Times New Roman" w:hAnsi="Times New Roman" w:eastAsia="宋体" w:cs="Times New Roman"/>
              </w:rPr>
              <w:t>A级企业</w:t>
            </w:r>
          </w:p>
        </w:tc>
        <w:tc>
          <w:tcPr>
            <w:tcW w:w="2015" w:type="dxa"/>
            <w:vAlign w:val="center"/>
          </w:tcPr>
          <w:p w14:paraId="45A3CDF1">
            <w:pPr>
              <w:jc w:val="center"/>
              <w:rPr>
                <w:rFonts w:ascii="Times New Roman" w:hAnsi="Times New Roman" w:eastAsia="宋体" w:cs="Times New Roman"/>
                <w:szCs w:val="21"/>
              </w:rPr>
            </w:pPr>
            <w:r>
              <w:rPr>
                <w:rFonts w:hint="eastAsia" w:ascii="Times New Roman" w:hAnsi="Times New Roman" w:eastAsia="宋体" w:cs="Times New Roman"/>
                <w:szCs w:val="21"/>
              </w:rPr>
              <w:t>本项目情况</w:t>
            </w:r>
          </w:p>
        </w:tc>
        <w:tc>
          <w:tcPr>
            <w:tcW w:w="740" w:type="dxa"/>
            <w:vAlign w:val="center"/>
          </w:tcPr>
          <w:p w14:paraId="3EA6C97F">
            <w:pPr>
              <w:jc w:val="center"/>
              <w:rPr>
                <w:rFonts w:ascii="Times New Roman" w:hAnsi="Times New Roman" w:eastAsia="宋体" w:cs="Times New Roman"/>
                <w:szCs w:val="21"/>
              </w:rPr>
            </w:pPr>
            <w:r>
              <w:rPr>
                <w:rFonts w:hint="eastAsia" w:ascii="Times New Roman" w:hAnsi="Times New Roman" w:eastAsia="宋体" w:cs="Times New Roman"/>
                <w:szCs w:val="21"/>
              </w:rPr>
              <w:t>相符性</w:t>
            </w:r>
          </w:p>
        </w:tc>
      </w:tr>
      <w:tr w14:paraId="3F4D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511C59E8">
            <w:pPr>
              <w:jc w:val="center"/>
              <w:rPr>
                <w:rFonts w:ascii="Times New Roman" w:hAnsi="Times New Roman" w:eastAsia="宋体" w:cs="Times New Roman"/>
                <w:szCs w:val="21"/>
              </w:rPr>
            </w:pPr>
            <w:r>
              <w:rPr>
                <w:rFonts w:hint="eastAsia" w:ascii="Times New Roman" w:hAnsi="Times New Roman" w:eastAsia="宋体" w:cs="Times New Roman"/>
                <w:szCs w:val="21"/>
              </w:rPr>
              <w:t>原辅</w:t>
            </w:r>
          </w:p>
          <w:p w14:paraId="415C2C4A">
            <w:pPr>
              <w:jc w:val="center"/>
              <w:rPr>
                <w:rFonts w:ascii="Times New Roman" w:hAnsi="Times New Roman" w:eastAsia="宋体" w:cs="Times New Roman"/>
                <w:szCs w:val="21"/>
              </w:rPr>
            </w:pPr>
            <w:r>
              <w:rPr>
                <w:rFonts w:hint="eastAsia" w:ascii="Times New Roman" w:hAnsi="Times New Roman" w:eastAsia="宋体" w:cs="Times New Roman"/>
                <w:szCs w:val="21"/>
              </w:rPr>
              <w:t>材料</w:t>
            </w:r>
          </w:p>
        </w:tc>
        <w:tc>
          <w:tcPr>
            <w:tcW w:w="4892" w:type="dxa"/>
            <w:vAlign w:val="center"/>
          </w:tcPr>
          <w:p w14:paraId="6221DB8C">
            <w:pPr>
              <w:rPr>
                <w:rFonts w:ascii="Times New Roman" w:hAnsi="Times New Roman" w:eastAsia="宋体" w:cs="Times New Roman"/>
                <w:szCs w:val="21"/>
              </w:rPr>
            </w:pPr>
            <w:r>
              <w:rPr>
                <w:rFonts w:hint="eastAsia" w:ascii="Times New Roman" w:hAnsi="Times New Roman" w:eastAsia="宋体" w:cs="Times New Roman"/>
                <w:szCs w:val="21"/>
              </w:rPr>
              <w:t>使用的水性涂料（含水性UV、腻子）满足《木器涂料中有害物质限量》（GB18581-2020）要求；使用的无溶剂UV涂料、溶剂型涂料满足《低挥发性有机化合物含量涂料产品技术要求》（GB/T38597-2020）要求；使用的水性和本体胶粘剂满足《胶粘剂挥发性有机化合物限量》33372-2020）要求：使用的清洗剂满足《清洗剂挥发性有机化合物含量限值》（GB38508-2020）要求</w:t>
            </w:r>
          </w:p>
        </w:tc>
        <w:tc>
          <w:tcPr>
            <w:tcW w:w="2015" w:type="dxa"/>
            <w:vAlign w:val="center"/>
          </w:tcPr>
          <w:p w14:paraId="47CA47A8">
            <w:pPr>
              <w:jc w:val="center"/>
              <w:rPr>
                <w:rFonts w:ascii="Times New Roman" w:hAnsi="Times New Roman" w:eastAsia="宋体" w:cs="Times New Roman"/>
                <w:szCs w:val="21"/>
              </w:rPr>
            </w:pPr>
            <w:r>
              <w:rPr>
                <w:rFonts w:hint="eastAsia" w:ascii="Times New Roman" w:hAnsi="Times New Roman" w:eastAsia="宋体" w:cs="Times New Roman"/>
                <w:szCs w:val="21"/>
              </w:rPr>
              <w:t>根据前文分析，本项目使用的涂料均符合相应标准要求</w:t>
            </w:r>
          </w:p>
        </w:tc>
        <w:tc>
          <w:tcPr>
            <w:tcW w:w="740" w:type="dxa"/>
            <w:vAlign w:val="center"/>
          </w:tcPr>
          <w:p w14:paraId="3F5A3B2D">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73A4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0F4CC36A">
            <w:pPr>
              <w:jc w:val="center"/>
              <w:rPr>
                <w:rFonts w:ascii="Times New Roman" w:hAnsi="Times New Roman" w:eastAsia="宋体" w:cs="Times New Roman"/>
                <w:szCs w:val="21"/>
              </w:rPr>
            </w:pPr>
            <w:r>
              <w:rPr>
                <w:rFonts w:hint="eastAsia" w:ascii="Times New Roman" w:hAnsi="Times New Roman" w:eastAsia="宋体" w:cs="Times New Roman"/>
                <w:szCs w:val="21"/>
              </w:rPr>
              <w:t>生产</w:t>
            </w:r>
          </w:p>
          <w:p w14:paraId="6E09E261">
            <w:pPr>
              <w:jc w:val="center"/>
              <w:rPr>
                <w:rFonts w:ascii="Times New Roman" w:hAnsi="Times New Roman" w:eastAsia="宋体" w:cs="Times New Roman"/>
                <w:szCs w:val="21"/>
              </w:rPr>
            </w:pPr>
            <w:r>
              <w:rPr>
                <w:rFonts w:hint="eastAsia" w:ascii="Times New Roman" w:hAnsi="Times New Roman" w:eastAsia="宋体" w:cs="Times New Roman"/>
                <w:szCs w:val="21"/>
              </w:rPr>
              <w:t>工艺</w:t>
            </w:r>
          </w:p>
        </w:tc>
        <w:tc>
          <w:tcPr>
            <w:tcW w:w="4892" w:type="dxa"/>
            <w:vAlign w:val="center"/>
          </w:tcPr>
          <w:p w14:paraId="105FFC85">
            <w:pPr>
              <w:jc w:val="center"/>
              <w:rPr>
                <w:rFonts w:ascii="Times New Roman" w:hAnsi="Times New Roman" w:eastAsia="宋体" w:cs="Times New Roman"/>
                <w:szCs w:val="21"/>
              </w:rPr>
            </w:pPr>
            <w:r>
              <w:rPr>
                <w:rFonts w:hint="eastAsia" w:ascii="Times New Roman" w:hAnsi="Times New Roman" w:eastAsia="宋体" w:cs="Times New Roman"/>
                <w:szCs w:val="21"/>
              </w:rPr>
              <w:t>80%以上的产品使用高效涂装设备，包括往复式喷涂箱、辊涂、淋涂、机械手、经典喷涂等技术</w:t>
            </w:r>
          </w:p>
        </w:tc>
        <w:tc>
          <w:tcPr>
            <w:tcW w:w="2015" w:type="dxa"/>
            <w:vAlign w:val="center"/>
          </w:tcPr>
          <w:p w14:paraId="76FE0143">
            <w:pPr>
              <w:jc w:val="center"/>
              <w:rPr>
                <w:rFonts w:ascii="Times New Roman" w:hAnsi="Times New Roman" w:eastAsia="宋体" w:cs="Times New Roman"/>
                <w:szCs w:val="21"/>
              </w:rPr>
            </w:pPr>
            <w:r>
              <w:rPr>
                <w:rFonts w:hint="eastAsia" w:ascii="Times New Roman" w:hAnsi="Times New Roman" w:eastAsia="宋体" w:cs="Times New Roman"/>
                <w:szCs w:val="21"/>
              </w:rPr>
              <w:t>本项目约80%的产品采用自动喷涂线作业</w:t>
            </w:r>
          </w:p>
        </w:tc>
        <w:tc>
          <w:tcPr>
            <w:tcW w:w="740" w:type="dxa"/>
            <w:vAlign w:val="center"/>
          </w:tcPr>
          <w:p w14:paraId="79D8E93E">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107E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52512B7A">
            <w:pPr>
              <w:jc w:val="center"/>
              <w:rPr>
                <w:rFonts w:ascii="Times New Roman" w:hAnsi="Times New Roman" w:eastAsia="宋体" w:cs="Times New Roman"/>
                <w:szCs w:val="21"/>
              </w:rPr>
            </w:pPr>
            <w:r>
              <w:rPr>
                <w:rFonts w:hint="eastAsia" w:ascii="Times New Roman" w:hAnsi="Times New Roman" w:eastAsia="宋体" w:cs="Times New Roman"/>
                <w:szCs w:val="21"/>
              </w:rPr>
              <w:t>无组织排放</w:t>
            </w:r>
          </w:p>
        </w:tc>
        <w:tc>
          <w:tcPr>
            <w:tcW w:w="4892" w:type="dxa"/>
            <w:vAlign w:val="center"/>
          </w:tcPr>
          <w:p w14:paraId="0D2CE146">
            <w:pPr>
              <w:jc w:val="center"/>
              <w:rPr>
                <w:rFonts w:ascii="Times New Roman" w:hAnsi="Times New Roman" w:eastAsia="宋体" w:cs="Times New Roman"/>
                <w:szCs w:val="21"/>
              </w:rPr>
            </w:pPr>
            <w:r>
              <w:rPr>
                <w:rFonts w:hint="eastAsia" w:ascii="Times New Roman" w:hAnsi="Times New Roman" w:eastAsia="宋体" w:cs="Times New Roman"/>
                <w:szCs w:val="21"/>
              </w:rPr>
              <w:t>涂料、稀释剂、清洗剂等原辅材料密闭储存。原辅材料调配、使用、回收等过程采用密闭设备或在密闭空间内操作，采用密闭管道或密闭容器等输送；施胶、调配、喷涂、流平和干燥工序在密闭空间内操作，废气排至VOCs废气收集处理系统</w:t>
            </w:r>
          </w:p>
        </w:tc>
        <w:tc>
          <w:tcPr>
            <w:tcW w:w="2015" w:type="dxa"/>
            <w:vAlign w:val="center"/>
          </w:tcPr>
          <w:p w14:paraId="579A9E73">
            <w:pPr>
              <w:jc w:val="center"/>
              <w:rPr>
                <w:rFonts w:ascii="Times New Roman" w:hAnsi="Times New Roman" w:eastAsia="宋体" w:cs="Times New Roman"/>
                <w:szCs w:val="21"/>
              </w:rPr>
            </w:pPr>
            <w:r>
              <w:rPr>
                <w:rFonts w:hint="eastAsia" w:ascii="Times New Roman" w:hAnsi="Times New Roman" w:eastAsia="宋体" w:cs="Times New Roman"/>
                <w:szCs w:val="21"/>
              </w:rPr>
              <w:t>本项目调漆在喷漆室内进行调漆</w:t>
            </w:r>
          </w:p>
        </w:tc>
        <w:tc>
          <w:tcPr>
            <w:tcW w:w="740" w:type="dxa"/>
            <w:vAlign w:val="center"/>
          </w:tcPr>
          <w:p w14:paraId="59ED1A77">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26CA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316729D">
            <w:pPr>
              <w:jc w:val="center"/>
              <w:rPr>
                <w:rFonts w:ascii="Times New Roman" w:hAnsi="Times New Roman" w:eastAsia="宋体" w:cs="Times New Roman"/>
                <w:szCs w:val="21"/>
              </w:rPr>
            </w:pPr>
          </w:p>
        </w:tc>
        <w:tc>
          <w:tcPr>
            <w:tcW w:w="4892" w:type="dxa"/>
            <w:vAlign w:val="center"/>
          </w:tcPr>
          <w:p w14:paraId="68652836">
            <w:pPr>
              <w:jc w:val="center"/>
              <w:rPr>
                <w:rFonts w:ascii="Times New Roman" w:hAnsi="Times New Roman" w:eastAsia="宋体" w:cs="Times New Roman"/>
                <w:szCs w:val="21"/>
              </w:rPr>
            </w:pPr>
            <w:r>
              <w:rPr>
                <w:rFonts w:hint="eastAsia" w:ascii="Times New Roman" w:hAnsi="Times New Roman" w:eastAsia="宋体" w:cs="Times New Roman"/>
                <w:szCs w:val="21"/>
              </w:rPr>
              <w:t>开料、砂光等工序设置中央除尘系统；机加工、打磨工序设置中央除尘系统或袋式除尘、滤筒除尘等除尘工艺</w:t>
            </w:r>
          </w:p>
        </w:tc>
        <w:tc>
          <w:tcPr>
            <w:tcW w:w="2015" w:type="dxa"/>
            <w:vAlign w:val="center"/>
          </w:tcPr>
          <w:p w14:paraId="47C8D1FD">
            <w:pPr>
              <w:jc w:val="center"/>
              <w:rPr>
                <w:rFonts w:ascii="Times New Roman" w:hAnsi="Times New Roman" w:eastAsia="宋体" w:cs="Times New Roman"/>
                <w:szCs w:val="21"/>
              </w:rPr>
            </w:pPr>
            <w:r>
              <w:rPr>
                <w:rFonts w:hint="eastAsia" w:ascii="Times New Roman" w:hAnsi="Times New Roman" w:eastAsia="宋体" w:cs="Times New Roman"/>
                <w:szCs w:val="21"/>
              </w:rPr>
              <w:t>开料、砂光、机加工、打磨工序中央除尘系统</w:t>
            </w:r>
          </w:p>
        </w:tc>
        <w:tc>
          <w:tcPr>
            <w:tcW w:w="740" w:type="dxa"/>
            <w:vAlign w:val="center"/>
          </w:tcPr>
          <w:p w14:paraId="652A61E7">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73B9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6511E7D2">
            <w:pPr>
              <w:jc w:val="center"/>
              <w:rPr>
                <w:rFonts w:ascii="Times New Roman" w:hAnsi="Times New Roman" w:eastAsia="宋体" w:cs="Times New Roman"/>
                <w:szCs w:val="21"/>
              </w:rPr>
            </w:pPr>
            <w:r>
              <w:rPr>
                <w:rFonts w:hint="eastAsia" w:ascii="Times New Roman" w:hAnsi="Times New Roman" w:eastAsia="宋体" w:cs="Times New Roman"/>
                <w:szCs w:val="21"/>
              </w:rPr>
              <w:t>废气治理工艺</w:t>
            </w:r>
          </w:p>
        </w:tc>
        <w:tc>
          <w:tcPr>
            <w:tcW w:w="4892" w:type="dxa"/>
            <w:vAlign w:val="center"/>
          </w:tcPr>
          <w:p w14:paraId="52F320E5">
            <w:pPr>
              <w:numPr>
                <w:ilvl w:val="0"/>
                <w:numId w:val="29"/>
              </w:numPr>
              <w:rPr>
                <w:rFonts w:ascii="Times New Roman" w:hAnsi="Times New Roman" w:eastAsia="宋体" w:cs="Times New Roman"/>
                <w:szCs w:val="21"/>
              </w:rPr>
            </w:pPr>
            <w:r>
              <w:rPr>
                <w:rFonts w:hint="eastAsia" w:ascii="Times New Roman" w:hAnsi="Times New Roman" w:eastAsia="宋体" w:cs="Times New Roman"/>
                <w:szCs w:val="21"/>
              </w:rPr>
              <w:t>溶剂型涂料：涂饰（含UV涂料喷涂）、干燥、调配、流平等废气采用漆雾预处理+吸附浓缩+燃烧（蓄热燃烧、催化燃烧）工艺处理；</w:t>
            </w:r>
          </w:p>
          <w:p w14:paraId="237AFAAF">
            <w:pPr>
              <w:numPr>
                <w:ilvl w:val="0"/>
                <w:numId w:val="29"/>
              </w:numPr>
              <w:rPr>
                <w:rFonts w:ascii="Times New Roman" w:hAnsi="Times New Roman" w:eastAsia="宋体" w:cs="Times New Roman"/>
                <w:szCs w:val="21"/>
              </w:rPr>
            </w:pPr>
            <w:r>
              <w:rPr>
                <w:rFonts w:hint="eastAsia" w:ascii="Times New Roman" w:hAnsi="Times New Roman" w:eastAsia="宋体" w:cs="Times New Roman"/>
                <w:szCs w:val="21"/>
              </w:rPr>
              <w:t>其他涂料：涂饰、干燥、调配、流平等废气漆雾预处理+吸附浓缩+燃烧（蓄热燃烧、催化燃烧），NMHC排放速率≤2kg/h末端采用漆雾预处理+吸附法等技术工艺处理</w:t>
            </w:r>
          </w:p>
        </w:tc>
        <w:tc>
          <w:tcPr>
            <w:tcW w:w="2015" w:type="dxa"/>
            <w:vAlign w:val="center"/>
          </w:tcPr>
          <w:p w14:paraId="6DBFF18E">
            <w:pPr>
              <w:jc w:val="center"/>
              <w:rPr>
                <w:rFonts w:ascii="Times New Roman" w:hAnsi="Times New Roman" w:eastAsia="宋体" w:cs="Times New Roman"/>
                <w:szCs w:val="21"/>
              </w:rPr>
            </w:pPr>
            <w:r>
              <w:rPr>
                <w:rFonts w:hint="eastAsia" w:ascii="Times New Roman" w:hAnsi="Times New Roman" w:eastAsia="宋体" w:cs="Times New Roman"/>
                <w:szCs w:val="21"/>
              </w:rPr>
              <w:t>本项目喷漆在水帘喷漆室进行，漆雾经水帘吸收后进入废气处理系统，废气处理工艺为“活性炭吸附浓缩脱附+催化燃烧装置”。</w:t>
            </w:r>
          </w:p>
        </w:tc>
        <w:tc>
          <w:tcPr>
            <w:tcW w:w="740" w:type="dxa"/>
            <w:vAlign w:val="center"/>
          </w:tcPr>
          <w:p w14:paraId="531B9B45">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57F6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7718095D">
            <w:pPr>
              <w:jc w:val="center"/>
              <w:rPr>
                <w:rFonts w:ascii="Times New Roman" w:hAnsi="Times New Roman" w:eastAsia="宋体" w:cs="Times New Roman"/>
                <w:szCs w:val="21"/>
              </w:rPr>
            </w:pPr>
            <w:r>
              <w:rPr>
                <w:rFonts w:hint="eastAsia" w:ascii="Times New Roman" w:hAnsi="Times New Roman" w:eastAsia="宋体" w:cs="Times New Roman"/>
                <w:szCs w:val="21"/>
              </w:rPr>
              <w:t>排放</w:t>
            </w:r>
          </w:p>
          <w:p w14:paraId="0762AE00">
            <w:pPr>
              <w:jc w:val="center"/>
              <w:rPr>
                <w:rFonts w:ascii="Times New Roman" w:hAnsi="Times New Roman" w:eastAsia="宋体" w:cs="Times New Roman"/>
                <w:szCs w:val="21"/>
              </w:rPr>
            </w:pPr>
            <w:r>
              <w:rPr>
                <w:rFonts w:hint="eastAsia" w:ascii="Times New Roman" w:hAnsi="Times New Roman" w:eastAsia="宋体" w:cs="Times New Roman"/>
                <w:szCs w:val="21"/>
              </w:rPr>
              <w:t>限值</w:t>
            </w:r>
          </w:p>
        </w:tc>
        <w:tc>
          <w:tcPr>
            <w:tcW w:w="4892" w:type="dxa"/>
            <w:vAlign w:val="center"/>
          </w:tcPr>
          <w:p w14:paraId="5AD2B658">
            <w:pPr>
              <w:jc w:val="center"/>
              <w:rPr>
                <w:rFonts w:ascii="Times New Roman" w:hAnsi="Times New Roman" w:eastAsia="宋体" w:cs="Times New Roman"/>
                <w:szCs w:val="21"/>
              </w:rPr>
            </w:pPr>
            <w:r>
              <w:rPr>
                <w:rFonts w:hint="eastAsia" w:ascii="Times New Roman" w:hAnsi="Times New Roman" w:eastAsia="宋体" w:cs="Times New Roman"/>
                <w:szCs w:val="21"/>
              </w:rPr>
              <w:t>PM、NMHC排放浓度分别不高于10、20mg/m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；且所有污染物稳定达到地标排放限值</w:t>
            </w:r>
          </w:p>
        </w:tc>
        <w:tc>
          <w:tcPr>
            <w:tcW w:w="2015" w:type="dxa"/>
            <w:vAlign w:val="center"/>
          </w:tcPr>
          <w:p w14:paraId="4EC6F692">
            <w:pPr>
              <w:jc w:val="center"/>
              <w:rPr>
                <w:rFonts w:ascii="Times New Roman" w:hAnsi="Times New Roman" w:eastAsia="宋体" w:cs="Times New Roman"/>
                <w:szCs w:val="21"/>
              </w:rPr>
            </w:pPr>
            <w:r>
              <w:rPr>
                <w:rFonts w:hint="eastAsia" w:ascii="Times New Roman" w:hAnsi="Times New Roman" w:eastAsia="宋体" w:cs="Times New Roman"/>
                <w:szCs w:val="21"/>
              </w:rPr>
              <w:t>本项目PM、NMHC排放浓度分别不高于10、20mg/m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；且所有污染物稳定达到地标排放限值</w:t>
            </w:r>
          </w:p>
        </w:tc>
        <w:tc>
          <w:tcPr>
            <w:tcW w:w="740" w:type="dxa"/>
            <w:vAlign w:val="center"/>
          </w:tcPr>
          <w:p w14:paraId="772A3AA5">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3975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233FAA15">
            <w:pPr>
              <w:jc w:val="center"/>
              <w:rPr>
                <w:rFonts w:ascii="Times New Roman" w:hAnsi="Times New Roman" w:eastAsia="宋体" w:cs="Times New Roman"/>
                <w:szCs w:val="21"/>
              </w:rPr>
            </w:pPr>
            <w:r>
              <w:rPr>
                <w:rFonts w:hint="eastAsia" w:ascii="Times New Roman" w:hAnsi="Times New Roman" w:eastAsia="宋体" w:cs="Times New Roman"/>
                <w:szCs w:val="21"/>
              </w:rPr>
              <w:t>监测监控水平</w:t>
            </w:r>
          </w:p>
        </w:tc>
        <w:tc>
          <w:tcPr>
            <w:tcW w:w="4892" w:type="dxa"/>
            <w:vAlign w:val="center"/>
          </w:tcPr>
          <w:p w14:paraId="399AF7AA">
            <w:pPr>
              <w:jc w:val="center"/>
              <w:rPr>
                <w:rFonts w:ascii="Times New Roman" w:hAnsi="Times New Roman" w:eastAsia="宋体" w:cs="Times New Roman"/>
                <w:szCs w:val="21"/>
              </w:rPr>
            </w:pPr>
            <w:r>
              <w:rPr>
                <w:rFonts w:hint="eastAsia" w:ascii="Times New Roman" w:hAnsi="Times New Roman" w:eastAsia="宋体" w:cs="Times New Roman"/>
                <w:szCs w:val="21"/>
              </w:rPr>
              <w:t>重点排污企业风量大于1000m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/h的主要排放口安装NMHC自动检测设施（FID检测器），自动监控数据保存一年以上</w:t>
            </w:r>
          </w:p>
        </w:tc>
        <w:tc>
          <w:tcPr>
            <w:tcW w:w="2015" w:type="dxa"/>
            <w:vAlign w:val="center"/>
          </w:tcPr>
          <w:p w14:paraId="0E14F471">
            <w:pPr>
              <w:jc w:val="center"/>
              <w:rPr>
                <w:rFonts w:ascii="Times New Roman" w:hAnsi="Times New Roman" w:eastAsia="宋体" w:cs="Times New Roman"/>
                <w:szCs w:val="21"/>
              </w:rPr>
            </w:pPr>
            <w:r>
              <w:rPr>
                <w:rFonts w:hint="eastAsia" w:ascii="Times New Roman" w:hAnsi="Times New Roman" w:eastAsia="宋体" w:cs="Times New Roman"/>
                <w:szCs w:val="21"/>
              </w:rPr>
              <w:t>本企业不属于重点排污企业</w:t>
            </w:r>
          </w:p>
        </w:tc>
        <w:tc>
          <w:tcPr>
            <w:tcW w:w="740" w:type="dxa"/>
            <w:vAlign w:val="center"/>
          </w:tcPr>
          <w:p w14:paraId="53DB2E60">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1D87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57CCD0AD">
            <w:pPr>
              <w:jc w:val="center"/>
              <w:rPr>
                <w:rFonts w:ascii="Times New Roman" w:hAnsi="Times New Roman" w:eastAsia="宋体" w:cs="Times New Roman"/>
                <w:szCs w:val="21"/>
              </w:rPr>
            </w:pPr>
            <w:r>
              <w:rPr>
                <w:rFonts w:hint="eastAsia" w:ascii="Times New Roman" w:hAnsi="Times New Roman" w:eastAsia="宋体" w:cs="Times New Roman"/>
                <w:szCs w:val="21"/>
              </w:rPr>
              <w:t>环境管理水平</w:t>
            </w:r>
          </w:p>
        </w:tc>
        <w:tc>
          <w:tcPr>
            <w:tcW w:w="4892" w:type="dxa"/>
            <w:vAlign w:val="center"/>
          </w:tcPr>
          <w:p w14:paraId="21E10DAF">
            <w:pPr>
              <w:jc w:val="center"/>
              <w:rPr>
                <w:rFonts w:ascii="Times New Roman" w:hAnsi="Times New Roman" w:eastAsia="宋体" w:cs="Times New Roman"/>
                <w:szCs w:val="21"/>
              </w:rPr>
            </w:pPr>
            <w:r>
              <w:rPr>
                <w:rFonts w:ascii="Times New Roman" w:hAnsi="Times New Roman" w:eastAsia="宋体" w:cs="Times New Roman"/>
                <w:szCs w:val="21"/>
              </w:rPr>
              <w:t>环保档案齐全：1、环评批复文件；2、排污许可证及季度、年度执行报告；3、竣工验收文件；4、废气治理设施运行管理规程；5、一年内废气监测报告；6、涂料、胶黏剂、清洗剂中VOCs含量检测报告</w:t>
            </w:r>
            <w:r>
              <w:rPr>
                <w:rFonts w:hint="eastAsia" w:ascii="Times New Roman" w:hAnsi="Times New Roman" w:eastAsia="宋体" w:cs="Times New Roman"/>
                <w:szCs w:val="21"/>
              </w:rPr>
              <w:t>（</w:t>
            </w:r>
            <w:r>
              <w:rPr>
                <w:rFonts w:ascii="Times New Roman" w:hAnsi="Times New Roman" w:eastAsia="宋体" w:cs="Times New Roman"/>
                <w:szCs w:val="21"/>
              </w:rPr>
              <w:t>包括密度、含水率等</w:t>
            </w:r>
            <w:r>
              <w:rPr>
                <w:rFonts w:hint="eastAsia" w:ascii="Times New Roman" w:hAnsi="Times New Roman" w:eastAsia="宋体" w:cs="Times New Roman"/>
                <w:szCs w:val="21"/>
              </w:rPr>
              <w:t>）</w:t>
            </w:r>
          </w:p>
        </w:tc>
        <w:tc>
          <w:tcPr>
            <w:tcW w:w="2015" w:type="dxa"/>
            <w:vMerge w:val="restart"/>
            <w:vAlign w:val="center"/>
          </w:tcPr>
          <w:p w14:paraId="6E5AD42F">
            <w:pPr>
              <w:jc w:val="center"/>
              <w:rPr>
                <w:rFonts w:ascii="Times New Roman" w:hAnsi="Times New Roman" w:eastAsia="宋体" w:cs="Times New Roman"/>
                <w:szCs w:val="21"/>
              </w:rPr>
            </w:pPr>
            <w:r>
              <w:rPr>
                <w:rFonts w:hint="eastAsia" w:ascii="Times New Roman" w:hAnsi="Times New Roman" w:eastAsia="宋体" w:cs="Times New Roman"/>
                <w:szCs w:val="21"/>
              </w:rPr>
              <w:t>本项目建设完成后建立完整的环保档案及台账记录，并配备专职环保人员</w:t>
            </w:r>
          </w:p>
        </w:tc>
        <w:tc>
          <w:tcPr>
            <w:tcW w:w="740" w:type="dxa"/>
            <w:vAlign w:val="center"/>
          </w:tcPr>
          <w:p w14:paraId="1A36758A">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54ED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070916D">
            <w:pPr>
              <w:jc w:val="center"/>
              <w:rPr>
                <w:rFonts w:ascii="Times New Roman" w:hAnsi="Times New Roman" w:eastAsia="宋体" w:cs="Times New Roman"/>
                <w:szCs w:val="21"/>
              </w:rPr>
            </w:pPr>
          </w:p>
        </w:tc>
        <w:tc>
          <w:tcPr>
            <w:tcW w:w="4892" w:type="dxa"/>
            <w:vAlign w:val="center"/>
          </w:tcPr>
          <w:p w14:paraId="70976680">
            <w:pPr>
              <w:jc w:val="center"/>
              <w:rPr>
                <w:rFonts w:ascii="Times New Roman" w:hAnsi="Times New Roman" w:eastAsia="宋体" w:cs="Times New Roman"/>
                <w:szCs w:val="21"/>
              </w:rPr>
            </w:pPr>
            <w:r>
              <w:rPr>
                <w:rFonts w:ascii="Times New Roman" w:hAnsi="Times New Roman" w:eastAsia="宋体" w:cs="Times New Roman"/>
                <w:szCs w:val="21"/>
              </w:rPr>
              <w:t>台账记录：1、生产设施运行管理信息(生产时间、运行负荷、产品产量等)；2、废气污染治理设施运行營理信息(除尘滤料更换量和时间。吸附剂更换频次、催化剂更换频次等)；3、监测记录信息(主要污染排放口废气排放记录(手工监测和在线监测)等)；4、主要原辅材料消耗记最(一年内涂料、胶黏剂、清洗剂用量记录》；5、燃料(天然气)消耗记录</w:t>
            </w:r>
          </w:p>
        </w:tc>
        <w:tc>
          <w:tcPr>
            <w:tcW w:w="2015" w:type="dxa"/>
            <w:vMerge w:val="continue"/>
            <w:vAlign w:val="center"/>
          </w:tcPr>
          <w:p w14:paraId="3BFD78A3">
            <w:pPr>
              <w:jc w:val="center"/>
              <w:rPr>
                <w:rFonts w:ascii="Times New Roman" w:hAnsi="Times New Roman" w:eastAsia="宋体" w:cs="Times New Roman"/>
                <w:szCs w:val="21"/>
              </w:rPr>
            </w:pPr>
          </w:p>
        </w:tc>
        <w:tc>
          <w:tcPr>
            <w:tcW w:w="740" w:type="dxa"/>
            <w:vAlign w:val="center"/>
          </w:tcPr>
          <w:p w14:paraId="12374650">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16E8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C3513CD">
            <w:pPr>
              <w:jc w:val="center"/>
              <w:rPr>
                <w:rFonts w:ascii="Times New Roman" w:hAnsi="Times New Roman" w:eastAsia="宋体" w:cs="Times New Roman"/>
                <w:szCs w:val="21"/>
              </w:rPr>
            </w:pPr>
          </w:p>
        </w:tc>
        <w:tc>
          <w:tcPr>
            <w:tcW w:w="4892" w:type="dxa"/>
            <w:vAlign w:val="center"/>
          </w:tcPr>
          <w:p w14:paraId="17492E8F">
            <w:pPr>
              <w:jc w:val="center"/>
              <w:rPr>
                <w:rFonts w:ascii="Times New Roman" w:hAnsi="Times New Roman" w:eastAsia="宋体" w:cs="Times New Roman"/>
                <w:szCs w:val="21"/>
              </w:rPr>
            </w:pPr>
            <w:r>
              <w:rPr>
                <w:rFonts w:ascii="Times New Roman" w:hAnsi="Times New Roman" w:eastAsia="宋体" w:cs="Times New Roman"/>
                <w:szCs w:val="21"/>
              </w:rPr>
              <w:t>人员配置：设置环保部门，配备专职环保人员，并具备相应的环境管理能力</w:t>
            </w:r>
          </w:p>
        </w:tc>
        <w:tc>
          <w:tcPr>
            <w:tcW w:w="2015" w:type="dxa"/>
            <w:vMerge w:val="continue"/>
            <w:vAlign w:val="center"/>
          </w:tcPr>
          <w:p w14:paraId="18E731E0">
            <w:pPr>
              <w:jc w:val="center"/>
              <w:rPr>
                <w:rFonts w:ascii="Times New Roman" w:hAnsi="Times New Roman" w:eastAsia="宋体" w:cs="Times New Roman"/>
                <w:szCs w:val="21"/>
              </w:rPr>
            </w:pPr>
          </w:p>
        </w:tc>
        <w:tc>
          <w:tcPr>
            <w:tcW w:w="740" w:type="dxa"/>
            <w:vAlign w:val="center"/>
          </w:tcPr>
          <w:p w14:paraId="197328D6">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6192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3613E611">
            <w:pPr>
              <w:jc w:val="center"/>
              <w:rPr>
                <w:rFonts w:ascii="Times New Roman" w:hAnsi="Times New Roman" w:eastAsia="宋体" w:cs="Times New Roman"/>
                <w:szCs w:val="21"/>
              </w:rPr>
            </w:pPr>
            <w:r>
              <w:rPr>
                <w:rFonts w:hint="eastAsia" w:ascii="Times New Roman" w:hAnsi="Times New Roman" w:eastAsia="宋体" w:cs="Times New Roman"/>
                <w:szCs w:val="21"/>
              </w:rPr>
              <w:t>运输</w:t>
            </w:r>
          </w:p>
          <w:p w14:paraId="6D3248DE">
            <w:pPr>
              <w:jc w:val="center"/>
              <w:rPr>
                <w:rFonts w:ascii="Times New Roman" w:hAnsi="Times New Roman" w:eastAsia="宋体" w:cs="Times New Roman"/>
                <w:szCs w:val="21"/>
              </w:rPr>
            </w:pPr>
            <w:r>
              <w:rPr>
                <w:rFonts w:hint="eastAsia" w:ascii="Times New Roman" w:hAnsi="Times New Roman" w:eastAsia="宋体" w:cs="Times New Roman"/>
                <w:szCs w:val="21"/>
              </w:rPr>
              <w:t>方式</w:t>
            </w:r>
          </w:p>
        </w:tc>
        <w:tc>
          <w:tcPr>
            <w:tcW w:w="4892" w:type="dxa"/>
            <w:vAlign w:val="center"/>
          </w:tcPr>
          <w:p w14:paraId="4CAC56F7">
            <w:pPr>
              <w:jc w:val="center"/>
              <w:rPr>
                <w:rFonts w:ascii="Times New Roman" w:hAnsi="Times New Roman" w:eastAsia="宋体" w:cs="Times New Roman"/>
                <w:szCs w:val="21"/>
              </w:rPr>
            </w:pPr>
            <w:r>
              <w:rPr>
                <w:rFonts w:ascii="Times New Roman" w:hAnsi="Times New Roman" w:eastAsia="宋体" w:cs="Times New Roman"/>
                <w:szCs w:val="21"/>
              </w:rPr>
              <w:t>1、物料公路运输全部使用达到国五及以上排放标准重型载货车辆（含燃气）或新能源车辆；2、厂内运输车辆全部达到国五及以上排放标准（含燃气）或使用新能源车辆；</w:t>
            </w:r>
          </w:p>
          <w:p w14:paraId="5B04121F">
            <w:pPr>
              <w:jc w:val="center"/>
              <w:rPr>
                <w:rFonts w:ascii="Times New Roman" w:hAnsi="Times New Roman" w:eastAsia="宋体" w:cs="Times New Roman"/>
                <w:szCs w:val="21"/>
              </w:rPr>
            </w:pPr>
            <w:r>
              <w:rPr>
                <w:rFonts w:ascii="Times New Roman" w:hAnsi="Times New Roman" w:eastAsia="宋体" w:cs="Times New Roman"/>
                <w:szCs w:val="21"/>
              </w:rPr>
              <w:t>3、厂内非道路移动机械全部达到国三及以上排放标准或使用新能源机械</w:t>
            </w:r>
          </w:p>
        </w:tc>
        <w:tc>
          <w:tcPr>
            <w:tcW w:w="2015" w:type="dxa"/>
            <w:vAlign w:val="center"/>
          </w:tcPr>
          <w:p w14:paraId="76F0C1A9">
            <w:pPr>
              <w:jc w:val="center"/>
              <w:rPr>
                <w:rFonts w:ascii="Times New Roman" w:hAnsi="Times New Roman" w:eastAsia="宋体" w:cs="Times New Roman"/>
                <w:szCs w:val="21"/>
              </w:rPr>
            </w:pPr>
            <w:r>
              <w:rPr>
                <w:rFonts w:hint="eastAsia" w:ascii="Times New Roman" w:hAnsi="Times New Roman" w:eastAsia="宋体" w:cs="Times New Roman"/>
                <w:szCs w:val="21"/>
              </w:rPr>
              <w:t>本项目运输采用</w:t>
            </w:r>
            <w:r>
              <w:rPr>
                <w:rFonts w:ascii="Times New Roman" w:hAnsi="Times New Roman" w:eastAsia="宋体" w:cs="Times New Roman"/>
                <w:szCs w:val="21"/>
              </w:rPr>
              <w:t>达到国五及以上排放标准车辆</w:t>
            </w:r>
          </w:p>
        </w:tc>
        <w:tc>
          <w:tcPr>
            <w:tcW w:w="740" w:type="dxa"/>
            <w:vAlign w:val="center"/>
          </w:tcPr>
          <w:p w14:paraId="44EE12BA">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r w14:paraId="4B73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5E17D297">
            <w:pPr>
              <w:jc w:val="center"/>
              <w:rPr>
                <w:rFonts w:ascii="Times New Roman" w:hAnsi="Times New Roman" w:eastAsia="宋体" w:cs="Times New Roman"/>
                <w:szCs w:val="21"/>
              </w:rPr>
            </w:pPr>
            <w:r>
              <w:rPr>
                <w:rFonts w:hint="eastAsia" w:ascii="Times New Roman" w:hAnsi="Times New Roman" w:eastAsia="宋体" w:cs="Times New Roman"/>
                <w:szCs w:val="21"/>
              </w:rPr>
              <w:t>运输</w:t>
            </w:r>
          </w:p>
          <w:p w14:paraId="6B3E0F21">
            <w:pPr>
              <w:jc w:val="center"/>
              <w:rPr>
                <w:rFonts w:ascii="Times New Roman" w:hAnsi="Times New Roman" w:eastAsia="宋体" w:cs="Times New Roman"/>
                <w:szCs w:val="21"/>
              </w:rPr>
            </w:pPr>
            <w:r>
              <w:rPr>
                <w:rFonts w:hint="eastAsia" w:ascii="Times New Roman" w:hAnsi="Times New Roman" w:eastAsia="宋体" w:cs="Times New Roman"/>
                <w:szCs w:val="21"/>
              </w:rPr>
              <w:t>监管</w:t>
            </w:r>
          </w:p>
        </w:tc>
        <w:tc>
          <w:tcPr>
            <w:tcW w:w="4892" w:type="dxa"/>
            <w:vAlign w:val="center"/>
          </w:tcPr>
          <w:p w14:paraId="0FBEE56D">
            <w:pPr>
              <w:jc w:val="center"/>
              <w:rPr>
                <w:rFonts w:ascii="Times New Roman" w:hAnsi="Times New Roman" w:eastAsia="宋体" w:cs="Times New Roman"/>
                <w:szCs w:val="21"/>
              </w:rPr>
            </w:pPr>
            <w:r>
              <w:rPr>
                <w:rFonts w:ascii="Times New Roman" w:hAnsi="Times New Roman" w:eastAsia="宋体" w:cs="Times New Roman"/>
                <w:szCs w:val="21"/>
              </w:rPr>
              <w:t>参照《重污染天气重点行业移动源应急管理技术指南》建立门禁系统和电子台账</w:t>
            </w:r>
          </w:p>
        </w:tc>
        <w:tc>
          <w:tcPr>
            <w:tcW w:w="2015" w:type="dxa"/>
            <w:vAlign w:val="center"/>
          </w:tcPr>
          <w:p w14:paraId="42C21C18">
            <w:pPr>
              <w:jc w:val="center"/>
              <w:rPr>
                <w:rFonts w:ascii="Times New Roman" w:hAnsi="Times New Roman" w:eastAsia="宋体" w:cs="Times New Roman"/>
                <w:szCs w:val="21"/>
              </w:rPr>
            </w:pPr>
            <w:r>
              <w:rPr>
                <w:rFonts w:hint="eastAsia" w:ascii="Times New Roman" w:hAnsi="Times New Roman" w:eastAsia="宋体" w:cs="Times New Roman"/>
                <w:szCs w:val="21"/>
              </w:rPr>
              <w:t>本项目为租赁的厂房，厂区大门设置有门禁，本项目设置电子台账</w:t>
            </w:r>
          </w:p>
        </w:tc>
        <w:tc>
          <w:tcPr>
            <w:tcW w:w="740" w:type="dxa"/>
            <w:vAlign w:val="center"/>
          </w:tcPr>
          <w:p w14:paraId="6A9E1F3F">
            <w:pPr>
              <w:jc w:val="center"/>
              <w:rPr>
                <w:rFonts w:ascii="Times New Roman" w:hAnsi="Times New Roman" w:eastAsia="宋体" w:cs="Times New Roman"/>
                <w:szCs w:val="21"/>
              </w:rPr>
            </w:pPr>
            <w:r>
              <w:rPr>
                <w:rFonts w:hint="eastAsia" w:ascii="Times New Roman" w:hAnsi="Times New Roman" w:eastAsia="宋体" w:cs="Times New Roman"/>
                <w:szCs w:val="21"/>
              </w:rPr>
              <w:t>相符</w:t>
            </w:r>
          </w:p>
        </w:tc>
      </w:tr>
    </w:tbl>
    <w:p w14:paraId="2AAAE729">
      <w:pPr>
        <w:pStyle w:val="3"/>
        <w:numPr>
          <w:ilvl w:val="1"/>
          <w:numId w:val="0"/>
        </w:numPr>
        <w:ind w:leftChars="0"/>
        <w:rPr>
          <w:rFonts w:hint="eastAsia"/>
        </w:rPr>
        <w:sectPr>
          <w:pgSz w:w="11906" w:h="16838"/>
          <w:pgMar w:top="1440" w:right="1800" w:bottom="1440" w:left="1800" w:header="851" w:footer="992" w:gutter="0"/>
          <w:pgNumType w:fmt="decimal"/>
          <w:cols w:space="425" w:num="1"/>
          <w:docGrid w:type="lines" w:linePitch="312" w:charSpace="0"/>
        </w:sectPr>
      </w:pPr>
    </w:p>
    <w:p w14:paraId="7EB17DD4">
      <w:pPr>
        <w:spacing w:line="360" w:lineRule="auto"/>
      </w:pPr>
    </w:p>
    <w:p w14:paraId="1B89B37D">
      <w:pPr>
        <w:pStyle w:val="2"/>
        <w:numPr>
          <w:ilvl w:val="0"/>
          <w:numId w:val="21"/>
        </w:numPr>
        <w:tabs>
          <w:tab w:val="clear" w:pos="0"/>
        </w:tabs>
      </w:pPr>
      <w:bookmarkStart w:id="49" w:name="_Toc11494"/>
      <w:r>
        <w:rPr>
          <w:rFonts w:hint="eastAsia"/>
        </w:rPr>
        <w:t>建设项目工程分析</w:t>
      </w:r>
      <w:bookmarkEnd w:id="49"/>
    </w:p>
    <w:p w14:paraId="190908AD">
      <w:pPr>
        <w:spacing w:line="360" w:lineRule="auto"/>
        <w:rPr>
          <w:rFonts w:ascii="Times New Roman" w:hAnsi="Times New Roman" w:eastAsia="宋体" w:cs="Times New Roman"/>
          <w:sz w:val="24"/>
        </w:rPr>
      </w:pPr>
    </w:p>
    <w:p w14:paraId="35815D41">
      <w:pPr>
        <w:pStyle w:val="3"/>
        <w:numPr>
          <w:ilvl w:val="1"/>
          <w:numId w:val="30"/>
        </w:numPr>
      </w:pPr>
      <w:bookmarkStart w:id="50" w:name="_Toc28297"/>
      <w:r>
        <w:rPr>
          <w:rFonts w:hint="eastAsia"/>
        </w:rPr>
        <w:t>项目基本概况</w:t>
      </w:r>
      <w:bookmarkEnd w:id="50"/>
    </w:p>
    <w:p w14:paraId="057CDE68">
      <w:pPr>
        <w:pStyle w:val="4"/>
        <w:numPr>
          <w:ilvl w:val="2"/>
          <w:numId w:val="31"/>
        </w:numPr>
        <w:tabs>
          <w:tab w:val="clear" w:pos="0"/>
        </w:tabs>
      </w:pPr>
      <w:r>
        <w:rPr>
          <w:rFonts w:hint="eastAsia"/>
        </w:rPr>
        <w:t>建设项目基本概况</w:t>
      </w:r>
    </w:p>
    <w:p w14:paraId="7B598C54">
      <w:pPr>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项目名称：年产1万套实木复合门、4万平方米全屋定制项目</w:t>
      </w:r>
      <w:r>
        <w:rPr>
          <w:rFonts w:hint="eastAsia" w:ascii="Times New Roman" w:hAnsi="Times New Roman" w:eastAsia="宋体" w:cs="Times New Roman"/>
          <w:bCs/>
          <w:kern w:val="0"/>
          <w:sz w:val="24"/>
        </w:rPr>
        <w:t>；</w:t>
      </w:r>
    </w:p>
    <w:p w14:paraId="109892C9">
      <w:pPr>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建设单位：汉玉伟木（清丰县）家居有限公司</w:t>
      </w:r>
      <w:r>
        <w:rPr>
          <w:rFonts w:hint="eastAsia" w:ascii="Times New Roman" w:hAnsi="Times New Roman" w:eastAsia="宋体" w:cs="Times New Roman"/>
          <w:bCs/>
          <w:kern w:val="0"/>
          <w:sz w:val="24"/>
        </w:rPr>
        <w:t>；</w:t>
      </w:r>
    </w:p>
    <w:p w14:paraId="2E2D5050">
      <w:pPr>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建设地址：</w:t>
      </w:r>
      <w:r>
        <w:rPr>
          <w:rFonts w:hint="eastAsia" w:ascii="Times New Roman" w:hAnsi="Times New Roman" w:eastAsia="宋体" w:cs="Times New Roman"/>
          <w:bCs/>
          <w:kern w:val="0"/>
          <w:sz w:val="24"/>
        </w:rPr>
        <w:t>河南省濮阳市清丰县产业集聚区人民路南侧、建设路东侧6号，</w:t>
      </w:r>
      <w:r>
        <w:rPr>
          <w:rFonts w:ascii="Times New Roman" w:hAnsi="Times New Roman" w:eastAsia="宋体" w:cs="Times New Roman"/>
          <w:bCs/>
          <w:kern w:val="0"/>
          <w:sz w:val="24"/>
        </w:rPr>
        <w:t>项目拟建地中心坐标</w:t>
      </w:r>
      <w:r>
        <w:rPr>
          <w:rFonts w:ascii="Times New Roman" w:hAnsi="Times New Roman" w:eastAsia="宋体" w:cs="Times New Roman"/>
          <w:bCs/>
          <w:color w:val="auto"/>
          <w:kern w:val="0"/>
          <w:sz w:val="24"/>
        </w:rPr>
        <w:t>为东经115.133010，北纬35.87694</w:t>
      </w:r>
      <w:r>
        <w:rPr>
          <w:rFonts w:ascii="Times New Roman" w:hAnsi="Times New Roman" w:eastAsia="宋体" w:cs="Times New Roman"/>
          <w:bCs/>
          <w:color w:val="auto"/>
          <w:kern w:val="0"/>
          <w:sz w:val="24"/>
          <w:highlight w:val="none"/>
        </w:rPr>
        <w:t>5</w:t>
      </w:r>
      <w:r>
        <w:rPr>
          <w:rFonts w:hint="eastAsia" w:ascii="Times New Roman" w:hAnsi="Times New Roman" w:eastAsia="宋体" w:cs="Times New Roman"/>
          <w:bCs/>
          <w:color w:val="auto"/>
          <w:kern w:val="0"/>
          <w:sz w:val="24"/>
          <w:highlight w:val="none"/>
        </w:rPr>
        <w:t>°）</w:t>
      </w:r>
      <w:r>
        <w:rPr>
          <w:rFonts w:ascii="Times New Roman" w:hAnsi="Times New Roman" w:eastAsia="宋体" w:cs="Times New Roman"/>
          <w:bCs/>
          <w:color w:val="auto"/>
          <w:kern w:val="0"/>
          <w:sz w:val="24"/>
          <w:highlight w:val="none"/>
        </w:rPr>
        <w:t>，</w:t>
      </w:r>
      <w:r>
        <w:rPr>
          <w:rFonts w:ascii="Times New Roman" w:hAnsi="Times New Roman" w:eastAsia="宋体" w:cs="Times New Roman"/>
          <w:bCs/>
          <w:color w:val="auto"/>
          <w:kern w:val="0"/>
          <w:sz w:val="24"/>
        </w:rPr>
        <w:t>地理位</w:t>
      </w:r>
      <w:r>
        <w:rPr>
          <w:rFonts w:ascii="Times New Roman" w:hAnsi="Times New Roman" w:eastAsia="宋体" w:cs="Times New Roman"/>
          <w:bCs/>
          <w:kern w:val="0"/>
          <w:sz w:val="24"/>
        </w:rPr>
        <w:t>置见</w:t>
      </w:r>
      <w:r>
        <w:rPr>
          <w:rFonts w:hint="eastAsia" w:ascii="Times New Roman" w:hAnsi="Times New Roman" w:eastAsia="宋体" w:cs="Times New Roman"/>
          <w:bCs/>
          <w:kern w:val="0"/>
          <w:sz w:val="24"/>
        </w:rPr>
        <w:t>附图1；</w:t>
      </w:r>
    </w:p>
    <w:p w14:paraId="17AD7FD6">
      <w:pPr>
        <w:pStyle w:val="39"/>
        <w:spacing w:line="360" w:lineRule="auto"/>
        <w:ind w:firstLine="480" w:firstLineChars="200"/>
        <w:rPr>
          <w:rFonts w:ascii="Times New Roman" w:hAnsi="Times New Roman" w:cs="Times New Roman"/>
          <w:bCs/>
          <w:color w:val="auto"/>
        </w:rPr>
      </w:pPr>
      <w:r>
        <w:rPr>
          <w:rFonts w:hint="eastAsia" w:ascii="Times New Roman" w:hAnsi="Times New Roman" w:cs="Times New Roman"/>
          <w:bCs/>
          <w:color w:val="auto"/>
        </w:rPr>
        <w:t>行业类别：木质家具制造C2110；</w:t>
      </w:r>
    </w:p>
    <w:p w14:paraId="659FF2D0">
      <w:pPr>
        <w:pStyle w:val="39"/>
        <w:spacing w:line="360" w:lineRule="auto"/>
        <w:ind w:firstLine="480" w:firstLineChars="200"/>
        <w:rPr>
          <w:rFonts w:ascii="Times New Roman" w:hAnsi="Times New Roman" w:cs="Times New Roman"/>
          <w:bCs/>
          <w:color w:val="auto"/>
        </w:rPr>
      </w:pPr>
      <w:r>
        <w:rPr>
          <w:rFonts w:hint="eastAsia" w:ascii="Times New Roman" w:hAnsi="Times New Roman" w:cs="Times New Roman"/>
          <w:bCs/>
          <w:color w:val="auto"/>
        </w:rPr>
        <w:t>项目性质：新建；</w:t>
      </w:r>
    </w:p>
    <w:p w14:paraId="01785653">
      <w:pPr>
        <w:spacing w:line="360" w:lineRule="auto"/>
        <w:ind w:firstLine="480" w:firstLineChars="200"/>
        <w:rPr>
          <w:rFonts w:ascii="Times New Roman" w:hAnsi="Times New Roman" w:eastAsia="宋体" w:cs="Times New Roman"/>
          <w:bCs/>
          <w:color w:val="FF0000"/>
          <w:kern w:val="0"/>
          <w:sz w:val="24"/>
        </w:rPr>
      </w:pPr>
      <w:r>
        <w:rPr>
          <w:rFonts w:hint="eastAsia" w:ascii="Times New Roman" w:hAnsi="Times New Roman" w:eastAsia="宋体" w:cs="Times New Roman"/>
          <w:bCs/>
          <w:kern w:val="0"/>
          <w:sz w:val="24"/>
        </w:rPr>
        <w:t>占地面积：8000m</w:t>
      </w:r>
      <w:r>
        <w:rPr>
          <w:rFonts w:ascii="Times New Roman" w:hAnsi="Times New Roman" w:eastAsia="宋体" w:cs="Times New Roman"/>
          <w:bCs/>
          <w:kern w:val="0"/>
          <w:sz w:val="24"/>
          <w:vertAlign w:val="superscript"/>
        </w:rPr>
        <w:t>2</w:t>
      </w:r>
      <w:r>
        <w:rPr>
          <w:rFonts w:hint="eastAsia" w:ascii="Times New Roman" w:hAnsi="Times New Roman" w:eastAsia="宋体" w:cs="Times New Roman"/>
          <w:bCs/>
          <w:kern w:val="0"/>
          <w:sz w:val="24"/>
        </w:rPr>
        <w:t>，建筑面积</w:t>
      </w:r>
      <w:r>
        <w:rPr>
          <w:rFonts w:hint="eastAsia" w:ascii="Times New Roman" w:hAnsi="Times New Roman" w:eastAsia="宋体" w:cs="Times New Roman"/>
          <w:bCs/>
          <w:color w:val="000000" w:themeColor="text1"/>
          <w:kern w:val="0"/>
          <w:sz w:val="24"/>
          <w14:textFill>
            <w14:solidFill>
              <w14:schemeClr w14:val="tx1"/>
            </w14:solidFill>
          </w14:textFill>
        </w:rPr>
        <w:t>：16000m</w:t>
      </w:r>
      <w:r>
        <w:rPr>
          <w:rFonts w:ascii="Times New Roman" w:hAnsi="Times New Roman" w:eastAsia="宋体" w:cs="Times New Roman"/>
          <w:bCs/>
          <w:color w:val="000000" w:themeColor="text1"/>
          <w:kern w:val="0"/>
          <w:sz w:val="24"/>
          <w:vertAlign w:val="superscript"/>
          <w14:textFill>
            <w14:solidFill>
              <w14:schemeClr w14:val="tx1"/>
            </w14:solidFill>
          </w14:textFill>
        </w:rPr>
        <w:t>2</w:t>
      </w:r>
      <w:r>
        <w:rPr>
          <w:rFonts w:hint="eastAsia" w:ascii="Times New Roman" w:hAnsi="Times New Roman" w:eastAsia="宋体" w:cs="Times New Roman"/>
          <w:bCs/>
          <w:color w:val="000000" w:themeColor="text1"/>
          <w:kern w:val="0"/>
          <w:sz w:val="24"/>
          <w14:textFill>
            <w14:solidFill>
              <w14:schemeClr w14:val="tx1"/>
            </w14:solidFill>
          </w14:textFill>
        </w:rPr>
        <w:t>；</w:t>
      </w:r>
    </w:p>
    <w:p w14:paraId="54AEFA4C">
      <w:pPr>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项目总投资：</w:t>
      </w:r>
      <w:r>
        <w:rPr>
          <w:rFonts w:hint="eastAsia" w:ascii="Times New Roman" w:hAnsi="Times New Roman" w:eastAsia="宋体" w:cs="Times New Roman"/>
          <w:bCs/>
          <w:kern w:val="0"/>
          <w:sz w:val="24"/>
        </w:rPr>
        <w:t>400</w:t>
      </w:r>
      <w:r>
        <w:rPr>
          <w:rFonts w:ascii="Times New Roman" w:hAnsi="Times New Roman" w:eastAsia="宋体" w:cs="Times New Roman"/>
          <w:bCs/>
          <w:kern w:val="0"/>
          <w:sz w:val="24"/>
        </w:rPr>
        <w:t>0万元，其中环保投资</w:t>
      </w:r>
      <w:r>
        <w:rPr>
          <w:rFonts w:hint="eastAsia" w:ascii="Times New Roman" w:hAnsi="Times New Roman" w:eastAsia="宋体" w:cs="Times New Roman"/>
          <w:bCs/>
          <w:kern w:val="0"/>
          <w:sz w:val="24"/>
        </w:rPr>
        <w:t>193</w:t>
      </w:r>
      <w:r>
        <w:rPr>
          <w:rFonts w:ascii="Times New Roman" w:hAnsi="Times New Roman" w:eastAsia="宋体" w:cs="Times New Roman"/>
          <w:bCs/>
          <w:kern w:val="0"/>
          <w:sz w:val="24"/>
        </w:rPr>
        <w:t>万</w:t>
      </w:r>
      <w:r>
        <w:rPr>
          <w:rFonts w:hint="eastAsia" w:ascii="Times New Roman" w:hAnsi="Times New Roman" w:eastAsia="宋体" w:cs="Times New Roman"/>
          <w:bCs/>
          <w:kern w:val="0"/>
          <w:sz w:val="24"/>
        </w:rPr>
        <w:t>元；</w:t>
      </w:r>
    </w:p>
    <w:p w14:paraId="38730174">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劳动定员及工作制度：本项目劳动定员60人，单班制，每班8小时，年工作300天。</w:t>
      </w:r>
    </w:p>
    <w:p w14:paraId="656B1AF6">
      <w:pPr>
        <w:spacing w:line="360" w:lineRule="auto"/>
        <w:ind w:firstLine="482" w:firstLineChars="200"/>
        <w:rPr>
          <w:rFonts w:hint="default" w:ascii="Times New Roman" w:hAnsi="Times New Roman" w:eastAsia="宋体" w:cs="Times New Roman"/>
          <w:b/>
          <w:bCs w:val="0"/>
          <w:kern w:val="0"/>
          <w:sz w:val="24"/>
          <w:highlight w:val="none"/>
          <w:u w:val="single"/>
          <w:lang w:val="en-US" w:eastAsia="zh-CN"/>
        </w:rPr>
      </w:pPr>
      <w:r>
        <w:rPr>
          <w:rFonts w:hint="eastAsia" w:ascii="Times New Roman" w:hAnsi="Times New Roman" w:eastAsia="宋体" w:cs="Times New Roman"/>
          <w:b/>
          <w:bCs w:val="0"/>
          <w:kern w:val="0"/>
          <w:sz w:val="24"/>
          <w:highlight w:val="none"/>
          <w:u w:val="single"/>
          <w:lang w:val="en-US" w:eastAsia="zh-CN"/>
        </w:rPr>
        <w:t>本项目租赁伯艺精木（清丰）家具有限公司厂房及部分生产设备（具体设备清单见下表3.3-2），现状为空厂房。本项目与伯艺精木（清丰）家具有限公司污水处理设施、废气治理设施等相关环保治理设施均不相互依托。供水、供电均由产业集聚区直接供给。</w:t>
      </w:r>
    </w:p>
    <w:p w14:paraId="7F352B67">
      <w:pPr>
        <w:pStyle w:val="4"/>
        <w:numPr>
          <w:ilvl w:val="2"/>
          <w:numId w:val="31"/>
        </w:numPr>
        <w:tabs>
          <w:tab w:val="clear" w:pos="0"/>
        </w:tabs>
      </w:pPr>
      <w:r>
        <w:rPr>
          <w:rFonts w:hint="eastAsia"/>
        </w:rPr>
        <w:t>建设规模及产品方案</w:t>
      </w:r>
    </w:p>
    <w:p w14:paraId="106B4BBB">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1、建设规模</w:t>
      </w:r>
    </w:p>
    <w:p w14:paraId="2170B25C">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本项目</w:t>
      </w:r>
      <w:r>
        <w:rPr>
          <w:rFonts w:ascii="Times New Roman" w:hAnsi="Times New Roman" w:eastAsia="宋体" w:cs="Times New Roman"/>
          <w:bCs/>
          <w:kern w:val="0"/>
          <w:sz w:val="24"/>
        </w:rPr>
        <w:t>年产1万套实木复合门、4万平方米全屋定制</w:t>
      </w:r>
      <w:r>
        <w:rPr>
          <w:rFonts w:hint="eastAsia" w:ascii="Times New Roman" w:hAnsi="Times New Roman" w:eastAsia="宋体" w:cs="Times New Roman"/>
          <w:bCs/>
          <w:kern w:val="0"/>
          <w:sz w:val="24"/>
        </w:rPr>
        <w:t>，具体建设规模见下表。</w:t>
      </w:r>
    </w:p>
    <w:p w14:paraId="425D8C4A">
      <w:pPr>
        <w:numPr>
          <w:ilvl w:val="0"/>
          <w:numId w:val="32"/>
        </w:num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 xml:space="preserve"> 本项目</w:t>
      </w:r>
      <w:r>
        <w:rPr>
          <w:rFonts w:hint="eastAsia" w:ascii="Times New Roman" w:hAnsi="Times New Roman" w:eastAsia="宋体" w:cs="Times New Roman"/>
          <w:b/>
          <w:bCs/>
          <w:kern w:val="0"/>
          <w:szCs w:val="21"/>
        </w:rPr>
        <w:t>建设规模</w:t>
      </w:r>
    </w:p>
    <w:tbl>
      <w:tblPr>
        <w:tblStyle w:val="31"/>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337"/>
        <w:gridCol w:w="1420"/>
        <w:gridCol w:w="1252"/>
        <w:gridCol w:w="3709"/>
      </w:tblGrid>
      <w:tr w14:paraId="5DB1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Align w:val="center"/>
          </w:tcPr>
          <w:p w14:paraId="5A3F14BF">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序号</w:t>
            </w:r>
          </w:p>
        </w:tc>
        <w:tc>
          <w:tcPr>
            <w:tcW w:w="1337" w:type="dxa"/>
            <w:vAlign w:val="center"/>
          </w:tcPr>
          <w:p w14:paraId="754FAEAF">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产品名称</w:t>
            </w:r>
          </w:p>
        </w:tc>
        <w:tc>
          <w:tcPr>
            <w:tcW w:w="1420" w:type="dxa"/>
            <w:vAlign w:val="center"/>
          </w:tcPr>
          <w:p w14:paraId="77A0EB07">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产能</w:t>
            </w:r>
          </w:p>
        </w:tc>
        <w:tc>
          <w:tcPr>
            <w:tcW w:w="1252" w:type="dxa"/>
            <w:vAlign w:val="center"/>
          </w:tcPr>
          <w:p w14:paraId="12479D86">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工作时间</w:t>
            </w:r>
          </w:p>
        </w:tc>
        <w:tc>
          <w:tcPr>
            <w:tcW w:w="3709" w:type="dxa"/>
            <w:vAlign w:val="center"/>
          </w:tcPr>
          <w:p w14:paraId="5B175C9A">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备注</w:t>
            </w:r>
          </w:p>
        </w:tc>
      </w:tr>
      <w:tr w14:paraId="6F31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Align w:val="center"/>
          </w:tcPr>
          <w:p w14:paraId="4753B730">
            <w:pPr>
              <w:jc w:val="center"/>
              <w:rPr>
                <w:rFonts w:ascii="Times New Roman" w:hAnsi="Times New Roman" w:eastAsia="宋体" w:cs="Times New Roman"/>
              </w:rPr>
            </w:pPr>
            <w:r>
              <w:rPr>
                <w:rFonts w:hint="eastAsia" w:ascii="Times New Roman" w:hAnsi="Times New Roman" w:eastAsia="宋体" w:cs="Times New Roman"/>
              </w:rPr>
              <w:t>1</w:t>
            </w:r>
          </w:p>
        </w:tc>
        <w:tc>
          <w:tcPr>
            <w:tcW w:w="1337" w:type="dxa"/>
            <w:vAlign w:val="center"/>
          </w:tcPr>
          <w:p w14:paraId="2F5372E5">
            <w:pPr>
              <w:jc w:val="center"/>
              <w:rPr>
                <w:rFonts w:ascii="Times New Roman" w:hAnsi="Times New Roman" w:eastAsia="宋体" w:cs="Times New Roman"/>
              </w:rPr>
            </w:pPr>
            <w:r>
              <w:rPr>
                <w:rFonts w:ascii="Times New Roman" w:hAnsi="Times New Roman" w:eastAsia="宋体" w:cs="Times New Roman"/>
              </w:rPr>
              <w:t>实木复合门</w:t>
            </w:r>
          </w:p>
        </w:tc>
        <w:tc>
          <w:tcPr>
            <w:tcW w:w="1420" w:type="dxa"/>
            <w:vAlign w:val="center"/>
          </w:tcPr>
          <w:p w14:paraId="2624AE7B">
            <w:pPr>
              <w:jc w:val="center"/>
              <w:rPr>
                <w:rFonts w:ascii="Times New Roman" w:hAnsi="Times New Roman" w:eastAsia="宋体" w:cs="Times New Roman"/>
              </w:rPr>
            </w:pPr>
            <w:r>
              <w:rPr>
                <w:rFonts w:hint="eastAsia" w:ascii="Times New Roman" w:hAnsi="Times New Roman" w:eastAsia="宋体" w:cs="Times New Roman"/>
              </w:rPr>
              <w:t>1万套</w:t>
            </w:r>
          </w:p>
        </w:tc>
        <w:tc>
          <w:tcPr>
            <w:tcW w:w="1252" w:type="dxa"/>
            <w:vAlign w:val="center"/>
          </w:tcPr>
          <w:p w14:paraId="3332A8D9">
            <w:pPr>
              <w:jc w:val="center"/>
              <w:rPr>
                <w:rFonts w:ascii="Times New Roman" w:hAnsi="Times New Roman" w:eastAsia="宋体" w:cs="Times New Roman"/>
              </w:rPr>
            </w:pPr>
            <w:r>
              <w:rPr>
                <w:rFonts w:hint="eastAsia" w:ascii="Times New Roman" w:hAnsi="Times New Roman" w:eastAsia="宋体" w:cs="Times New Roman"/>
              </w:rPr>
              <w:t>2400h/a</w:t>
            </w:r>
          </w:p>
        </w:tc>
        <w:tc>
          <w:tcPr>
            <w:tcW w:w="3709" w:type="dxa"/>
            <w:vAlign w:val="center"/>
          </w:tcPr>
          <w:p w14:paraId="7B08D4B2">
            <w:pPr>
              <w:jc w:val="center"/>
              <w:rPr>
                <w:rFonts w:ascii="Times New Roman" w:hAnsi="Times New Roman" w:eastAsia="宋体" w:cs="Times New Roman"/>
              </w:rPr>
            </w:pPr>
            <w:r>
              <w:rPr>
                <w:rFonts w:hint="eastAsia" w:ascii="Times New Roman" w:hAnsi="Times New Roman" w:eastAsia="宋体" w:cs="Times New Roman"/>
              </w:rPr>
              <w:t>/</w:t>
            </w:r>
          </w:p>
        </w:tc>
      </w:tr>
      <w:tr w14:paraId="091F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 w:type="dxa"/>
            <w:vAlign w:val="center"/>
          </w:tcPr>
          <w:p w14:paraId="7DCB3300">
            <w:pPr>
              <w:jc w:val="center"/>
              <w:rPr>
                <w:rFonts w:ascii="Times New Roman" w:hAnsi="Times New Roman" w:eastAsia="宋体" w:cs="Times New Roman"/>
              </w:rPr>
            </w:pPr>
            <w:r>
              <w:rPr>
                <w:rFonts w:hint="eastAsia" w:ascii="Times New Roman" w:hAnsi="Times New Roman" w:eastAsia="宋体" w:cs="Times New Roman"/>
              </w:rPr>
              <w:t>2</w:t>
            </w:r>
          </w:p>
        </w:tc>
        <w:tc>
          <w:tcPr>
            <w:tcW w:w="1337" w:type="dxa"/>
            <w:vAlign w:val="center"/>
          </w:tcPr>
          <w:p w14:paraId="7CABF560">
            <w:pPr>
              <w:jc w:val="center"/>
              <w:rPr>
                <w:rFonts w:ascii="Times New Roman" w:hAnsi="Times New Roman" w:eastAsia="宋体" w:cs="Times New Roman"/>
              </w:rPr>
            </w:pPr>
            <w:r>
              <w:rPr>
                <w:rFonts w:ascii="Times New Roman" w:hAnsi="Times New Roman" w:eastAsia="宋体" w:cs="Times New Roman"/>
              </w:rPr>
              <w:t>全屋定制</w:t>
            </w:r>
          </w:p>
        </w:tc>
        <w:tc>
          <w:tcPr>
            <w:tcW w:w="1420" w:type="dxa"/>
            <w:vAlign w:val="center"/>
          </w:tcPr>
          <w:p w14:paraId="0D313ED0">
            <w:pPr>
              <w:jc w:val="center"/>
              <w:rPr>
                <w:rFonts w:ascii="Times New Roman" w:hAnsi="Times New Roman" w:eastAsia="宋体" w:cs="Times New Roman"/>
              </w:rPr>
            </w:pPr>
            <w:r>
              <w:rPr>
                <w:rFonts w:hint="eastAsia" w:ascii="Times New Roman" w:hAnsi="Times New Roman" w:eastAsia="宋体" w:cs="Times New Roman"/>
              </w:rPr>
              <w:t>4万平方米</w:t>
            </w:r>
          </w:p>
        </w:tc>
        <w:tc>
          <w:tcPr>
            <w:tcW w:w="1252" w:type="dxa"/>
            <w:vAlign w:val="center"/>
          </w:tcPr>
          <w:p w14:paraId="1A2055B9">
            <w:pPr>
              <w:jc w:val="center"/>
              <w:rPr>
                <w:rFonts w:ascii="Times New Roman" w:hAnsi="Times New Roman" w:eastAsia="宋体" w:cs="Times New Roman"/>
              </w:rPr>
            </w:pPr>
            <w:r>
              <w:rPr>
                <w:rFonts w:hint="eastAsia" w:ascii="Times New Roman" w:hAnsi="Times New Roman" w:eastAsia="宋体" w:cs="Times New Roman"/>
              </w:rPr>
              <w:t>2400h/a</w:t>
            </w:r>
          </w:p>
        </w:tc>
        <w:tc>
          <w:tcPr>
            <w:tcW w:w="3709" w:type="dxa"/>
            <w:vAlign w:val="center"/>
          </w:tcPr>
          <w:p w14:paraId="2411DE35">
            <w:pPr>
              <w:jc w:val="center"/>
              <w:rPr>
                <w:rFonts w:ascii="Times New Roman" w:hAnsi="Times New Roman" w:eastAsia="宋体" w:cs="Times New Roman"/>
              </w:rPr>
            </w:pPr>
            <w:r>
              <w:rPr>
                <w:rFonts w:ascii="Times New Roman" w:hAnsi="Times New Roman" w:eastAsia="宋体" w:cs="Times New Roman"/>
              </w:rPr>
              <w:t>包括衣柜、酒柜、橱柜、书柜、榻榻米等，厂内不进行五金配件的组装</w:t>
            </w:r>
          </w:p>
        </w:tc>
      </w:tr>
    </w:tbl>
    <w:p w14:paraId="3DC828D4">
      <w:pPr>
        <w:spacing w:line="360" w:lineRule="auto"/>
        <w:ind w:left="420"/>
        <w:rPr>
          <w:rFonts w:ascii="Times New Roman" w:hAnsi="Times New Roman" w:eastAsia="宋体" w:cs="Times New Roman"/>
          <w:bCs/>
          <w:kern w:val="0"/>
          <w:sz w:val="24"/>
        </w:rPr>
      </w:pPr>
      <w:r>
        <w:rPr>
          <w:rFonts w:hint="eastAsia" w:ascii="Times New Roman" w:hAnsi="Times New Roman" w:eastAsia="宋体" w:cs="Times New Roman"/>
          <w:bCs/>
          <w:kern w:val="0"/>
          <w:sz w:val="24"/>
        </w:rPr>
        <w:t>2、产品方案</w:t>
      </w:r>
    </w:p>
    <w:p w14:paraId="17A992E3">
      <w:pPr>
        <w:spacing w:line="360" w:lineRule="auto"/>
        <w:ind w:firstLine="480" w:firstLineChars="200"/>
        <w:rPr>
          <w:rFonts w:ascii="Times New Roman" w:hAnsi="Times New Roman" w:eastAsia="宋体"/>
          <w:bCs/>
          <w:kern w:val="0"/>
          <w:sz w:val="24"/>
        </w:rPr>
      </w:pPr>
      <w:r>
        <w:rPr>
          <w:rFonts w:ascii="Times New Roman" w:hAnsi="Times New Roman" w:eastAsia="宋体"/>
          <w:bCs/>
          <w:kern w:val="0"/>
          <w:sz w:val="24"/>
        </w:rPr>
        <w:t>本项目产品方案见</w:t>
      </w:r>
      <w:r>
        <w:rPr>
          <w:rFonts w:hint="eastAsia" w:ascii="Times New Roman" w:hAnsi="Times New Roman" w:eastAsia="宋体"/>
          <w:bCs/>
          <w:kern w:val="0"/>
          <w:sz w:val="24"/>
        </w:rPr>
        <w:t>下</w:t>
      </w:r>
      <w:r>
        <w:rPr>
          <w:rFonts w:ascii="Times New Roman" w:hAnsi="Times New Roman" w:eastAsia="宋体"/>
          <w:bCs/>
          <w:kern w:val="0"/>
          <w:sz w:val="24"/>
        </w:rPr>
        <w:t>表。</w:t>
      </w:r>
    </w:p>
    <w:p w14:paraId="59E5A63F">
      <w:pPr>
        <w:numPr>
          <w:ilvl w:val="0"/>
          <w:numId w:val="0"/>
        </w:numPr>
        <w:tabs>
          <w:tab w:val="left" w:pos="0"/>
        </w:tabs>
        <w:ind w:leftChars="0"/>
        <w:jc w:val="both"/>
        <w:rPr>
          <w:rFonts w:ascii="Times New Roman" w:hAnsi="Times New Roman" w:eastAsia="宋体" w:cs="Times New Roman"/>
          <w:b/>
          <w:bCs/>
        </w:rPr>
      </w:pPr>
    </w:p>
    <w:p w14:paraId="351DCD3E">
      <w:pPr>
        <w:numPr>
          <w:ilvl w:val="0"/>
          <w:numId w:val="32"/>
        </w:numPr>
        <w:jc w:val="center"/>
        <w:rPr>
          <w:rFonts w:ascii="Times New Roman" w:hAnsi="Times New Roman" w:eastAsia="宋体" w:cs="Times New Roman"/>
          <w:b/>
          <w:bCs/>
        </w:rPr>
      </w:pPr>
      <w:r>
        <w:rPr>
          <w:rFonts w:hint="eastAsia" w:ascii="Times New Roman" w:hAnsi="Times New Roman" w:eastAsia="宋体" w:cs="Times New Roman"/>
          <w:b/>
          <w:bCs/>
        </w:rPr>
        <w:t>本项目</w:t>
      </w:r>
      <w:r>
        <w:rPr>
          <w:rFonts w:ascii="Times New Roman" w:hAnsi="Times New Roman" w:eastAsia="宋体" w:cs="Times New Roman"/>
          <w:b/>
          <w:bCs/>
        </w:rPr>
        <w:t>产品方案</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787"/>
        <w:gridCol w:w="1718"/>
        <w:gridCol w:w="3900"/>
      </w:tblGrid>
      <w:tr w14:paraId="7647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7" w:type="dxa"/>
            <w:vAlign w:val="center"/>
          </w:tcPr>
          <w:p w14:paraId="19DE7862">
            <w:pPr>
              <w:jc w:val="center"/>
              <w:rPr>
                <w:rFonts w:ascii="Times New Roman" w:hAnsi="Times New Roman" w:cs="Times New Roman"/>
              </w:rPr>
            </w:pPr>
            <w:r>
              <w:rPr>
                <w:rFonts w:ascii="Times New Roman" w:hAnsi="Times New Roman" w:cs="Times New Roman"/>
              </w:rPr>
              <w:t>序号</w:t>
            </w:r>
          </w:p>
        </w:tc>
        <w:tc>
          <w:tcPr>
            <w:tcW w:w="1787" w:type="dxa"/>
            <w:tcBorders>
              <w:right w:val="single" w:color="000000" w:sz="4" w:space="0"/>
            </w:tcBorders>
            <w:vAlign w:val="center"/>
          </w:tcPr>
          <w:p w14:paraId="1DA6A949">
            <w:pPr>
              <w:jc w:val="center"/>
              <w:rPr>
                <w:rFonts w:ascii="Times New Roman" w:hAnsi="Times New Roman" w:cs="Times New Roman"/>
              </w:rPr>
            </w:pPr>
            <w:r>
              <w:rPr>
                <w:rFonts w:ascii="Times New Roman" w:hAnsi="Times New Roman" w:cs="Times New Roman"/>
              </w:rPr>
              <w:t>产品名称</w:t>
            </w:r>
          </w:p>
        </w:tc>
        <w:tc>
          <w:tcPr>
            <w:tcW w:w="1718" w:type="dxa"/>
            <w:tcBorders>
              <w:right w:val="single" w:color="000000" w:sz="4" w:space="0"/>
            </w:tcBorders>
            <w:vAlign w:val="center"/>
          </w:tcPr>
          <w:p w14:paraId="792B6FFA">
            <w:pPr>
              <w:jc w:val="center"/>
              <w:rPr>
                <w:rFonts w:ascii="Times New Roman" w:hAnsi="Times New Roman" w:cs="Times New Roman"/>
              </w:rPr>
            </w:pPr>
            <w:r>
              <w:rPr>
                <w:rFonts w:ascii="Times New Roman" w:hAnsi="Times New Roman" w:cs="Times New Roman"/>
              </w:rPr>
              <w:t>产能</w:t>
            </w:r>
          </w:p>
        </w:tc>
        <w:tc>
          <w:tcPr>
            <w:tcW w:w="3900" w:type="dxa"/>
            <w:vAlign w:val="center"/>
          </w:tcPr>
          <w:p w14:paraId="6D0DB1D5">
            <w:pPr>
              <w:jc w:val="center"/>
              <w:rPr>
                <w:rFonts w:ascii="Times New Roman" w:hAnsi="Times New Roman" w:cs="Times New Roman"/>
              </w:rPr>
            </w:pPr>
            <w:r>
              <w:rPr>
                <w:rFonts w:ascii="Times New Roman" w:hAnsi="Times New Roman" w:cs="Times New Roman"/>
              </w:rPr>
              <w:t>规格</w:t>
            </w:r>
          </w:p>
        </w:tc>
      </w:tr>
      <w:tr w14:paraId="3B1D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7" w:type="dxa"/>
            <w:vAlign w:val="center"/>
          </w:tcPr>
          <w:p w14:paraId="2CACD3BF">
            <w:pPr>
              <w:jc w:val="center"/>
              <w:rPr>
                <w:rFonts w:ascii="Times New Roman" w:hAnsi="Times New Roman" w:cs="Times New Roman"/>
              </w:rPr>
            </w:pPr>
            <w:r>
              <w:rPr>
                <w:rFonts w:ascii="Times New Roman" w:hAnsi="Times New Roman" w:cs="Times New Roman"/>
              </w:rPr>
              <w:t>1</w:t>
            </w:r>
          </w:p>
        </w:tc>
        <w:tc>
          <w:tcPr>
            <w:tcW w:w="1787" w:type="dxa"/>
            <w:tcBorders>
              <w:bottom w:val="single" w:color="000000" w:sz="4" w:space="0"/>
              <w:right w:val="single" w:color="000000" w:sz="4" w:space="0"/>
            </w:tcBorders>
            <w:vAlign w:val="center"/>
          </w:tcPr>
          <w:p w14:paraId="1534BB9F">
            <w:pPr>
              <w:jc w:val="center"/>
              <w:rPr>
                <w:rFonts w:ascii="Times New Roman" w:hAnsi="Times New Roman" w:cs="Times New Roman"/>
              </w:rPr>
            </w:pPr>
            <w:r>
              <w:rPr>
                <w:rFonts w:ascii="Times New Roman" w:hAnsi="Times New Roman" w:cs="Times New Roman"/>
              </w:rPr>
              <w:t>实木复合门</w:t>
            </w:r>
          </w:p>
        </w:tc>
        <w:tc>
          <w:tcPr>
            <w:tcW w:w="1718" w:type="dxa"/>
            <w:tcBorders>
              <w:bottom w:val="single" w:color="000000" w:sz="4" w:space="0"/>
              <w:right w:val="single" w:color="000000" w:sz="4" w:space="0"/>
            </w:tcBorders>
            <w:vAlign w:val="center"/>
          </w:tcPr>
          <w:p w14:paraId="5EE04170">
            <w:pPr>
              <w:jc w:val="center"/>
              <w:rPr>
                <w:rFonts w:ascii="Times New Roman" w:hAnsi="Times New Roman" w:cs="Times New Roman"/>
              </w:rPr>
            </w:pPr>
            <w:r>
              <w:rPr>
                <w:rFonts w:ascii="Times New Roman" w:hAnsi="Times New Roman" w:cs="Times New Roman"/>
              </w:rPr>
              <w:t>1万套</w:t>
            </w:r>
          </w:p>
        </w:tc>
        <w:tc>
          <w:tcPr>
            <w:tcW w:w="3900" w:type="dxa"/>
            <w:tcBorders>
              <w:bottom w:val="single" w:color="000000" w:sz="4" w:space="0"/>
            </w:tcBorders>
            <w:vAlign w:val="center"/>
          </w:tcPr>
          <w:p w14:paraId="5D452424">
            <w:pPr>
              <w:jc w:val="center"/>
              <w:rPr>
                <w:rFonts w:ascii="Times New Roman" w:hAnsi="Times New Roman" w:cs="Times New Roman"/>
              </w:rPr>
            </w:pPr>
            <w:r>
              <w:rPr>
                <w:rFonts w:ascii="Times New Roman" w:hAnsi="Times New Roman" w:cs="Times New Roman"/>
              </w:rPr>
              <w:t>高：1900~</w:t>
            </w:r>
            <w:r>
              <w:rPr>
                <w:rFonts w:hint="eastAsia" w:ascii="Times New Roman" w:hAnsi="Times New Roman" w:cs="Times New Roman"/>
                <w:lang w:val="en-US" w:eastAsia="zh-CN"/>
              </w:rPr>
              <w:t>29</w:t>
            </w:r>
            <w:r>
              <w:rPr>
                <w:rFonts w:ascii="Times New Roman" w:hAnsi="Times New Roman" w:cs="Times New Roman"/>
              </w:rPr>
              <w:t>00mm、宽：</w:t>
            </w:r>
            <w:r>
              <w:rPr>
                <w:rFonts w:hint="eastAsia" w:ascii="Times New Roman" w:hAnsi="Times New Roman" w:cs="Times New Roman"/>
                <w:lang w:val="en-US" w:eastAsia="zh-CN"/>
              </w:rPr>
              <w:t>7</w:t>
            </w:r>
            <w:r>
              <w:rPr>
                <w:rFonts w:ascii="Times New Roman" w:hAnsi="Times New Roman" w:cs="Times New Roman"/>
              </w:rPr>
              <w:t>00~1</w:t>
            </w:r>
            <w:r>
              <w:rPr>
                <w:rFonts w:hint="eastAsia" w:ascii="Times New Roman" w:hAnsi="Times New Roman" w:cs="Times New Roman"/>
                <w:lang w:val="en-US" w:eastAsia="zh-CN"/>
              </w:rPr>
              <w:t>3</w:t>
            </w:r>
            <w:r>
              <w:rPr>
                <w:rFonts w:ascii="Times New Roman" w:hAnsi="Times New Roman" w:cs="Times New Roman"/>
              </w:rPr>
              <w:t>00mm、厚：45mm，具体尺寸等根据客户要求</w:t>
            </w:r>
          </w:p>
        </w:tc>
      </w:tr>
      <w:tr w14:paraId="378A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7" w:type="dxa"/>
            <w:tcBorders>
              <w:bottom w:val="single" w:color="000000" w:sz="4" w:space="0"/>
            </w:tcBorders>
            <w:vAlign w:val="center"/>
          </w:tcPr>
          <w:p w14:paraId="0389C369">
            <w:pPr>
              <w:jc w:val="center"/>
              <w:rPr>
                <w:rFonts w:ascii="Times New Roman" w:hAnsi="Times New Roman" w:cs="Times New Roman"/>
              </w:rPr>
            </w:pPr>
            <w:r>
              <w:rPr>
                <w:rFonts w:ascii="Times New Roman" w:hAnsi="Times New Roman" w:cs="Times New Roman"/>
              </w:rPr>
              <w:t>2</w:t>
            </w:r>
          </w:p>
        </w:tc>
        <w:tc>
          <w:tcPr>
            <w:tcW w:w="1787" w:type="dxa"/>
            <w:tcBorders>
              <w:top w:val="single" w:color="000000" w:sz="4" w:space="0"/>
              <w:bottom w:val="single" w:color="000000" w:sz="4" w:space="0"/>
            </w:tcBorders>
            <w:vAlign w:val="center"/>
          </w:tcPr>
          <w:p w14:paraId="113FE882">
            <w:pPr>
              <w:jc w:val="center"/>
              <w:rPr>
                <w:rFonts w:ascii="Times New Roman" w:hAnsi="Times New Roman" w:cs="Times New Roman"/>
              </w:rPr>
            </w:pPr>
            <w:r>
              <w:rPr>
                <w:rFonts w:ascii="Times New Roman" w:hAnsi="Times New Roman" w:cs="Times New Roman"/>
              </w:rPr>
              <w:t>全屋定制</w:t>
            </w:r>
          </w:p>
        </w:tc>
        <w:tc>
          <w:tcPr>
            <w:tcW w:w="1718" w:type="dxa"/>
            <w:tcBorders>
              <w:top w:val="single" w:color="000000" w:sz="4" w:space="0"/>
              <w:bottom w:val="single" w:color="000000" w:sz="4" w:space="0"/>
            </w:tcBorders>
            <w:vAlign w:val="center"/>
          </w:tcPr>
          <w:p w14:paraId="296439B2">
            <w:pPr>
              <w:jc w:val="center"/>
              <w:rPr>
                <w:rFonts w:ascii="Times New Roman" w:hAnsi="Times New Roman" w:cs="Times New Roman"/>
              </w:rPr>
            </w:pPr>
            <w:r>
              <w:rPr>
                <w:rFonts w:ascii="Times New Roman" w:hAnsi="Times New Roman" w:cs="Times New Roman"/>
              </w:rPr>
              <w:t>4万平方米</w:t>
            </w:r>
          </w:p>
        </w:tc>
        <w:tc>
          <w:tcPr>
            <w:tcW w:w="3900" w:type="dxa"/>
            <w:tcBorders>
              <w:top w:val="single" w:color="000000" w:sz="4" w:space="0"/>
              <w:bottom w:val="single" w:color="000000" w:sz="4" w:space="0"/>
            </w:tcBorders>
            <w:vAlign w:val="center"/>
          </w:tcPr>
          <w:p w14:paraId="2CBBA7C7">
            <w:pPr>
              <w:jc w:val="center"/>
              <w:rPr>
                <w:rFonts w:ascii="Times New Roman" w:hAnsi="Times New Roman" w:cs="Times New Roman"/>
              </w:rPr>
            </w:pPr>
            <w:r>
              <w:rPr>
                <w:rFonts w:ascii="Times New Roman" w:hAnsi="Times New Roman" w:cs="Times New Roman"/>
              </w:rPr>
              <w:t>具体规格根据订单要求</w:t>
            </w:r>
          </w:p>
        </w:tc>
      </w:tr>
    </w:tbl>
    <w:p w14:paraId="20A4A8E5">
      <w:pPr>
        <w:pStyle w:val="4"/>
        <w:numPr>
          <w:ilvl w:val="2"/>
          <w:numId w:val="31"/>
        </w:numPr>
        <w:tabs>
          <w:tab w:val="clear" w:pos="0"/>
        </w:tabs>
      </w:pPr>
      <w:r>
        <w:rPr>
          <w:rFonts w:hint="eastAsia"/>
        </w:rPr>
        <w:t>项目组成及建设内容</w:t>
      </w:r>
    </w:p>
    <w:p w14:paraId="0DF14CC3">
      <w:pPr>
        <w:spacing w:line="360" w:lineRule="auto"/>
        <w:ind w:firstLine="480" w:firstLineChars="200"/>
        <w:rPr>
          <w:rFonts w:ascii="Times New Roman" w:hAnsi="Times New Roman"/>
          <w:sz w:val="24"/>
        </w:rPr>
      </w:pPr>
      <w:r>
        <w:rPr>
          <w:rFonts w:hint="eastAsia" w:ascii="Times New Roman" w:hAnsi="Times New Roman" w:eastAsia="宋体" w:cs="Times New Roman"/>
          <w:bCs/>
          <w:kern w:val="0"/>
          <w:sz w:val="24"/>
        </w:rPr>
        <w:t>本项目建设内容及工程组成见下表。</w:t>
      </w:r>
    </w:p>
    <w:p w14:paraId="7D082BEF">
      <w:pPr>
        <w:numPr>
          <w:ilvl w:val="0"/>
          <w:numId w:val="32"/>
        </w:numPr>
        <w:jc w:val="center"/>
        <w:rPr>
          <w:rFonts w:ascii="Times New Roman" w:hAnsi="Times New Roman" w:eastAsia="宋体" w:cs="Times New Roman"/>
          <w:b/>
          <w:bCs/>
        </w:rPr>
      </w:pPr>
      <w:r>
        <w:rPr>
          <w:rFonts w:hint="eastAsia" w:ascii="Times New Roman" w:hAnsi="Times New Roman" w:eastAsia="宋体" w:cs="Times New Roman"/>
          <w:b/>
          <w:bCs/>
        </w:rPr>
        <w:t xml:space="preserve">  </w:t>
      </w:r>
      <w:r>
        <w:rPr>
          <w:rFonts w:ascii="Times New Roman" w:hAnsi="Times New Roman" w:eastAsia="宋体" w:cs="Times New Roman"/>
          <w:b/>
          <w:bCs/>
        </w:rPr>
        <w:t>项目建设内容及工程组成</w:t>
      </w:r>
    </w:p>
    <w:tbl>
      <w:tblPr>
        <w:tblStyle w:val="31"/>
        <w:tblW w:w="8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054"/>
        <w:gridCol w:w="6360"/>
      </w:tblGrid>
      <w:tr w14:paraId="0A77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4BD22E67">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工程类别</w:t>
            </w:r>
          </w:p>
        </w:tc>
        <w:tc>
          <w:tcPr>
            <w:tcW w:w="1054" w:type="dxa"/>
            <w:vAlign w:val="center"/>
          </w:tcPr>
          <w:p w14:paraId="3A6561BB">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6360" w:type="dxa"/>
            <w:vAlign w:val="center"/>
          </w:tcPr>
          <w:p w14:paraId="587B163E">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规模及建设内容</w:t>
            </w:r>
          </w:p>
        </w:tc>
      </w:tr>
      <w:tr w14:paraId="6152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099" w:type="dxa"/>
            <w:vAlign w:val="center"/>
          </w:tcPr>
          <w:p w14:paraId="0A6ED69D">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主体工程</w:t>
            </w:r>
          </w:p>
        </w:tc>
        <w:tc>
          <w:tcPr>
            <w:tcW w:w="1054" w:type="dxa"/>
            <w:vAlign w:val="center"/>
          </w:tcPr>
          <w:p w14:paraId="7C7955ED">
            <w:pPr>
              <w:pStyle w:val="41"/>
              <w:spacing w:line="240" w:lineRule="auto"/>
              <w:ind w:firstLine="0" w:firstLineChars="0"/>
              <w:jc w:val="center"/>
              <w:rPr>
                <w:sz w:val="21"/>
              </w:rPr>
            </w:pPr>
            <w:r>
              <w:rPr>
                <w:rFonts w:hint="eastAsia"/>
                <w:sz w:val="21"/>
              </w:rPr>
              <w:t>生产车间</w:t>
            </w:r>
          </w:p>
        </w:tc>
        <w:tc>
          <w:tcPr>
            <w:tcW w:w="6360" w:type="dxa"/>
            <w:vAlign w:val="center"/>
          </w:tcPr>
          <w:p w14:paraId="6F4696CC">
            <w:pPr>
              <w:pStyle w:val="17"/>
              <w:ind w:firstLine="0"/>
              <w:jc w:val="center"/>
              <w:rPr>
                <w:rFonts w:ascii="Times New Roman" w:hAnsi="Times New Roman" w:eastAsia="宋体" w:cs="Times New Roman"/>
                <w:szCs w:val="21"/>
              </w:rPr>
            </w:pPr>
            <w:r>
              <w:rPr>
                <w:rFonts w:ascii="Times New Roman" w:hAnsi="Times New Roman" w:cs="Times New Roman"/>
                <w:color w:val="000000" w:themeColor="text1"/>
                <w:szCs w:val="21"/>
                <w14:textFill>
                  <w14:solidFill>
                    <w14:schemeClr w14:val="tx1"/>
                  </w14:solidFill>
                </w14:textFill>
              </w:rPr>
              <w:t>建筑面积为</w:t>
            </w:r>
            <w:r>
              <w:rPr>
                <w:rFonts w:hint="eastAsia" w:ascii="Times New Roman" w:hAnsi="Times New Roman" w:cs="Times New Roman"/>
                <w:color w:val="000000" w:themeColor="text1"/>
                <w:szCs w:val="21"/>
                <w14:textFill>
                  <w14:solidFill>
                    <w14:schemeClr w14:val="tx1"/>
                  </w14:solidFill>
                </w14:textFill>
              </w:rPr>
              <w:t>16000</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，长</w:t>
            </w:r>
            <w:r>
              <w:rPr>
                <w:rFonts w:ascii="Times New Roman" w:hAnsi="Times New Roman" w:eastAsia="宋体" w:cs="Times New Roman"/>
                <w:szCs w:val="21"/>
              </w:rPr>
              <w:t>1</w:t>
            </w:r>
            <w:r>
              <w:rPr>
                <w:rFonts w:hint="eastAsia" w:ascii="Times New Roman" w:hAnsi="Times New Roman" w:eastAsia="宋体" w:cs="Times New Roman"/>
                <w:szCs w:val="21"/>
              </w:rPr>
              <w:t>77</w:t>
            </w:r>
            <w:r>
              <w:rPr>
                <w:rFonts w:ascii="Times New Roman" w:hAnsi="Times New Roman" w:eastAsia="宋体" w:cs="Times New Roman"/>
                <w:szCs w:val="21"/>
              </w:rPr>
              <w:t>m*宽</w:t>
            </w:r>
            <w:r>
              <w:rPr>
                <w:rFonts w:hint="eastAsia" w:ascii="Times New Roman" w:hAnsi="Times New Roman" w:eastAsia="宋体" w:cs="Times New Roman"/>
                <w:szCs w:val="21"/>
              </w:rPr>
              <w:t>45</w:t>
            </w:r>
            <w:r>
              <w:rPr>
                <w:rFonts w:ascii="Times New Roman" w:hAnsi="Times New Roman" w:eastAsia="宋体" w:cs="Times New Roman"/>
                <w:szCs w:val="21"/>
              </w:rPr>
              <w:t>*高</w:t>
            </w:r>
            <w:r>
              <w:rPr>
                <w:rFonts w:hint="eastAsia" w:ascii="Times New Roman" w:hAnsi="Times New Roman" w:eastAsia="宋体" w:cs="Times New Roman"/>
                <w:szCs w:val="21"/>
              </w:rPr>
              <w:t>12</w:t>
            </w:r>
            <w:r>
              <w:rPr>
                <w:rFonts w:ascii="Times New Roman" w:hAnsi="Times New Roman" w:eastAsia="宋体" w:cs="Times New Roman"/>
                <w:szCs w:val="21"/>
              </w:rPr>
              <w:t>m，</w:t>
            </w:r>
            <w:r>
              <w:rPr>
                <w:rFonts w:ascii="Times New Roman" w:hAnsi="Times New Roman" w:cs="Times New Roman"/>
                <w:color w:val="000000" w:themeColor="text1"/>
                <w:szCs w:val="21"/>
                <w14:textFill>
                  <w14:solidFill>
                    <w14:schemeClr w14:val="tx1"/>
                  </w14:solidFill>
                </w14:textFill>
              </w:rPr>
              <w:t>1F为木料加工，主要设备有精密锯、修边锯、立铣机、多片锯、带锯、台钻等，2F为喷漆房，2个底漆房、</w:t>
            </w:r>
            <w:r>
              <w:rPr>
                <w:rFonts w:hint="eastAsia" w:ascii="Times New Roman" w:hAnsi="Times New Roman" w:cs="Times New Roman"/>
                <w:color w:val="000000" w:themeColor="text1"/>
                <w:szCs w:val="21"/>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个面漆房，</w:t>
            </w: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个色漆房</w:t>
            </w:r>
            <w:r>
              <w:rPr>
                <w:rFonts w:hint="eastAsia" w:ascii="Times New Roman" w:hAnsi="Times New Roman" w:cs="Times New Roman"/>
                <w:color w:val="000000" w:themeColor="text1"/>
                <w:szCs w:val="21"/>
                <w14:textFill>
                  <w14:solidFill>
                    <w14:schemeClr w14:val="tx1"/>
                  </w14:solidFill>
                </w14:textFill>
              </w:rPr>
              <w:t>、烘干房、打磨房</w:t>
            </w:r>
            <w:r>
              <w:rPr>
                <w:rFonts w:ascii="Times New Roman" w:hAnsi="Times New Roman" w:cs="Times New Roman"/>
                <w:color w:val="000000" w:themeColor="text1"/>
                <w:szCs w:val="21"/>
                <w14:textFill>
                  <w14:solidFill>
                    <w14:schemeClr w14:val="tx1"/>
                  </w14:solidFill>
                </w14:textFill>
              </w:rPr>
              <w:t>。</w:t>
            </w:r>
          </w:p>
        </w:tc>
      </w:tr>
      <w:tr w14:paraId="3D51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099" w:type="dxa"/>
            <w:vAlign w:val="center"/>
          </w:tcPr>
          <w:p w14:paraId="273012C1">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辅助工程</w:t>
            </w:r>
          </w:p>
        </w:tc>
        <w:tc>
          <w:tcPr>
            <w:tcW w:w="1054" w:type="dxa"/>
            <w:vAlign w:val="center"/>
          </w:tcPr>
          <w:p w14:paraId="135840B1">
            <w:pPr>
              <w:pStyle w:val="41"/>
              <w:spacing w:line="240" w:lineRule="auto"/>
              <w:ind w:firstLine="0" w:firstLineChars="0"/>
              <w:jc w:val="center"/>
              <w:rPr>
                <w:sz w:val="21"/>
              </w:rPr>
            </w:pPr>
            <w:r>
              <w:rPr>
                <w:rFonts w:hint="eastAsia"/>
                <w:sz w:val="21"/>
              </w:rPr>
              <w:t>办公室</w:t>
            </w:r>
          </w:p>
        </w:tc>
        <w:tc>
          <w:tcPr>
            <w:tcW w:w="6360" w:type="dxa"/>
            <w:vAlign w:val="center"/>
          </w:tcPr>
          <w:p w14:paraId="74E8F55D">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占地面积：</w:t>
            </w:r>
            <w:r>
              <w:rPr>
                <w:rFonts w:hint="eastAsia" w:ascii="Times New Roman" w:hAnsi="Times New Roman" w:eastAsia="宋体" w:cs="Times New Roman"/>
                <w:szCs w:val="21"/>
              </w:rPr>
              <w:t>150</w:t>
            </w:r>
            <w:r>
              <w:rPr>
                <w:rFonts w:ascii="Times New Roman" w:hAnsi="Times New Roman" w:eastAsia="宋体" w:cs="Times New Roman"/>
                <w:szCs w:val="21"/>
              </w:rPr>
              <w:t>m</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hint="eastAsia" w:ascii="Times New Roman" w:hAnsi="Times New Roman" w:eastAsia="宋体" w:cs="Times New Roman"/>
                <w:szCs w:val="21"/>
              </w:rPr>
              <w:t>利用伯艺精木现有办公室</w:t>
            </w:r>
            <w:r>
              <w:rPr>
                <w:rFonts w:ascii="Times New Roman" w:hAnsi="Times New Roman" w:eastAsia="宋体" w:cs="Times New Roman"/>
                <w:szCs w:val="21"/>
              </w:rPr>
              <w:t>，用于行政办公</w:t>
            </w:r>
          </w:p>
        </w:tc>
      </w:tr>
      <w:tr w14:paraId="77E3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restart"/>
            <w:vAlign w:val="center"/>
          </w:tcPr>
          <w:p w14:paraId="49A0C5AA">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公用工程</w:t>
            </w:r>
          </w:p>
        </w:tc>
        <w:tc>
          <w:tcPr>
            <w:tcW w:w="1054" w:type="dxa"/>
            <w:vAlign w:val="center"/>
          </w:tcPr>
          <w:p w14:paraId="69510A0F">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供水</w:t>
            </w:r>
          </w:p>
        </w:tc>
        <w:tc>
          <w:tcPr>
            <w:tcW w:w="6360" w:type="dxa"/>
            <w:vAlign w:val="center"/>
          </w:tcPr>
          <w:p w14:paraId="16B9E35C">
            <w:pPr>
              <w:pStyle w:val="17"/>
              <w:ind w:firstLine="0"/>
              <w:rPr>
                <w:rFonts w:ascii="Times New Roman" w:hAnsi="Times New Roman" w:eastAsia="宋体" w:cs="Times New Roman"/>
                <w:szCs w:val="21"/>
              </w:rPr>
            </w:pPr>
            <w:r>
              <w:rPr>
                <w:rFonts w:ascii="Times New Roman" w:hAnsi="Times New Roman" w:eastAsia="宋体" w:cs="Times New Roman"/>
                <w:szCs w:val="21"/>
              </w:rPr>
              <w:t>新鲜水用量</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289</w:t>
            </w:r>
            <w:r>
              <w:rPr>
                <w:rFonts w:hint="eastAsia" w:ascii="Times New Roman" w:hAnsi="Times New Roman" w:eastAsia="宋体" w:cs="Times New Roman"/>
                <w:color w:val="auto"/>
                <w:szCs w:val="21"/>
                <w:lang w:val="en-US" w:eastAsia="zh-CN"/>
              </w:rPr>
              <w:t>3.92</w:t>
            </w:r>
            <w:r>
              <w:rPr>
                <w:rFonts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/a，由园区</w:t>
            </w:r>
            <w:r>
              <w:rPr>
                <w:rFonts w:ascii="Times New Roman" w:hAnsi="Times New Roman" w:eastAsia="宋体" w:cs="Times New Roman"/>
                <w:szCs w:val="21"/>
              </w:rPr>
              <w:t>市政管网供给；</w:t>
            </w:r>
          </w:p>
        </w:tc>
      </w:tr>
      <w:tr w14:paraId="6295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continue"/>
            <w:vAlign w:val="center"/>
          </w:tcPr>
          <w:p w14:paraId="1FBE0298">
            <w:pPr>
              <w:pStyle w:val="17"/>
              <w:ind w:firstLine="0"/>
              <w:jc w:val="center"/>
              <w:rPr>
                <w:rFonts w:ascii="Times New Roman" w:hAnsi="Times New Roman" w:eastAsia="宋体" w:cs="Times New Roman"/>
                <w:szCs w:val="21"/>
              </w:rPr>
            </w:pPr>
          </w:p>
        </w:tc>
        <w:tc>
          <w:tcPr>
            <w:tcW w:w="1054" w:type="dxa"/>
            <w:vAlign w:val="center"/>
          </w:tcPr>
          <w:p w14:paraId="6F33702A">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排水</w:t>
            </w:r>
          </w:p>
        </w:tc>
        <w:tc>
          <w:tcPr>
            <w:tcW w:w="6360" w:type="dxa"/>
            <w:vAlign w:val="center"/>
          </w:tcPr>
          <w:p w14:paraId="21D266B1">
            <w:pPr>
              <w:jc w:val="left"/>
              <w:rPr>
                <w:rFonts w:ascii="Times New Roman" w:hAnsi="Times New Roman" w:eastAsia="宋体" w:cs="Times New Roman"/>
                <w:szCs w:val="21"/>
              </w:rPr>
            </w:pPr>
            <w:r>
              <w:rPr>
                <w:rFonts w:ascii="Times New Roman" w:hAnsi="Times New Roman" w:eastAsia="宋体" w:cs="Times New Roman"/>
                <w:szCs w:val="21"/>
              </w:rPr>
              <w:t>雨水：收集后排入园区雨水管网。</w:t>
            </w:r>
          </w:p>
          <w:p w14:paraId="7F5810E8">
            <w:pPr>
              <w:pStyle w:val="17"/>
              <w:ind w:firstLine="0"/>
              <w:jc w:val="left"/>
              <w:rPr>
                <w:rFonts w:ascii="Times New Roman" w:hAnsi="Times New Roman" w:eastAsia="宋体" w:cs="Times New Roman"/>
                <w:szCs w:val="21"/>
              </w:rPr>
            </w:pPr>
            <w:r>
              <w:rPr>
                <w:rFonts w:hint="eastAsia" w:ascii="Times New Roman" w:hAnsi="Times New Roman" w:eastAsia="宋体" w:cs="Times New Roman"/>
                <w:szCs w:val="21"/>
              </w:rPr>
              <w:t>污水：</w:t>
            </w:r>
            <w:r>
              <w:rPr>
                <w:rFonts w:ascii="Times New Roman" w:hAnsi="Times New Roman" w:eastAsia="宋体" w:cs="Times New Roman"/>
                <w:szCs w:val="21"/>
              </w:rPr>
              <w:t>生活污水经化粪池处理</w:t>
            </w:r>
            <w:r>
              <w:rPr>
                <w:rFonts w:hint="eastAsia" w:ascii="Times New Roman" w:hAnsi="Times New Roman" w:eastAsia="宋体" w:cs="Times New Roman"/>
                <w:szCs w:val="21"/>
              </w:rPr>
              <w:t>、水帘废水经厂内污水处理站处理</w:t>
            </w:r>
            <w:r>
              <w:rPr>
                <w:rFonts w:ascii="Times New Roman" w:hAnsi="Times New Roman" w:eastAsia="宋体" w:cs="Times New Roman"/>
                <w:szCs w:val="21"/>
              </w:rPr>
              <w:t>后</w:t>
            </w:r>
            <w:r>
              <w:rPr>
                <w:rFonts w:hint="eastAsia" w:ascii="Times New Roman" w:hAnsi="Times New Roman" w:eastAsia="宋体" w:cs="Times New Roman"/>
                <w:szCs w:val="21"/>
              </w:rPr>
              <w:t>一并</w:t>
            </w:r>
            <w:r>
              <w:rPr>
                <w:rFonts w:ascii="Times New Roman" w:hAnsi="Times New Roman" w:eastAsia="宋体" w:cs="Times New Roman"/>
                <w:szCs w:val="21"/>
              </w:rPr>
              <w:t>通过厂区废水总排口接管进入</w:t>
            </w:r>
            <w:r>
              <w:rPr>
                <w:rFonts w:hint="eastAsia" w:ascii="Times New Roman" w:hAnsi="Times New Roman" w:cs="Times New Roman"/>
                <w:szCs w:val="21"/>
              </w:rPr>
              <w:t>清丰中州水务有限公司第二污水处理厂</w:t>
            </w:r>
            <w:r>
              <w:rPr>
                <w:rFonts w:ascii="Times New Roman" w:hAnsi="Times New Roman" w:eastAsia="宋体" w:cs="Times New Roman"/>
                <w:szCs w:val="21"/>
              </w:rPr>
              <w:t>，尾水排入</w:t>
            </w:r>
            <w:r>
              <w:rPr>
                <w:rFonts w:hint="eastAsia" w:ascii="Times New Roman" w:hAnsi="Times New Roman" w:eastAsia="宋体" w:cs="Times New Roman"/>
                <w:szCs w:val="21"/>
              </w:rPr>
              <w:t>潴龙河</w:t>
            </w:r>
            <w:r>
              <w:rPr>
                <w:rFonts w:ascii="Times New Roman" w:hAnsi="Times New Roman" w:eastAsia="宋体" w:cs="Times New Roman"/>
                <w:szCs w:val="21"/>
              </w:rPr>
              <w:t>。</w:t>
            </w:r>
          </w:p>
        </w:tc>
      </w:tr>
      <w:tr w14:paraId="3D79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continue"/>
            <w:vAlign w:val="center"/>
          </w:tcPr>
          <w:p w14:paraId="10E2242D">
            <w:pPr>
              <w:pStyle w:val="17"/>
              <w:ind w:firstLine="0"/>
              <w:jc w:val="center"/>
              <w:rPr>
                <w:rFonts w:ascii="Times New Roman" w:hAnsi="Times New Roman" w:eastAsia="宋体" w:cs="Times New Roman"/>
                <w:szCs w:val="21"/>
              </w:rPr>
            </w:pPr>
          </w:p>
        </w:tc>
        <w:tc>
          <w:tcPr>
            <w:tcW w:w="1054" w:type="dxa"/>
            <w:vAlign w:val="center"/>
          </w:tcPr>
          <w:p w14:paraId="0FDFBCDA">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供电</w:t>
            </w:r>
          </w:p>
        </w:tc>
        <w:tc>
          <w:tcPr>
            <w:tcW w:w="6360" w:type="dxa"/>
            <w:vAlign w:val="center"/>
          </w:tcPr>
          <w:p w14:paraId="14284422">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由</w:t>
            </w:r>
            <w:r>
              <w:rPr>
                <w:rFonts w:hint="eastAsia" w:ascii="Times New Roman" w:hAnsi="Times New Roman" w:eastAsia="宋体" w:cs="Times New Roman"/>
                <w:szCs w:val="21"/>
                <w:lang w:val="en-US" w:eastAsia="zh-CN"/>
              </w:rPr>
              <w:t>产业集聚区</w:t>
            </w:r>
            <w:r>
              <w:rPr>
                <w:rFonts w:ascii="Times New Roman" w:hAnsi="Times New Roman" w:eastAsia="宋体" w:cs="Times New Roman"/>
                <w:szCs w:val="21"/>
              </w:rPr>
              <w:t>市政电网供给</w:t>
            </w:r>
          </w:p>
        </w:tc>
      </w:tr>
      <w:tr w14:paraId="6635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continue"/>
            <w:vAlign w:val="center"/>
          </w:tcPr>
          <w:p w14:paraId="2A032BD0">
            <w:pPr>
              <w:pStyle w:val="17"/>
              <w:ind w:firstLine="0"/>
              <w:jc w:val="center"/>
              <w:rPr>
                <w:rFonts w:ascii="Times New Roman" w:hAnsi="Times New Roman" w:eastAsia="宋体" w:cs="Times New Roman"/>
                <w:szCs w:val="21"/>
              </w:rPr>
            </w:pPr>
          </w:p>
        </w:tc>
        <w:tc>
          <w:tcPr>
            <w:tcW w:w="1054" w:type="dxa"/>
            <w:vAlign w:val="center"/>
          </w:tcPr>
          <w:p w14:paraId="4A86061F">
            <w:pPr>
              <w:pStyle w:val="17"/>
              <w:ind w:firstLine="0"/>
              <w:jc w:val="center"/>
              <w:rPr>
                <w:rFonts w:ascii="Times New Roman" w:hAnsi="Times New Roman" w:eastAsia="宋体" w:cs="Times New Roman"/>
                <w:szCs w:val="21"/>
              </w:rPr>
            </w:pPr>
            <w:r>
              <w:rPr>
                <w:rFonts w:hint="eastAsia" w:ascii="Times New Roman" w:hAnsi="Times New Roman" w:eastAsia="宋体" w:cs="Times New Roman"/>
                <w:szCs w:val="21"/>
              </w:rPr>
              <w:t>供热</w:t>
            </w:r>
          </w:p>
        </w:tc>
        <w:tc>
          <w:tcPr>
            <w:tcW w:w="6360" w:type="dxa"/>
            <w:vAlign w:val="center"/>
          </w:tcPr>
          <w:p w14:paraId="319BD140">
            <w:pPr>
              <w:pStyle w:val="17"/>
              <w:ind w:firstLine="0"/>
              <w:jc w:val="center"/>
              <w:rPr>
                <w:rFonts w:ascii="Times New Roman" w:hAnsi="Times New Roman" w:eastAsia="宋体" w:cs="Times New Roman"/>
                <w:szCs w:val="21"/>
              </w:rPr>
            </w:pPr>
            <w:r>
              <w:rPr>
                <w:rFonts w:ascii="Times New Roman" w:hAnsi="Times New Roman" w:cs="Times New Roman"/>
                <w:color w:val="000000" w:themeColor="text1"/>
                <w:szCs w:val="21"/>
                <w14:textFill>
                  <w14:solidFill>
                    <w14:schemeClr w14:val="tx1"/>
                  </w14:solidFill>
                </w14:textFill>
              </w:rPr>
              <w:t>喷漆后晾干采用自然晾干，不需热源</w:t>
            </w:r>
            <w:r>
              <w:rPr>
                <w:rFonts w:hint="eastAsia" w:ascii="Times New Roman" w:hAnsi="Times New Roman" w:cs="Times New Roman"/>
                <w:color w:val="000000" w:themeColor="text1"/>
                <w:szCs w:val="21"/>
                <w14:textFill>
                  <w14:solidFill>
                    <w14:schemeClr w14:val="tx1"/>
                  </w14:solidFill>
                </w14:textFill>
              </w:rPr>
              <w:t>，办公取暖</w:t>
            </w:r>
            <w:r>
              <w:rPr>
                <w:rFonts w:ascii="Times New Roman" w:hAnsi="Times New Roman" w:cs="Times New Roman"/>
                <w:color w:val="000000" w:themeColor="text1"/>
                <w:szCs w:val="21"/>
                <w14:textFill>
                  <w14:solidFill>
                    <w14:schemeClr w14:val="tx1"/>
                  </w14:solidFill>
                </w14:textFill>
              </w:rPr>
              <w:t>利用空调集中供暖</w:t>
            </w:r>
          </w:p>
        </w:tc>
      </w:tr>
      <w:tr w14:paraId="00E5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vMerge w:val="restart"/>
            <w:vAlign w:val="center"/>
          </w:tcPr>
          <w:p w14:paraId="5B657029">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环保工程</w:t>
            </w:r>
          </w:p>
        </w:tc>
        <w:tc>
          <w:tcPr>
            <w:tcW w:w="1054" w:type="dxa"/>
            <w:vAlign w:val="center"/>
          </w:tcPr>
          <w:p w14:paraId="3A053274">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6360" w:type="dxa"/>
            <w:vAlign w:val="center"/>
          </w:tcPr>
          <w:p w14:paraId="63BB9DD0">
            <w:pPr>
              <w:pStyle w:val="17"/>
              <w:ind w:firstLine="0"/>
              <w:jc w:val="left"/>
              <w:rPr>
                <w:rFonts w:ascii="Times New Roman" w:hAnsi="Times New Roman" w:eastAsia="宋体" w:cs="Times New Roman"/>
                <w:szCs w:val="21"/>
              </w:rPr>
            </w:pPr>
            <w:r>
              <w:rPr>
                <w:rFonts w:hint="eastAsia" w:ascii="Times New Roman" w:hAnsi="Times New Roman" w:eastAsia="宋体" w:cs="Times New Roman"/>
                <w:szCs w:val="21"/>
              </w:rPr>
              <w:t>木材加工</w:t>
            </w:r>
            <w:r>
              <w:rPr>
                <w:rFonts w:ascii="Times New Roman" w:hAnsi="Times New Roman" w:eastAsia="宋体" w:cs="Times New Roman"/>
                <w:szCs w:val="21"/>
              </w:rPr>
              <w:t>粉尘：</w:t>
            </w:r>
            <w:r>
              <w:rPr>
                <w:rFonts w:hint="eastAsia" w:ascii="Times New Roman" w:hAnsi="Times New Roman" w:eastAsia="宋体" w:cs="Times New Roman"/>
                <w:szCs w:val="21"/>
              </w:rPr>
              <w:t>集气罩</w:t>
            </w:r>
            <w:r>
              <w:rPr>
                <w:rFonts w:ascii="Times New Roman" w:hAnsi="Times New Roman" w:eastAsia="宋体" w:cs="Times New Roman"/>
                <w:szCs w:val="21"/>
              </w:rPr>
              <w:t>+</w:t>
            </w:r>
            <w:r>
              <w:rPr>
                <w:rFonts w:hint="eastAsia" w:ascii="Times New Roman" w:hAnsi="Times New Roman" w:eastAsia="宋体" w:cs="Times New Roman"/>
                <w:szCs w:val="21"/>
              </w:rPr>
              <w:t>中央除尘系统</w:t>
            </w:r>
            <w:r>
              <w:rPr>
                <w:rFonts w:ascii="Times New Roman" w:hAnsi="Times New Roman" w:eastAsia="宋体" w:cs="Times New Roman"/>
                <w:szCs w:val="21"/>
              </w:rPr>
              <w:t>+15m排气筒（DA001）；</w:t>
            </w:r>
          </w:p>
          <w:p w14:paraId="0F35B14E">
            <w:pPr>
              <w:rPr>
                <w:rFonts w:ascii="Times New Roman" w:hAnsi="Times New Roman" w:eastAsia="宋体" w:cs="Times New Roman"/>
                <w:szCs w:val="21"/>
              </w:rPr>
            </w:pPr>
            <w:r>
              <w:rPr>
                <w:rFonts w:hint="eastAsia" w:ascii="Times New Roman" w:hAnsi="Times New Roman" w:eastAsia="宋体" w:cs="Times New Roman"/>
                <w:szCs w:val="21"/>
              </w:rPr>
              <w:t>修正油磨粉尘：负压收集</w:t>
            </w:r>
            <w:r>
              <w:rPr>
                <w:rFonts w:hint="eastAsia" w:ascii="Times New Roman" w:hAnsi="Times New Roman" w:eastAsia="宋体" w:cs="Times New Roman"/>
                <w:szCs w:val="21"/>
                <w:lang w:val="en-US" w:eastAsia="zh-CN"/>
              </w:rPr>
              <w:t>后经</w:t>
            </w:r>
            <w:r>
              <w:rPr>
                <w:rFonts w:ascii="Times New Roman" w:hAnsi="Times New Roman" w:cs="Times New Roman"/>
                <w:szCs w:val="21"/>
              </w:rPr>
              <w:t>脉冲布袋除尘器</w:t>
            </w:r>
            <w:r>
              <w:rPr>
                <w:rFonts w:hint="eastAsia" w:ascii="Times New Roman" w:hAnsi="Times New Roman" w:cs="Times New Roman"/>
                <w:szCs w:val="21"/>
                <w:lang w:val="en-US" w:eastAsia="zh-CN"/>
              </w:rPr>
              <w:t>处理</w:t>
            </w:r>
            <w:r>
              <w:rPr>
                <w:rFonts w:ascii="Times New Roman" w:hAnsi="Times New Roman" w:eastAsia="宋体" w:cs="Times New Roman"/>
                <w:szCs w:val="21"/>
              </w:rPr>
              <w:t>；</w:t>
            </w:r>
          </w:p>
          <w:p w14:paraId="678182A7">
            <w:pPr>
              <w:pStyle w:val="17"/>
              <w:ind w:firstLine="0"/>
              <w:rPr>
                <w:rFonts w:ascii="Times New Roman" w:hAnsi="Times New Roman" w:eastAsia="宋体" w:cs="Times New Roman"/>
                <w:szCs w:val="21"/>
              </w:rPr>
            </w:pPr>
            <w:r>
              <w:rPr>
                <w:rFonts w:ascii="Times New Roman" w:hAnsi="Times New Roman" w:eastAsia="宋体" w:cs="Times New Roman"/>
                <w:szCs w:val="21"/>
              </w:rPr>
              <w:t>拼板冷压、封边、热压、擦色、</w:t>
            </w:r>
            <w:r>
              <w:rPr>
                <w:rFonts w:hint="eastAsia" w:ascii="Times New Roman" w:hAnsi="Times New Roman" w:eastAsia="宋体" w:cs="Times New Roman"/>
                <w:szCs w:val="21"/>
                <w:lang w:val="en-US" w:eastAsia="zh-CN"/>
              </w:rPr>
              <w:t>喷</w:t>
            </w:r>
            <w:r>
              <w:rPr>
                <w:rFonts w:ascii="Times New Roman" w:hAnsi="Times New Roman" w:eastAsia="宋体" w:cs="Times New Roman"/>
                <w:szCs w:val="21"/>
              </w:rPr>
              <w:t>漆房（含晾干）废气</w:t>
            </w:r>
            <w:r>
              <w:rPr>
                <w:rFonts w:hint="eastAsia" w:ascii="Times New Roman" w:hAnsi="Times New Roman" w:eastAsia="宋体" w:cs="Times New Roman"/>
                <w:szCs w:val="21"/>
              </w:rPr>
              <w:t>：</w:t>
            </w:r>
            <w:r>
              <w:rPr>
                <w:rFonts w:ascii="Times New Roman" w:hAnsi="Times New Roman" w:cs="Times New Roman"/>
                <w:color w:val="000000" w:themeColor="text1"/>
                <w:szCs w:val="21"/>
                <w14:textFill>
                  <w14:solidFill>
                    <w14:schemeClr w14:val="tx1"/>
                  </w14:solidFill>
                </w14:textFill>
              </w:rPr>
              <w:t>水幕帘</w:t>
            </w:r>
            <w:r>
              <w:rPr>
                <w:rFonts w:hint="eastAsia" w:ascii="Times New Roman" w:hAnsi="Times New Roman" w:cs="Times New Roman"/>
                <w:color w:val="000000" w:themeColor="text1"/>
                <w:szCs w:val="21"/>
                <w14:textFill>
                  <w14:solidFill>
                    <w14:schemeClr w14:val="tx1"/>
                  </w14:solidFill>
                </w14:textFill>
              </w:rPr>
              <w:t>+漆雾过滤器+</w:t>
            </w:r>
            <w:r>
              <w:rPr>
                <w:rFonts w:ascii="Times New Roman" w:hAnsi="Times New Roman" w:cs="Times New Roman"/>
                <w:color w:val="000000"/>
                <w:kern w:val="0"/>
                <w:szCs w:val="21"/>
              </w:rPr>
              <w:t>活性炭吸附—脱附催化燃烧</w:t>
            </w:r>
            <w:r>
              <w:rPr>
                <w:rFonts w:ascii="Times New Roman" w:hAnsi="Times New Roman" w:cs="Times New Roman"/>
                <w:szCs w:val="21"/>
              </w:rPr>
              <w:t>+15m排气筒（DA00</w:t>
            </w:r>
            <w:r>
              <w:rPr>
                <w:rFonts w:hint="eastAsia" w:ascii="Times New Roman" w:hAnsi="Times New Roman" w:cs="Times New Roman"/>
                <w:szCs w:val="21"/>
                <w:lang w:val="en-US" w:eastAsia="zh-CN"/>
              </w:rPr>
              <w:t>2</w:t>
            </w:r>
            <w:r>
              <w:rPr>
                <w:rFonts w:ascii="Times New Roman" w:hAnsi="Times New Roman" w:cs="Times New Roman"/>
                <w:szCs w:val="21"/>
              </w:rPr>
              <w:t>）</w:t>
            </w:r>
            <w:r>
              <w:rPr>
                <w:rFonts w:ascii="Times New Roman" w:hAnsi="Times New Roman" w:eastAsia="宋体" w:cs="Times New Roman"/>
                <w:szCs w:val="21"/>
              </w:rPr>
              <w:t>；</w:t>
            </w:r>
          </w:p>
        </w:tc>
      </w:tr>
      <w:tr w14:paraId="10A0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099" w:type="dxa"/>
            <w:vMerge w:val="continue"/>
            <w:vAlign w:val="center"/>
          </w:tcPr>
          <w:p w14:paraId="186492E1">
            <w:pPr>
              <w:pStyle w:val="17"/>
              <w:ind w:firstLine="0"/>
              <w:jc w:val="center"/>
              <w:rPr>
                <w:rFonts w:ascii="Times New Roman" w:hAnsi="Times New Roman" w:eastAsia="宋体" w:cs="Times New Roman"/>
                <w:szCs w:val="21"/>
              </w:rPr>
            </w:pPr>
          </w:p>
        </w:tc>
        <w:tc>
          <w:tcPr>
            <w:tcW w:w="1054" w:type="dxa"/>
            <w:vAlign w:val="center"/>
          </w:tcPr>
          <w:p w14:paraId="2836736F">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6360" w:type="dxa"/>
            <w:vAlign w:val="center"/>
          </w:tcPr>
          <w:p w14:paraId="4BFC164B">
            <w:pPr>
              <w:pStyle w:val="17"/>
              <w:ind w:firstLine="0"/>
              <w:jc w:val="left"/>
              <w:rPr>
                <w:rFonts w:ascii="Times New Roman" w:hAnsi="Times New Roman" w:eastAsia="宋体" w:cs="Times New Roman"/>
                <w:szCs w:val="21"/>
              </w:rPr>
            </w:pPr>
            <w:r>
              <w:rPr>
                <w:rFonts w:ascii="Times New Roman" w:hAnsi="Times New Roman" w:eastAsia="宋体" w:cs="Times New Roman"/>
                <w:szCs w:val="21"/>
              </w:rPr>
              <w:t>生活污水经化粪池处理</w:t>
            </w:r>
            <w:r>
              <w:rPr>
                <w:rFonts w:hint="eastAsia" w:ascii="Times New Roman" w:hAnsi="Times New Roman" w:eastAsia="宋体" w:cs="Times New Roman"/>
                <w:szCs w:val="21"/>
              </w:rPr>
              <w:t>、水帘废水经厂内污水处理站处理</w:t>
            </w:r>
            <w:r>
              <w:rPr>
                <w:rFonts w:ascii="Times New Roman" w:hAnsi="Times New Roman" w:eastAsia="宋体" w:cs="Times New Roman"/>
                <w:szCs w:val="21"/>
              </w:rPr>
              <w:t>后</w:t>
            </w:r>
            <w:r>
              <w:rPr>
                <w:rFonts w:hint="eastAsia" w:ascii="Times New Roman" w:hAnsi="Times New Roman" w:eastAsia="宋体" w:cs="Times New Roman"/>
                <w:szCs w:val="21"/>
              </w:rPr>
              <w:t>一并</w:t>
            </w:r>
            <w:r>
              <w:rPr>
                <w:rFonts w:ascii="Times New Roman" w:hAnsi="Times New Roman" w:eastAsia="宋体" w:cs="Times New Roman"/>
                <w:szCs w:val="21"/>
              </w:rPr>
              <w:t>通过厂区废水总排口接管进入</w:t>
            </w:r>
            <w:r>
              <w:rPr>
                <w:rFonts w:hint="eastAsia" w:ascii="Times New Roman" w:hAnsi="Times New Roman" w:cs="Times New Roman"/>
                <w:szCs w:val="21"/>
              </w:rPr>
              <w:t>清丰中州水务有限公司第二污水处理厂</w:t>
            </w:r>
            <w:r>
              <w:rPr>
                <w:rFonts w:ascii="Times New Roman" w:hAnsi="Times New Roman" w:eastAsia="宋体" w:cs="Times New Roman"/>
                <w:szCs w:val="21"/>
              </w:rPr>
              <w:t>，尾水排入</w:t>
            </w:r>
            <w:r>
              <w:rPr>
                <w:rFonts w:hint="eastAsia" w:ascii="Times New Roman" w:hAnsi="Times New Roman" w:eastAsia="宋体" w:cs="Times New Roman"/>
                <w:szCs w:val="21"/>
              </w:rPr>
              <w:t>潴龙河</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污水处理站</w:t>
            </w:r>
            <w:r>
              <w:rPr>
                <w:rFonts w:ascii="Times New Roman" w:hAnsi="Times New Roman" w:eastAsia="宋体" w:cs="Times New Roman"/>
                <w:color w:val="auto"/>
                <w:szCs w:val="21"/>
                <w:highlight w:val="none"/>
              </w:rPr>
              <w:t>设计规模为</w:t>
            </w: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m</w:t>
            </w:r>
            <w:r>
              <w:rPr>
                <w:rFonts w:ascii="Times New Roman" w:hAnsi="Times New Roman" w:eastAsia="宋体" w:cs="Times New Roman"/>
                <w:color w:val="auto"/>
                <w:szCs w:val="21"/>
                <w:highlight w:val="none"/>
                <w:vertAlign w:val="superscript"/>
              </w:rPr>
              <w:t>3</w:t>
            </w:r>
            <w:r>
              <w:rPr>
                <w:rFonts w:ascii="Times New Roman" w:hAnsi="Times New Roman" w:eastAsia="宋体" w:cs="Times New Roman"/>
                <w:color w:val="auto"/>
                <w:szCs w:val="21"/>
                <w:highlight w:val="none"/>
              </w:rPr>
              <w:t>/d，处</w:t>
            </w:r>
            <w:r>
              <w:rPr>
                <w:rFonts w:ascii="Times New Roman" w:hAnsi="Times New Roman" w:eastAsia="宋体" w:cs="Times New Roman"/>
                <w:color w:val="auto"/>
                <w:szCs w:val="21"/>
              </w:rPr>
              <w:t>理</w:t>
            </w:r>
            <w:r>
              <w:rPr>
                <w:rFonts w:ascii="Times New Roman" w:hAnsi="Times New Roman" w:eastAsia="宋体" w:cs="Times New Roman"/>
                <w:szCs w:val="21"/>
              </w:rPr>
              <w:t>工艺：</w:t>
            </w:r>
            <w:r>
              <w:rPr>
                <w:rFonts w:hint="eastAsia" w:ascii="Times New Roman" w:hAnsi="Times New Roman" w:eastAsia="宋体" w:cs="Times New Roman"/>
                <w:szCs w:val="21"/>
              </w:rPr>
              <w:t>混凝</w:t>
            </w:r>
            <w:r>
              <w:rPr>
                <w:rFonts w:ascii="Times New Roman" w:hAnsi="Times New Roman" w:eastAsia="宋体" w:cs="Times New Roman"/>
                <w:szCs w:val="21"/>
              </w:rPr>
              <w:t>沉淀+fenton</w:t>
            </w:r>
            <w:r>
              <w:rPr>
                <w:rFonts w:hint="eastAsia" w:ascii="Times New Roman" w:hAnsi="Times New Roman" w:eastAsia="宋体" w:cs="Times New Roman"/>
                <w:szCs w:val="21"/>
              </w:rPr>
              <w:t>氧化</w:t>
            </w:r>
            <w:r>
              <w:rPr>
                <w:rFonts w:ascii="Times New Roman" w:hAnsi="Times New Roman" w:eastAsia="宋体" w:cs="Times New Roman"/>
                <w:szCs w:val="21"/>
              </w:rPr>
              <w:t>处理</w:t>
            </w:r>
            <w:r>
              <w:rPr>
                <w:rFonts w:hint="eastAsia" w:ascii="Times New Roman" w:hAnsi="Times New Roman" w:eastAsia="宋体" w:cs="Times New Roman"/>
                <w:szCs w:val="21"/>
              </w:rPr>
              <w:t>。</w:t>
            </w:r>
          </w:p>
        </w:tc>
      </w:tr>
      <w:tr w14:paraId="3304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099" w:type="dxa"/>
            <w:vMerge w:val="continue"/>
            <w:vAlign w:val="center"/>
          </w:tcPr>
          <w:p w14:paraId="250E2800">
            <w:pPr>
              <w:pStyle w:val="17"/>
              <w:ind w:firstLine="0"/>
              <w:jc w:val="center"/>
              <w:rPr>
                <w:rFonts w:ascii="Times New Roman" w:hAnsi="Times New Roman" w:eastAsia="宋体" w:cs="Times New Roman"/>
                <w:szCs w:val="21"/>
              </w:rPr>
            </w:pPr>
          </w:p>
        </w:tc>
        <w:tc>
          <w:tcPr>
            <w:tcW w:w="1054" w:type="dxa"/>
            <w:vAlign w:val="center"/>
          </w:tcPr>
          <w:p w14:paraId="2B398983">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6360" w:type="dxa"/>
            <w:vAlign w:val="center"/>
          </w:tcPr>
          <w:p w14:paraId="0F815686">
            <w:pPr>
              <w:rPr>
                <w:rFonts w:ascii="Times New Roman" w:hAnsi="Times New Roman" w:eastAsia="宋体" w:cs="Times New Roman"/>
                <w:szCs w:val="21"/>
              </w:rPr>
            </w:pPr>
            <w:r>
              <w:rPr>
                <w:rFonts w:ascii="Times New Roman" w:hAnsi="Times New Roman" w:eastAsia="宋体" w:cs="Times New Roman"/>
                <w:spacing w:val="8"/>
                <w:szCs w:val="21"/>
              </w:rPr>
              <w:t>选用低噪设备；对高噪声设备安装隔声、减震等装置</w:t>
            </w:r>
          </w:p>
        </w:tc>
      </w:tr>
      <w:tr w14:paraId="07E3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vMerge w:val="continue"/>
            <w:vAlign w:val="center"/>
          </w:tcPr>
          <w:p w14:paraId="15D2DC84">
            <w:pPr>
              <w:pStyle w:val="17"/>
              <w:ind w:firstLine="0"/>
              <w:jc w:val="center"/>
              <w:rPr>
                <w:rFonts w:ascii="Times New Roman" w:hAnsi="Times New Roman" w:eastAsia="宋体" w:cs="Times New Roman"/>
                <w:szCs w:val="21"/>
              </w:rPr>
            </w:pPr>
          </w:p>
        </w:tc>
        <w:tc>
          <w:tcPr>
            <w:tcW w:w="1054" w:type="dxa"/>
            <w:vMerge w:val="restart"/>
            <w:vAlign w:val="center"/>
          </w:tcPr>
          <w:p w14:paraId="00D36F4A">
            <w:pPr>
              <w:pStyle w:val="17"/>
              <w:ind w:firstLine="0"/>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6360" w:type="dxa"/>
            <w:vAlign w:val="center"/>
          </w:tcPr>
          <w:p w14:paraId="394FF425">
            <w:pPr>
              <w:pStyle w:val="17"/>
              <w:ind w:firstLine="0"/>
              <w:jc w:val="left"/>
              <w:rPr>
                <w:rFonts w:ascii="Times New Roman" w:hAnsi="Times New Roman" w:eastAsia="宋体" w:cs="Times New Roman"/>
                <w:szCs w:val="21"/>
              </w:rPr>
            </w:pPr>
            <w:r>
              <w:rPr>
                <w:rFonts w:ascii="Times New Roman" w:hAnsi="Times New Roman" w:eastAsia="宋体" w:cs="Times New Roman"/>
                <w:spacing w:val="8"/>
                <w:szCs w:val="21"/>
              </w:rPr>
              <w:t>设置</w:t>
            </w:r>
            <w:r>
              <w:rPr>
                <w:rFonts w:hint="eastAsia" w:ascii="Times New Roman" w:hAnsi="Times New Roman" w:eastAsia="宋体" w:cs="Times New Roman"/>
                <w:spacing w:val="8"/>
                <w:szCs w:val="21"/>
              </w:rPr>
              <w:t>一般固废间</w:t>
            </w:r>
            <w:r>
              <w:rPr>
                <w:rFonts w:ascii="Times New Roman" w:hAnsi="Times New Roman" w:eastAsia="宋体" w:cs="Times New Roman"/>
                <w:spacing w:val="8"/>
                <w:szCs w:val="21"/>
              </w:rPr>
              <w:t>，建筑面积</w:t>
            </w:r>
            <w:r>
              <w:rPr>
                <w:rFonts w:hint="eastAsia" w:ascii="Times New Roman" w:hAnsi="Times New Roman" w:eastAsia="宋体" w:cs="Times New Roman"/>
                <w:spacing w:val="8"/>
                <w:szCs w:val="21"/>
              </w:rPr>
              <w:t>2</w:t>
            </w:r>
            <w:r>
              <w:rPr>
                <w:rFonts w:ascii="Times New Roman" w:hAnsi="Times New Roman" w:eastAsia="宋体" w:cs="Times New Roman"/>
                <w:spacing w:val="8"/>
                <w:szCs w:val="21"/>
              </w:rPr>
              <w:t>0m</w:t>
            </w:r>
            <w:r>
              <w:rPr>
                <w:rFonts w:ascii="Times New Roman" w:hAnsi="Times New Roman" w:eastAsia="宋体" w:cs="Times New Roman"/>
                <w:spacing w:val="8"/>
                <w:szCs w:val="21"/>
                <w:vertAlign w:val="superscript"/>
              </w:rPr>
              <w:t>2</w:t>
            </w:r>
            <w:r>
              <w:rPr>
                <w:rFonts w:ascii="Times New Roman" w:hAnsi="Times New Roman" w:eastAsia="宋体" w:cs="Times New Roman"/>
                <w:spacing w:val="8"/>
                <w:szCs w:val="21"/>
              </w:rPr>
              <w:t>，按照</w:t>
            </w:r>
            <w:r>
              <w:rPr>
                <w:rFonts w:ascii="Times New Roman" w:hAnsi="Times New Roman" w:cs="Times New Roman"/>
                <w:szCs w:val="21"/>
              </w:rPr>
              <w:t>《一般工业固体废物贮存和填埋污染控制标准》（GB18599-2020）</w:t>
            </w:r>
            <w:r>
              <w:rPr>
                <w:rFonts w:ascii="Times New Roman" w:hAnsi="Times New Roman" w:eastAsia="宋体" w:cs="Times New Roman"/>
                <w:spacing w:val="8"/>
                <w:szCs w:val="21"/>
              </w:rPr>
              <w:t>的要求进行设计和建设</w:t>
            </w:r>
          </w:p>
        </w:tc>
      </w:tr>
      <w:tr w14:paraId="285C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099" w:type="dxa"/>
            <w:vMerge w:val="continue"/>
            <w:vAlign w:val="center"/>
          </w:tcPr>
          <w:p w14:paraId="5269CD9A">
            <w:pPr>
              <w:pStyle w:val="17"/>
              <w:ind w:firstLine="0"/>
              <w:jc w:val="center"/>
              <w:rPr>
                <w:rFonts w:ascii="Times New Roman" w:hAnsi="Times New Roman" w:eastAsia="宋体" w:cs="Times New Roman"/>
                <w:szCs w:val="21"/>
              </w:rPr>
            </w:pPr>
          </w:p>
        </w:tc>
        <w:tc>
          <w:tcPr>
            <w:tcW w:w="1054" w:type="dxa"/>
            <w:vMerge w:val="continue"/>
            <w:vAlign w:val="center"/>
          </w:tcPr>
          <w:p w14:paraId="6E2D88DB">
            <w:pPr>
              <w:pStyle w:val="17"/>
              <w:ind w:firstLine="0"/>
              <w:jc w:val="center"/>
              <w:rPr>
                <w:rFonts w:ascii="Times New Roman" w:hAnsi="Times New Roman" w:eastAsia="宋体" w:cs="Times New Roman"/>
                <w:szCs w:val="21"/>
              </w:rPr>
            </w:pPr>
          </w:p>
        </w:tc>
        <w:tc>
          <w:tcPr>
            <w:tcW w:w="6360" w:type="dxa"/>
            <w:vAlign w:val="center"/>
          </w:tcPr>
          <w:p w14:paraId="69E63D89">
            <w:pPr>
              <w:pStyle w:val="17"/>
              <w:ind w:firstLine="0"/>
              <w:jc w:val="left"/>
              <w:rPr>
                <w:rFonts w:ascii="Times New Roman" w:hAnsi="Times New Roman" w:eastAsia="宋体" w:cs="Times New Roman"/>
                <w:szCs w:val="21"/>
              </w:rPr>
            </w:pPr>
            <w:r>
              <w:rPr>
                <w:rFonts w:ascii="Times New Roman" w:hAnsi="Times New Roman" w:eastAsia="宋体" w:cs="Times New Roman"/>
                <w:spacing w:val="8"/>
                <w:szCs w:val="21"/>
              </w:rPr>
              <w:t>设置</w:t>
            </w:r>
            <w:r>
              <w:rPr>
                <w:rFonts w:hint="eastAsia" w:ascii="Times New Roman" w:hAnsi="Times New Roman" w:eastAsia="宋体" w:cs="Times New Roman"/>
                <w:spacing w:val="8"/>
                <w:szCs w:val="21"/>
              </w:rPr>
              <w:t>危废暂存间</w:t>
            </w:r>
            <w:r>
              <w:rPr>
                <w:rFonts w:ascii="Times New Roman" w:hAnsi="Times New Roman" w:eastAsia="宋体" w:cs="Times New Roman"/>
                <w:spacing w:val="8"/>
                <w:szCs w:val="21"/>
              </w:rPr>
              <w:t>，建筑面积</w:t>
            </w:r>
            <w:r>
              <w:rPr>
                <w:rFonts w:hint="eastAsia" w:ascii="Times New Roman" w:hAnsi="Times New Roman" w:eastAsia="宋体" w:cs="Times New Roman"/>
                <w:spacing w:val="8"/>
                <w:szCs w:val="21"/>
              </w:rPr>
              <w:t>3</w:t>
            </w:r>
            <w:r>
              <w:rPr>
                <w:rFonts w:ascii="Times New Roman" w:hAnsi="Times New Roman" w:eastAsia="宋体" w:cs="Times New Roman"/>
                <w:spacing w:val="8"/>
                <w:szCs w:val="21"/>
              </w:rPr>
              <w:t>0m</w:t>
            </w:r>
            <w:r>
              <w:rPr>
                <w:rFonts w:ascii="Times New Roman" w:hAnsi="Times New Roman" w:eastAsia="宋体" w:cs="Times New Roman"/>
                <w:spacing w:val="8"/>
                <w:szCs w:val="21"/>
                <w:vertAlign w:val="superscript"/>
              </w:rPr>
              <w:t>2</w:t>
            </w:r>
            <w:r>
              <w:rPr>
                <w:rFonts w:ascii="Times New Roman" w:hAnsi="Times New Roman" w:eastAsia="宋体" w:cs="Times New Roman"/>
                <w:spacing w:val="8"/>
                <w:szCs w:val="21"/>
              </w:rPr>
              <w:t>，按照《危险废物贮存污染控制标准》（GB18597-2023）的要求进行设计和建设。</w:t>
            </w:r>
          </w:p>
        </w:tc>
      </w:tr>
    </w:tbl>
    <w:p w14:paraId="03AABD3D">
      <w:pPr>
        <w:spacing w:before="156" w:beforeLines="50"/>
        <w:ind w:firstLine="480" w:firstLineChars="200"/>
        <w:rPr>
          <w:rFonts w:ascii="Times New Roman" w:hAnsi="Times New Roman" w:eastAsia="宋体"/>
          <w:b/>
          <w:bCs/>
          <w:kern w:val="0"/>
          <w:szCs w:val="21"/>
        </w:rPr>
      </w:pPr>
      <w:r>
        <w:rPr>
          <w:rFonts w:hint="eastAsia" w:ascii="Times New Roman" w:hAnsi="Times New Roman"/>
          <w:sz w:val="24"/>
        </w:rPr>
        <w:t>厂区拟建构筑物建下表。</w:t>
      </w:r>
    </w:p>
    <w:p w14:paraId="5A123A59">
      <w:pPr>
        <w:numPr>
          <w:ilvl w:val="0"/>
          <w:numId w:val="32"/>
        </w:numPr>
        <w:spacing w:line="240" w:lineRule="auto"/>
        <w:jc w:val="center"/>
        <w:rPr>
          <w:rFonts w:ascii="Times New Roman" w:hAnsi="Times New Roman" w:eastAsia="宋体"/>
          <w:b/>
          <w:bCs/>
          <w:kern w:val="0"/>
          <w:szCs w:val="21"/>
        </w:rPr>
      </w:pPr>
      <w:r>
        <w:rPr>
          <w:rFonts w:hint="eastAsia" w:ascii="Times New Roman" w:hAnsi="Times New Roman" w:eastAsia="宋体"/>
          <w:b/>
          <w:bCs/>
          <w:kern w:val="0"/>
          <w:szCs w:val="21"/>
        </w:rPr>
        <w:t xml:space="preserve">  本项目厂区内建筑物一览表</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441"/>
        <w:gridCol w:w="1140"/>
        <w:gridCol w:w="1605"/>
        <w:gridCol w:w="1410"/>
        <w:gridCol w:w="1384"/>
        <w:gridCol w:w="886"/>
      </w:tblGrid>
      <w:tr w14:paraId="0852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53" w:type="dxa"/>
            <w:vAlign w:val="center"/>
          </w:tcPr>
          <w:p w14:paraId="41331F03">
            <w:pPr>
              <w:pStyle w:val="41"/>
              <w:spacing w:line="240" w:lineRule="auto"/>
              <w:ind w:firstLine="0" w:firstLineChars="0"/>
              <w:jc w:val="center"/>
              <w:rPr>
                <w:sz w:val="21"/>
              </w:rPr>
            </w:pPr>
            <w:r>
              <w:rPr>
                <w:rFonts w:hint="eastAsia"/>
                <w:sz w:val="21"/>
              </w:rPr>
              <w:t>序号</w:t>
            </w:r>
          </w:p>
        </w:tc>
        <w:tc>
          <w:tcPr>
            <w:tcW w:w="1441" w:type="dxa"/>
            <w:vAlign w:val="center"/>
          </w:tcPr>
          <w:p w14:paraId="376D8F2E">
            <w:pPr>
              <w:pStyle w:val="41"/>
              <w:spacing w:line="240" w:lineRule="auto"/>
              <w:ind w:firstLine="0" w:firstLineChars="0"/>
              <w:jc w:val="center"/>
              <w:rPr>
                <w:sz w:val="21"/>
              </w:rPr>
            </w:pPr>
            <w:r>
              <w:rPr>
                <w:rFonts w:hint="eastAsia"/>
                <w:sz w:val="21"/>
              </w:rPr>
              <w:t>建筑物名称</w:t>
            </w:r>
          </w:p>
        </w:tc>
        <w:tc>
          <w:tcPr>
            <w:tcW w:w="1140" w:type="dxa"/>
            <w:vAlign w:val="center"/>
          </w:tcPr>
          <w:p w14:paraId="0C5E46EB">
            <w:pPr>
              <w:pStyle w:val="41"/>
              <w:spacing w:line="240" w:lineRule="auto"/>
              <w:ind w:firstLine="0" w:firstLineChars="0"/>
              <w:jc w:val="center"/>
              <w:rPr>
                <w:sz w:val="21"/>
              </w:rPr>
            </w:pPr>
            <w:r>
              <w:rPr>
                <w:rFonts w:hint="eastAsia"/>
                <w:sz w:val="21"/>
              </w:rPr>
              <w:t>结构类型</w:t>
            </w:r>
          </w:p>
        </w:tc>
        <w:tc>
          <w:tcPr>
            <w:tcW w:w="1605" w:type="dxa"/>
            <w:vAlign w:val="center"/>
          </w:tcPr>
          <w:p w14:paraId="2A783BC9">
            <w:pPr>
              <w:pStyle w:val="41"/>
              <w:spacing w:line="240" w:lineRule="auto"/>
              <w:ind w:firstLine="0" w:firstLineChars="0"/>
              <w:jc w:val="center"/>
              <w:rPr>
                <w:sz w:val="21"/>
              </w:rPr>
            </w:pPr>
            <w:r>
              <w:rPr>
                <w:rFonts w:hint="eastAsia"/>
                <w:sz w:val="21"/>
              </w:rPr>
              <w:t>占地面积</w:t>
            </w:r>
          </w:p>
        </w:tc>
        <w:tc>
          <w:tcPr>
            <w:tcW w:w="1410" w:type="dxa"/>
            <w:vAlign w:val="center"/>
          </w:tcPr>
          <w:p w14:paraId="6268E9EB">
            <w:pPr>
              <w:pStyle w:val="41"/>
              <w:spacing w:line="240" w:lineRule="auto"/>
              <w:ind w:firstLine="0" w:firstLineChars="0"/>
              <w:jc w:val="center"/>
              <w:rPr>
                <w:sz w:val="21"/>
              </w:rPr>
            </w:pPr>
            <w:r>
              <w:rPr>
                <w:rFonts w:hint="eastAsia"/>
                <w:sz w:val="21"/>
              </w:rPr>
              <w:t>建筑面积</w:t>
            </w:r>
          </w:p>
        </w:tc>
        <w:tc>
          <w:tcPr>
            <w:tcW w:w="1384" w:type="dxa"/>
            <w:vAlign w:val="center"/>
          </w:tcPr>
          <w:p w14:paraId="231E5AF7">
            <w:pPr>
              <w:pStyle w:val="41"/>
              <w:spacing w:line="240" w:lineRule="auto"/>
              <w:ind w:firstLine="0" w:firstLineChars="0"/>
              <w:jc w:val="center"/>
              <w:rPr>
                <w:sz w:val="21"/>
              </w:rPr>
            </w:pPr>
            <w:r>
              <w:rPr>
                <w:rFonts w:hint="eastAsia"/>
                <w:sz w:val="21"/>
              </w:rPr>
              <w:t>层数</w:t>
            </w:r>
          </w:p>
        </w:tc>
        <w:tc>
          <w:tcPr>
            <w:tcW w:w="886" w:type="dxa"/>
            <w:vAlign w:val="center"/>
          </w:tcPr>
          <w:p w14:paraId="58E507A8">
            <w:pPr>
              <w:pStyle w:val="41"/>
              <w:spacing w:line="240" w:lineRule="auto"/>
              <w:ind w:firstLine="0" w:firstLineChars="0"/>
              <w:jc w:val="center"/>
              <w:rPr>
                <w:sz w:val="21"/>
              </w:rPr>
            </w:pPr>
            <w:r>
              <w:rPr>
                <w:rFonts w:hint="eastAsia"/>
                <w:sz w:val="21"/>
              </w:rPr>
              <w:t>高度</w:t>
            </w:r>
          </w:p>
        </w:tc>
      </w:tr>
      <w:tr w14:paraId="02AB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03595F2E">
            <w:pPr>
              <w:pStyle w:val="41"/>
              <w:spacing w:line="240" w:lineRule="auto"/>
              <w:ind w:firstLine="0" w:firstLineChars="0"/>
              <w:jc w:val="center"/>
              <w:rPr>
                <w:sz w:val="21"/>
              </w:rPr>
            </w:pPr>
            <w:r>
              <w:rPr>
                <w:rFonts w:hint="eastAsia"/>
                <w:sz w:val="21"/>
              </w:rPr>
              <w:t>1</w:t>
            </w:r>
          </w:p>
        </w:tc>
        <w:tc>
          <w:tcPr>
            <w:tcW w:w="1441" w:type="dxa"/>
            <w:vAlign w:val="center"/>
          </w:tcPr>
          <w:p w14:paraId="2E341026">
            <w:pPr>
              <w:pStyle w:val="41"/>
              <w:spacing w:line="240" w:lineRule="auto"/>
              <w:ind w:firstLine="0" w:firstLineChars="0"/>
              <w:jc w:val="center"/>
              <w:rPr>
                <w:sz w:val="21"/>
              </w:rPr>
            </w:pPr>
            <w:r>
              <w:rPr>
                <w:rFonts w:hint="eastAsia"/>
                <w:sz w:val="21"/>
              </w:rPr>
              <w:t>生产车间</w:t>
            </w:r>
          </w:p>
        </w:tc>
        <w:tc>
          <w:tcPr>
            <w:tcW w:w="1140" w:type="dxa"/>
            <w:vAlign w:val="center"/>
          </w:tcPr>
          <w:p w14:paraId="30599FE0">
            <w:pPr>
              <w:pStyle w:val="41"/>
              <w:spacing w:line="240" w:lineRule="auto"/>
              <w:ind w:firstLine="0" w:firstLineChars="0"/>
              <w:jc w:val="center"/>
              <w:rPr>
                <w:sz w:val="21"/>
              </w:rPr>
            </w:pPr>
            <w:r>
              <w:rPr>
                <w:color w:val="000000" w:themeColor="text1"/>
                <w:sz w:val="21"/>
                <w14:textFill>
                  <w14:solidFill>
                    <w14:schemeClr w14:val="tx1"/>
                  </w14:solidFill>
                </w14:textFill>
              </w:rPr>
              <w:t>钢结构</w:t>
            </w:r>
          </w:p>
        </w:tc>
        <w:tc>
          <w:tcPr>
            <w:tcW w:w="1605" w:type="dxa"/>
            <w:vAlign w:val="center"/>
          </w:tcPr>
          <w:p w14:paraId="4E14A445">
            <w:pPr>
              <w:pStyle w:val="41"/>
              <w:spacing w:line="240" w:lineRule="auto"/>
              <w:ind w:firstLine="0" w:firstLineChars="0"/>
              <w:jc w:val="center"/>
              <w:rPr>
                <w:sz w:val="21"/>
              </w:rPr>
            </w:pPr>
            <w:r>
              <w:rPr>
                <w:rFonts w:hint="eastAsia"/>
                <w:sz w:val="21"/>
              </w:rPr>
              <w:t>8000m</w:t>
            </w:r>
            <w:r>
              <w:rPr>
                <w:rFonts w:hint="eastAsia"/>
                <w:sz w:val="21"/>
                <w:vertAlign w:val="superscript"/>
              </w:rPr>
              <w:t>2</w:t>
            </w:r>
          </w:p>
        </w:tc>
        <w:tc>
          <w:tcPr>
            <w:tcW w:w="1410" w:type="dxa"/>
            <w:vAlign w:val="center"/>
          </w:tcPr>
          <w:p w14:paraId="373BFB1F">
            <w:pPr>
              <w:pStyle w:val="41"/>
              <w:spacing w:line="240" w:lineRule="auto"/>
              <w:ind w:firstLine="0" w:firstLineChars="0"/>
              <w:jc w:val="center"/>
              <w:rPr>
                <w:sz w:val="21"/>
              </w:rPr>
            </w:pPr>
            <w:r>
              <w:rPr>
                <w:rFonts w:hint="eastAsia"/>
                <w:sz w:val="21"/>
              </w:rPr>
              <w:t>16000m</w:t>
            </w:r>
            <w:r>
              <w:rPr>
                <w:rFonts w:hint="eastAsia"/>
                <w:sz w:val="21"/>
                <w:vertAlign w:val="superscript"/>
              </w:rPr>
              <w:t>2</w:t>
            </w:r>
          </w:p>
        </w:tc>
        <w:tc>
          <w:tcPr>
            <w:tcW w:w="1384" w:type="dxa"/>
            <w:vAlign w:val="center"/>
          </w:tcPr>
          <w:p w14:paraId="75D7405D">
            <w:pPr>
              <w:pStyle w:val="41"/>
              <w:spacing w:line="240" w:lineRule="auto"/>
              <w:ind w:firstLine="0" w:firstLineChars="0"/>
              <w:jc w:val="center"/>
              <w:rPr>
                <w:sz w:val="21"/>
              </w:rPr>
            </w:pPr>
            <w:r>
              <w:rPr>
                <w:rFonts w:hint="eastAsia"/>
                <w:sz w:val="21"/>
              </w:rPr>
              <w:t>2层</w:t>
            </w:r>
          </w:p>
        </w:tc>
        <w:tc>
          <w:tcPr>
            <w:tcW w:w="886" w:type="dxa"/>
            <w:vAlign w:val="center"/>
          </w:tcPr>
          <w:p w14:paraId="4B1927D4">
            <w:pPr>
              <w:pStyle w:val="41"/>
              <w:spacing w:line="240" w:lineRule="auto"/>
              <w:ind w:firstLine="0" w:firstLineChars="0"/>
              <w:jc w:val="center"/>
              <w:rPr>
                <w:sz w:val="21"/>
              </w:rPr>
            </w:pPr>
            <w:r>
              <w:rPr>
                <w:rFonts w:hint="eastAsia"/>
                <w:sz w:val="21"/>
              </w:rPr>
              <w:t>12m</w:t>
            </w:r>
          </w:p>
        </w:tc>
      </w:tr>
    </w:tbl>
    <w:p w14:paraId="42348B16">
      <w:pPr>
        <w:pStyle w:val="4"/>
        <w:numPr>
          <w:ilvl w:val="2"/>
          <w:numId w:val="31"/>
        </w:numPr>
        <w:tabs>
          <w:tab w:val="clear" w:pos="0"/>
        </w:tabs>
      </w:pPr>
      <w:r>
        <w:rPr>
          <w:rFonts w:hint="eastAsia"/>
        </w:rPr>
        <w:t>厂区平面布置及周边环境概况</w:t>
      </w:r>
    </w:p>
    <w:p w14:paraId="1DE4E297">
      <w:pPr>
        <w:pStyle w:val="5"/>
        <w:numPr>
          <w:ilvl w:val="3"/>
          <w:numId w:val="31"/>
        </w:numPr>
      </w:pPr>
      <w:r>
        <w:rPr>
          <w:rFonts w:hint="eastAsia"/>
        </w:rPr>
        <w:t>厂区平面布置</w:t>
      </w:r>
    </w:p>
    <w:p w14:paraId="7AFE3F85">
      <w:pPr>
        <w:spacing w:line="360" w:lineRule="auto"/>
        <w:ind w:firstLine="480" w:firstLineChars="200"/>
        <w:rPr>
          <w:sz w:val="24"/>
        </w:rPr>
      </w:pPr>
      <w:r>
        <w:rPr>
          <w:rFonts w:hint="eastAsia"/>
          <w:sz w:val="24"/>
        </w:rPr>
        <w:t>本项目厂区平面见附图</w:t>
      </w:r>
      <w:r>
        <w:rPr>
          <w:rFonts w:ascii="Times New Roman" w:hAnsi="Times New Roman" w:cs="Times New Roman"/>
          <w:sz w:val="24"/>
        </w:rPr>
        <w:t>3</w:t>
      </w:r>
      <w:r>
        <w:rPr>
          <w:rFonts w:hint="eastAsia" w:ascii="Times New Roman" w:hAnsi="Times New Roman" w:cs="Times New Roman"/>
          <w:sz w:val="24"/>
        </w:rPr>
        <w:t>、附图4</w:t>
      </w:r>
      <w:r>
        <w:rPr>
          <w:rFonts w:ascii="Times New Roman" w:hAnsi="Times New Roman" w:cs="Times New Roman"/>
          <w:sz w:val="24"/>
        </w:rPr>
        <w:t>。</w:t>
      </w:r>
    </w:p>
    <w:p w14:paraId="7DFB63B0">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本项目根据工艺流程、物料投入与产出以及原材料储存、厂内外交通运输等情况,按厂地的自然条件、生产要求与功能进行平面布置。</w:t>
      </w:r>
      <w:r>
        <w:rPr>
          <w:rFonts w:ascii="Times New Roman" w:hAnsi="Times New Roman" w:cs="Times New Roman"/>
          <w:sz w:val="24"/>
        </w:rPr>
        <w:t>本项目厂区的建筑物主要有</w:t>
      </w:r>
      <w:r>
        <w:rPr>
          <w:rFonts w:hint="eastAsia" w:ascii="Times New Roman" w:hAnsi="Times New Roman" w:cs="Times New Roman"/>
          <w:sz w:val="24"/>
        </w:rPr>
        <w:t>1</w:t>
      </w:r>
      <w:r>
        <w:rPr>
          <w:rFonts w:ascii="Times New Roman" w:hAnsi="Times New Roman" w:cs="Times New Roman"/>
          <w:sz w:val="24"/>
        </w:rPr>
        <w:t>座</w:t>
      </w:r>
      <w:r>
        <w:rPr>
          <w:rFonts w:hint="eastAsia" w:ascii="Times New Roman" w:hAnsi="Times New Roman" w:cs="Times New Roman"/>
          <w:sz w:val="24"/>
        </w:rPr>
        <w:t>生产车间，一楼为木加工生产车间，原料仓库，二楼主要为油磨、喷漆生产区和成品库。木加工生产区各生产环节连接紧凑、流畅，物料输送距离短，便于节能降耗，提高生产效率。</w:t>
      </w:r>
    </w:p>
    <w:p w14:paraId="311832B8">
      <w:pPr>
        <w:pStyle w:val="5"/>
        <w:numPr>
          <w:ilvl w:val="3"/>
          <w:numId w:val="31"/>
        </w:numPr>
      </w:pPr>
      <w:r>
        <w:rPr>
          <w:rFonts w:hint="eastAsia"/>
        </w:rPr>
        <w:t>周边环境概况</w:t>
      </w:r>
    </w:p>
    <w:p w14:paraId="5F0774BB">
      <w:pPr>
        <w:pStyle w:val="17"/>
        <w:spacing w:line="360" w:lineRule="auto"/>
        <w:ind w:firstLine="480" w:firstLineChars="200"/>
        <w:rPr>
          <w:rFonts w:ascii="Times New Roman" w:hAnsi="Times New Roman" w:eastAsia="宋体" w:cs="Times New Roman"/>
          <w:b/>
          <w:bCs/>
        </w:rPr>
      </w:pPr>
      <w:r>
        <w:rPr>
          <w:rFonts w:ascii="Times New Roman" w:hAnsi="Times New Roman" w:cs="Times New Roman"/>
          <w:bCs/>
          <w:kern w:val="0"/>
          <w:sz w:val="24"/>
          <w:szCs w:val="24"/>
        </w:rPr>
        <w:t>本项目位于</w:t>
      </w:r>
      <w:r>
        <w:rPr>
          <w:rFonts w:hint="eastAsia" w:ascii="Times New Roman" w:hAnsi="Times New Roman" w:eastAsia="宋体" w:cs="Times New Roman"/>
          <w:bCs/>
          <w:kern w:val="0"/>
          <w:sz w:val="24"/>
          <w:szCs w:val="24"/>
        </w:rPr>
        <w:t>濮阳市清丰县河南省濮阳市清丰县产业集聚区人民路南侧、建设路东侧6号，</w:t>
      </w:r>
      <w:r>
        <w:rPr>
          <w:rFonts w:ascii="Times New Roman" w:hAnsi="Times New Roman" w:eastAsia="宋体" w:cs="Times New Roman"/>
          <w:bCs/>
          <w:kern w:val="0"/>
          <w:sz w:val="24"/>
          <w:szCs w:val="24"/>
        </w:rPr>
        <w:t>项目拟建地中心</w:t>
      </w:r>
      <w:r>
        <w:rPr>
          <w:rFonts w:ascii="Times New Roman" w:hAnsi="Times New Roman" w:eastAsia="宋体" w:cs="Times New Roman"/>
          <w:bCs/>
          <w:color w:val="auto"/>
          <w:kern w:val="0"/>
          <w:sz w:val="24"/>
          <w:szCs w:val="24"/>
        </w:rPr>
        <w:t>坐标为</w:t>
      </w:r>
      <w:r>
        <w:rPr>
          <w:rFonts w:ascii="Times New Roman" w:hAnsi="Times New Roman" w:eastAsia="宋体" w:cs="Times New Roman"/>
          <w:bCs/>
          <w:color w:val="auto"/>
          <w:kern w:val="0"/>
          <w:sz w:val="24"/>
          <w:szCs w:val="24"/>
          <w:highlight w:val="none"/>
        </w:rPr>
        <w:t>东经</w:t>
      </w:r>
      <w:r>
        <w:rPr>
          <w:rFonts w:hint="eastAsia" w:ascii="Times New Roman" w:hAnsi="Times New Roman" w:eastAsia="宋体" w:cs="Times New Roman"/>
          <w:bCs/>
          <w:color w:val="auto"/>
          <w:kern w:val="0"/>
          <w:sz w:val="24"/>
          <w:szCs w:val="24"/>
          <w:highlight w:val="none"/>
        </w:rPr>
        <w:t>115.13892889</w:t>
      </w:r>
      <w:r>
        <w:rPr>
          <w:rFonts w:hint="eastAsia" w:ascii="Times New Roman" w:hAnsi="Times New Roman" w:eastAsia="宋体" w:cs="Times New Roman"/>
          <w:bCs/>
          <w:color w:val="auto"/>
          <w:kern w:val="0"/>
          <w:sz w:val="24"/>
          <w:szCs w:val="24"/>
          <w:highlight w:val="none"/>
          <w:vertAlign w:val="superscript"/>
          <w:lang w:eastAsia="zh-CN"/>
        </w:rPr>
        <w:t>。</w:t>
      </w:r>
      <w:r>
        <w:rPr>
          <w:rFonts w:ascii="Times New Roman" w:hAnsi="Times New Roman" w:eastAsia="宋体" w:cs="Times New Roman"/>
          <w:bCs/>
          <w:color w:val="auto"/>
          <w:kern w:val="0"/>
          <w:sz w:val="24"/>
          <w:szCs w:val="24"/>
          <w:highlight w:val="none"/>
        </w:rPr>
        <w:t>，北纬</w:t>
      </w:r>
      <w:r>
        <w:rPr>
          <w:rFonts w:hint="eastAsia" w:ascii="Times New Roman" w:hAnsi="Times New Roman" w:eastAsia="宋体" w:cs="Times New Roman"/>
          <w:bCs/>
          <w:color w:val="auto"/>
          <w:kern w:val="0"/>
          <w:sz w:val="24"/>
          <w:szCs w:val="24"/>
          <w:highlight w:val="none"/>
        </w:rPr>
        <w:t>35.87703682</w:t>
      </w:r>
      <w:r>
        <w:rPr>
          <w:rFonts w:hint="eastAsia" w:ascii="Times New Roman" w:hAnsi="Times New Roman" w:eastAsia="宋体" w:cs="Times New Roman"/>
          <w:bCs/>
          <w:color w:val="auto"/>
          <w:kern w:val="0"/>
          <w:sz w:val="24"/>
          <w:szCs w:val="24"/>
          <w:highlight w:val="none"/>
          <w:vertAlign w:val="superscript"/>
          <w:lang w:eastAsia="zh-CN"/>
        </w:rPr>
        <w:t>。</w:t>
      </w:r>
      <w:r>
        <w:rPr>
          <w:rFonts w:ascii="Times New Roman" w:hAnsi="Times New Roman" w:cs="Times New Roman"/>
          <w:bCs/>
          <w:color w:val="auto"/>
          <w:kern w:val="0"/>
          <w:sz w:val="24"/>
          <w:szCs w:val="24"/>
          <w:highlight w:val="none"/>
        </w:rPr>
        <w:t>。</w:t>
      </w:r>
      <w:r>
        <w:rPr>
          <w:rFonts w:ascii="Times New Roman" w:hAnsi="Times New Roman" w:eastAsia="宋体" w:cs="Times New Roman"/>
          <w:bCs/>
          <w:color w:val="auto"/>
          <w:sz w:val="24"/>
        </w:rPr>
        <w:t>厂区</w:t>
      </w:r>
      <w:r>
        <w:rPr>
          <w:rFonts w:ascii="Times New Roman" w:hAnsi="Times New Roman" w:cs="Times New Roman"/>
          <w:bCs/>
          <w:color w:val="auto"/>
          <w:sz w:val="24"/>
        </w:rPr>
        <w:t>东侧为</w:t>
      </w:r>
      <w:r>
        <w:rPr>
          <w:rFonts w:hint="eastAsia" w:ascii="Times New Roman" w:hAnsi="Times New Roman" w:cs="Times New Roman"/>
          <w:bCs/>
          <w:color w:val="auto"/>
          <w:sz w:val="24"/>
        </w:rPr>
        <w:t>建设路</w:t>
      </w:r>
      <w:r>
        <w:rPr>
          <w:rFonts w:ascii="Times New Roman" w:hAnsi="Times New Roman" w:cs="Times New Roman"/>
          <w:bCs/>
          <w:color w:val="auto"/>
          <w:sz w:val="24"/>
        </w:rPr>
        <w:t>，南侧为</w:t>
      </w:r>
      <w:r>
        <w:rPr>
          <w:rFonts w:hint="eastAsia" w:ascii="Times New Roman" w:hAnsi="Times New Roman" w:cs="Times New Roman"/>
          <w:bCs/>
          <w:color w:val="auto"/>
          <w:sz w:val="24"/>
        </w:rPr>
        <w:t>空地</w:t>
      </w:r>
      <w:r>
        <w:rPr>
          <w:rFonts w:ascii="Times New Roman" w:hAnsi="Times New Roman" w:cs="Times New Roman"/>
          <w:bCs/>
          <w:color w:val="auto"/>
          <w:sz w:val="24"/>
        </w:rPr>
        <w:t>，西侧为</w:t>
      </w:r>
      <w:r>
        <w:rPr>
          <w:rFonts w:hint="eastAsia" w:ascii="Times New Roman" w:hAnsi="Times New Roman" w:cs="Times New Roman"/>
          <w:bCs/>
          <w:color w:val="auto"/>
          <w:sz w:val="24"/>
        </w:rPr>
        <w:t>河南好风景家具有限公司</w:t>
      </w:r>
      <w:r>
        <w:rPr>
          <w:rFonts w:ascii="Times New Roman" w:hAnsi="Times New Roman" w:cs="Times New Roman"/>
          <w:bCs/>
          <w:color w:val="auto"/>
          <w:sz w:val="24"/>
        </w:rPr>
        <w:t>，北侧为</w:t>
      </w:r>
      <w:r>
        <w:rPr>
          <w:rFonts w:hint="eastAsia" w:ascii="Times New Roman" w:hAnsi="Times New Roman" w:cs="Times New Roman"/>
          <w:bCs/>
          <w:color w:val="auto"/>
          <w:sz w:val="24"/>
        </w:rPr>
        <w:t>伯</w:t>
      </w:r>
      <w:r>
        <w:rPr>
          <w:rFonts w:hint="eastAsia" w:ascii="Times New Roman" w:hAnsi="Times New Roman" w:cs="Times New Roman"/>
          <w:bCs/>
          <w:sz w:val="24"/>
        </w:rPr>
        <w:t>艺精木家具有限公司</w:t>
      </w:r>
      <w:r>
        <w:rPr>
          <w:rFonts w:ascii="Times New Roman" w:hAnsi="Times New Roman" w:cs="Times New Roman"/>
          <w:bCs/>
          <w:sz w:val="24"/>
        </w:rPr>
        <w:t>。</w:t>
      </w:r>
      <w:r>
        <w:rPr>
          <w:rFonts w:ascii="Times New Roman" w:hAnsi="Times New Roman" w:eastAsia="宋体" w:cs="Times New Roman"/>
          <w:bCs/>
          <w:sz w:val="24"/>
        </w:rPr>
        <w:t>最近环境保护目标为</w:t>
      </w:r>
      <w:r>
        <w:rPr>
          <w:rFonts w:hint="eastAsia" w:ascii="Times New Roman" w:hAnsi="Times New Roman" w:cs="Times New Roman"/>
          <w:bCs/>
          <w:sz w:val="24"/>
        </w:rPr>
        <w:t>本项目</w:t>
      </w:r>
      <w:r>
        <w:rPr>
          <w:rFonts w:ascii="Times New Roman" w:hAnsi="Times New Roman" w:cs="Times New Roman"/>
          <w:bCs/>
          <w:sz w:val="24"/>
        </w:rPr>
        <w:t>东</w:t>
      </w:r>
      <w:r>
        <w:rPr>
          <w:rFonts w:hint="eastAsia" w:ascii="Times New Roman" w:hAnsi="Times New Roman" w:cs="Times New Roman"/>
          <w:bCs/>
          <w:sz w:val="24"/>
        </w:rPr>
        <w:t>北</w:t>
      </w:r>
      <w:r>
        <w:rPr>
          <w:rFonts w:ascii="Times New Roman" w:hAnsi="Times New Roman" w:cs="Times New Roman"/>
          <w:bCs/>
          <w:sz w:val="24"/>
        </w:rPr>
        <w:t>侧</w:t>
      </w:r>
      <w:r>
        <w:rPr>
          <w:rFonts w:hint="eastAsia" w:ascii="Times New Roman" w:hAnsi="Times New Roman" w:cs="Times New Roman"/>
          <w:bCs/>
          <w:sz w:val="24"/>
        </w:rPr>
        <w:t>197</w:t>
      </w:r>
      <w:r>
        <w:rPr>
          <w:rFonts w:ascii="Times New Roman" w:hAnsi="Times New Roman" w:eastAsia="宋体" w:cs="Times New Roman"/>
          <w:bCs/>
          <w:sz w:val="24"/>
        </w:rPr>
        <w:t>m处的</w:t>
      </w:r>
      <w:r>
        <w:rPr>
          <w:rFonts w:hint="eastAsia" w:ascii="Times New Roman" w:hAnsi="Times New Roman" w:cs="Times New Roman"/>
          <w:bCs/>
          <w:sz w:val="24"/>
        </w:rPr>
        <w:t>骆家村</w:t>
      </w:r>
      <w:r>
        <w:rPr>
          <w:rFonts w:ascii="Times New Roman" w:hAnsi="Times New Roman" w:eastAsia="宋体" w:cs="Times New Roman"/>
          <w:bCs/>
          <w:sz w:val="24"/>
        </w:rPr>
        <w:t>。</w:t>
      </w:r>
      <w:r>
        <w:rPr>
          <w:rFonts w:ascii="Times New Roman" w:hAnsi="Times New Roman" w:cs="Times New Roman"/>
          <w:bCs/>
          <w:sz w:val="24"/>
        </w:rPr>
        <w:t>本项目</w:t>
      </w:r>
      <w:r>
        <w:rPr>
          <w:rFonts w:ascii="Times New Roman" w:hAnsi="Times New Roman" w:eastAsia="宋体" w:cs="Times New Roman"/>
          <w:bCs/>
          <w:sz w:val="24"/>
        </w:rPr>
        <w:t>周边环境概况见附图</w:t>
      </w:r>
      <w:r>
        <w:rPr>
          <w:rFonts w:ascii="Times New Roman" w:hAnsi="Times New Roman" w:cs="Times New Roman"/>
          <w:bCs/>
          <w:sz w:val="24"/>
        </w:rPr>
        <w:t>2</w:t>
      </w:r>
      <w:r>
        <w:rPr>
          <w:rFonts w:ascii="Times New Roman" w:hAnsi="Times New Roman" w:eastAsia="宋体" w:cs="Times New Roman"/>
          <w:bCs/>
          <w:sz w:val="24"/>
        </w:rPr>
        <w:t>。</w:t>
      </w:r>
    </w:p>
    <w:p w14:paraId="128365BA">
      <w:pPr>
        <w:pStyle w:val="4"/>
        <w:numPr>
          <w:ilvl w:val="2"/>
          <w:numId w:val="31"/>
        </w:numPr>
        <w:tabs>
          <w:tab w:val="clear" w:pos="0"/>
        </w:tabs>
      </w:pPr>
      <w:r>
        <w:rPr>
          <w:rFonts w:hint="eastAsia"/>
        </w:rPr>
        <w:t>公辅工程</w:t>
      </w:r>
    </w:p>
    <w:p w14:paraId="678C7AF0">
      <w:pPr>
        <w:pStyle w:val="5"/>
        <w:numPr>
          <w:ilvl w:val="3"/>
          <w:numId w:val="31"/>
        </w:numPr>
      </w:pPr>
      <w:r>
        <w:rPr>
          <w:rFonts w:hint="eastAsia"/>
        </w:rPr>
        <w:t>给水系统</w:t>
      </w:r>
    </w:p>
    <w:p w14:paraId="5EC55E38">
      <w:pPr>
        <w:pStyle w:val="17"/>
        <w:spacing w:line="360" w:lineRule="auto"/>
        <w:ind w:firstLine="480" w:firstLineChars="200"/>
        <w:rPr>
          <w:rFonts w:ascii="Times New Roman" w:hAnsi="Times New Roman" w:eastAsia="宋体" w:cs="Times New Roman"/>
          <w:sz w:val="24"/>
          <w:szCs w:val="24"/>
        </w:rPr>
      </w:pPr>
      <w:r>
        <w:rPr>
          <w:rFonts w:hint="eastAsia"/>
          <w:sz w:val="24"/>
          <w:szCs w:val="24"/>
        </w:rPr>
        <w:t>本项目生产和生活用水总用水</w:t>
      </w:r>
      <w:r>
        <w:rPr>
          <w:rFonts w:ascii="Times New Roman" w:hAnsi="Times New Roman" w:cs="Times New Roman"/>
          <w:color w:val="auto"/>
          <w:sz w:val="24"/>
          <w:szCs w:val="24"/>
        </w:rPr>
        <w:t>量</w:t>
      </w:r>
      <w:r>
        <w:rPr>
          <w:rFonts w:ascii="Times New Roman" w:hAnsi="Times New Roman" w:cs="Times New Roman"/>
          <w:color w:val="auto"/>
          <w:sz w:val="24"/>
          <w:szCs w:val="24"/>
          <w:highlight w:val="none"/>
        </w:rPr>
        <w:t>为</w:t>
      </w:r>
      <w:r>
        <w:rPr>
          <w:rFonts w:hint="eastAsia" w:ascii="Times New Roman" w:hAnsi="Times New Roman" w:cs="Times New Roman"/>
          <w:color w:val="auto"/>
          <w:sz w:val="24"/>
          <w:szCs w:val="24"/>
          <w:highlight w:val="none"/>
        </w:rPr>
        <w:t>289</w:t>
      </w:r>
      <w:r>
        <w:rPr>
          <w:rFonts w:hint="eastAsia" w:ascii="Times New Roman" w:hAnsi="Times New Roman" w:cs="Times New Roman"/>
          <w:color w:val="auto"/>
          <w:sz w:val="24"/>
          <w:szCs w:val="24"/>
          <w:highlight w:val="none"/>
          <w:lang w:val="en-US" w:eastAsia="zh-CN"/>
        </w:rPr>
        <w:t>3.92</w:t>
      </w:r>
      <w:r>
        <w:rPr>
          <w:rFonts w:ascii="Times New Roman" w:hAnsi="Times New Roman" w:cs="Times New Roman"/>
          <w:color w:val="auto"/>
          <w:sz w:val="24"/>
          <w:szCs w:val="24"/>
          <w:highlight w:val="none"/>
        </w:rPr>
        <w:t>t/a</w:t>
      </w:r>
      <w:r>
        <w:rPr>
          <w:rFonts w:hint="eastAsia"/>
          <w:color w:val="auto"/>
          <w:sz w:val="24"/>
          <w:szCs w:val="24"/>
          <w:highlight w:val="none"/>
        </w:rPr>
        <w:t>，采</w:t>
      </w:r>
      <w:r>
        <w:rPr>
          <w:rFonts w:hint="eastAsia"/>
          <w:color w:val="auto"/>
          <w:sz w:val="24"/>
          <w:szCs w:val="24"/>
        </w:rPr>
        <w:t>用清</w:t>
      </w:r>
      <w:r>
        <w:rPr>
          <w:rFonts w:hint="eastAsia"/>
          <w:sz w:val="24"/>
          <w:szCs w:val="24"/>
        </w:rPr>
        <w:t>丰县产业集聚区供水厂集中供水。清丰县产业集聚区集中供水工程与管网已经投产运行，水量及管网能够满足本项目用水需求。</w:t>
      </w:r>
    </w:p>
    <w:p w14:paraId="09F0272C">
      <w:pPr>
        <w:pStyle w:val="5"/>
        <w:numPr>
          <w:ilvl w:val="3"/>
          <w:numId w:val="31"/>
        </w:numPr>
      </w:pPr>
      <w:r>
        <w:rPr>
          <w:rFonts w:hint="eastAsia"/>
        </w:rPr>
        <w:t>排水系统</w:t>
      </w:r>
    </w:p>
    <w:p w14:paraId="68EBAD60">
      <w:pPr>
        <w:pStyle w:val="17"/>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厂区排水采用雨、污分流制。雨水经厂区雨水管道收集后就近排入市政雨水管网；生活污水经化粪池处理、生产废水经厂区污水处理站处理后一并通过厂区废水总排口接管排入清丰中州水务有限公司第二污水处理厂，尾水排入潴龙河。</w:t>
      </w:r>
    </w:p>
    <w:p w14:paraId="4130BE53">
      <w:pPr>
        <w:pStyle w:val="5"/>
        <w:numPr>
          <w:ilvl w:val="3"/>
          <w:numId w:val="31"/>
        </w:numPr>
      </w:pPr>
      <w:r>
        <w:rPr>
          <w:rFonts w:hint="eastAsia"/>
        </w:rPr>
        <w:t>供电</w:t>
      </w:r>
    </w:p>
    <w:p w14:paraId="04EC4D6F">
      <w:pPr>
        <w:pStyle w:val="17"/>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由园区附近变电所电网接入企业。</w:t>
      </w:r>
    </w:p>
    <w:p w14:paraId="206D0284">
      <w:pPr>
        <w:pStyle w:val="3"/>
        <w:numPr>
          <w:ilvl w:val="1"/>
          <w:numId w:val="30"/>
        </w:numPr>
      </w:pPr>
      <w:bookmarkStart w:id="51" w:name="_Toc26062"/>
      <w:r>
        <w:rPr>
          <w:rFonts w:hint="eastAsia"/>
        </w:rPr>
        <w:t>原辅料种类及消耗量</w:t>
      </w:r>
      <w:bookmarkEnd w:id="51"/>
    </w:p>
    <w:p w14:paraId="368F79EA">
      <w:pPr>
        <w:pStyle w:val="37"/>
        <w:spacing w:line="360" w:lineRule="auto"/>
        <w:ind w:firstLine="480" w:firstLineChars="200"/>
        <w:rPr>
          <w:rFonts w:ascii="Times New Roman" w:hAnsi="Times New Roman" w:eastAsia="宋体"/>
          <w:bCs/>
          <w:kern w:val="0"/>
          <w:sz w:val="24"/>
        </w:rPr>
      </w:pPr>
      <w:r>
        <w:rPr>
          <w:rFonts w:hint="eastAsia" w:ascii="Times New Roman" w:hAnsi="Times New Roman" w:eastAsia="宋体"/>
          <w:bCs/>
          <w:kern w:val="0"/>
          <w:sz w:val="24"/>
        </w:rPr>
        <w:t>本项目原辅料种类及消耗量详见下表。</w:t>
      </w:r>
    </w:p>
    <w:p w14:paraId="1068624D">
      <w:pPr>
        <w:pStyle w:val="37"/>
        <w:numPr>
          <w:ilvl w:val="0"/>
          <w:numId w:val="33"/>
        </w:numPr>
        <w:jc w:val="center"/>
        <w:rPr>
          <w:rFonts w:ascii="Times New Roman" w:hAnsi="Times New Roman" w:cs="Times New Roman"/>
          <w:b/>
          <w:bCs/>
        </w:rPr>
      </w:pPr>
      <w:r>
        <w:rPr>
          <w:rFonts w:hint="eastAsia" w:ascii="Times New Roman" w:hAnsi="Times New Roman" w:cs="Times New Roman"/>
          <w:b/>
          <w:bCs/>
        </w:rPr>
        <w:t xml:space="preserve">  本项目原辅料种类及消耗量一览表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205"/>
        <w:gridCol w:w="540"/>
        <w:gridCol w:w="1305"/>
        <w:gridCol w:w="1095"/>
        <w:gridCol w:w="1440"/>
        <w:gridCol w:w="750"/>
        <w:gridCol w:w="1610"/>
      </w:tblGrid>
      <w:tr w14:paraId="1B26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765D6AAC">
            <w:pPr>
              <w:jc w:val="center"/>
              <w:rPr>
                <w:rFonts w:ascii="Times New Roman" w:hAnsi="Times New Roman" w:eastAsia="宋体"/>
                <w:bCs/>
                <w:szCs w:val="21"/>
              </w:rPr>
            </w:pPr>
            <w:r>
              <w:rPr>
                <w:rFonts w:ascii="Times New Roman" w:hAnsi="Times New Roman" w:eastAsia="宋体"/>
                <w:bCs/>
                <w:szCs w:val="21"/>
              </w:rPr>
              <w:t>序号</w:t>
            </w:r>
          </w:p>
        </w:tc>
        <w:tc>
          <w:tcPr>
            <w:tcW w:w="707" w:type="pct"/>
            <w:tcBorders>
              <w:tl2br w:val="nil"/>
              <w:tr2bl w:val="nil"/>
            </w:tcBorders>
            <w:vAlign w:val="center"/>
          </w:tcPr>
          <w:p w14:paraId="169D1534">
            <w:pPr>
              <w:widowControl/>
              <w:jc w:val="center"/>
              <w:rPr>
                <w:rFonts w:hint="eastAsia" w:ascii="Times New Roman" w:hAnsi="Times New Roman" w:eastAsia="宋体"/>
                <w:b/>
                <w:bCs w:val="0"/>
                <w:kern w:val="0"/>
                <w:szCs w:val="21"/>
                <w:u w:val="single"/>
                <w:lang w:val="en-US" w:eastAsia="zh-CN"/>
              </w:rPr>
            </w:pPr>
            <w:r>
              <w:rPr>
                <w:rFonts w:hint="eastAsia" w:ascii="Times New Roman" w:hAnsi="Times New Roman" w:eastAsia="宋体"/>
                <w:b/>
                <w:bCs w:val="0"/>
                <w:kern w:val="0"/>
                <w:szCs w:val="21"/>
                <w:u w:val="single"/>
                <w:lang w:val="en-US" w:eastAsia="zh-CN"/>
              </w:rPr>
              <w:t>产品</w:t>
            </w:r>
          </w:p>
        </w:tc>
        <w:tc>
          <w:tcPr>
            <w:tcW w:w="1083" w:type="pct"/>
            <w:gridSpan w:val="2"/>
            <w:tcBorders>
              <w:tl2br w:val="nil"/>
              <w:tr2bl w:val="nil"/>
            </w:tcBorders>
            <w:vAlign w:val="center"/>
          </w:tcPr>
          <w:p w14:paraId="5C353F5E">
            <w:pPr>
              <w:widowControl/>
              <w:jc w:val="center"/>
              <w:rPr>
                <w:rFonts w:ascii="Times New Roman" w:hAnsi="Times New Roman" w:eastAsia="宋体"/>
                <w:b/>
                <w:bCs w:val="0"/>
                <w:kern w:val="0"/>
                <w:szCs w:val="21"/>
                <w:u w:val="single"/>
              </w:rPr>
            </w:pPr>
            <w:r>
              <w:rPr>
                <w:rFonts w:ascii="Times New Roman" w:hAnsi="Times New Roman" w:eastAsia="宋体"/>
                <w:b/>
                <w:bCs w:val="0"/>
                <w:kern w:val="0"/>
                <w:szCs w:val="21"/>
                <w:u w:val="single"/>
              </w:rPr>
              <w:t>项目</w:t>
            </w:r>
          </w:p>
        </w:tc>
        <w:tc>
          <w:tcPr>
            <w:tcW w:w="642" w:type="pct"/>
            <w:tcBorders>
              <w:tl2br w:val="nil"/>
              <w:tr2bl w:val="nil"/>
            </w:tcBorders>
            <w:vAlign w:val="center"/>
          </w:tcPr>
          <w:p w14:paraId="736B6302">
            <w:pPr>
              <w:widowControl/>
              <w:jc w:val="center"/>
              <w:rPr>
                <w:rFonts w:ascii="Times New Roman" w:hAnsi="Times New Roman" w:eastAsia="宋体"/>
                <w:b/>
                <w:bCs w:val="0"/>
                <w:kern w:val="0"/>
                <w:szCs w:val="21"/>
                <w:u w:val="single"/>
              </w:rPr>
            </w:pPr>
            <w:r>
              <w:rPr>
                <w:rFonts w:ascii="Times New Roman" w:hAnsi="Times New Roman" w:eastAsia="宋体"/>
                <w:b/>
                <w:bCs w:val="0"/>
                <w:kern w:val="0"/>
                <w:szCs w:val="21"/>
                <w:u w:val="single"/>
              </w:rPr>
              <w:t>年用量</w:t>
            </w:r>
          </w:p>
        </w:tc>
        <w:tc>
          <w:tcPr>
            <w:tcW w:w="845" w:type="pct"/>
            <w:tcBorders>
              <w:tl2br w:val="nil"/>
              <w:tr2bl w:val="nil"/>
            </w:tcBorders>
            <w:vAlign w:val="center"/>
          </w:tcPr>
          <w:p w14:paraId="545A3FDB">
            <w:pPr>
              <w:widowControl/>
              <w:jc w:val="center"/>
              <w:rPr>
                <w:rFonts w:ascii="Times New Roman" w:hAnsi="Times New Roman" w:eastAsia="宋体"/>
                <w:b/>
                <w:bCs w:val="0"/>
                <w:kern w:val="0"/>
                <w:szCs w:val="21"/>
                <w:u w:val="single"/>
              </w:rPr>
            </w:pPr>
            <w:r>
              <w:rPr>
                <w:rFonts w:ascii="Times New Roman" w:hAnsi="Times New Roman" w:eastAsia="宋体"/>
                <w:b/>
                <w:bCs w:val="0"/>
                <w:szCs w:val="21"/>
                <w:u w:val="single"/>
              </w:rPr>
              <w:t>储存位置</w:t>
            </w:r>
          </w:p>
        </w:tc>
        <w:tc>
          <w:tcPr>
            <w:tcW w:w="440" w:type="pct"/>
            <w:tcBorders>
              <w:tl2br w:val="nil"/>
              <w:tr2bl w:val="nil"/>
            </w:tcBorders>
            <w:vAlign w:val="center"/>
          </w:tcPr>
          <w:p w14:paraId="068696A1">
            <w:pPr>
              <w:widowControl/>
              <w:jc w:val="center"/>
              <w:rPr>
                <w:rFonts w:ascii="Times New Roman" w:hAnsi="Times New Roman" w:eastAsia="宋体"/>
                <w:b/>
                <w:bCs w:val="0"/>
                <w:szCs w:val="21"/>
                <w:u w:val="single"/>
              </w:rPr>
            </w:pPr>
            <w:r>
              <w:rPr>
                <w:rFonts w:ascii="Times New Roman" w:hAnsi="Times New Roman" w:eastAsia="宋体"/>
                <w:b/>
                <w:bCs w:val="0"/>
                <w:szCs w:val="21"/>
                <w:u w:val="single"/>
              </w:rPr>
              <w:t>最大</w:t>
            </w:r>
            <w:r>
              <w:rPr>
                <w:rFonts w:hint="eastAsia" w:ascii="Times New Roman" w:hAnsi="Times New Roman" w:eastAsia="宋体"/>
                <w:b/>
                <w:bCs w:val="0"/>
                <w:szCs w:val="21"/>
                <w:u w:val="single"/>
              </w:rPr>
              <w:t>存储</w:t>
            </w:r>
            <w:r>
              <w:rPr>
                <w:rFonts w:ascii="Times New Roman" w:hAnsi="Times New Roman" w:eastAsia="宋体"/>
                <w:b/>
                <w:bCs w:val="0"/>
                <w:szCs w:val="21"/>
                <w:u w:val="single"/>
              </w:rPr>
              <w:t>量</w:t>
            </w:r>
          </w:p>
        </w:tc>
        <w:tc>
          <w:tcPr>
            <w:tcW w:w="945" w:type="pct"/>
            <w:tcBorders>
              <w:tl2br w:val="nil"/>
              <w:tr2bl w:val="nil"/>
            </w:tcBorders>
            <w:vAlign w:val="center"/>
          </w:tcPr>
          <w:p w14:paraId="48087E50">
            <w:pPr>
              <w:widowControl/>
              <w:jc w:val="center"/>
              <w:rPr>
                <w:rFonts w:ascii="Times New Roman" w:hAnsi="Times New Roman" w:eastAsia="宋体"/>
                <w:b/>
                <w:bCs w:val="0"/>
                <w:szCs w:val="21"/>
                <w:u w:val="single"/>
              </w:rPr>
            </w:pPr>
            <w:r>
              <w:rPr>
                <w:rFonts w:hint="eastAsia" w:ascii="Times New Roman" w:hAnsi="Times New Roman" w:eastAsia="宋体"/>
                <w:b/>
                <w:bCs w:val="0"/>
                <w:szCs w:val="21"/>
                <w:u w:val="single"/>
              </w:rPr>
              <w:t>包装方式</w:t>
            </w:r>
          </w:p>
        </w:tc>
      </w:tr>
      <w:tr w14:paraId="797A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5" w:type="pct"/>
            <w:tcBorders>
              <w:tl2br w:val="nil"/>
              <w:tr2bl w:val="nil"/>
            </w:tcBorders>
            <w:vAlign w:val="center"/>
          </w:tcPr>
          <w:p w14:paraId="14DB38C2">
            <w:pPr>
              <w:jc w:val="center"/>
              <w:rPr>
                <w:rFonts w:ascii="Times New Roman" w:hAnsi="Times New Roman" w:eastAsia="宋体"/>
                <w:bCs/>
                <w:szCs w:val="21"/>
              </w:rPr>
            </w:pPr>
            <w:r>
              <w:rPr>
                <w:rFonts w:ascii="Times New Roman" w:hAnsi="Times New Roman" w:eastAsia="宋体"/>
                <w:bCs/>
                <w:szCs w:val="21"/>
              </w:rPr>
              <w:t>1</w:t>
            </w:r>
          </w:p>
        </w:tc>
        <w:tc>
          <w:tcPr>
            <w:tcW w:w="707" w:type="pct"/>
            <w:tcBorders>
              <w:tl2br w:val="nil"/>
              <w:tr2bl w:val="nil"/>
            </w:tcBorders>
            <w:vAlign w:val="center"/>
          </w:tcPr>
          <w:p w14:paraId="61126AF2">
            <w:pPr>
              <w:widowControl/>
              <w:jc w:val="center"/>
              <w:rPr>
                <w:rFonts w:hint="default" w:ascii="Times New Roman" w:hAnsi="Times New Roman" w:eastAsia="宋体"/>
                <w:b/>
                <w:bCs w:val="0"/>
                <w:color w:val="auto"/>
                <w:kern w:val="0"/>
                <w:szCs w:val="21"/>
                <w:u w:val="single"/>
                <w:lang w:val="en-US" w:eastAsia="zh-CN"/>
              </w:rPr>
            </w:pPr>
            <w:r>
              <w:rPr>
                <w:rFonts w:hint="eastAsia" w:ascii="Times New Roman" w:hAnsi="Times New Roman" w:eastAsia="宋体"/>
                <w:b/>
                <w:bCs w:val="0"/>
                <w:color w:val="auto"/>
                <w:kern w:val="0"/>
                <w:szCs w:val="21"/>
                <w:u w:val="single"/>
                <w:lang w:val="en-US" w:eastAsia="zh-CN"/>
              </w:rPr>
              <w:t>全屋定制</w:t>
            </w:r>
          </w:p>
        </w:tc>
        <w:tc>
          <w:tcPr>
            <w:tcW w:w="1083" w:type="pct"/>
            <w:gridSpan w:val="2"/>
            <w:tcBorders>
              <w:tl2br w:val="nil"/>
              <w:tr2bl w:val="nil"/>
            </w:tcBorders>
            <w:vAlign w:val="center"/>
          </w:tcPr>
          <w:p w14:paraId="5AD89B5D">
            <w:pPr>
              <w:widowControl/>
              <w:jc w:val="center"/>
              <w:rPr>
                <w:rFonts w:hint="eastAsia" w:ascii="Times New Roman" w:hAnsi="Times New Roman" w:eastAsia="宋体"/>
                <w:b/>
                <w:bCs w:val="0"/>
                <w:color w:val="auto"/>
                <w:kern w:val="0"/>
                <w:szCs w:val="21"/>
                <w:u w:val="single"/>
                <w:lang w:eastAsia="zh-CN"/>
              </w:rPr>
            </w:pPr>
            <w:r>
              <w:rPr>
                <w:rFonts w:hint="eastAsia" w:ascii="Times New Roman" w:hAnsi="Times New Roman" w:eastAsia="宋体"/>
                <w:b/>
                <w:bCs w:val="0"/>
                <w:color w:val="auto"/>
                <w:kern w:val="0"/>
                <w:szCs w:val="21"/>
                <w:u w:val="single"/>
              </w:rPr>
              <w:t>多层板、密度板</w:t>
            </w:r>
          </w:p>
        </w:tc>
        <w:tc>
          <w:tcPr>
            <w:tcW w:w="642" w:type="pct"/>
            <w:tcBorders>
              <w:bottom w:val="single" w:color="auto" w:sz="4" w:space="0"/>
              <w:tl2br w:val="nil"/>
              <w:tr2bl w:val="nil"/>
            </w:tcBorders>
            <w:vAlign w:val="center"/>
          </w:tcPr>
          <w:p w14:paraId="605BA989">
            <w:pPr>
              <w:widowControl/>
              <w:jc w:val="center"/>
              <w:rPr>
                <w:rFonts w:ascii="Times New Roman" w:hAnsi="Times New Roman" w:eastAsia="宋体"/>
                <w:b/>
                <w:bCs w:val="0"/>
                <w:color w:val="auto"/>
                <w:kern w:val="0"/>
                <w:szCs w:val="21"/>
                <w:u w:val="single"/>
              </w:rPr>
            </w:pPr>
            <w:r>
              <w:rPr>
                <w:rFonts w:hint="eastAsia" w:ascii="Times New Roman" w:hAnsi="Times New Roman" w:eastAsia="宋体"/>
                <w:b/>
                <w:bCs w:val="0"/>
                <w:color w:val="auto"/>
                <w:kern w:val="0"/>
                <w:szCs w:val="21"/>
                <w:u w:val="single"/>
                <w:lang w:val="en-US" w:eastAsia="zh-CN"/>
              </w:rPr>
              <w:t>40000m</w:t>
            </w:r>
            <w:r>
              <w:rPr>
                <w:rFonts w:hint="eastAsia" w:ascii="Times New Roman" w:hAnsi="Times New Roman" w:eastAsia="宋体"/>
                <w:b/>
                <w:bCs w:val="0"/>
                <w:color w:val="auto"/>
                <w:kern w:val="0"/>
                <w:szCs w:val="21"/>
                <w:u w:val="single"/>
                <w:vertAlign w:val="superscript"/>
                <w:lang w:val="en-US" w:eastAsia="zh-CN"/>
              </w:rPr>
              <w:t>2</w:t>
            </w:r>
          </w:p>
        </w:tc>
        <w:tc>
          <w:tcPr>
            <w:tcW w:w="845" w:type="pct"/>
            <w:tcBorders>
              <w:tl2br w:val="nil"/>
              <w:tr2bl w:val="nil"/>
            </w:tcBorders>
            <w:vAlign w:val="center"/>
          </w:tcPr>
          <w:p w14:paraId="4B926C03">
            <w:pPr>
              <w:widowControl/>
              <w:jc w:val="center"/>
              <w:rPr>
                <w:rFonts w:ascii="Times New Roman" w:hAnsi="Times New Roman" w:eastAsia="宋体"/>
                <w:b/>
                <w:bCs w:val="0"/>
                <w:szCs w:val="21"/>
                <w:u w:val="single"/>
              </w:rPr>
            </w:pPr>
            <w:r>
              <w:rPr>
                <w:rFonts w:hint="eastAsia" w:ascii="Times New Roman" w:hAnsi="Times New Roman" w:eastAsia="宋体"/>
                <w:b/>
                <w:bCs w:val="0"/>
                <w:szCs w:val="21"/>
                <w:u w:val="single"/>
              </w:rPr>
              <w:t>原料暂存区</w:t>
            </w:r>
          </w:p>
        </w:tc>
        <w:tc>
          <w:tcPr>
            <w:tcW w:w="440" w:type="pct"/>
            <w:tcBorders>
              <w:bottom w:val="single" w:color="auto" w:sz="4" w:space="0"/>
              <w:tl2br w:val="nil"/>
              <w:tr2bl w:val="nil"/>
            </w:tcBorders>
            <w:vAlign w:val="center"/>
          </w:tcPr>
          <w:p w14:paraId="589485C4">
            <w:pPr>
              <w:widowControl/>
              <w:jc w:val="center"/>
              <w:rPr>
                <w:rFonts w:ascii="Times New Roman" w:hAnsi="Times New Roman" w:eastAsia="宋体"/>
                <w:b/>
                <w:bCs w:val="0"/>
                <w:szCs w:val="21"/>
                <w:u w:val="single"/>
              </w:rPr>
            </w:pPr>
            <w:r>
              <w:rPr>
                <w:rFonts w:hint="eastAsia" w:ascii="Times New Roman" w:hAnsi="Times New Roman" w:eastAsia="宋体"/>
                <w:b/>
                <w:bCs w:val="0"/>
                <w:szCs w:val="21"/>
                <w:u w:val="single"/>
              </w:rPr>
              <w:t>/</w:t>
            </w:r>
          </w:p>
        </w:tc>
        <w:tc>
          <w:tcPr>
            <w:tcW w:w="945" w:type="pct"/>
            <w:tcBorders>
              <w:bottom w:val="single" w:color="auto" w:sz="4" w:space="0"/>
              <w:tl2br w:val="nil"/>
              <w:tr2bl w:val="nil"/>
            </w:tcBorders>
            <w:vAlign w:val="center"/>
          </w:tcPr>
          <w:p w14:paraId="5F15B907">
            <w:pPr>
              <w:widowControl/>
              <w:jc w:val="center"/>
              <w:rPr>
                <w:rFonts w:ascii="Times New Roman" w:hAnsi="Times New Roman" w:eastAsia="宋体"/>
                <w:b/>
                <w:bCs w:val="0"/>
                <w:szCs w:val="21"/>
                <w:u w:val="single"/>
              </w:rPr>
            </w:pPr>
            <w:r>
              <w:rPr>
                <w:rFonts w:hint="eastAsia" w:ascii="Times New Roman" w:hAnsi="Times New Roman" w:eastAsia="宋体"/>
                <w:b/>
                <w:bCs w:val="0"/>
                <w:szCs w:val="21"/>
                <w:u w:val="single"/>
              </w:rPr>
              <w:t>/</w:t>
            </w:r>
          </w:p>
        </w:tc>
      </w:tr>
      <w:tr w14:paraId="1143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35" w:type="pct"/>
            <w:tcBorders>
              <w:tl2br w:val="nil"/>
              <w:tr2bl w:val="nil"/>
            </w:tcBorders>
            <w:vAlign w:val="center"/>
          </w:tcPr>
          <w:p w14:paraId="21DD6B20">
            <w:pPr>
              <w:jc w:val="center"/>
              <w:rPr>
                <w:rFonts w:ascii="Times New Roman" w:hAnsi="Times New Roman" w:eastAsia="宋体"/>
                <w:bCs/>
                <w:szCs w:val="21"/>
              </w:rPr>
            </w:pPr>
            <w:r>
              <w:rPr>
                <w:rFonts w:ascii="Times New Roman" w:hAnsi="Times New Roman" w:eastAsia="宋体"/>
                <w:bCs/>
                <w:szCs w:val="21"/>
              </w:rPr>
              <w:t>2</w:t>
            </w:r>
          </w:p>
        </w:tc>
        <w:tc>
          <w:tcPr>
            <w:tcW w:w="707" w:type="pct"/>
            <w:tcBorders>
              <w:tl2br w:val="nil"/>
              <w:tr2bl w:val="nil"/>
            </w:tcBorders>
            <w:vAlign w:val="center"/>
          </w:tcPr>
          <w:p w14:paraId="6F414E1E">
            <w:pPr>
              <w:widowControl/>
              <w:jc w:val="center"/>
              <w:rPr>
                <w:rFonts w:hint="eastAsia" w:ascii="Times New Roman" w:hAnsi="Times New Roman" w:eastAsia="宋体"/>
                <w:b/>
                <w:bCs w:val="0"/>
                <w:color w:val="auto"/>
                <w:kern w:val="0"/>
                <w:szCs w:val="21"/>
                <w:u w:val="single"/>
              </w:rPr>
            </w:pPr>
            <w:r>
              <w:rPr>
                <w:rFonts w:hint="eastAsia" w:ascii="Times New Roman" w:hAnsi="Times New Roman" w:eastAsia="宋体"/>
                <w:b/>
                <w:bCs w:val="0"/>
                <w:color w:val="auto"/>
                <w:kern w:val="0"/>
                <w:szCs w:val="21"/>
                <w:u w:val="single"/>
                <w:lang w:val="en-US" w:eastAsia="zh-CN"/>
              </w:rPr>
              <w:t>实木复合门</w:t>
            </w:r>
          </w:p>
        </w:tc>
        <w:tc>
          <w:tcPr>
            <w:tcW w:w="1083" w:type="pct"/>
            <w:gridSpan w:val="2"/>
            <w:tcBorders>
              <w:tl2br w:val="nil"/>
              <w:tr2bl w:val="nil"/>
            </w:tcBorders>
            <w:vAlign w:val="center"/>
          </w:tcPr>
          <w:p w14:paraId="0102BE73">
            <w:pPr>
              <w:widowControl/>
              <w:jc w:val="center"/>
              <w:rPr>
                <w:rFonts w:hint="eastAsia" w:ascii="Times New Roman" w:hAnsi="Times New Roman" w:eastAsia="宋体"/>
                <w:b/>
                <w:bCs w:val="0"/>
                <w:color w:val="auto"/>
                <w:kern w:val="0"/>
                <w:szCs w:val="21"/>
                <w:u w:val="single"/>
                <w:lang w:eastAsia="zh-CN"/>
              </w:rPr>
            </w:pPr>
            <w:r>
              <w:rPr>
                <w:rFonts w:hint="eastAsia" w:ascii="Times New Roman" w:hAnsi="Times New Roman" w:eastAsia="宋体"/>
                <w:b/>
                <w:bCs w:val="0"/>
                <w:color w:val="auto"/>
                <w:kern w:val="0"/>
                <w:szCs w:val="21"/>
                <w:u w:val="single"/>
              </w:rPr>
              <w:t>实木</w:t>
            </w:r>
          </w:p>
        </w:tc>
        <w:tc>
          <w:tcPr>
            <w:tcW w:w="642" w:type="pct"/>
            <w:tcBorders>
              <w:bottom w:val="single" w:color="000000" w:sz="4" w:space="0"/>
              <w:tl2br w:val="nil"/>
              <w:tr2bl w:val="nil"/>
            </w:tcBorders>
            <w:vAlign w:val="center"/>
          </w:tcPr>
          <w:p w14:paraId="6D2A0170">
            <w:pPr>
              <w:widowControl/>
              <w:jc w:val="center"/>
              <w:rPr>
                <w:rFonts w:hint="default" w:ascii="Times New Roman" w:hAnsi="Times New Roman" w:eastAsia="宋体"/>
                <w:b/>
                <w:bCs w:val="0"/>
                <w:color w:val="auto"/>
                <w:kern w:val="0"/>
                <w:szCs w:val="21"/>
                <w:u w:val="single"/>
                <w:lang w:val="en-US" w:eastAsia="zh-CN"/>
              </w:rPr>
            </w:pPr>
            <w:r>
              <w:rPr>
                <w:rFonts w:hint="eastAsia" w:ascii="Times New Roman" w:hAnsi="Times New Roman" w:eastAsia="宋体"/>
                <w:b/>
                <w:bCs w:val="0"/>
                <w:color w:val="auto"/>
                <w:kern w:val="0"/>
                <w:szCs w:val="21"/>
                <w:u w:val="single"/>
                <w:lang w:val="en-US" w:eastAsia="zh-CN"/>
              </w:rPr>
              <w:t>38</w:t>
            </w:r>
            <w:r>
              <w:rPr>
                <w:rFonts w:hint="eastAsia" w:ascii="Times New Roman" w:hAnsi="Times New Roman" w:eastAsia="宋体"/>
                <w:b/>
                <w:bCs w:val="0"/>
                <w:color w:val="auto"/>
                <w:kern w:val="0"/>
                <w:szCs w:val="21"/>
                <w:u w:val="single"/>
              </w:rPr>
              <w:t>000m</w:t>
            </w:r>
            <w:r>
              <w:rPr>
                <w:rFonts w:hint="eastAsia" w:ascii="Times New Roman" w:hAnsi="Times New Roman" w:eastAsia="宋体"/>
                <w:b/>
                <w:bCs w:val="0"/>
                <w:color w:val="auto"/>
                <w:kern w:val="0"/>
                <w:szCs w:val="21"/>
                <w:u w:val="single"/>
                <w:vertAlign w:val="superscript"/>
              </w:rPr>
              <w:t>2</w:t>
            </w:r>
          </w:p>
        </w:tc>
        <w:tc>
          <w:tcPr>
            <w:tcW w:w="845" w:type="pct"/>
            <w:tcBorders>
              <w:tl2br w:val="nil"/>
              <w:tr2bl w:val="nil"/>
            </w:tcBorders>
            <w:vAlign w:val="center"/>
          </w:tcPr>
          <w:p w14:paraId="26F7FBB3">
            <w:pPr>
              <w:widowControl/>
              <w:jc w:val="center"/>
              <w:rPr>
                <w:rFonts w:hint="eastAsia" w:ascii="Times New Roman" w:hAnsi="Times New Roman" w:eastAsia="宋体"/>
                <w:b/>
                <w:bCs w:val="0"/>
                <w:szCs w:val="21"/>
                <w:u w:val="single"/>
              </w:rPr>
            </w:pPr>
            <w:r>
              <w:rPr>
                <w:rFonts w:hint="eastAsia" w:ascii="Times New Roman" w:hAnsi="Times New Roman" w:eastAsia="宋体"/>
                <w:b/>
                <w:bCs w:val="0"/>
                <w:szCs w:val="21"/>
                <w:u w:val="single"/>
              </w:rPr>
              <w:t>原料暂存区</w:t>
            </w:r>
          </w:p>
        </w:tc>
        <w:tc>
          <w:tcPr>
            <w:tcW w:w="440" w:type="pct"/>
            <w:tcBorders>
              <w:bottom w:val="single" w:color="000000" w:sz="4" w:space="0"/>
              <w:tl2br w:val="nil"/>
              <w:tr2bl w:val="nil"/>
            </w:tcBorders>
            <w:vAlign w:val="center"/>
          </w:tcPr>
          <w:p w14:paraId="0133D7A1">
            <w:pPr>
              <w:widowControl/>
              <w:jc w:val="center"/>
              <w:rPr>
                <w:rFonts w:hint="eastAsia" w:ascii="Times New Roman" w:hAnsi="Times New Roman" w:eastAsia="宋体"/>
                <w:b/>
                <w:bCs w:val="0"/>
                <w:szCs w:val="21"/>
                <w:u w:val="single"/>
              </w:rPr>
            </w:pPr>
            <w:r>
              <w:rPr>
                <w:rFonts w:hint="eastAsia" w:ascii="Times New Roman" w:hAnsi="Times New Roman" w:eastAsia="宋体"/>
                <w:b/>
                <w:bCs w:val="0"/>
                <w:szCs w:val="21"/>
                <w:u w:val="single"/>
              </w:rPr>
              <w:t>/</w:t>
            </w:r>
          </w:p>
        </w:tc>
        <w:tc>
          <w:tcPr>
            <w:tcW w:w="945" w:type="pct"/>
            <w:tcBorders>
              <w:bottom w:val="single" w:color="000000" w:sz="4" w:space="0"/>
              <w:tl2br w:val="nil"/>
              <w:tr2bl w:val="nil"/>
            </w:tcBorders>
            <w:vAlign w:val="center"/>
          </w:tcPr>
          <w:p w14:paraId="59E0F0DC">
            <w:pPr>
              <w:widowControl/>
              <w:jc w:val="center"/>
              <w:rPr>
                <w:rFonts w:hint="eastAsia" w:ascii="Times New Roman" w:hAnsi="Times New Roman" w:eastAsia="宋体"/>
                <w:b/>
                <w:bCs w:val="0"/>
                <w:szCs w:val="21"/>
                <w:u w:val="single"/>
              </w:rPr>
            </w:pPr>
            <w:r>
              <w:rPr>
                <w:rFonts w:hint="eastAsia" w:ascii="Times New Roman" w:hAnsi="Times New Roman" w:eastAsia="宋体"/>
                <w:b/>
                <w:bCs w:val="0"/>
                <w:szCs w:val="21"/>
                <w:u w:val="single"/>
              </w:rPr>
              <w:t>/</w:t>
            </w:r>
          </w:p>
        </w:tc>
      </w:tr>
      <w:tr w14:paraId="4D3C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5" w:type="pct"/>
            <w:vMerge w:val="restart"/>
            <w:tcBorders>
              <w:tl2br w:val="nil"/>
              <w:tr2bl w:val="nil"/>
            </w:tcBorders>
            <w:vAlign w:val="center"/>
          </w:tcPr>
          <w:p w14:paraId="66844F01">
            <w:pPr>
              <w:jc w:val="center"/>
              <w:rPr>
                <w:rFonts w:ascii="Times New Roman" w:hAnsi="Times New Roman" w:eastAsia="宋体"/>
                <w:bCs/>
                <w:szCs w:val="21"/>
              </w:rPr>
            </w:pPr>
            <w:r>
              <w:rPr>
                <w:rFonts w:ascii="Times New Roman" w:hAnsi="Times New Roman" w:eastAsia="宋体"/>
                <w:bCs/>
                <w:szCs w:val="21"/>
              </w:rPr>
              <w:t>3</w:t>
            </w:r>
          </w:p>
        </w:tc>
        <w:tc>
          <w:tcPr>
            <w:tcW w:w="707" w:type="pct"/>
            <w:vMerge w:val="restart"/>
            <w:tcBorders>
              <w:tl2br w:val="nil"/>
              <w:tr2bl w:val="nil"/>
            </w:tcBorders>
            <w:vAlign w:val="center"/>
          </w:tcPr>
          <w:p w14:paraId="467CBAA2">
            <w:pPr>
              <w:widowControl/>
              <w:jc w:val="center"/>
              <w:rPr>
                <w:rFonts w:ascii="Times New Roman" w:hAnsi="Times New Roman" w:eastAsia="宋体"/>
                <w:bCs/>
                <w:color w:val="000000"/>
                <w:kern w:val="0"/>
                <w:szCs w:val="21"/>
              </w:rPr>
            </w:pPr>
            <w:r>
              <w:rPr>
                <w:rFonts w:hint="eastAsia" w:ascii="Times New Roman" w:hAnsi="Times New Roman" w:eastAsia="宋体"/>
                <w:b/>
                <w:bCs w:val="0"/>
                <w:color w:val="auto"/>
                <w:kern w:val="0"/>
                <w:szCs w:val="21"/>
                <w:u w:val="single"/>
                <w:lang w:val="en-US" w:eastAsia="zh-CN"/>
              </w:rPr>
              <w:t>实木复合门</w:t>
            </w:r>
          </w:p>
        </w:tc>
        <w:tc>
          <w:tcPr>
            <w:tcW w:w="317" w:type="pct"/>
            <w:vMerge w:val="restart"/>
            <w:tcBorders>
              <w:tl2br w:val="nil"/>
              <w:tr2bl w:val="nil"/>
            </w:tcBorders>
            <w:vAlign w:val="center"/>
          </w:tcPr>
          <w:p w14:paraId="3F5EB688">
            <w:pPr>
              <w:widowControl/>
              <w:jc w:val="center"/>
              <w:rPr>
                <w:rFonts w:ascii="Times New Roman" w:hAnsi="Times New Roman" w:eastAsia="宋体"/>
                <w:bCs/>
                <w:kern w:val="0"/>
                <w:szCs w:val="21"/>
                <w:highlight w:val="yellow"/>
              </w:rPr>
            </w:pPr>
            <w:r>
              <w:rPr>
                <w:rFonts w:ascii="Times New Roman" w:hAnsi="Times New Roman" w:eastAsia="宋体"/>
                <w:bCs/>
                <w:color w:val="000000"/>
                <w:kern w:val="0"/>
                <w:szCs w:val="21"/>
              </w:rPr>
              <w:t>油漆</w:t>
            </w:r>
          </w:p>
        </w:tc>
        <w:tc>
          <w:tcPr>
            <w:tcW w:w="766" w:type="pct"/>
            <w:tcBorders>
              <w:tl2br w:val="nil"/>
              <w:tr2bl w:val="nil"/>
            </w:tcBorders>
            <w:vAlign w:val="center"/>
          </w:tcPr>
          <w:p w14:paraId="673691C9">
            <w:pPr>
              <w:widowControl/>
              <w:jc w:val="center"/>
              <w:rPr>
                <w:rFonts w:ascii="Times New Roman" w:hAnsi="Times New Roman" w:eastAsia="宋体"/>
                <w:bCs/>
                <w:kern w:val="0"/>
                <w:szCs w:val="21"/>
              </w:rPr>
            </w:pPr>
            <w:r>
              <w:rPr>
                <w:rFonts w:ascii="Times New Roman" w:hAnsi="Times New Roman" w:eastAsia="宋体"/>
                <w:bCs/>
                <w:kern w:val="0"/>
                <w:szCs w:val="21"/>
              </w:rPr>
              <w:t>聚氨酯底漆</w:t>
            </w:r>
          </w:p>
        </w:tc>
        <w:tc>
          <w:tcPr>
            <w:tcW w:w="642" w:type="pct"/>
            <w:tcBorders>
              <w:tl2br w:val="nil"/>
              <w:tr2bl w:val="nil"/>
            </w:tcBorders>
            <w:vAlign w:val="center"/>
          </w:tcPr>
          <w:p w14:paraId="2B310F26">
            <w:pPr>
              <w:widowControl/>
              <w:jc w:val="center"/>
              <w:rPr>
                <w:rFonts w:ascii="Times New Roman" w:hAnsi="Times New Roman" w:eastAsia="宋体"/>
                <w:bCs/>
                <w:kern w:val="0"/>
                <w:szCs w:val="21"/>
              </w:rPr>
            </w:pPr>
            <w:r>
              <w:rPr>
                <w:rFonts w:hint="eastAsia" w:ascii="Times New Roman" w:hAnsi="Times New Roman" w:eastAsia="宋体"/>
                <w:bCs/>
                <w:kern w:val="0"/>
                <w:szCs w:val="21"/>
              </w:rPr>
              <w:t>4t</w:t>
            </w:r>
          </w:p>
        </w:tc>
        <w:tc>
          <w:tcPr>
            <w:tcW w:w="845" w:type="pct"/>
            <w:tcBorders>
              <w:tl2br w:val="nil"/>
              <w:tr2bl w:val="nil"/>
            </w:tcBorders>
            <w:vAlign w:val="center"/>
          </w:tcPr>
          <w:p w14:paraId="28A8D11B">
            <w:pPr>
              <w:widowControl/>
              <w:jc w:val="center"/>
              <w:rPr>
                <w:rFonts w:ascii="Times New Roman" w:hAnsi="Times New Roman" w:eastAsia="宋体"/>
                <w:bCs/>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2098FEDC">
            <w:pPr>
              <w:widowControl/>
              <w:jc w:val="center"/>
              <w:rPr>
                <w:rFonts w:ascii="Times New Roman" w:hAnsi="Times New Roman" w:eastAsia="宋体"/>
                <w:bCs/>
                <w:kern w:val="0"/>
                <w:szCs w:val="21"/>
              </w:rPr>
            </w:pPr>
            <w:r>
              <w:rPr>
                <w:rFonts w:hint="eastAsia" w:ascii="Times New Roman" w:hAnsi="Times New Roman" w:eastAsia="宋体"/>
                <w:bCs/>
                <w:kern w:val="0"/>
                <w:szCs w:val="21"/>
              </w:rPr>
              <w:t xml:space="preserve">0.2 </w:t>
            </w:r>
            <w:r>
              <w:rPr>
                <w:rFonts w:ascii="Times New Roman" w:hAnsi="Times New Roman" w:eastAsia="宋体"/>
                <w:bCs/>
                <w:kern w:val="0"/>
                <w:szCs w:val="21"/>
              </w:rPr>
              <w:t>t</w:t>
            </w:r>
          </w:p>
        </w:tc>
        <w:tc>
          <w:tcPr>
            <w:tcW w:w="945" w:type="pct"/>
            <w:tcBorders>
              <w:tl2br w:val="nil"/>
              <w:tr2bl w:val="nil"/>
            </w:tcBorders>
            <w:vAlign w:val="center"/>
          </w:tcPr>
          <w:p w14:paraId="198B39DC">
            <w:pPr>
              <w:widowControl/>
              <w:jc w:val="center"/>
              <w:rPr>
                <w:rFonts w:ascii="Times New Roman" w:hAnsi="Times New Roman" w:eastAsia="宋体"/>
                <w:bCs/>
                <w:color w:val="000000"/>
                <w:kern w:val="0"/>
                <w:szCs w:val="21"/>
              </w:rPr>
            </w:pPr>
            <w:r>
              <w:rPr>
                <w:rFonts w:hint="eastAsia" w:ascii="Times New Roman" w:hAnsi="Times New Roman" w:eastAsia="宋体"/>
                <w:bCs/>
                <w:color w:val="000000"/>
                <w:kern w:val="0"/>
                <w:szCs w:val="21"/>
              </w:rPr>
              <w:t>桶装，</w:t>
            </w:r>
            <w:r>
              <w:rPr>
                <w:rFonts w:ascii="Times New Roman" w:hAnsi="Times New Roman" w:eastAsia="宋体"/>
                <w:bCs/>
                <w:color w:val="000000"/>
                <w:kern w:val="0"/>
                <w:szCs w:val="21"/>
              </w:rPr>
              <w:t>20kg/桶</w:t>
            </w:r>
          </w:p>
        </w:tc>
      </w:tr>
      <w:tr w14:paraId="4C5D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vMerge w:val="continue"/>
            <w:tcBorders>
              <w:tl2br w:val="nil"/>
              <w:tr2bl w:val="nil"/>
            </w:tcBorders>
            <w:vAlign w:val="center"/>
          </w:tcPr>
          <w:p w14:paraId="1A7365CC">
            <w:pPr>
              <w:jc w:val="center"/>
              <w:rPr>
                <w:rFonts w:ascii="Times New Roman" w:hAnsi="Times New Roman" w:eastAsia="宋体"/>
                <w:bCs/>
                <w:szCs w:val="21"/>
                <w:highlight w:val="yellow"/>
              </w:rPr>
            </w:pPr>
          </w:p>
        </w:tc>
        <w:tc>
          <w:tcPr>
            <w:tcW w:w="707" w:type="pct"/>
            <w:vMerge w:val="continue"/>
            <w:tcBorders>
              <w:tl2br w:val="nil"/>
              <w:tr2bl w:val="nil"/>
            </w:tcBorders>
            <w:vAlign w:val="center"/>
          </w:tcPr>
          <w:p w14:paraId="5920B6A1">
            <w:pPr>
              <w:widowControl/>
              <w:jc w:val="center"/>
              <w:rPr>
                <w:rFonts w:ascii="Times New Roman" w:hAnsi="Times New Roman" w:eastAsia="宋体"/>
                <w:bCs/>
                <w:kern w:val="0"/>
                <w:szCs w:val="21"/>
                <w:highlight w:val="yellow"/>
              </w:rPr>
            </w:pPr>
          </w:p>
        </w:tc>
        <w:tc>
          <w:tcPr>
            <w:tcW w:w="317" w:type="pct"/>
            <w:vMerge w:val="continue"/>
            <w:tcBorders>
              <w:tl2br w:val="nil"/>
              <w:tr2bl w:val="nil"/>
            </w:tcBorders>
            <w:vAlign w:val="center"/>
          </w:tcPr>
          <w:p w14:paraId="751B0847">
            <w:pPr>
              <w:widowControl/>
              <w:jc w:val="center"/>
              <w:rPr>
                <w:rFonts w:ascii="Times New Roman" w:hAnsi="Times New Roman" w:eastAsia="宋体"/>
                <w:bCs/>
                <w:kern w:val="0"/>
                <w:szCs w:val="21"/>
                <w:highlight w:val="yellow"/>
              </w:rPr>
            </w:pPr>
          </w:p>
        </w:tc>
        <w:tc>
          <w:tcPr>
            <w:tcW w:w="766" w:type="pct"/>
            <w:tcBorders>
              <w:tl2br w:val="nil"/>
              <w:tr2bl w:val="nil"/>
            </w:tcBorders>
            <w:vAlign w:val="center"/>
          </w:tcPr>
          <w:p w14:paraId="1E35C3BE">
            <w:pPr>
              <w:widowControl/>
              <w:jc w:val="center"/>
              <w:rPr>
                <w:rFonts w:ascii="Times New Roman" w:hAnsi="Times New Roman" w:eastAsia="宋体"/>
                <w:bCs/>
                <w:kern w:val="0"/>
                <w:szCs w:val="21"/>
              </w:rPr>
            </w:pPr>
            <w:r>
              <w:rPr>
                <w:rFonts w:ascii="Times New Roman" w:hAnsi="Times New Roman" w:eastAsia="宋体"/>
                <w:bCs/>
                <w:kern w:val="0"/>
                <w:szCs w:val="21"/>
              </w:rPr>
              <w:t>聚氨酯面漆</w:t>
            </w:r>
          </w:p>
        </w:tc>
        <w:tc>
          <w:tcPr>
            <w:tcW w:w="642" w:type="pct"/>
            <w:tcBorders>
              <w:tl2br w:val="nil"/>
              <w:tr2bl w:val="nil"/>
            </w:tcBorders>
            <w:vAlign w:val="center"/>
          </w:tcPr>
          <w:p w14:paraId="568AF476">
            <w:pPr>
              <w:widowControl/>
              <w:jc w:val="center"/>
              <w:rPr>
                <w:rFonts w:ascii="Times New Roman" w:hAnsi="Times New Roman" w:eastAsia="宋体"/>
                <w:bCs/>
                <w:kern w:val="0"/>
                <w:szCs w:val="21"/>
              </w:rPr>
            </w:pPr>
            <w:r>
              <w:rPr>
                <w:rFonts w:hint="eastAsia" w:ascii="Times New Roman" w:hAnsi="Times New Roman" w:eastAsia="宋体"/>
                <w:bCs/>
                <w:kern w:val="0"/>
                <w:szCs w:val="21"/>
              </w:rPr>
              <w:t>3.2</w:t>
            </w:r>
            <w:r>
              <w:rPr>
                <w:rFonts w:ascii="Times New Roman" w:hAnsi="Times New Roman" w:eastAsia="宋体"/>
                <w:bCs/>
                <w:kern w:val="0"/>
                <w:szCs w:val="21"/>
              </w:rPr>
              <w:t>t</w:t>
            </w:r>
          </w:p>
        </w:tc>
        <w:tc>
          <w:tcPr>
            <w:tcW w:w="845" w:type="pct"/>
            <w:tcBorders>
              <w:tl2br w:val="nil"/>
              <w:tr2bl w:val="nil"/>
            </w:tcBorders>
            <w:vAlign w:val="center"/>
          </w:tcPr>
          <w:p w14:paraId="784D130F">
            <w:pPr>
              <w:widowControl/>
              <w:jc w:val="center"/>
              <w:rPr>
                <w:rFonts w:ascii="Times New Roman" w:hAnsi="Times New Roman" w:eastAsia="宋体"/>
                <w:bCs/>
                <w:kern w:val="0"/>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09BEED55">
            <w:pPr>
              <w:widowControl/>
              <w:jc w:val="center"/>
              <w:rPr>
                <w:rFonts w:ascii="Times New Roman" w:hAnsi="Times New Roman" w:eastAsia="宋体"/>
                <w:bCs/>
                <w:kern w:val="0"/>
                <w:szCs w:val="21"/>
              </w:rPr>
            </w:pPr>
            <w:r>
              <w:rPr>
                <w:rFonts w:hint="eastAsia" w:ascii="Times New Roman" w:hAnsi="Times New Roman" w:eastAsia="宋体"/>
                <w:bCs/>
                <w:kern w:val="0"/>
                <w:szCs w:val="21"/>
              </w:rPr>
              <w:t xml:space="preserve">0.2 </w:t>
            </w:r>
            <w:r>
              <w:rPr>
                <w:rFonts w:ascii="Times New Roman" w:hAnsi="Times New Roman" w:eastAsia="宋体"/>
                <w:bCs/>
                <w:kern w:val="0"/>
                <w:szCs w:val="21"/>
              </w:rPr>
              <w:t>t</w:t>
            </w:r>
          </w:p>
        </w:tc>
        <w:tc>
          <w:tcPr>
            <w:tcW w:w="945" w:type="pct"/>
            <w:tcBorders>
              <w:tl2br w:val="nil"/>
              <w:tr2bl w:val="nil"/>
            </w:tcBorders>
            <w:vAlign w:val="center"/>
          </w:tcPr>
          <w:p w14:paraId="79D442B0">
            <w:pPr>
              <w:widowControl/>
              <w:jc w:val="center"/>
              <w:rPr>
                <w:rFonts w:ascii="Times New Roman" w:hAnsi="Times New Roman" w:eastAsia="宋体"/>
                <w:bCs/>
                <w:color w:val="000000"/>
                <w:kern w:val="0"/>
                <w:szCs w:val="21"/>
              </w:rPr>
            </w:pPr>
            <w:r>
              <w:rPr>
                <w:rFonts w:hint="eastAsia" w:ascii="Times New Roman" w:hAnsi="Times New Roman" w:eastAsia="宋体"/>
                <w:bCs/>
                <w:color w:val="000000"/>
                <w:kern w:val="0"/>
                <w:szCs w:val="21"/>
              </w:rPr>
              <w:t>桶装，</w:t>
            </w:r>
            <w:r>
              <w:rPr>
                <w:rFonts w:ascii="Times New Roman" w:hAnsi="Times New Roman" w:eastAsia="宋体"/>
                <w:bCs/>
                <w:color w:val="000000"/>
                <w:kern w:val="0"/>
                <w:szCs w:val="21"/>
              </w:rPr>
              <w:t>20kg/桶</w:t>
            </w:r>
          </w:p>
        </w:tc>
      </w:tr>
      <w:tr w14:paraId="351A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vMerge w:val="continue"/>
            <w:tcBorders>
              <w:tl2br w:val="nil"/>
              <w:tr2bl w:val="nil"/>
            </w:tcBorders>
            <w:vAlign w:val="center"/>
          </w:tcPr>
          <w:p w14:paraId="27A02409">
            <w:pPr>
              <w:jc w:val="center"/>
              <w:rPr>
                <w:rFonts w:ascii="Times New Roman" w:hAnsi="Times New Roman" w:eastAsia="宋体"/>
                <w:bCs/>
                <w:szCs w:val="21"/>
                <w:highlight w:val="yellow"/>
              </w:rPr>
            </w:pPr>
          </w:p>
        </w:tc>
        <w:tc>
          <w:tcPr>
            <w:tcW w:w="707" w:type="pct"/>
            <w:vMerge w:val="continue"/>
            <w:tcBorders>
              <w:tl2br w:val="nil"/>
              <w:tr2bl w:val="nil"/>
            </w:tcBorders>
            <w:vAlign w:val="center"/>
          </w:tcPr>
          <w:p w14:paraId="6B0D12C1">
            <w:pPr>
              <w:widowControl/>
              <w:jc w:val="center"/>
              <w:rPr>
                <w:rFonts w:ascii="Times New Roman" w:hAnsi="Times New Roman" w:eastAsia="宋体"/>
                <w:bCs/>
                <w:kern w:val="0"/>
                <w:szCs w:val="21"/>
                <w:highlight w:val="yellow"/>
              </w:rPr>
            </w:pPr>
          </w:p>
        </w:tc>
        <w:tc>
          <w:tcPr>
            <w:tcW w:w="317" w:type="pct"/>
            <w:vMerge w:val="continue"/>
            <w:tcBorders>
              <w:tl2br w:val="nil"/>
              <w:tr2bl w:val="nil"/>
            </w:tcBorders>
            <w:vAlign w:val="center"/>
          </w:tcPr>
          <w:p w14:paraId="1FFD1CA2">
            <w:pPr>
              <w:widowControl/>
              <w:jc w:val="center"/>
              <w:rPr>
                <w:rFonts w:ascii="Times New Roman" w:hAnsi="Times New Roman" w:eastAsia="宋体"/>
                <w:bCs/>
                <w:kern w:val="0"/>
                <w:szCs w:val="21"/>
                <w:highlight w:val="yellow"/>
              </w:rPr>
            </w:pPr>
          </w:p>
        </w:tc>
        <w:tc>
          <w:tcPr>
            <w:tcW w:w="766" w:type="pct"/>
            <w:tcBorders>
              <w:tl2br w:val="nil"/>
              <w:tr2bl w:val="nil"/>
            </w:tcBorders>
            <w:vAlign w:val="center"/>
          </w:tcPr>
          <w:p w14:paraId="26B36B20">
            <w:pPr>
              <w:widowControl/>
              <w:jc w:val="center"/>
              <w:rPr>
                <w:rFonts w:ascii="Times New Roman" w:hAnsi="Times New Roman" w:eastAsia="宋体"/>
                <w:bCs/>
                <w:kern w:val="0"/>
                <w:szCs w:val="21"/>
              </w:rPr>
            </w:pPr>
            <w:r>
              <w:rPr>
                <w:rFonts w:ascii="Times New Roman" w:hAnsi="Times New Roman" w:eastAsia="宋体"/>
                <w:bCs/>
                <w:kern w:val="0"/>
                <w:szCs w:val="21"/>
              </w:rPr>
              <w:t>稀释剂</w:t>
            </w:r>
          </w:p>
        </w:tc>
        <w:tc>
          <w:tcPr>
            <w:tcW w:w="642" w:type="pct"/>
            <w:tcBorders>
              <w:tl2br w:val="nil"/>
              <w:tr2bl w:val="nil"/>
            </w:tcBorders>
            <w:vAlign w:val="center"/>
          </w:tcPr>
          <w:p w14:paraId="34AC520E">
            <w:pPr>
              <w:widowControl/>
              <w:jc w:val="center"/>
              <w:rPr>
                <w:rFonts w:ascii="Times New Roman" w:hAnsi="Times New Roman" w:eastAsia="宋体"/>
                <w:bCs/>
                <w:kern w:val="0"/>
                <w:szCs w:val="21"/>
              </w:rPr>
            </w:pPr>
            <w:r>
              <w:rPr>
                <w:rFonts w:ascii="Times New Roman" w:hAnsi="Times New Roman" w:eastAsia="宋体"/>
                <w:bCs/>
                <w:kern w:val="0"/>
                <w:szCs w:val="21"/>
              </w:rPr>
              <w:t>3.</w:t>
            </w:r>
            <w:r>
              <w:rPr>
                <w:rFonts w:hint="eastAsia" w:ascii="Times New Roman" w:hAnsi="Times New Roman" w:eastAsia="宋体"/>
                <w:bCs/>
                <w:kern w:val="0"/>
                <w:szCs w:val="21"/>
              </w:rPr>
              <w:t>6</w:t>
            </w:r>
            <w:r>
              <w:rPr>
                <w:rFonts w:ascii="Times New Roman" w:hAnsi="Times New Roman" w:eastAsia="宋体"/>
                <w:bCs/>
                <w:kern w:val="0"/>
                <w:szCs w:val="21"/>
              </w:rPr>
              <w:t>t</w:t>
            </w:r>
          </w:p>
        </w:tc>
        <w:tc>
          <w:tcPr>
            <w:tcW w:w="845" w:type="pct"/>
            <w:tcBorders>
              <w:tl2br w:val="nil"/>
              <w:tr2bl w:val="nil"/>
            </w:tcBorders>
            <w:vAlign w:val="center"/>
          </w:tcPr>
          <w:p w14:paraId="3A0895EC">
            <w:pPr>
              <w:widowControl/>
              <w:jc w:val="center"/>
              <w:rPr>
                <w:rFonts w:ascii="Times New Roman" w:hAnsi="Times New Roman" w:eastAsia="宋体"/>
                <w:bCs/>
                <w:kern w:val="0"/>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6B9A4777">
            <w:pPr>
              <w:widowControl/>
              <w:jc w:val="center"/>
              <w:rPr>
                <w:rFonts w:ascii="Times New Roman" w:hAnsi="Times New Roman" w:eastAsia="宋体"/>
                <w:bCs/>
                <w:kern w:val="0"/>
                <w:szCs w:val="21"/>
              </w:rPr>
            </w:pPr>
            <w:r>
              <w:rPr>
                <w:rFonts w:hint="eastAsia" w:ascii="Times New Roman" w:hAnsi="Times New Roman" w:eastAsia="宋体"/>
                <w:bCs/>
                <w:color w:val="auto"/>
                <w:kern w:val="0"/>
                <w:szCs w:val="21"/>
              </w:rPr>
              <w:t xml:space="preserve">1.5 </w:t>
            </w:r>
            <w:r>
              <w:rPr>
                <w:rFonts w:ascii="Times New Roman" w:hAnsi="Times New Roman" w:eastAsia="宋体"/>
                <w:bCs/>
                <w:color w:val="auto"/>
                <w:kern w:val="0"/>
                <w:szCs w:val="21"/>
              </w:rPr>
              <w:t>t</w:t>
            </w:r>
          </w:p>
        </w:tc>
        <w:tc>
          <w:tcPr>
            <w:tcW w:w="945" w:type="pct"/>
            <w:tcBorders>
              <w:tl2br w:val="nil"/>
              <w:tr2bl w:val="nil"/>
            </w:tcBorders>
            <w:vAlign w:val="center"/>
          </w:tcPr>
          <w:p w14:paraId="2EB1F616">
            <w:pPr>
              <w:widowControl/>
              <w:jc w:val="center"/>
              <w:rPr>
                <w:rFonts w:ascii="Times New Roman" w:hAnsi="Times New Roman" w:eastAsia="宋体"/>
                <w:bCs/>
                <w:color w:val="000000"/>
                <w:kern w:val="0"/>
                <w:szCs w:val="21"/>
              </w:rPr>
            </w:pPr>
            <w:r>
              <w:rPr>
                <w:rFonts w:hint="eastAsia" w:ascii="Times New Roman" w:hAnsi="Times New Roman" w:eastAsia="宋体"/>
                <w:bCs/>
                <w:color w:val="000000"/>
                <w:kern w:val="0"/>
                <w:szCs w:val="21"/>
              </w:rPr>
              <w:t>桶装，150</w:t>
            </w:r>
            <w:r>
              <w:rPr>
                <w:rFonts w:ascii="Times New Roman" w:hAnsi="Times New Roman" w:eastAsia="宋体"/>
                <w:bCs/>
                <w:color w:val="000000"/>
                <w:kern w:val="0"/>
                <w:szCs w:val="21"/>
              </w:rPr>
              <w:t>kg/桶</w:t>
            </w:r>
          </w:p>
        </w:tc>
      </w:tr>
      <w:tr w14:paraId="3F4A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vMerge w:val="continue"/>
            <w:tcBorders>
              <w:tl2br w:val="nil"/>
              <w:tr2bl w:val="nil"/>
            </w:tcBorders>
            <w:vAlign w:val="center"/>
          </w:tcPr>
          <w:p w14:paraId="46B6C9D9">
            <w:pPr>
              <w:jc w:val="center"/>
              <w:rPr>
                <w:rFonts w:ascii="Times New Roman" w:hAnsi="Times New Roman" w:eastAsia="宋体"/>
                <w:bCs/>
                <w:szCs w:val="21"/>
              </w:rPr>
            </w:pPr>
          </w:p>
        </w:tc>
        <w:tc>
          <w:tcPr>
            <w:tcW w:w="707" w:type="pct"/>
            <w:vMerge w:val="continue"/>
            <w:tcBorders>
              <w:tl2br w:val="nil"/>
              <w:tr2bl w:val="nil"/>
            </w:tcBorders>
            <w:vAlign w:val="center"/>
          </w:tcPr>
          <w:p w14:paraId="3E3AF354">
            <w:pPr>
              <w:widowControl/>
              <w:jc w:val="center"/>
              <w:rPr>
                <w:rFonts w:ascii="Times New Roman" w:hAnsi="Times New Roman" w:eastAsia="宋体"/>
                <w:bCs/>
                <w:kern w:val="0"/>
                <w:szCs w:val="21"/>
                <w:highlight w:val="yellow"/>
              </w:rPr>
            </w:pPr>
          </w:p>
        </w:tc>
        <w:tc>
          <w:tcPr>
            <w:tcW w:w="317" w:type="pct"/>
            <w:vMerge w:val="continue"/>
            <w:tcBorders>
              <w:tl2br w:val="nil"/>
              <w:tr2bl w:val="nil"/>
            </w:tcBorders>
            <w:vAlign w:val="center"/>
          </w:tcPr>
          <w:p w14:paraId="096BBE3F">
            <w:pPr>
              <w:widowControl/>
              <w:jc w:val="center"/>
              <w:rPr>
                <w:rFonts w:ascii="Times New Roman" w:hAnsi="Times New Roman" w:eastAsia="宋体"/>
                <w:bCs/>
                <w:kern w:val="0"/>
                <w:szCs w:val="21"/>
                <w:highlight w:val="yellow"/>
              </w:rPr>
            </w:pPr>
          </w:p>
        </w:tc>
        <w:tc>
          <w:tcPr>
            <w:tcW w:w="766" w:type="pct"/>
            <w:tcBorders>
              <w:tl2br w:val="nil"/>
              <w:tr2bl w:val="nil"/>
            </w:tcBorders>
            <w:vAlign w:val="center"/>
          </w:tcPr>
          <w:p w14:paraId="21A24998">
            <w:pPr>
              <w:widowControl/>
              <w:jc w:val="center"/>
              <w:rPr>
                <w:rFonts w:ascii="Times New Roman" w:hAnsi="Times New Roman" w:eastAsia="宋体"/>
                <w:bCs/>
                <w:kern w:val="0"/>
                <w:szCs w:val="21"/>
              </w:rPr>
            </w:pPr>
            <w:r>
              <w:rPr>
                <w:rFonts w:ascii="Times New Roman" w:hAnsi="Times New Roman" w:eastAsia="宋体"/>
                <w:bCs/>
                <w:kern w:val="0"/>
                <w:szCs w:val="21"/>
              </w:rPr>
              <w:t>固化剂</w:t>
            </w:r>
          </w:p>
        </w:tc>
        <w:tc>
          <w:tcPr>
            <w:tcW w:w="642" w:type="pct"/>
            <w:tcBorders>
              <w:tl2br w:val="nil"/>
              <w:tr2bl w:val="nil"/>
            </w:tcBorders>
            <w:vAlign w:val="center"/>
          </w:tcPr>
          <w:p w14:paraId="7F854D87">
            <w:pPr>
              <w:widowControl/>
              <w:jc w:val="center"/>
              <w:rPr>
                <w:rFonts w:ascii="Times New Roman" w:hAnsi="Times New Roman" w:eastAsia="宋体"/>
                <w:bCs/>
                <w:kern w:val="0"/>
                <w:szCs w:val="21"/>
              </w:rPr>
            </w:pPr>
            <w:r>
              <w:rPr>
                <w:rFonts w:ascii="Times New Roman" w:hAnsi="Times New Roman" w:eastAsia="宋体"/>
                <w:bCs/>
                <w:kern w:val="0"/>
                <w:szCs w:val="21"/>
              </w:rPr>
              <w:t>3.</w:t>
            </w:r>
            <w:r>
              <w:rPr>
                <w:rFonts w:hint="eastAsia" w:ascii="Times New Roman" w:hAnsi="Times New Roman" w:eastAsia="宋体"/>
                <w:bCs/>
                <w:kern w:val="0"/>
                <w:szCs w:val="21"/>
              </w:rPr>
              <w:t>6</w:t>
            </w:r>
            <w:r>
              <w:rPr>
                <w:rFonts w:ascii="Times New Roman" w:hAnsi="Times New Roman" w:eastAsia="宋体"/>
                <w:bCs/>
                <w:kern w:val="0"/>
                <w:szCs w:val="21"/>
              </w:rPr>
              <w:t>t</w:t>
            </w:r>
          </w:p>
        </w:tc>
        <w:tc>
          <w:tcPr>
            <w:tcW w:w="845" w:type="pct"/>
            <w:tcBorders>
              <w:tl2br w:val="nil"/>
              <w:tr2bl w:val="nil"/>
            </w:tcBorders>
            <w:vAlign w:val="center"/>
          </w:tcPr>
          <w:p w14:paraId="389DCB3E">
            <w:pPr>
              <w:widowControl/>
              <w:jc w:val="center"/>
              <w:rPr>
                <w:rFonts w:ascii="Times New Roman" w:hAnsi="Times New Roman" w:eastAsia="宋体"/>
                <w:bCs/>
                <w:kern w:val="0"/>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7E547B8A">
            <w:pPr>
              <w:widowControl/>
              <w:jc w:val="center"/>
              <w:rPr>
                <w:rFonts w:ascii="Times New Roman" w:hAnsi="Times New Roman" w:eastAsia="宋体"/>
                <w:bCs/>
                <w:kern w:val="0"/>
                <w:szCs w:val="21"/>
              </w:rPr>
            </w:pPr>
            <w:r>
              <w:rPr>
                <w:rFonts w:hint="eastAsia" w:ascii="Times New Roman" w:hAnsi="Times New Roman" w:eastAsia="宋体"/>
                <w:bCs/>
                <w:kern w:val="0"/>
                <w:szCs w:val="21"/>
              </w:rPr>
              <w:t xml:space="preserve">0.2 </w:t>
            </w:r>
            <w:r>
              <w:rPr>
                <w:rFonts w:ascii="Times New Roman" w:hAnsi="Times New Roman" w:eastAsia="宋体"/>
                <w:bCs/>
                <w:kern w:val="0"/>
                <w:szCs w:val="21"/>
              </w:rPr>
              <w:t>t</w:t>
            </w:r>
          </w:p>
        </w:tc>
        <w:tc>
          <w:tcPr>
            <w:tcW w:w="945" w:type="pct"/>
            <w:tcBorders>
              <w:tl2br w:val="nil"/>
              <w:tr2bl w:val="nil"/>
            </w:tcBorders>
            <w:vAlign w:val="center"/>
          </w:tcPr>
          <w:p w14:paraId="05F732FD">
            <w:pPr>
              <w:widowControl/>
              <w:jc w:val="center"/>
              <w:rPr>
                <w:rFonts w:ascii="Times New Roman" w:hAnsi="Times New Roman" w:eastAsia="宋体"/>
                <w:bCs/>
                <w:color w:val="000000"/>
                <w:kern w:val="0"/>
                <w:szCs w:val="21"/>
              </w:rPr>
            </w:pPr>
            <w:r>
              <w:rPr>
                <w:rFonts w:hint="eastAsia" w:ascii="Times New Roman" w:hAnsi="Times New Roman" w:eastAsia="宋体"/>
                <w:bCs/>
                <w:color w:val="000000"/>
                <w:kern w:val="0"/>
                <w:szCs w:val="21"/>
              </w:rPr>
              <w:t>桶装，</w:t>
            </w:r>
            <w:r>
              <w:rPr>
                <w:rFonts w:ascii="Times New Roman" w:hAnsi="Times New Roman" w:eastAsia="宋体"/>
                <w:bCs/>
                <w:color w:val="000000"/>
                <w:kern w:val="0"/>
                <w:szCs w:val="21"/>
              </w:rPr>
              <w:t>20kg/桶</w:t>
            </w:r>
          </w:p>
        </w:tc>
      </w:tr>
      <w:tr w14:paraId="1D68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tcBorders>
              <w:tl2br w:val="nil"/>
              <w:tr2bl w:val="nil"/>
            </w:tcBorders>
            <w:vAlign w:val="center"/>
          </w:tcPr>
          <w:p w14:paraId="1A17B1A3">
            <w:pPr>
              <w:jc w:val="center"/>
              <w:rPr>
                <w:rFonts w:ascii="Times New Roman" w:hAnsi="Times New Roman" w:eastAsia="宋体"/>
                <w:bCs/>
                <w:szCs w:val="21"/>
              </w:rPr>
            </w:pPr>
            <w:r>
              <w:rPr>
                <w:rFonts w:ascii="Times New Roman" w:hAnsi="Times New Roman" w:eastAsia="宋体"/>
                <w:bCs/>
                <w:szCs w:val="21"/>
              </w:rPr>
              <w:t>4</w:t>
            </w:r>
          </w:p>
        </w:tc>
        <w:tc>
          <w:tcPr>
            <w:tcW w:w="707" w:type="pct"/>
            <w:vMerge w:val="continue"/>
            <w:tcBorders>
              <w:tl2br w:val="nil"/>
              <w:tr2bl w:val="nil"/>
            </w:tcBorders>
            <w:vAlign w:val="center"/>
          </w:tcPr>
          <w:p w14:paraId="7B349734">
            <w:pPr>
              <w:widowControl/>
              <w:jc w:val="center"/>
              <w:rPr>
                <w:rFonts w:ascii="Times New Roman" w:hAnsi="Times New Roman" w:eastAsia="宋体"/>
                <w:bCs/>
                <w:color w:val="000000"/>
                <w:kern w:val="0"/>
                <w:szCs w:val="21"/>
              </w:rPr>
            </w:pPr>
          </w:p>
        </w:tc>
        <w:tc>
          <w:tcPr>
            <w:tcW w:w="1083" w:type="pct"/>
            <w:gridSpan w:val="2"/>
            <w:tcBorders>
              <w:tl2br w:val="nil"/>
              <w:tr2bl w:val="nil"/>
            </w:tcBorders>
            <w:vAlign w:val="center"/>
          </w:tcPr>
          <w:p w14:paraId="70A93450">
            <w:pPr>
              <w:widowControl/>
              <w:jc w:val="center"/>
              <w:rPr>
                <w:rFonts w:ascii="Times New Roman" w:hAnsi="Times New Roman" w:eastAsia="宋体"/>
                <w:bCs/>
                <w:kern w:val="0"/>
                <w:szCs w:val="21"/>
              </w:rPr>
            </w:pPr>
            <w:r>
              <w:rPr>
                <w:rFonts w:ascii="Times New Roman" w:hAnsi="Times New Roman" w:eastAsia="宋体"/>
                <w:bCs/>
                <w:color w:val="000000"/>
                <w:kern w:val="0"/>
                <w:szCs w:val="21"/>
              </w:rPr>
              <w:t>水性底漆</w:t>
            </w:r>
          </w:p>
        </w:tc>
        <w:tc>
          <w:tcPr>
            <w:tcW w:w="642" w:type="pct"/>
            <w:tcBorders>
              <w:tl2br w:val="nil"/>
              <w:tr2bl w:val="nil"/>
            </w:tcBorders>
            <w:vAlign w:val="center"/>
          </w:tcPr>
          <w:p w14:paraId="4FBAD60A">
            <w:pPr>
              <w:widowControl/>
              <w:jc w:val="center"/>
              <w:rPr>
                <w:rFonts w:ascii="Times New Roman" w:hAnsi="Times New Roman" w:eastAsia="宋体"/>
                <w:bCs/>
                <w:kern w:val="0"/>
                <w:szCs w:val="21"/>
              </w:rPr>
            </w:pPr>
            <w:r>
              <w:rPr>
                <w:rFonts w:hint="eastAsia" w:ascii="Times New Roman" w:hAnsi="Times New Roman" w:eastAsia="宋体"/>
                <w:bCs/>
                <w:color w:val="000000"/>
                <w:kern w:val="0"/>
                <w:szCs w:val="21"/>
              </w:rPr>
              <w:t>10.6</w:t>
            </w:r>
            <w:r>
              <w:rPr>
                <w:rFonts w:ascii="Times New Roman" w:hAnsi="Times New Roman" w:eastAsia="宋体"/>
                <w:bCs/>
                <w:color w:val="000000"/>
                <w:kern w:val="0"/>
                <w:szCs w:val="21"/>
              </w:rPr>
              <w:t>t</w:t>
            </w:r>
          </w:p>
        </w:tc>
        <w:tc>
          <w:tcPr>
            <w:tcW w:w="845" w:type="pct"/>
            <w:tcBorders>
              <w:tl2br w:val="nil"/>
              <w:tr2bl w:val="nil"/>
            </w:tcBorders>
            <w:vAlign w:val="center"/>
          </w:tcPr>
          <w:p w14:paraId="7962E5BC">
            <w:pPr>
              <w:widowControl/>
              <w:jc w:val="center"/>
              <w:rPr>
                <w:rFonts w:ascii="Times New Roman" w:hAnsi="Times New Roman" w:eastAsia="宋体"/>
                <w:bCs/>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58B00328">
            <w:pPr>
              <w:widowControl/>
              <w:jc w:val="center"/>
              <w:rPr>
                <w:rFonts w:ascii="Times New Roman" w:hAnsi="Times New Roman" w:eastAsia="宋体"/>
                <w:bCs/>
                <w:kern w:val="0"/>
                <w:szCs w:val="21"/>
              </w:rPr>
            </w:pPr>
            <w:r>
              <w:rPr>
                <w:rFonts w:hint="eastAsia" w:ascii="Times New Roman" w:hAnsi="Times New Roman" w:eastAsia="宋体"/>
                <w:bCs/>
                <w:kern w:val="0"/>
                <w:szCs w:val="21"/>
              </w:rPr>
              <w:t xml:space="preserve">0.5 </w:t>
            </w:r>
            <w:r>
              <w:rPr>
                <w:rFonts w:ascii="Times New Roman" w:hAnsi="Times New Roman" w:eastAsia="宋体"/>
                <w:bCs/>
                <w:kern w:val="0"/>
                <w:szCs w:val="21"/>
              </w:rPr>
              <w:t>t</w:t>
            </w:r>
          </w:p>
        </w:tc>
        <w:tc>
          <w:tcPr>
            <w:tcW w:w="945" w:type="pct"/>
            <w:tcBorders>
              <w:tl2br w:val="nil"/>
              <w:tr2bl w:val="nil"/>
            </w:tcBorders>
            <w:vAlign w:val="center"/>
          </w:tcPr>
          <w:p w14:paraId="77386DF2">
            <w:pPr>
              <w:widowControl/>
              <w:jc w:val="center"/>
              <w:rPr>
                <w:rFonts w:ascii="Times New Roman" w:hAnsi="Times New Roman" w:eastAsia="宋体"/>
                <w:bCs/>
                <w:color w:val="000000"/>
                <w:kern w:val="0"/>
                <w:szCs w:val="21"/>
              </w:rPr>
            </w:pPr>
            <w:r>
              <w:rPr>
                <w:rFonts w:hint="eastAsia" w:ascii="Times New Roman" w:hAnsi="Times New Roman" w:eastAsia="宋体"/>
                <w:bCs/>
                <w:color w:val="000000"/>
                <w:kern w:val="0"/>
                <w:szCs w:val="21"/>
              </w:rPr>
              <w:t>桶装，</w:t>
            </w:r>
            <w:r>
              <w:rPr>
                <w:rFonts w:ascii="Times New Roman" w:hAnsi="Times New Roman" w:eastAsia="宋体"/>
                <w:bCs/>
                <w:color w:val="000000"/>
                <w:kern w:val="0"/>
                <w:szCs w:val="21"/>
              </w:rPr>
              <w:t>20kg/桶</w:t>
            </w:r>
          </w:p>
        </w:tc>
      </w:tr>
      <w:tr w14:paraId="3BDA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669AFEC5">
            <w:pPr>
              <w:jc w:val="center"/>
              <w:rPr>
                <w:rFonts w:ascii="Times New Roman" w:hAnsi="Times New Roman" w:eastAsia="宋体"/>
                <w:bCs/>
                <w:szCs w:val="21"/>
              </w:rPr>
            </w:pPr>
            <w:r>
              <w:rPr>
                <w:rFonts w:hint="eastAsia" w:ascii="Times New Roman" w:hAnsi="Times New Roman" w:eastAsia="宋体"/>
                <w:bCs/>
                <w:szCs w:val="21"/>
              </w:rPr>
              <w:t>5</w:t>
            </w:r>
          </w:p>
        </w:tc>
        <w:tc>
          <w:tcPr>
            <w:tcW w:w="707" w:type="pct"/>
            <w:vMerge w:val="continue"/>
            <w:tcBorders>
              <w:tl2br w:val="nil"/>
              <w:tr2bl w:val="nil"/>
            </w:tcBorders>
            <w:vAlign w:val="center"/>
          </w:tcPr>
          <w:p w14:paraId="2CC0F53A">
            <w:pPr>
              <w:widowControl/>
              <w:jc w:val="center"/>
              <w:rPr>
                <w:rFonts w:ascii="Times New Roman" w:hAnsi="Times New Roman" w:eastAsia="宋体"/>
                <w:bCs/>
                <w:color w:val="000000"/>
                <w:kern w:val="0"/>
                <w:szCs w:val="21"/>
              </w:rPr>
            </w:pPr>
          </w:p>
        </w:tc>
        <w:tc>
          <w:tcPr>
            <w:tcW w:w="1083" w:type="pct"/>
            <w:gridSpan w:val="2"/>
            <w:tcBorders>
              <w:tl2br w:val="nil"/>
              <w:tr2bl w:val="nil"/>
            </w:tcBorders>
            <w:vAlign w:val="center"/>
          </w:tcPr>
          <w:p w14:paraId="4B2E84EF">
            <w:pPr>
              <w:widowControl/>
              <w:jc w:val="center"/>
              <w:rPr>
                <w:rFonts w:ascii="Times New Roman" w:hAnsi="Times New Roman" w:eastAsia="宋体"/>
                <w:bCs/>
                <w:kern w:val="0"/>
                <w:szCs w:val="21"/>
              </w:rPr>
            </w:pPr>
            <w:r>
              <w:rPr>
                <w:rFonts w:ascii="Times New Roman" w:hAnsi="Times New Roman" w:eastAsia="宋体"/>
                <w:bCs/>
                <w:color w:val="000000"/>
                <w:kern w:val="0"/>
                <w:szCs w:val="21"/>
              </w:rPr>
              <w:t>水性面漆</w:t>
            </w:r>
          </w:p>
        </w:tc>
        <w:tc>
          <w:tcPr>
            <w:tcW w:w="642" w:type="pct"/>
            <w:tcBorders>
              <w:tl2br w:val="nil"/>
              <w:tr2bl w:val="nil"/>
            </w:tcBorders>
            <w:vAlign w:val="center"/>
          </w:tcPr>
          <w:p w14:paraId="09CE3922">
            <w:pPr>
              <w:widowControl/>
              <w:jc w:val="center"/>
              <w:rPr>
                <w:rFonts w:ascii="Times New Roman" w:hAnsi="Times New Roman" w:eastAsia="宋体"/>
                <w:bCs/>
                <w:kern w:val="0"/>
                <w:szCs w:val="21"/>
              </w:rPr>
            </w:pPr>
            <w:r>
              <w:rPr>
                <w:rFonts w:hint="eastAsia" w:ascii="Times New Roman" w:hAnsi="Times New Roman" w:eastAsia="宋体"/>
                <w:bCs/>
                <w:color w:val="000000"/>
                <w:kern w:val="0"/>
                <w:szCs w:val="21"/>
              </w:rPr>
              <w:t>8.5</w:t>
            </w:r>
            <w:r>
              <w:rPr>
                <w:rFonts w:ascii="Times New Roman" w:hAnsi="Times New Roman" w:eastAsia="宋体"/>
                <w:bCs/>
                <w:color w:val="000000"/>
                <w:kern w:val="0"/>
                <w:szCs w:val="21"/>
              </w:rPr>
              <w:t>t</w:t>
            </w:r>
          </w:p>
        </w:tc>
        <w:tc>
          <w:tcPr>
            <w:tcW w:w="845" w:type="pct"/>
            <w:tcBorders>
              <w:tl2br w:val="nil"/>
              <w:tr2bl w:val="nil"/>
            </w:tcBorders>
            <w:vAlign w:val="center"/>
          </w:tcPr>
          <w:p w14:paraId="617D8FEA">
            <w:pPr>
              <w:widowControl/>
              <w:jc w:val="center"/>
              <w:rPr>
                <w:rFonts w:ascii="Times New Roman" w:hAnsi="Times New Roman" w:eastAsia="宋体"/>
                <w:bCs/>
                <w:kern w:val="0"/>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6FF3D153">
            <w:pPr>
              <w:widowControl/>
              <w:jc w:val="center"/>
              <w:rPr>
                <w:rFonts w:ascii="Times New Roman" w:hAnsi="Times New Roman" w:eastAsia="宋体"/>
                <w:bCs/>
                <w:kern w:val="0"/>
                <w:szCs w:val="21"/>
              </w:rPr>
            </w:pPr>
            <w:r>
              <w:rPr>
                <w:rFonts w:hint="eastAsia" w:ascii="Times New Roman" w:hAnsi="Times New Roman" w:eastAsia="宋体"/>
                <w:bCs/>
                <w:kern w:val="0"/>
                <w:szCs w:val="21"/>
              </w:rPr>
              <w:t xml:space="preserve">0.4 </w:t>
            </w:r>
            <w:r>
              <w:rPr>
                <w:rFonts w:ascii="Times New Roman" w:hAnsi="Times New Roman" w:eastAsia="宋体"/>
                <w:bCs/>
                <w:kern w:val="0"/>
                <w:szCs w:val="21"/>
              </w:rPr>
              <w:t>t</w:t>
            </w:r>
          </w:p>
        </w:tc>
        <w:tc>
          <w:tcPr>
            <w:tcW w:w="945" w:type="pct"/>
            <w:tcBorders>
              <w:tl2br w:val="nil"/>
              <w:tr2bl w:val="nil"/>
            </w:tcBorders>
            <w:vAlign w:val="center"/>
          </w:tcPr>
          <w:p w14:paraId="65FB090E">
            <w:pPr>
              <w:widowControl/>
              <w:jc w:val="center"/>
              <w:rPr>
                <w:rFonts w:ascii="Times New Roman" w:hAnsi="Times New Roman" w:eastAsia="宋体"/>
                <w:bCs/>
                <w:color w:val="000000"/>
                <w:kern w:val="0"/>
                <w:szCs w:val="21"/>
              </w:rPr>
            </w:pPr>
            <w:r>
              <w:rPr>
                <w:rFonts w:hint="eastAsia" w:ascii="Times New Roman" w:hAnsi="Times New Roman" w:eastAsia="宋体"/>
                <w:bCs/>
                <w:color w:val="000000"/>
                <w:kern w:val="0"/>
                <w:szCs w:val="21"/>
              </w:rPr>
              <w:t>桶装，</w:t>
            </w:r>
            <w:r>
              <w:rPr>
                <w:rFonts w:ascii="Times New Roman" w:hAnsi="Times New Roman" w:eastAsia="宋体"/>
                <w:bCs/>
                <w:color w:val="000000"/>
                <w:kern w:val="0"/>
                <w:szCs w:val="21"/>
              </w:rPr>
              <w:t>20kg/桶</w:t>
            </w:r>
          </w:p>
        </w:tc>
      </w:tr>
      <w:tr w14:paraId="1208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512091D2">
            <w:pPr>
              <w:jc w:val="center"/>
              <w:rPr>
                <w:rFonts w:ascii="Times New Roman" w:hAnsi="Times New Roman" w:eastAsia="宋体"/>
                <w:bCs/>
                <w:szCs w:val="21"/>
              </w:rPr>
            </w:pPr>
            <w:r>
              <w:rPr>
                <w:rFonts w:hint="eastAsia" w:ascii="Times New Roman" w:hAnsi="Times New Roman" w:eastAsia="宋体"/>
                <w:bCs/>
                <w:szCs w:val="21"/>
              </w:rPr>
              <w:t>6</w:t>
            </w:r>
          </w:p>
        </w:tc>
        <w:tc>
          <w:tcPr>
            <w:tcW w:w="707" w:type="pct"/>
            <w:vMerge w:val="continue"/>
            <w:tcBorders>
              <w:tl2br w:val="nil"/>
              <w:tr2bl w:val="nil"/>
            </w:tcBorders>
            <w:vAlign w:val="center"/>
          </w:tcPr>
          <w:p w14:paraId="65CFA07D">
            <w:pPr>
              <w:widowControl/>
              <w:jc w:val="center"/>
              <w:rPr>
                <w:rFonts w:ascii="Times New Roman" w:hAnsi="Times New Roman" w:eastAsia="宋体"/>
                <w:bCs/>
                <w:color w:val="000000"/>
                <w:kern w:val="0"/>
                <w:szCs w:val="21"/>
              </w:rPr>
            </w:pPr>
          </w:p>
        </w:tc>
        <w:tc>
          <w:tcPr>
            <w:tcW w:w="1083" w:type="pct"/>
            <w:gridSpan w:val="2"/>
            <w:tcBorders>
              <w:tl2br w:val="nil"/>
              <w:tr2bl w:val="nil"/>
            </w:tcBorders>
            <w:vAlign w:val="center"/>
          </w:tcPr>
          <w:p w14:paraId="1874CF75">
            <w:pPr>
              <w:widowControl/>
              <w:jc w:val="center"/>
              <w:rPr>
                <w:rFonts w:ascii="Times New Roman" w:hAnsi="Times New Roman" w:eastAsia="宋体"/>
                <w:bCs/>
                <w:kern w:val="0"/>
                <w:szCs w:val="21"/>
              </w:rPr>
            </w:pPr>
            <w:r>
              <w:rPr>
                <w:rFonts w:ascii="Times New Roman" w:hAnsi="Times New Roman" w:eastAsia="宋体"/>
                <w:bCs/>
                <w:color w:val="000000"/>
                <w:kern w:val="0"/>
                <w:szCs w:val="21"/>
              </w:rPr>
              <w:t>白乳胶</w:t>
            </w:r>
          </w:p>
        </w:tc>
        <w:tc>
          <w:tcPr>
            <w:tcW w:w="642" w:type="pct"/>
            <w:tcBorders>
              <w:tl2br w:val="nil"/>
              <w:tr2bl w:val="nil"/>
            </w:tcBorders>
            <w:vAlign w:val="center"/>
          </w:tcPr>
          <w:p w14:paraId="3C501631">
            <w:pPr>
              <w:widowControl/>
              <w:jc w:val="center"/>
              <w:rPr>
                <w:rFonts w:ascii="Times New Roman" w:hAnsi="Times New Roman" w:eastAsia="宋体"/>
                <w:bCs/>
                <w:kern w:val="0"/>
                <w:szCs w:val="21"/>
              </w:rPr>
            </w:pPr>
            <w:r>
              <w:rPr>
                <w:rFonts w:hint="eastAsia" w:ascii="Times New Roman" w:hAnsi="Times New Roman" w:eastAsia="宋体"/>
                <w:bCs/>
                <w:color w:val="000000"/>
                <w:kern w:val="0"/>
                <w:szCs w:val="21"/>
              </w:rPr>
              <w:t>2.0</w:t>
            </w:r>
            <w:r>
              <w:rPr>
                <w:rFonts w:ascii="Times New Roman" w:hAnsi="Times New Roman" w:eastAsia="宋体"/>
                <w:bCs/>
                <w:color w:val="000000"/>
                <w:kern w:val="0"/>
                <w:szCs w:val="21"/>
              </w:rPr>
              <w:t>t</w:t>
            </w:r>
          </w:p>
        </w:tc>
        <w:tc>
          <w:tcPr>
            <w:tcW w:w="845" w:type="pct"/>
            <w:tcBorders>
              <w:tl2br w:val="nil"/>
              <w:tr2bl w:val="nil"/>
            </w:tcBorders>
            <w:vAlign w:val="center"/>
          </w:tcPr>
          <w:p w14:paraId="1AC7EFBE">
            <w:pPr>
              <w:widowControl/>
              <w:jc w:val="center"/>
              <w:rPr>
                <w:rFonts w:ascii="Times New Roman" w:hAnsi="Times New Roman" w:eastAsia="宋体"/>
                <w:kern w:val="0"/>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7F5B0008">
            <w:pPr>
              <w:widowControl/>
              <w:jc w:val="center"/>
              <w:rPr>
                <w:rFonts w:ascii="Times New Roman" w:hAnsi="Times New Roman" w:eastAsia="宋体"/>
                <w:bCs/>
                <w:kern w:val="0"/>
                <w:szCs w:val="21"/>
              </w:rPr>
            </w:pPr>
            <w:r>
              <w:rPr>
                <w:rFonts w:hint="eastAsia" w:ascii="Times New Roman" w:hAnsi="Times New Roman" w:eastAsia="宋体"/>
                <w:bCs/>
                <w:kern w:val="0"/>
                <w:szCs w:val="21"/>
              </w:rPr>
              <w:t xml:space="preserve">0.1 </w:t>
            </w:r>
            <w:r>
              <w:rPr>
                <w:rFonts w:ascii="Times New Roman" w:hAnsi="Times New Roman" w:eastAsia="宋体"/>
                <w:bCs/>
                <w:kern w:val="0"/>
                <w:szCs w:val="21"/>
              </w:rPr>
              <w:t>t</w:t>
            </w:r>
          </w:p>
        </w:tc>
        <w:tc>
          <w:tcPr>
            <w:tcW w:w="945" w:type="pct"/>
            <w:tcBorders>
              <w:tl2br w:val="nil"/>
              <w:tr2bl w:val="nil"/>
            </w:tcBorders>
            <w:vAlign w:val="center"/>
          </w:tcPr>
          <w:p w14:paraId="11CE4588">
            <w:pPr>
              <w:widowControl/>
              <w:jc w:val="center"/>
              <w:rPr>
                <w:rFonts w:ascii="Times New Roman" w:hAnsi="Times New Roman" w:eastAsia="宋体"/>
                <w:bCs/>
                <w:color w:val="000000"/>
                <w:kern w:val="0"/>
                <w:szCs w:val="21"/>
              </w:rPr>
            </w:pPr>
            <w:r>
              <w:rPr>
                <w:rFonts w:hint="eastAsia" w:ascii="Times New Roman" w:hAnsi="Times New Roman" w:eastAsia="宋体"/>
                <w:bCs/>
                <w:color w:val="000000"/>
                <w:kern w:val="0"/>
                <w:szCs w:val="21"/>
              </w:rPr>
              <w:t>桶装，1</w:t>
            </w:r>
            <w:r>
              <w:rPr>
                <w:rFonts w:ascii="Times New Roman" w:hAnsi="Times New Roman" w:eastAsia="宋体"/>
                <w:bCs/>
                <w:color w:val="000000"/>
                <w:kern w:val="0"/>
                <w:szCs w:val="21"/>
              </w:rPr>
              <w:t>0kg/桶</w:t>
            </w:r>
          </w:p>
        </w:tc>
      </w:tr>
      <w:tr w14:paraId="020F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78DC229C">
            <w:pPr>
              <w:jc w:val="center"/>
              <w:rPr>
                <w:rFonts w:ascii="Times New Roman" w:hAnsi="Times New Roman" w:eastAsia="宋体"/>
                <w:bCs/>
                <w:szCs w:val="21"/>
              </w:rPr>
            </w:pPr>
            <w:r>
              <w:rPr>
                <w:rFonts w:hint="eastAsia" w:ascii="Times New Roman" w:hAnsi="Times New Roman" w:eastAsia="宋体"/>
                <w:bCs/>
                <w:szCs w:val="21"/>
              </w:rPr>
              <w:t>7</w:t>
            </w:r>
          </w:p>
        </w:tc>
        <w:tc>
          <w:tcPr>
            <w:tcW w:w="707" w:type="pct"/>
            <w:tcBorders>
              <w:tl2br w:val="nil"/>
              <w:tr2bl w:val="nil"/>
            </w:tcBorders>
            <w:vAlign w:val="center"/>
          </w:tcPr>
          <w:p w14:paraId="115F0F76">
            <w:pPr>
              <w:widowControl/>
              <w:jc w:val="center"/>
              <w:rPr>
                <w:rFonts w:hint="eastAsia" w:ascii="Times New Roman" w:hAnsi="Times New Roman" w:eastAsia="宋体"/>
                <w:bCs/>
                <w:kern w:val="0"/>
                <w:szCs w:val="21"/>
              </w:rPr>
            </w:pPr>
            <w:r>
              <w:rPr>
                <w:rFonts w:hint="eastAsia" w:ascii="Times New Roman" w:hAnsi="Times New Roman" w:eastAsia="宋体"/>
                <w:b/>
                <w:bCs w:val="0"/>
                <w:color w:val="auto"/>
                <w:kern w:val="0"/>
                <w:szCs w:val="21"/>
                <w:u w:val="single"/>
                <w:lang w:val="en-US" w:eastAsia="zh-CN"/>
              </w:rPr>
              <w:t>全屋定制</w:t>
            </w:r>
          </w:p>
        </w:tc>
        <w:tc>
          <w:tcPr>
            <w:tcW w:w="1083" w:type="pct"/>
            <w:gridSpan w:val="2"/>
            <w:tcBorders>
              <w:tl2br w:val="nil"/>
              <w:tr2bl w:val="nil"/>
            </w:tcBorders>
            <w:vAlign w:val="center"/>
          </w:tcPr>
          <w:p w14:paraId="69811F81">
            <w:pPr>
              <w:widowControl/>
              <w:jc w:val="center"/>
              <w:rPr>
                <w:rFonts w:ascii="Times New Roman" w:hAnsi="Times New Roman" w:eastAsia="宋体"/>
                <w:bCs/>
                <w:kern w:val="0"/>
                <w:szCs w:val="21"/>
              </w:rPr>
            </w:pPr>
            <w:r>
              <w:rPr>
                <w:rFonts w:hint="eastAsia" w:ascii="Times New Roman" w:hAnsi="Times New Roman" w:eastAsia="宋体"/>
                <w:bCs/>
                <w:kern w:val="0"/>
                <w:szCs w:val="21"/>
              </w:rPr>
              <w:t>热熔胶</w:t>
            </w:r>
          </w:p>
        </w:tc>
        <w:tc>
          <w:tcPr>
            <w:tcW w:w="642" w:type="pct"/>
            <w:tcBorders>
              <w:tl2br w:val="nil"/>
              <w:tr2bl w:val="nil"/>
            </w:tcBorders>
            <w:vAlign w:val="center"/>
          </w:tcPr>
          <w:p w14:paraId="55086049">
            <w:pPr>
              <w:widowControl/>
              <w:jc w:val="center"/>
              <w:rPr>
                <w:rFonts w:ascii="Times New Roman" w:hAnsi="Times New Roman" w:eastAsia="宋体"/>
                <w:bCs/>
                <w:kern w:val="0"/>
                <w:szCs w:val="21"/>
              </w:rPr>
            </w:pPr>
            <w:r>
              <w:rPr>
                <w:rFonts w:ascii="Times New Roman" w:hAnsi="Times New Roman" w:eastAsia="宋体"/>
                <w:bCs/>
                <w:color w:val="000000"/>
                <w:kern w:val="0"/>
                <w:szCs w:val="21"/>
              </w:rPr>
              <w:t>1.</w:t>
            </w:r>
            <w:r>
              <w:rPr>
                <w:rFonts w:hint="eastAsia" w:ascii="Times New Roman" w:hAnsi="Times New Roman" w:eastAsia="宋体"/>
                <w:bCs/>
                <w:color w:val="000000"/>
                <w:kern w:val="0"/>
                <w:szCs w:val="21"/>
              </w:rPr>
              <w:t>5</w:t>
            </w:r>
            <w:r>
              <w:rPr>
                <w:rFonts w:ascii="Times New Roman" w:hAnsi="Times New Roman" w:eastAsia="宋体"/>
                <w:bCs/>
                <w:color w:val="000000"/>
                <w:kern w:val="0"/>
                <w:szCs w:val="21"/>
              </w:rPr>
              <w:t>t</w:t>
            </w:r>
          </w:p>
        </w:tc>
        <w:tc>
          <w:tcPr>
            <w:tcW w:w="845" w:type="pct"/>
            <w:tcBorders>
              <w:tl2br w:val="nil"/>
              <w:tr2bl w:val="nil"/>
            </w:tcBorders>
            <w:vAlign w:val="center"/>
          </w:tcPr>
          <w:p w14:paraId="28B0CE47">
            <w:pPr>
              <w:widowControl/>
              <w:jc w:val="center"/>
              <w:rPr>
                <w:rFonts w:ascii="Times New Roman" w:hAnsi="Times New Roman" w:eastAsia="宋体"/>
                <w:kern w:val="0"/>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024DC192">
            <w:pPr>
              <w:widowControl/>
              <w:jc w:val="center"/>
              <w:rPr>
                <w:rFonts w:ascii="Times New Roman" w:hAnsi="Times New Roman" w:eastAsia="宋体"/>
                <w:bCs/>
                <w:kern w:val="0"/>
                <w:szCs w:val="21"/>
              </w:rPr>
            </w:pPr>
            <w:r>
              <w:rPr>
                <w:rFonts w:hint="eastAsia" w:ascii="Times New Roman" w:hAnsi="Times New Roman" w:eastAsia="宋体"/>
                <w:bCs/>
                <w:kern w:val="0"/>
                <w:szCs w:val="21"/>
              </w:rPr>
              <w:t xml:space="preserve">0.1 </w:t>
            </w:r>
            <w:r>
              <w:rPr>
                <w:rFonts w:ascii="Times New Roman" w:hAnsi="Times New Roman" w:eastAsia="宋体"/>
                <w:bCs/>
                <w:kern w:val="0"/>
                <w:szCs w:val="21"/>
              </w:rPr>
              <w:t>t</w:t>
            </w:r>
          </w:p>
        </w:tc>
        <w:tc>
          <w:tcPr>
            <w:tcW w:w="945" w:type="pct"/>
            <w:tcBorders>
              <w:tl2br w:val="nil"/>
              <w:tr2bl w:val="nil"/>
            </w:tcBorders>
            <w:vAlign w:val="center"/>
          </w:tcPr>
          <w:p w14:paraId="4FEDCF25">
            <w:pPr>
              <w:widowControl/>
              <w:jc w:val="center"/>
              <w:rPr>
                <w:rFonts w:ascii="Times New Roman" w:hAnsi="Times New Roman" w:eastAsia="宋体"/>
                <w:bCs/>
                <w:color w:val="000000"/>
                <w:kern w:val="0"/>
                <w:szCs w:val="21"/>
              </w:rPr>
            </w:pPr>
            <w:r>
              <w:rPr>
                <w:rFonts w:hint="eastAsia" w:ascii="Times New Roman" w:hAnsi="Times New Roman" w:eastAsia="宋体"/>
                <w:bCs/>
                <w:color w:val="000000"/>
                <w:kern w:val="0"/>
                <w:szCs w:val="21"/>
              </w:rPr>
              <w:t>桶装，1</w:t>
            </w:r>
            <w:r>
              <w:rPr>
                <w:rFonts w:ascii="Times New Roman" w:hAnsi="Times New Roman" w:eastAsia="宋体"/>
                <w:bCs/>
                <w:color w:val="000000"/>
                <w:kern w:val="0"/>
                <w:szCs w:val="21"/>
              </w:rPr>
              <w:t>0kg/桶</w:t>
            </w:r>
          </w:p>
        </w:tc>
      </w:tr>
      <w:tr w14:paraId="6AA5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34101670">
            <w:pPr>
              <w:jc w:val="center"/>
              <w:rPr>
                <w:rFonts w:ascii="Times New Roman" w:hAnsi="Times New Roman" w:eastAsia="宋体"/>
                <w:bCs/>
                <w:szCs w:val="21"/>
              </w:rPr>
            </w:pPr>
            <w:r>
              <w:rPr>
                <w:rFonts w:hint="eastAsia" w:ascii="Times New Roman" w:hAnsi="Times New Roman" w:eastAsia="宋体"/>
                <w:bCs/>
                <w:szCs w:val="21"/>
              </w:rPr>
              <w:t>8</w:t>
            </w:r>
          </w:p>
        </w:tc>
        <w:tc>
          <w:tcPr>
            <w:tcW w:w="707" w:type="pct"/>
            <w:tcBorders>
              <w:tl2br w:val="nil"/>
              <w:tr2bl w:val="nil"/>
            </w:tcBorders>
            <w:vAlign w:val="center"/>
          </w:tcPr>
          <w:p w14:paraId="521CA556">
            <w:pPr>
              <w:widowControl/>
              <w:jc w:val="center"/>
              <w:rPr>
                <w:rFonts w:hint="eastAsia" w:ascii="Times New Roman" w:hAnsi="Times New Roman" w:eastAsia="宋体"/>
                <w:bCs/>
                <w:color w:val="000000"/>
                <w:kern w:val="0"/>
                <w:szCs w:val="21"/>
                <w:lang w:val="en-US" w:eastAsia="zh-CN"/>
              </w:rPr>
            </w:pPr>
            <w:r>
              <w:rPr>
                <w:rFonts w:hint="eastAsia" w:ascii="Times New Roman" w:hAnsi="Times New Roman" w:eastAsia="宋体"/>
                <w:bCs/>
                <w:color w:val="000000"/>
                <w:kern w:val="0"/>
                <w:szCs w:val="21"/>
                <w:lang w:val="en-US" w:eastAsia="zh-CN"/>
              </w:rPr>
              <w:t>/</w:t>
            </w:r>
          </w:p>
        </w:tc>
        <w:tc>
          <w:tcPr>
            <w:tcW w:w="1083" w:type="pct"/>
            <w:gridSpan w:val="2"/>
            <w:tcBorders>
              <w:tl2br w:val="nil"/>
              <w:tr2bl w:val="nil"/>
            </w:tcBorders>
            <w:vAlign w:val="center"/>
          </w:tcPr>
          <w:p w14:paraId="76941E07">
            <w:pPr>
              <w:widowControl/>
              <w:jc w:val="center"/>
              <w:rPr>
                <w:rFonts w:ascii="Times New Roman" w:hAnsi="Times New Roman" w:eastAsia="宋体"/>
                <w:bCs/>
                <w:kern w:val="0"/>
                <w:szCs w:val="21"/>
              </w:rPr>
            </w:pPr>
            <w:r>
              <w:rPr>
                <w:rFonts w:ascii="Times New Roman" w:hAnsi="Times New Roman" w:eastAsia="宋体"/>
                <w:bCs/>
                <w:color w:val="000000"/>
                <w:kern w:val="0"/>
                <w:szCs w:val="21"/>
              </w:rPr>
              <w:t>腻子</w:t>
            </w:r>
          </w:p>
        </w:tc>
        <w:tc>
          <w:tcPr>
            <w:tcW w:w="642" w:type="pct"/>
            <w:tcBorders>
              <w:tl2br w:val="nil"/>
              <w:tr2bl w:val="nil"/>
            </w:tcBorders>
            <w:vAlign w:val="center"/>
          </w:tcPr>
          <w:p w14:paraId="60EF14D6">
            <w:pPr>
              <w:widowControl/>
              <w:jc w:val="center"/>
              <w:rPr>
                <w:rFonts w:ascii="Times New Roman" w:hAnsi="Times New Roman" w:eastAsia="宋体"/>
                <w:bCs/>
                <w:kern w:val="0"/>
                <w:szCs w:val="21"/>
              </w:rPr>
            </w:pPr>
            <w:r>
              <w:rPr>
                <w:rFonts w:hint="eastAsia" w:ascii="Times New Roman" w:hAnsi="Times New Roman" w:eastAsia="宋体"/>
                <w:bCs/>
                <w:color w:val="000000"/>
                <w:kern w:val="0"/>
                <w:szCs w:val="21"/>
              </w:rPr>
              <w:t>3.0</w:t>
            </w:r>
            <w:r>
              <w:rPr>
                <w:rFonts w:ascii="Times New Roman" w:hAnsi="Times New Roman" w:eastAsia="宋体"/>
                <w:bCs/>
                <w:color w:val="000000"/>
                <w:kern w:val="0"/>
                <w:szCs w:val="21"/>
              </w:rPr>
              <w:t>t</w:t>
            </w:r>
          </w:p>
        </w:tc>
        <w:tc>
          <w:tcPr>
            <w:tcW w:w="845" w:type="pct"/>
            <w:tcBorders>
              <w:tl2br w:val="nil"/>
              <w:tr2bl w:val="nil"/>
            </w:tcBorders>
            <w:vAlign w:val="center"/>
          </w:tcPr>
          <w:p w14:paraId="5CFE797A">
            <w:pPr>
              <w:widowControl/>
              <w:jc w:val="center"/>
              <w:rPr>
                <w:rFonts w:ascii="Times New Roman" w:hAnsi="Times New Roman" w:eastAsia="宋体"/>
                <w:kern w:val="0"/>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6ECCE017">
            <w:pPr>
              <w:widowControl/>
              <w:jc w:val="center"/>
              <w:rPr>
                <w:rFonts w:ascii="Times New Roman" w:hAnsi="Times New Roman" w:eastAsia="宋体"/>
                <w:bCs/>
                <w:kern w:val="0"/>
                <w:szCs w:val="21"/>
              </w:rPr>
            </w:pPr>
            <w:r>
              <w:rPr>
                <w:rFonts w:hint="eastAsia" w:ascii="Times New Roman" w:hAnsi="Times New Roman" w:eastAsia="宋体"/>
                <w:bCs/>
                <w:kern w:val="0"/>
                <w:szCs w:val="21"/>
              </w:rPr>
              <w:t xml:space="preserve">0.2 </w:t>
            </w:r>
            <w:r>
              <w:rPr>
                <w:rFonts w:ascii="Times New Roman" w:hAnsi="Times New Roman" w:eastAsia="宋体"/>
                <w:bCs/>
                <w:kern w:val="0"/>
                <w:szCs w:val="21"/>
              </w:rPr>
              <w:t>t</w:t>
            </w:r>
          </w:p>
        </w:tc>
        <w:tc>
          <w:tcPr>
            <w:tcW w:w="945" w:type="pct"/>
            <w:tcBorders>
              <w:tl2br w:val="nil"/>
              <w:tr2bl w:val="nil"/>
            </w:tcBorders>
            <w:vAlign w:val="center"/>
          </w:tcPr>
          <w:p w14:paraId="656AA956">
            <w:pPr>
              <w:widowControl/>
              <w:jc w:val="center"/>
              <w:rPr>
                <w:rFonts w:ascii="Times New Roman" w:hAnsi="Times New Roman" w:eastAsia="宋体"/>
                <w:bCs/>
                <w:color w:val="000000"/>
                <w:kern w:val="0"/>
                <w:szCs w:val="21"/>
              </w:rPr>
            </w:pPr>
            <w:r>
              <w:rPr>
                <w:rFonts w:hint="eastAsia" w:ascii="Times New Roman" w:hAnsi="Times New Roman" w:eastAsia="宋体"/>
                <w:bCs/>
                <w:color w:val="000000"/>
                <w:kern w:val="0"/>
                <w:szCs w:val="21"/>
              </w:rPr>
              <w:t>袋装，50</w:t>
            </w:r>
            <w:r>
              <w:rPr>
                <w:rFonts w:ascii="Times New Roman" w:hAnsi="Times New Roman" w:eastAsia="宋体"/>
                <w:bCs/>
                <w:color w:val="000000"/>
                <w:kern w:val="0"/>
                <w:szCs w:val="21"/>
              </w:rPr>
              <w:t>kg/</w:t>
            </w:r>
            <w:r>
              <w:rPr>
                <w:rFonts w:hint="eastAsia" w:ascii="Times New Roman" w:hAnsi="Times New Roman" w:eastAsia="宋体"/>
                <w:bCs/>
                <w:color w:val="000000"/>
                <w:kern w:val="0"/>
                <w:szCs w:val="21"/>
              </w:rPr>
              <w:t>袋</w:t>
            </w:r>
          </w:p>
        </w:tc>
      </w:tr>
      <w:tr w14:paraId="5157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1D3096F3">
            <w:pPr>
              <w:jc w:val="center"/>
              <w:rPr>
                <w:rFonts w:ascii="Times New Roman" w:hAnsi="Times New Roman" w:eastAsia="宋体"/>
                <w:bCs/>
                <w:szCs w:val="21"/>
              </w:rPr>
            </w:pPr>
            <w:r>
              <w:rPr>
                <w:rFonts w:hint="eastAsia" w:ascii="Times New Roman" w:hAnsi="Times New Roman" w:eastAsia="宋体"/>
                <w:bCs/>
                <w:szCs w:val="21"/>
              </w:rPr>
              <w:t>9</w:t>
            </w:r>
          </w:p>
        </w:tc>
        <w:tc>
          <w:tcPr>
            <w:tcW w:w="707" w:type="pct"/>
            <w:tcBorders>
              <w:tl2br w:val="nil"/>
              <w:tr2bl w:val="nil"/>
            </w:tcBorders>
            <w:vAlign w:val="center"/>
          </w:tcPr>
          <w:p w14:paraId="4CF073DB">
            <w:pPr>
              <w:widowControl/>
              <w:jc w:val="center"/>
              <w:rPr>
                <w:rFonts w:hint="eastAsia" w:ascii="Times New Roman" w:hAnsi="Times New Roman" w:eastAsia="宋体"/>
                <w:bCs/>
                <w:color w:val="000000"/>
                <w:kern w:val="0"/>
                <w:szCs w:val="21"/>
                <w:lang w:val="en-US" w:eastAsia="zh-CN"/>
              </w:rPr>
            </w:pPr>
            <w:r>
              <w:rPr>
                <w:rFonts w:hint="eastAsia" w:ascii="Times New Roman" w:hAnsi="Times New Roman" w:eastAsia="宋体"/>
                <w:b/>
                <w:bCs w:val="0"/>
                <w:color w:val="000000"/>
                <w:kern w:val="0"/>
                <w:szCs w:val="21"/>
                <w:u w:val="single"/>
                <w:lang w:val="en-US" w:eastAsia="zh-CN"/>
              </w:rPr>
              <w:t>实木复合门</w:t>
            </w:r>
          </w:p>
        </w:tc>
        <w:tc>
          <w:tcPr>
            <w:tcW w:w="1083" w:type="pct"/>
            <w:gridSpan w:val="2"/>
            <w:tcBorders>
              <w:tl2br w:val="nil"/>
              <w:tr2bl w:val="nil"/>
            </w:tcBorders>
            <w:vAlign w:val="center"/>
          </w:tcPr>
          <w:p w14:paraId="4447CA8A">
            <w:pPr>
              <w:widowControl/>
              <w:jc w:val="center"/>
              <w:rPr>
                <w:rFonts w:ascii="Times New Roman" w:hAnsi="Times New Roman" w:eastAsia="宋体"/>
                <w:bCs/>
                <w:kern w:val="0"/>
                <w:szCs w:val="21"/>
              </w:rPr>
            </w:pPr>
            <w:r>
              <w:rPr>
                <w:rFonts w:ascii="Times New Roman" w:hAnsi="Times New Roman" w:eastAsia="宋体"/>
                <w:bCs/>
                <w:color w:val="000000"/>
                <w:kern w:val="0"/>
                <w:szCs w:val="21"/>
              </w:rPr>
              <w:t>着色剂（格丽斯、擦色用剂）</w:t>
            </w:r>
          </w:p>
        </w:tc>
        <w:tc>
          <w:tcPr>
            <w:tcW w:w="642" w:type="pct"/>
            <w:tcBorders>
              <w:tl2br w:val="nil"/>
              <w:tr2bl w:val="nil"/>
            </w:tcBorders>
            <w:vAlign w:val="center"/>
          </w:tcPr>
          <w:p w14:paraId="7237A7FD">
            <w:pPr>
              <w:widowControl/>
              <w:jc w:val="center"/>
              <w:rPr>
                <w:rFonts w:ascii="Times New Roman" w:hAnsi="Times New Roman" w:eastAsia="宋体"/>
                <w:kern w:val="0"/>
                <w:szCs w:val="21"/>
              </w:rPr>
            </w:pPr>
            <w:r>
              <w:rPr>
                <w:rFonts w:hint="eastAsia" w:ascii="Times New Roman" w:hAnsi="Times New Roman" w:eastAsia="宋体"/>
                <w:bCs/>
                <w:color w:val="000000"/>
                <w:kern w:val="0"/>
                <w:szCs w:val="21"/>
              </w:rPr>
              <w:t>1.0</w:t>
            </w:r>
            <w:r>
              <w:rPr>
                <w:rFonts w:ascii="Times New Roman" w:hAnsi="Times New Roman" w:eastAsia="宋体"/>
                <w:bCs/>
                <w:color w:val="000000"/>
                <w:kern w:val="0"/>
                <w:szCs w:val="21"/>
              </w:rPr>
              <w:t>t</w:t>
            </w:r>
          </w:p>
        </w:tc>
        <w:tc>
          <w:tcPr>
            <w:tcW w:w="845" w:type="pct"/>
            <w:tcBorders>
              <w:tl2br w:val="nil"/>
              <w:tr2bl w:val="nil"/>
            </w:tcBorders>
            <w:vAlign w:val="center"/>
          </w:tcPr>
          <w:p w14:paraId="37C85334">
            <w:pPr>
              <w:widowControl/>
              <w:jc w:val="center"/>
              <w:rPr>
                <w:rFonts w:ascii="Times New Roman" w:hAnsi="Times New Roman" w:eastAsia="宋体"/>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51DB6D27">
            <w:pPr>
              <w:widowControl/>
              <w:jc w:val="center"/>
              <w:rPr>
                <w:rFonts w:ascii="Times New Roman" w:hAnsi="Times New Roman" w:eastAsia="宋体"/>
                <w:bCs/>
                <w:kern w:val="0"/>
                <w:szCs w:val="21"/>
              </w:rPr>
            </w:pPr>
            <w:r>
              <w:rPr>
                <w:rFonts w:hint="eastAsia" w:ascii="Times New Roman" w:hAnsi="Times New Roman" w:eastAsia="宋体"/>
                <w:bCs/>
                <w:kern w:val="0"/>
                <w:szCs w:val="21"/>
              </w:rPr>
              <w:t xml:space="preserve">0.1 </w:t>
            </w:r>
            <w:r>
              <w:rPr>
                <w:rFonts w:ascii="Times New Roman" w:hAnsi="Times New Roman" w:eastAsia="宋体"/>
                <w:bCs/>
                <w:kern w:val="0"/>
                <w:szCs w:val="21"/>
              </w:rPr>
              <w:t>t</w:t>
            </w:r>
          </w:p>
        </w:tc>
        <w:tc>
          <w:tcPr>
            <w:tcW w:w="945" w:type="pct"/>
            <w:tcBorders>
              <w:tl2br w:val="nil"/>
              <w:tr2bl w:val="nil"/>
            </w:tcBorders>
            <w:vAlign w:val="center"/>
          </w:tcPr>
          <w:p w14:paraId="07A95195">
            <w:pPr>
              <w:widowControl/>
              <w:jc w:val="center"/>
              <w:rPr>
                <w:rFonts w:ascii="Times New Roman" w:hAnsi="Times New Roman" w:eastAsia="宋体"/>
                <w:bCs/>
                <w:color w:val="000000"/>
                <w:kern w:val="0"/>
                <w:szCs w:val="21"/>
              </w:rPr>
            </w:pPr>
            <w:r>
              <w:rPr>
                <w:rFonts w:hint="eastAsia" w:ascii="Times New Roman" w:hAnsi="Times New Roman" w:eastAsia="宋体"/>
                <w:bCs/>
                <w:color w:val="000000"/>
                <w:kern w:val="0"/>
                <w:szCs w:val="21"/>
              </w:rPr>
              <w:t>桶装，25</w:t>
            </w:r>
            <w:r>
              <w:rPr>
                <w:rFonts w:ascii="Times New Roman" w:hAnsi="Times New Roman" w:eastAsia="宋体"/>
                <w:bCs/>
                <w:color w:val="000000"/>
                <w:kern w:val="0"/>
                <w:szCs w:val="21"/>
              </w:rPr>
              <w:t>kg/桶</w:t>
            </w:r>
          </w:p>
        </w:tc>
      </w:tr>
      <w:tr w14:paraId="2CB8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1074818D">
            <w:pPr>
              <w:jc w:val="center"/>
              <w:rPr>
                <w:rFonts w:ascii="Times New Roman" w:hAnsi="Times New Roman" w:eastAsia="宋体"/>
                <w:bCs/>
                <w:szCs w:val="21"/>
              </w:rPr>
            </w:pPr>
            <w:r>
              <w:rPr>
                <w:rFonts w:ascii="Times New Roman" w:hAnsi="Times New Roman" w:eastAsia="宋体"/>
                <w:bCs/>
                <w:szCs w:val="21"/>
              </w:rPr>
              <w:t>1</w:t>
            </w:r>
            <w:r>
              <w:rPr>
                <w:rFonts w:hint="eastAsia" w:ascii="Times New Roman" w:hAnsi="Times New Roman" w:eastAsia="宋体"/>
                <w:bCs/>
                <w:szCs w:val="21"/>
              </w:rPr>
              <w:t>0</w:t>
            </w:r>
          </w:p>
        </w:tc>
        <w:tc>
          <w:tcPr>
            <w:tcW w:w="707" w:type="pct"/>
            <w:tcBorders>
              <w:tl2br w:val="nil"/>
              <w:tr2bl w:val="nil"/>
            </w:tcBorders>
            <w:vAlign w:val="center"/>
          </w:tcPr>
          <w:p w14:paraId="40D9F6FB">
            <w:pPr>
              <w:widowControl/>
              <w:jc w:val="center"/>
              <w:rPr>
                <w:rFonts w:hint="default" w:ascii="Times New Roman" w:hAnsi="Times New Roman" w:eastAsia="宋体"/>
                <w:bCs/>
                <w:color w:val="000000"/>
                <w:kern w:val="0"/>
                <w:szCs w:val="21"/>
                <w:lang w:val="en-US"/>
              </w:rPr>
            </w:pPr>
            <w:r>
              <w:rPr>
                <w:rFonts w:hint="eastAsia" w:ascii="Times New Roman" w:hAnsi="Times New Roman" w:eastAsia="宋体"/>
                <w:b/>
                <w:bCs w:val="0"/>
                <w:color w:val="000000"/>
                <w:kern w:val="0"/>
                <w:szCs w:val="21"/>
                <w:u w:val="single"/>
                <w:lang w:val="en-US" w:eastAsia="zh-CN"/>
              </w:rPr>
              <w:t>实木复合门、全屋定制</w:t>
            </w:r>
          </w:p>
        </w:tc>
        <w:tc>
          <w:tcPr>
            <w:tcW w:w="1083" w:type="pct"/>
            <w:gridSpan w:val="2"/>
            <w:tcBorders>
              <w:tl2br w:val="nil"/>
              <w:tr2bl w:val="nil"/>
            </w:tcBorders>
            <w:vAlign w:val="center"/>
          </w:tcPr>
          <w:p w14:paraId="6F410C0E">
            <w:pPr>
              <w:widowControl/>
              <w:jc w:val="center"/>
              <w:rPr>
                <w:rFonts w:ascii="Times New Roman" w:hAnsi="Times New Roman" w:eastAsia="宋体"/>
                <w:bCs/>
                <w:kern w:val="0"/>
                <w:szCs w:val="21"/>
              </w:rPr>
            </w:pPr>
            <w:r>
              <w:rPr>
                <w:rFonts w:ascii="Times New Roman" w:hAnsi="Times New Roman" w:eastAsia="宋体"/>
                <w:bCs/>
                <w:color w:val="000000"/>
                <w:kern w:val="0"/>
                <w:szCs w:val="21"/>
              </w:rPr>
              <w:t>包装材料</w:t>
            </w:r>
            <w:r>
              <w:rPr>
                <w:rFonts w:hint="eastAsia" w:ascii="Times New Roman" w:hAnsi="Times New Roman" w:eastAsia="宋体"/>
                <w:bCs/>
                <w:color w:val="000000"/>
                <w:kern w:val="0"/>
                <w:szCs w:val="21"/>
              </w:rPr>
              <w:t>（</w:t>
            </w:r>
            <w:r>
              <w:rPr>
                <w:rFonts w:ascii="Times New Roman" w:hAnsi="Times New Roman" w:eastAsia="宋体"/>
                <w:bCs/>
                <w:color w:val="000000"/>
                <w:kern w:val="0"/>
                <w:szCs w:val="21"/>
              </w:rPr>
              <w:t>包装纸箱、泡沫和包装膜</w:t>
            </w:r>
            <w:r>
              <w:rPr>
                <w:rFonts w:hint="eastAsia" w:ascii="Times New Roman" w:hAnsi="Times New Roman" w:eastAsia="宋体"/>
                <w:bCs/>
                <w:color w:val="000000"/>
                <w:kern w:val="0"/>
                <w:szCs w:val="21"/>
              </w:rPr>
              <w:t>）</w:t>
            </w:r>
          </w:p>
        </w:tc>
        <w:tc>
          <w:tcPr>
            <w:tcW w:w="642" w:type="pct"/>
            <w:tcBorders>
              <w:tl2br w:val="nil"/>
              <w:tr2bl w:val="nil"/>
            </w:tcBorders>
            <w:vAlign w:val="center"/>
          </w:tcPr>
          <w:p w14:paraId="302D510B">
            <w:pPr>
              <w:widowControl/>
              <w:jc w:val="center"/>
              <w:rPr>
                <w:rFonts w:ascii="Times New Roman" w:hAnsi="Times New Roman" w:eastAsia="宋体"/>
                <w:bCs/>
                <w:szCs w:val="21"/>
              </w:rPr>
            </w:pPr>
            <w:r>
              <w:rPr>
                <w:rFonts w:ascii="Times New Roman" w:hAnsi="Times New Roman" w:eastAsia="宋体"/>
                <w:bCs/>
                <w:color w:val="000000"/>
                <w:kern w:val="0"/>
                <w:szCs w:val="21"/>
              </w:rPr>
              <w:t>0.9t</w:t>
            </w:r>
          </w:p>
        </w:tc>
        <w:tc>
          <w:tcPr>
            <w:tcW w:w="845" w:type="pct"/>
            <w:tcBorders>
              <w:tl2br w:val="nil"/>
              <w:tr2bl w:val="nil"/>
            </w:tcBorders>
            <w:vAlign w:val="center"/>
          </w:tcPr>
          <w:p w14:paraId="3BBF1510">
            <w:pPr>
              <w:widowControl/>
              <w:jc w:val="center"/>
              <w:rPr>
                <w:rFonts w:ascii="Times New Roman" w:hAnsi="Times New Roman" w:eastAsia="宋体"/>
                <w:kern w:val="0"/>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2089516B">
            <w:pPr>
              <w:widowControl/>
              <w:jc w:val="center"/>
              <w:rPr>
                <w:rFonts w:ascii="Times New Roman" w:hAnsi="Times New Roman" w:eastAsia="宋体"/>
                <w:szCs w:val="21"/>
              </w:rPr>
            </w:pPr>
            <w:r>
              <w:rPr>
                <w:rFonts w:ascii="Times New Roman" w:hAnsi="Times New Roman" w:eastAsia="宋体"/>
                <w:color w:val="000000"/>
                <w:szCs w:val="21"/>
              </w:rPr>
              <w:t>0.3t</w:t>
            </w:r>
          </w:p>
        </w:tc>
        <w:tc>
          <w:tcPr>
            <w:tcW w:w="945" w:type="pct"/>
            <w:tcBorders>
              <w:tl2br w:val="nil"/>
              <w:tr2bl w:val="nil"/>
            </w:tcBorders>
            <w:vAlign w:val="center"/>
          </w:tcPr>
          <w:p w14:paraId="37AAE7FB">
            <w:pPr>
              <w:widowControl/>
              <w:jc w:val="center"/>
              <w:rPr>
                <w:rFonts w:ascii="Times New Roman" w:hAnsi="Times New Roman" w:eastAsia="宋体"/>
                <w:color w:val="000000"/>
                <w:szCs w:val="21"/>
              </w:rPr>
            </w:pPr>
            <w:r>
              <w:rPr>
                <w:rFonts w:hint="eastAsia" w:ascii="Times New Roman" w:hAnsi="Times New Roman" w:eastAsia="宋体"/>
                <w:szCs w:val="21"/>
              </w:rPr>
              <w:t>/</w:t>
            </w:r>
          </w:p>
        </w:tc>
      </w:tr>
      <w:tr w14:paraId="5C42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7FD2595B">
            <w:pPr>
              <w:jc w:val="center"/>
              <w:rPr>
                <w:rFonts w:ascii="Times New Roman" w:hAnsi="Times New Roman" w:eastAsia="宋体"/>
                <w:bCs/>
                <w:szCs w:val="21"/>
              </w:rPr>
            </w:pPr>
            <w:r>
              <w:rPr>
                <w:rFonts w:hint="eastAsia" w:ascii="Times New Roman" w:hAnsi="Times New Roman" w:eastAsia="宋体"/>
                <w:bCs/>
                <w:szCs w:val="21"/>
              </w:rPr>
              <w:t>11</w:t>
            </w:r>
          </w:p>
        </w:tc>
        <w:tc>
          <w:tcPr>
            <w:tcW w:w="707" w:type="pct"/>
            <w:tcBorders>
              <w:tl2br w:val="nil"/>
              <w:tr2bl w:val="nil"/>
            </w:tcBorders>
            <w:vAlign w:val="center"/>
          </w:tcPr>
          <w:p w14:paraId="2021876E">
            <w:pPr>
              <w:widowControl/>
              <w:jc w:val="center"/>
              <w:rPr>
                <w:rFonts w:hint="eastAsia" w:ascii="Times New Roman" w:hAnsi="Times New Roman" w:eastAsia="宋体"/>
                <w:bCs/>
                <w:color w:val="000000"/>
                <w:kern w:val="0"/>
                <w:szCs w:val="21"/>
                <w:lang w:val="en-US" w:eastAsia="zh-CN"/>
              </w:rPr>
            </w:pPr>
            <w:r>
              <w:rPr>
                <w:rFonts w:hint="eastAsia" w:ascii="Times New Roman" w:hAnsi="Times New Roman" w:eastAsia="宋体"/>
                <w:bCs/>
                <w:color w:val="000000"/>
                <w:kern w:val="0"/>
                <w:szCs w:val="21"/>
                <w:lang w:val="en-US" w:eastAsia="zh-CN"/>
              </w:rPr>
              <w:t>其他</w:t>
            </w:r>
          </w:p>
        </w:tc>
        <w:tc>
          <w:tcPr>
            <w:tcW w:w="1083" w:type="pct"/>
            <w:gridSpan w:val="2"/>
            <w:tcBorders>
              <w:tl2br w:val="nil"/>
              <w:tr2bl w:val="nil"/>
            </w:tcBorders>
            <w:vAlign w:val="center"/>
          </w:tcPr>
          <w:p w14:paraId="30228FBF">
            <w:pPr>
              <w:widowControl/>
              <w:jc w:val="center"/>
              <w:rPr>
                <w:rFonts w:ascii="Times New Roman" w:hAnsi="Times New Roman" w:eastAsia="宋体"/>
                <w:bCs/>
                <w:kern w:val="0"/>
                <w:szCs w:val="21"/>
              </w:rPr>
            </w:pPr>
            <w:r>
              <w:rPr>
                <w:rFonts w:hint="eastAsia" w:ascii="Times New Roman" w:hAnsi="Times New Roman" w:eastAsia="宋体"/>
                <w:bCs/>
                <w:color w:val="000000"/>
                <w:kern w:val="0"/>
                <w:szCs w:val="21"/>
              </w:rPr>
              <w:t>机</w:t>
            </w:r>
            <w:r>
              <w:rPr>
                <w:rFonts w:ascii="Times New Roman" w:hAnsi="Times New Roman" w:eastAsia="宋体"/>
                <w:bCs/>
                <w:color w:val="000000"/>
                <w:kern w:val="0"/>
                <w:szCs w:val="21"/>
              </w:rPr>
              <w:t>油</w:t>
            </w:r>
            <w:r>
              <w:rPr>
                <w:rFonts w:hint="eastAsia" w:ascii="Times New Roman" w:hAnsi="Times New Roman" w:eastAsia="宋体"/>
                <w:bCs/>
                <w:color w:val="000000"/>
                <w:kern w:val="0"/>
                <w:szCs w:val="21"/>
              </w:rPr>
              <w:t>（</w:t>
            </w:r>
            <w:r>
              <w:rPr>
                <w:rFonts w:ascii="Times New Roman" w:hAnsi="Times New Roman" w:eastAsia="宋体"/>
                <w:bCs/>
                <w:color w:val="000000"/>
                <w:kern w:val="0"/>
                <w:szCs w:val="21"/>
              </w:rPr>
              <w:t>用于机器维护</w:t>
            </w:r>
            <w:r>
              <w:rPr>
                <w:rFonts w:hint="eastAsia" w:ascii="Times New Roman" w:hAnsi="Times New Roman" w:eastAsia="宋体"/>
                <w:bCs/>
                <w:color w:val="000000"/>
                <w:kern w:val="0"/>
                <w:szCs w:val="21"/>
              </w:rPr>
              <w:t>）</w:t>
            </w:r>
          </w:p>
        </w:tc>
        <w:tc>
          <w:tcPr>
            <w:tcW w:w="642" w:type="pct"/>
            <w:tcBorders>
              <w:tl2br w:val="nil"/>
              <w:tr2bl w:val="nil"/>
            </w:tcBorders>
            <w:vAlign w:val="center"/>
          </w:tcPr>
          <w:p w14:paraId="51D5595D">
            <w:pPr>
              <w:widowControl/>
              <w:jc w:val="center"/>
              <w:rPr>
                <w:rFonts w:ascii="Times New Roman" w:hAnsi="Times New Roman" w:eastAsia="宋体"/>
                <w:bCs/>
                <w:szCs w:val="21"/>
              </w:rPr>
            </w:pPr>
            <w:r>
              <w:rPr>
                <w:rFonts w:ascii="Times New Roman" w:hAnsi="Times New Roman" w:eastAsia="宋体"/>
                <w:bCs/>
                <w:color w:val="000000"/>
                <w:kern w:val="0"/>
                <w:szCs w:val="21"/>
              </w:rPr>
              <w:t>0.2t</w:t>
            </w:r>
          </w:p>
        </w:tc>
        <w:tc>
          <w:tcPr>
            <w:tcW w:w="845" w:type="pct"/>
            <w:tcBorders>
              <w:tl2br w:val="nil"/>
              <w:tr2bl w:val="nil"/>
            </w:tcBorders>
            <w:vAlign w:val="center"/>
          </w:tcPr>
          <w:p w14:paraId="346F9396">
            <w:pPr>
              <w:widowControl/>
              <w:jc w:val="center"/>
              <w:rPr>
                <w:rFonts w:ascii="Times New Roman" w:hAnsi="Times New Roman" w:eastAsia="宋体"/>
                <w:kern w:val="0"/>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2D050B83">
            <w:pPr>
              <w:widowControl/>
              <w:jc w:val="center"/>
              <w:rPr>
                <w:rFonts w:ascii="Times New Roman" w:hAnsi="Times New Roman" w:eastAsia="宋体"/>
                <w:szCs w:val="21"/>
              </w:rPr>
            </w:pPr>
            <w:r>
              <w:rPr>
                <w:rFonts w:ascii="Times New Roman" w:hAnsi="Times New Roman" w:eastAsia="宋体"/>
                <w:color w:val="000000"/>
                <w:kern w:val="0"/>
                <w:szCs w:val="21"/>
              </w:rPr>
              <w:t>/</w:t>
            </w:r>
          </w:p>
        </w:tc>
        <w:tc>
          <w:tcPr>
            <w:tcW w:w="945" w:type="pct"/>
            <w:tcBorders>
              <w:tl2br w:val="nil"/>
              <w:tr2bl w:val="nil"/>
            </w:tcBorders>
            <w:vAlign w:val="center"/>
          </w:tcPr>
          <w:p w14:paraId="59BEF7B0">
            <w:pPr>
              <w:widowControl/>
              <w:jc w:val="center"/>
              <w:rPr>
                <w:rFonts w:ascii="Times New Roman" w:hAnsi="Times New Roman" w:eastAsia="宋体"/>
                <w:color w:val="000000"/>
                <w:kern w:val="0"/>
                <w:szCs w:val="21"/>
              </w:rPr>
            </w:pPr>
            <w:r>
              <w:rPr>
                <w:rFonts w:hint="eastAsia" w:ascii="Times New Roman" w:hAnsi="Times New Roman" w:eastAsia="宋体"/>
                <w:szCs w:val="21"/>
              </w:rPr>
              <w:t>/</w:t>
            </w:r>
          </w:p>
        </w:tc>
      </w:tr>
      <w:tr w14:paraId="5346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7FCFB6F1">
            <w:pPr>
              <w:jc w:val="center"/>
              <w:rPr>
                <w:rFonts w:hint="eastAsia" w:ascii="Times New Roman" w:hAnsi="Times New Roman" w:eastAsia="宋体"/>
                <w:bCs/>
                <w:szCs w:val="21"/>
                <w:lang w:eastAsia="zh-CN"/>
              </w:rPr>
            </w:pPr>
            <w:r>
              <w:rPr>
                <w:rFonts w:hint="eastAsia" w:ascii="Times New Roman" w:hAnsi="Times New Roman" w:eastAsia="宋体"/>
                <w:bCs/>
                <w:szCs w:val="21"/>
              </w:rPr>
              <w:t>1</w:t>
            </w:r>
            <w:r>
              <w:rPr>
                <w:rFonts w:hint="eastAsia" w:ascii="Times New Roman" w:hAnsi="Times New Roman" w:eastAsia="宋体"/>
                <w:bCs/>
                <w:szCs w:val="21"/>
                <w:lang w:val="en-US" w:eastAsia="zh-CN"/>
              </w:rPr>
              <w:t>2</w:t>
            </w:r>
          </w:p>
        </w:tc>
        <w:tc>
          <w:tcPr>
            <w:tcW w:w="707" w:type="pct"/>
            <w:vMerge w:val="restart"/>
            <w:tcBorders>
              <w:tl2br w:val="nil"/>
              <w:tr2bl w:val="nil"/>
            </w:tcBorders>
            <w:vAlign w:val="center"/>
          </w:tcPr>
          <w:p w14:paraId="55950912">
            <w:pPr>
              <w:widowControl/>
              <w:jc w:val="center"/>
              <w:rPr>
                <w:rFonts w:hint="eastAsia" w:ascii="Times New Roman" w:hAnsi="Times New Roman" w:eastAsia="宋体"/>
                <w:b/>
                <w:bCs/>
                <w:color w:val="000000"/>
                <w:kern w:val="0"/>
                <w:szCs w:val="21"/>
                <w:u w:val="single"/>
                <w:lang w:val="en-US" w:eastAsia="zh-CN"/>
              </w:rPr>
            </w:pPr>
            <w:r>
              <w:rPr>
                <w:rFonts w:hint="eastAsia" w:ascii="Times New Roman" w:hAnsi="Times New Roman" w:eastAsia="宋体"/>
                <w:b/>
                <w:bCs/>
                <w:color w:val="000000"/>
                <w:kern w:val="0"/>
                <w:szCs w:val="21"/>
                <w:u w:val="single"/>
                <w:lang w:val="en-US" w:eastAsia="zh-CN"/>
              </w:rPr>
              <w:t>污水处理站</w:t>
            </w:r>
          </w:p>
        </w:tc>
        <w:tc>
          <w:tcPr>
            <w:tcW w:w="1083" w:type="pct"/>
            <w:gridSpan w:val="2"/>
            <w:tcBorders>
              <w:tl2br w:val="nil"/>
              <w:tr2bl w:val="nil"/>
            </w:tcBorders>
            <w:vAlign w:val="center"/>
          </w:tcPr>
          <w:p w14:paraId="65CA7BC5">
            <w:pPr>
              <w:widowControl/>
              <w:jc w:val="center"/>
              <w:rPr>
                <w:rFonts w:ascii="Times New Roman" w:hAnsi="Times New Roman" w:eastAsia="宋体"/>
                <w:bCs/>
                <w:kern w:val="0"/>
                <w:szCs w:val="21"/>
              </w:rPr>
            </w:pPr>
            <w:r>
              <w:rPr>
                <w:rFonts w:ascii="Times New Roman" w:hAnsi="Times New Roman" w:eastAsia="宋体"/>
                <w:color w:val="000000"/>
                <w:kern w:val="0"/>
                <w:szCs w:val="21"/>
              </w:rPr>
              <w:t>漆雾絮凝剂</w:t>
            </w:r>
          </w:p>
        </w:tc>
        <w:tc>
          <w:tcPr>
            <w:tcW w:w="642" w:type="pct"/>
            <w:tcBorders>
              <w:tl2br w:val="nil"/>
              <w:tr2bl w:val="nil"/>
            </w:tcBorders>
            <w:vAlign w:val="center"/>
          </w:tcPr>
          <w:p w14:paraId="0B9BB10B">
            <w:pPr>
              <w:widowControl/>
              <w:jc w:val="center"/>
              <w:rPr>
                <w:rFonts w:ascii="Times New Roman" w:hAnsi="Times New Roman" w:eastAsia="宋体"/>
                <w:bCs/>
                <w:szCs w:val="21"/>
              </w:rPr>
            </w:pPr>
            <w:r>
              <w:rPr>
                <w:rFonts w:ascii="Times New Roman" w:hAnsi="Times New Roman" w:eastAsia="宋体"/>
                <w:color w:val="000000"/>
                <w:kern w:val="0"/>
                <w:szCs w:val="21"/>
              </w:rPr>
              <w:t>0.42t</w:t>
            </w:r>
          </w:p>
        </w:tc>
        <w:tc>
          <w:tcPr>
            <w:tcW w:w="845" w:type="pct"/>
            <w:tcBorders>
              <w:tl2br w:val="nil"/>
              <w:tr2bl w:val="nil"/>
            </w:tcBorders>
            <w:vAlign w:val="center"/>
          </w:tcPr>
          <w:p w14:paraId="6E02A197">
            <w:pPr>
              <w:widowControl/>
              <w:jc w:val="center"/>
              <w:rPr>
                <w:rFonts w:ascii="Times New Roman" w:hAnsi="Times New Roman" w:eastAsia="宋体"/>
                <w:bCs/>
                <w:kern w:val="0"/>
                <w:szCs w:val="21"/>
              </w:rPr>
            </w:pPr>
            <w:r>
              <w:rPr>
                <w:rFonts w:hint="eastAsia" w:ascii="Times New Roman" w:hAnsi="Times New Roman" w:eastAsia="宋体"/>
                <w:szCs w:val="21"/>
              </w:rPr>
              <w:t>原料暂存区</w:t>
            </w:r>
          </w:p>
        </w:tc>
        <w:tc>
          <w:tcPr>
            <w:tcW w:w="440" w:type="pct"/>
            <w:tcBorders>
              <w:tl2br w:val="nil"/>
              <w:tr2bl w:val="nil"/>
            </w:tcBorders>
            <w:vAlign w:val="center"/>
          </w:tcPr>
          <w:p w14:paraId="26BA9FAD">
            <w:pPr>
              <w:widowControl/>
              <w:jc w:val="center"/>
              <w:rPr>
                <w:rFonts w:ascii="Times New Roman" w:hAnsi="Times New Roman" w:eastAsia="宋体"/>
                <w:bCs/>
                <w:kern w:val="0"/>
                <w:szCs w:val="21"/>
              </w:rPr>
            </w:pPr>
            <w:r>
              <w:rPr>
                <w:rFonts w:ascii="Times New Roman" w:hAnsi="Times New Roman" w:eastAsia="宋体"/>
                <w:color w:val="000000"/>
                <w:szCs w:val="21"/>
              </w:rPr>
              <w:t>/</w:t>
            </w:r>
          </w:p>
        </w:tc>
        <w:tc>
          <w:tcPr>
            <w:tcW w:w="945" w:type="pct"/>
            <w:tcBorders>
              <w:tl2br w:val="nil"/>
              <w:tr2bl w:val="nil"/>
            </w:tcBorders>
            <w:vAlign w:val="center"/>
          </w:tcPr>
          <w:p w14:paraId="57DACD9F">
            <w:pPr>
              <w:widowControl/>
              <w:jc w:val="center"/>
              <w:rPr>
                <w:rFonts w:ascii="Times New Roman" w:hAnsi="Times New Roman" w:eastAsia="宋体"/>
                <w:color w:val="000000"/>
                <w:szCs w:val="21"/>
              </w:rPr>
            </w:pPr>
            <w:r>
              <w:rPr>
                <w:rFonts w:hint="eastAsia" w:ascii="Times New Roman" w:hAnsi="Times New Roman" w:eastAsia="宋体"/>
                <w:szCs w:val="21"/>
              </w:rPr>
              <w:t>/</w:t>
            </w:r>
          </w:p>
        </w:tc>
      </w:tr>
      <w:tr w14:paraId="7986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25B97C5C">
            <w:pPr>
              <w:jc w:val="center"/>
              <w:rPr>
                <w:rFonts w:hint="default" w:ascii="Times New Roman" w:hAnsi="Times New Roman" w:eastAsia="宋体"/>
                <w:b/>
                <w:bCs w:val="0"/>
                <w:szCs w:val="21"/>
                <w:highlight w:val="none"/>
                <w:u w:val="single"/>
                <w:lang w:val="en-US" w:eastAsia="zh-CN"/>
              </w:rPr>
            </w:pPr>
            <w:r>
              <w:rPr>
                <w:rFonts w:hint="eastAsia" w:ascii="Times New Roman" w:hAnsi="Times New Roman" w:eastAsia="宋体"/>
                <w:b/>
                <w:bCs w:val="0"/>
                <w:szCs w:val="21"/>
                <w:highlight w:val="none"/>
                <w:u w:val="single"/>
                <w:lang w:val="en-US" w:eastAsia="zh-CN"/>
              </w:rPr>
              <w:t>13</w:t>
            </w:r>
          </w:p>
        </w:tc>
        <w:tc>
          <w:tcPr>
            <w:tcW w:w="707" w:type="pct"/>
            <w:vMerge w:val="continue"/>
            <w:tcBorders>
              <w:tl2br w:val="nil"/>
              <w:tr2bl w:val="nil"/>
            </w:tcBorders>
            <w:vAlign w:val="center"/>
          </w:tcPr>
          <w:p w14:paraId="4E2EFE53">
            <w:pPr>
              <w:widowControl/>
              <w:jc w:val="center"/>
              <w:rPr>
                <w:rFonts w:hint="eastAsia" w:ascii="Times New Roman" w:hAnsi="Times New Roman" w:eastAsia="宋体"/>
                <w:b/>
                <w:bCs w:val="0"/>
                <w:color w:val="000000"/>
                <w:kern w:val="0"/>
                <w:szCs w:val="21"/>
                <w:highlight w:val="none"/>
                <w:u w:val="single"/>
                <w:lang w:val="en-US" w:eastAsia="zh-CN"/>
              </w:rPr>
            </w:pPr>
          </w:p>
        </w:tc>
        <w:tc>
          <w:tcPr>
            <w:tcW w:w="1083" w:type="pct"/>
            <w:gridSpan w:val="2"/>
            <w:tcBorders>
              <w:tl2br w:val="nil"/>
              <w:tr2bl w:val="nil"/>
            </w:tcBorders>
            <w:vAlign w:val="center"/>
          </w:tcPr>
          <w:p w14:paraId="7CE93487">
            <w:pPr>
              <w:widowControl/>
              <w:jc w:val="center"/>
              <w:rPr>
                <w:rFonts w:hint="eastAsia" w:ascii="Times New Roman" w:hAnsi="Times New Roman" w:eastAsia="宋体"/>
                <w:b/>
                <w:bCs w:val="0"/>
                <w:color w:val="000000"/>
                <w:kern w:val="0"/>
                <w:szCs w:val="21"/>
                <w:highlight w:val="none"/>
                <w:u w:val="single"/>
                <w:lang w:val="en-US" w:eastAsia="zh-CN"/>
              </w:rPr>
            </w:pPr>
            <w:r>
              <w:rPr>
                <w:rFonts w:hint="eastAsia" w:ascii="Times New Roman" w:hAnsi="Times New Roman" w:eastAsia="宋体"/>
                <w:b/>
                <w:bCs w:val="0"/>
                <w:color w:val="000000"/>
                <w:kern w:val="0"/>
                <w:szCs w:val="21"/>
                <w:highlight w:val="none"/>
                <w:u w:val="single"/>
                <w:lang w:val="en-US" w:eastAsia="zh-CN"/>
              </w:rPr>
              <w:t>双氧水</w:t>
            </w:r>
          </w:p>
        </w:tc>
        <w:tc>
          <w:tcPr>
            <w:tcW w:w="642" w:type="pct"/>
            <w:tcBorders>
              <w:tl2br w:val="nil"/>
              <w:tr2bl w:val="nil"/>
            </w:tcBorders>
            <w:vAlign w:val="center"/>
          </w:tcPr>
          <w:p w14:paraId="37A70CE8">
            <w:pPr>
              <w:widowControl/>
              <w:jc w:val="center"/>
              <w:rPr>
                <w:rFonts w:hint="default" w:ascii="Times New Roman" w:hAnsi="Times New Roman" w:eastAsia="宋体"/>
                <w:b/>
                <w:bCs w:val="0"/>
                <w:color w:val="000000"/>
                <w:kern w:val="0"/>
                <w:szCs w:val="21"/>
                <w:highlight w:val="none"/>
                <w:u w:val="single"/>
                <w:lang w:val="en-US" w:eastAsia="zh-CN"/>
              </w:rPr>
            </w:pPr>
            <w:r>
              <w:rPr>
                <w:rFonts w:hint="eastAsia" w:ascii="Times New Roman" w:hAnsi="Times New Roman" w:eastAsia="宋体"/>
                <w:b/>
                <w:bCs w:val="0"/>
                <w:color w:val="000000"/>
                <w:kern w:val="0"/>
                <w:szCs w:val="21"/>
                <w:highlight w:val="none"/>
                <w:u w:val="single"/>
                <w:lang w:val="en-US" w:eastAsia="zh-CN"/>
              </w:rPr>
              <w:t>0.3</w:t>
            </w:r>
          </w:p>
        </w:tc>
        <w:tc>
          <w:tcPr>
            <w:tcW w:w="845" w:type="pct"/>
            <w:tcBorders>
              <w:tl2br w:val="nil"/>
              <w:tr2bl w:val="nil"/>
            </w:tcBorders>
            <w:vAlign w:val="center"/>
          </w:tcPr>
          <w:p w14:paraId="1D02B7E4">
            <w:pPr>
              <w:widowControl/>
              <w:jc w:val="center"/>
              <w:rPr>
                <w:rFonts w:hint="eastAsia" w:ascii="Times New Roman" w:hAnsi="Times New Roman" w:eastAsia="宋体"/>
                <w:b/>
                <w:bCs w:val="0"/>
                <w:szCs w:val="21"/>
                <w:highlight w:val="none"/>
                <w:u w:val="single"/>
                <w:lang w:val="en-US" w:eastAsia="zh-CN"/>
              </w:rPr>
            </w:pPr>
            <w:r>
              <w:rPr>
                <w:rFonts w:hint="eastAsia" w:ascii="Times New Roman" w:hAnsi="Times New Roman" w:eastAsia="宋体"/>
                <w:b/>
                <w:bCs w:val="0"/>
                <w:szCs w:val="21"/>
                <w:highlight w:val="none"/>
                <w:u w:val="single"/>
                <w:lang w:val="en-US" w:eastAsia="zh-CN"/>
              </w:rPr>
              <w:t>污水处理区</w:t>
            </w:r>
          </w:p>
        </w:tc>
        <w:tc>
          <w:tcPr>
            <w:tcW w:w="440" w:type="pct"/>
            <w:tcBorders>
              <w:tl2br w:val="nil"/>
              <w:tr2bl w:val="nil"/>
            </w:tcBorders>
            <w:vAlign w:val="center"/>
          </w:tcPr>
          <w:p w14:paraId="70D06BB8">
            <w:pPr>
              <w:widowControl/>
              <w:jc w:val="center"/>
              <w:rPr>
                <w:rFonts w:hint="default" w:ascii="Times New Roman" w:hAnsi="Times New Roman" w:eastAsia="宋体"/>
                <w:b/>
                <w:bCs w:val="0"/>
                <w:color w:val="000000"/>
                <w:szCs w:val="21"/>
                <w:highlight w:val="none"/>
                <w:u w:val="single"/>
                <w:lang w:val="en-US" w:eastAsia="zh-CN"/>
              </w:rPr>
            </w:pPr>
            <w:r>
              <w:rPr>
                <w:rFonts w:hint="eastAsia" w:ascii="Times New Roman" w:hAnsi="Times New Roman" w:eastAsia="宋体"/>
                <w:b/>
                <w:bCs w:val="0"/>
                <w:color w:val="000000"/>
                <w:szCs w:val="21"/>
                <w:highlight w:val="none"/>
                <w:u w:val="single"/>
                <w:lang w:val="en-US" w:eastAsia="zh-CN"/>
              </w:rPr>
              <w:t>0.1</w:t>
            </w:r>
          </w:p>
        </w:tc>
        <w:tc>
          <w:tcPr>
            <w:tcW w:w="945" w:type="pct"/>
            <w:tcBorders>
              <w:tl2br w:val="nil"/>
              <w:tr2bl w:val="nil"/>
            </w:tcBorders>
            <w:vAlign w:val="center"/>
          </w:tcPr>
          <w:p w14:paraId="6E862FFD">
            <w:pPr>
              <w:widowControl/>
              <w:jc w:val="center"/>
              <w:rPr>
                <w:rFonts w:hint="eastAsia" w:ascii="Times New Roman" w:hAnsi="Times New Roman" w:eastAsia="宋体"/>
                <w:b/>
                <w:bCs w:val="0"/>
                <w:szCs w:val="21"/>
                <w:highlight w:val="none"/>
                <w:u w:val="single"/>
                <w:lang w:val="en-US" w:eastAsia="zh-CN"/>
              </w:rPr>
            </w:pPr>
            <w:r>
              <w:rPr>
                <w:rFonts w:hint="eastAsia" w:ascii="Times New Roman" w:hAnsi="Times New Roman" w:eastAsia="宋体"/>
                <w:b/>
                <w:bCs w:val="0"/>
                <w:szCs w:val="21"/>
                <w:highlight w:val="none"/>
                <w:u w:val="single"/>
                <w:lang w:val="en-US" w:eastAsia="zh-CN"/>
              </w:rPr>
              <w:t>瓶装</w:t>
            </w:r>
          </w:p>
        </w:tc>
      </w:tr>
      <w:tr w14:paraId="58CD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 w:type="pct"/>
            <w:tcBorders>
              <w:tl2br w:val="nil"/>
              <w:tr2bl w:val="nil"/>
            </w:tcBorders>
            <w:vAlign w:val="center"/>
          </w:tcPr>
          <w:p w14:paraId="6D56E34B">
            <w:pPr>
              <w:jc w:val="center"/>
              <w:rPr>
                <w:rFonts w:hint="default" w:ascii="Times New Roman" w:hAnsi="Times New Roman" w:eastAsia="宋体"/>
                <w:b/>
                <w:bCs w:val="0"/>
                <w:szCs w:val="21"/>
                <w:highlight w:val="none"/>
                <w:u w:val="single"/>
                <w:lang w:val="en-US" w:eastAsia="zh-CN"/>
              </w:rPr>
            </w:pPr>
            <w:r>
              <w:rPr>
                <w:rFonts w:hint="eastAsia" w:ascii="Times New Roman" w:hAnsi="Times New Roman" w:eastAsia="宋体"/>
                <w:b/>
                <w:bCs w:val="0"/>
                <w:szCs w:val="21"/>
                <w:highlight w:val="none"/>
                <w:u w:val="single"/>
                <w:lang w:val="en-US" w:eastAsia="zh-CN"/>
              </w:rPr>
              <w:t>14</w:t>
            </w:r>
          </w:p>
        </w:tc>
        <w:tc>
          <w:tcPr>
            <w:tcW w:w="707" w:type="pct"/>
            <w:vMerge w:val="continue"/>
            <w:tcBorders>
              <w:tl2br w:val="nil"/>
              <w:tr2bl w:val="nil"/>
            </w:tcBorders>
            <w:vAlign w:val="center"/>
          </w:tcPr>
          <w:p w14:paraId="186FE0D0">
            <w:pPr>
              <w:widowControl/>
              <w:jc w:val="center"/>
              <w:rPr>
                <w:rFonts w:hint="eastAsia" w:ascii="Times New Roman" w:hAnsi="Times New Roman" w:eastAsia="宋体"/>
                <w:b/>
                <w:bCs w:val="0"/>
                <w:color w:val="000000"/>
                <w:kern w:val="0"/>
                <w:szCs w:val="21"/>
                <w:highlight w:val="none"/>
                <w:u w:val="single"/>
                <w:lang w:val="en-US" w:eastAsia="zh-CN"/>
              </w:rPr>
            </w:pPr>
          </w:p>
        </w:tc>
        <w:tc>
          <w:tcPr>
            <w:tcW w:w="1083" w:type="pct"/>
            <w:gridSpan w:val="2"/>
            <w:tcBorders>
              <w:tl2br w:val="nil"/>
              <w:tr2bl w:val="nil"/>
            </w:tcBorders>
            <w:vAlign w:val="center"/>
          </w:tcPr>
          <w:p w14:paraId="67043A26">
            <w:pPr>
              <w:widowControl/>
              <w:jc w:val="center"/>
              <w:rPr>
                <w:rFonts w:ascii="Times New Roman" w:hAnsi="Times New Roman" w:eastAsia="宋体"/>
                <w:b/>
                <w:bCs w:val="0"/>
                <w:color w:val="000000"/>
                <w:kern w:val="0"/>
                <w:szCs w:val="21"/>
                <w:highlight w:val="none"/>
                <w:u w:val="single"/>
              </w:rPr>
            </w:pPr>
            <w:r>
              <w:rPr>
                <w:rFonts w:hint="eastAsia" w:ascii="Times New Roman" w:hAnsi="Times New Roman" w:eastAsia="宋体"/>
                <w:b/>
                <w:bCs w:val="0"/>
                <w:color w:val="000000"/>
                <w:kern w:val="0"/>
                <w:szCs w:val="21"/>
                <w:highlight w:val="none"/>
                <w:u w:val="single"/>
                <w:lang w:val="en-US" w:eastAsia="zh-CN"/>
              </w:rPr>
              <w:t>硫酸</w:t>
            </w:r>
          </w:p>
        </w:tc>
        <w:tc>
          <w:tcPr>
            <w:tcW w:w="642" w:type="pct"/>
            <w:tcBorders>
              <w:tl2br w:val="nil"/>
              <w:tr2bl w:val="nil"/>
            </w:tcBorders>
            <w:vAlign w:val="center"/>
          </w:tcPr>
          <w:p w14:paraId="3F11B718">
            <w:pPr>
              <w:widowControl/>
              <w:jc w:val="center"/>
              <w:rPr>
                <w:rFonts w:hint="default" w:ascii="Times New Roman" w:hAnsi="Times New Roman" w:eastAsia="宋体"/>
                <w:b/>
                <w:bCs w:val="0"/>
                <w:color w:val="000000"/>
                <w:kern w:val="0"/>
                <w:szCs w:val="21"/>
                <w:highlight w:val="none"/>
                <w:u w:val="single"/>
                <w:lang w:val="en-US" w:eastAsia="zh-CN"/>
              </w:rPr>
            </w:pPr>
            <w:r>
              <w:rPr>
                <w:rFonts w:hint="eastAsia" w:ascii="Times New Roman" w:hAnsi="Times New Roman" w:eastAsia="宋体"/>
                <w:b/>
                <w:bCs w:val="0"/>
                <w:color w:val="000000"/>
                <w:kern w:val="0"/>
                <w:szCs w:val="21"/>
                <w:highlight w:val="none"/>
                <w:u w:val="single"/>
                <w:lang w:val="en-US" w:eastAsia="zh-CN"/>
              </w:rPr>
              <w:t>0.5</w:t>
            </w:r>
          </w:p>
        </w:tc>
        <w:tc>
          <w:tcPr>
            <w:tcW w:w="845" w:type="pct"/>
            <w:tcBorders>
              <w:tl2br w:val="nil"/>
              <w:tr2bl w:val="nil"/>
            </w:tcBorders>
            <w:vAlign w:val="center"/>
          </w:tcPr>
          <w:p w14:paraId="4E13CD9B">
            <w:pPr>
              <w:widowControl/>
              <w:jc w:val="center"/>
              <w:rPr>
                <w:rFonts w:hint="eastAsia" w:ascii="Times New Roman" w:hAnsi="Times New Roman" w:eastAsia="宋体"/>
                <w:b/>
                <w:bCs w:val="0"/>
                <w:szCs w:val="21"/>
                <w:highlight w:val="none"/>
                <w:u w:val="single"/>
              </w:rPr>
            </w:pPr>
            <w:r>
              <w:rPr>
                <w:rFonts w:hint="eastAsia" w:ascii="Times New Roman" w:hAnsi="Times New Roman" w:eastAsia="宋体"/>
                <w:b/>
                <w:bCs w:val="0"/>
                <w:szCs w:val="21"/>
                <w:highlight w:val="none"/>
                <w:u w:val="single"/>
                <w:lang w:val="en-US" w:eastAsia="zh-CN"/>
              </w:rPr>
              <w:t>污水处理区</w:t>
            </w:r>
          </w:p>
        </w:tc>
        <w:tc>
          <w:tcPr>
            <w:tcW w:w="440" w:type="pct"/>
            <w:tcBorders>
              <w:tl2br w:val="nil"/>
              <w:tr2bl w:val="nil"/>
            </w:tcBorders>
            <w:vAlign w:val="center"/>
          </w:tcPr>
          <w:p w14:paraId="73B4AF4F">
            <w:pPr>
              <w:widowControl/>
              <w:jc w:val="center"/>
              <w:rPr>
                <w:rFonts w:hint="default" w:ascii="Times New Roman" w:hAnsi="Times New Roman" w:eastAsia="宋体"/>
                <w:b/>
                <w:bCs w:val="0"/>
                <w:color w:val="000000"/>
                <w:szCs w:val="21"/>
                <w:highlight w:val="none"/>
                <w:u w:val="single"/>
                <w:lang w:val="en-US" w:eastAsia="zh-CN"/>
              </w:rPr>
            </w:pPr>
            <w:r>
              <w:rPr>
                <w:rFonts w:hint="eastAsia" w:ascii="Times New Roman" w:hAnsi="Times New Roman" w:eastAsia="宋体"/>
                <w:b/>
                <w:bCs w:val="0"/>
                <w:color w:val="000000"/>
                <w:szCs w:val="21"/>
                <w:highlight w:val="none"/>
                <w:u w:val="single"/>
                <w:lang w:val="en-US" w:eastAsia="zh-CN"/>
              </w:rPr>
              <w:t>0.1</w:t>
            </w:r>
          </w:p>
        </w:tc>
        <w:tc>
          <w:tcPr>
            <w:tcW w:w="945" w:type="pct"/>
            <w:tcBorders>
              <w:tl2br w:val="nil"/>
              <w:tr2bl w:val="nil"/>
            </w:tcBorders>
            <w:vAlign w:val="center"/>
          </w:tcPr>
          <w:p w14:paraId="6FA517A7">
            <w:pPr>
              <w:widowControl/>
              <w:jc w:val="center"/>
              <w:rPr>
                <w:rFonts w:hint="eastAsia" w:ascii="Times New Roman" w:hAnsi="Times New Roman" w:eastAsia="宋体"/>
                <w:b/>
                <w:bCs w:val="0"/>
                <w:szCs w:val="21"/>
                <w:highlight w:val="none"/>
                <w:u w:val="single"/>
              </w:rPr>
            </w:pPr>
            <w:r>
              <w:rPr>
                <w:rFonts w:hint="eastAsia" w:ascii="Times New Roman" w:hAnsi="Times New Roman" w:eastAsia="宋体"/>
                <w:b/>
                <w:bCs w:val="0"/>
                <w:szCs w:val="21"/>
                <w:highlight w:val="none"/>
                <w:u w:val="single"/>
                <w:lang w:val="en-US" w:eastAsia="zh-CN"/>
              </w:rPr>
              <w:t>瓶装</w:t>
            </w:r>
          </w:p>
        </w:tc>
      </w:tr>
    </w:tbl>
    <w:p w14:paraId="771F63AC">
      <w:pPr>
        <w:spacing w:line="360" w:lineRule="auto"/>
        <w:ind w:firstLine="480"/>
        <w:jc w:val="left"/>
        <w:rPr>
          <w:rFonts w:ascii="Times New Roman" w:hAnsi="Times New Roman" w:cs="Times New Roman"/>
          <w:b/>
          <w:bCs/>
          <w:color w:val="000000" w:themeColor="text1"/>
          <w:sz w:val="24"/>
          <w:highlight w:val="yellow"/>
          <w:u w:val="single"/>
          <w14:textFill>
            <w14:solidFill>
              <w14:schemeClr w14:val="tx1"/>
            </w14:solidFill>
          </w14:textFill>
        </w:rPr>
      </w:pPr>
      <w:r>
        <w:rPr>
          <w:rFonts w:ascii="Times New Roman" w:hAnsi="Times New Roman" w:cs="Times New Roman"/>
          <w:b/>
          <w:bCs/>
          <w:color w:val="000000" w:themeColor="text1"/>
          <w:sz w:val="24"/>
          <w:u w:val="single"/>
          <w14:textFill>
            <w14:solidFill>
              <w14:schemeClr w14:val="tx1"/>
            </w14:solidFill>
          </w14:textFill>
        </w:rPr>
        <w:t>根据项目单位提供资料家具行业聚酯底漆喷涂遍数为2遍，聚氨酯漆面漆喷涂遍数为1遍，水性漆底漆喷涂遍数为2遍，水性漆面漆喷涂遍数为1遍。</w:t>
      </w:r>
    </w:p>
    <w:p w14:paraId="429815CA">
      <w:pPr>
        <w:spacing w:line="360" w:lineRule="auto"/>
        <w:ind w:firstLine="480"/>
        <w:jc w:val="left"/>
        <w:rPr>
          <w:rFonts w:ascii="Times New Roman" w:hAnsi="Times New Roman" w:cs="Times New Roman"/>
          <w:b/>
          <w:bCs/>
          <w:sz w:val="24"/>
          <w:u w:val="single"/>
        </w:rPr>
      </w:pPr>
      <w:r>
        <w:rPr>
          <w:rFonts w:ascii="Times New Roman" w:hAnsi="Times New Roman" w:cs="Times New Roman"/>
          <w:b/>
          <w:bCs/>
          <w:sz w:val="24"/>
          <w:u w:val="single"/>
        </w:rPr>
        <w:t>油漆喷涂的计算公式：G=ρ·m·s×10</w:t>
      </w:r>
      <w:r>
        <w:rPr>
          <w:rFonts w:ascii="Times New Roman" w:hAnsi="Times New Roman" w:cs="Times New Roman"/>
          <w:b/>
          <w:bCs/>
          <w:sz w:val="24"/>
          <w:u w:val="single"/>
          <w:vertAlign w:val="superscript"/>
        </w:rPr>
        <w:t>-6</w:t>
      </w:r>
      <w:r>
        <w:rPr>
          <w:rFonts w:ascii="Times New Roman" w:hAnsi="Times New Roman" w:cs="Times New Roman"/>
          <w:b/>
          <w:bCs/>
          <w:sz w:val="24"/>
          <w:u w:val="single"/>
        </w:rPr>
        <w:t>/NV·e</w:t>
      </w:r>
    </w:p>
    <w:p w14:paraId="47EDA5C9">
      <w:pPr>
        <w:spacing w:line="360" w:lineRule="auto"/>
        <w:ind w:firstLine="480"/>
        <w:jc w:val="left"/>
        <w:rPr>
          <w:rFonts w:ascii="Times New Roman" w:hAnsi="Times New Roman" w:cs="Times New Roman"/>
          <w:b/>
          <w:bCs/>
          <w:sz w:val="24"/>
          <w:u w:val="single"/>
        </w:rPr>
      </w:pPr>
      <w:r>
        <w:rPr>
          <w:rFonts w:ascii="Times New Roman" w:hAnsi="Times New Roman" w:cs="Times New Roman"/>
          <w:b/>
          <w:bCs/>
          <w:sz w:val="24"/>
          <w:u w:val="single"/>
        </w:rPr>
        <w:t>ρ代表油漆的密度；</w:t>
      </w:r>
    </w:p>
    <w:p w14:paraId="4475F5DD">
      <w:pPr>
        <w:spacing w:line="360" w:lineRule="auto"/>
        <w:ind w:firstLine="480"/>
        <w:jc w:val="left"/>
        <w:rPr>
          <w:rFonts w:ascii="Times New Roman" w:hAnsi="Times New Roman" w:cs="Times New Roman"/>
          <w:b/>
          <w:bCs/>
          <w:sz w:val="24"/>
          <w:u w:val="single"/>
        </w:rPr>
      </w:pPr>
      <w:r>
        <w:rPr>
          <w:rFonts w:ascii="Times New Roman" w:hAnsi="Times New Roman" w:cs="Times New Roman"/>
          <w:b/>
          <w:bCs/>
          <w:sz w:val="24"/>
          <w:u w:val="single"/>
        </w:rPr>
        <w:t>m代表涂层的厚度；</w:t>
      </w:r>
    </w:p>
    <w:p w14:paraId="5B3CEB06">
      <w:pPr>
        <w:spacing w:line="360" w:lineRule="auto"/>
        <w:ind w:firstLine="480"/>
        <w:jc w:val="left"/>
        <w:rPr>
          <w:rFonts w:ascii="Times New Roman" w:hAnsi="Times New Roman" w:cs="Times New Roman"/>
          <w:b/>
          <w:bCs/>
          <w:sz w:val="24"/>
          <w:u w:val="single"/>
        </w:rPr>
      </w:pPr>
      <w:r>
        <w:rPr>
          <w:rFonts w:ascii="Times New Roman" w:hAnsi="Times New Roman" w:cs="Times New Roman"/>
          <w:b/>
          <w:bCs/>
          <w:sz w:val="24"/>
          <w:u w:val="single"/>
        </w:rPr>
        <w:t>s代表涂装面积；</w:t>
      </w:r>
    </w:p>
    <w:p w14:paraId="44CB8789">
      <w:pPr>
        <w:spacing w:line="360" w:lineRule="auto"/>
        <w:ind w:firstLine="480"/>
        <w:jc w:val="left"/>
        <w:rPr>
          <w:rFonts w:ascii="Times New Roman" w:hAnsi="Times New Roman" w:cs="Times New Roman"/>
          <w:b/>
          <w:bCs/>
          <w:sz w:val="24"/>
          <w:u w:val="single"/>
        </w:rPr>
      </w:pPr>
      <w:r>
        <w:rPr>
          <w:rFonts w:ascii="Times New Roman" w:hAnsi="Times New Roman" w:cs="Times New Roman"/>
          <w:b/>
          <w:bCs/>
          <w:sz w:val="24"/>
          <w:u w:val="single"/>
        </w:rPr>
        <w:t>NV代表油漆中已调配好的体积固体份（%），本项目聚酯漆NV（底漆）为%，聚氨酯漆NV（面漆）为%；</w:t>
      </w:r>
    </w:p>
    <w:p w14:paraId="5391923B">
      <w:pPr>
        <w:spacing w:line="360" w:lineRule="auto"/>
        <w:ind w:firstLine="482" w:firstLineChars="200"/>
        <w:jc w:val="left"/>
        <w:rPr>
          <w:rFonts w:ascii="Times New Roman" w:hAnsi="Times New Roman" w:cs="Times New Roman"/>
          <w:b/>
          <w:bCs/>
          <w:sz w:val="24"/>
          <w:u w:val="single"/>
        </w:rPr>
      </w:pPr>
      <w:r>
        <w:rPr>
          <w:rFonts w:ascii="Times New Roman" w:hAnsi="Times New Roman" w:cs="Times New Roman"/>
          <w:b/>
          <w:bCs/>
          <w:sz w:val="24"/>
          <w:u w:val="single"/>
        </w:rPr>
        <w:t>e代表涂装率。</w:t>
      </w:r>
    </w:p>
    <w:p w14:paraId="4638BCC2">
      <w:pPr>
        <w:spacing w:line="360" w:lineRule="auto"/>
        <w:ind w:firstLine="482" w:firstLineChars="200"/>
        <w:jc w:val="left"/>
        <w:rPr>
          <w:rFonts w:ascii="Times New Roman" w:hAnsi="Times New Roman" w:cs="Times New Roman"/>
          <w:b/>
          <w:bCs/>
          <w:sz w:val="24"/>
          <w:u w:val="single"/>
        </w:rPr>
      </w:pPr>
      <w:r>
        <w:rPr>
          <w:rFonts w:ascii="Times New Roman" w:hAnsi="Times New Roman" w:cs="Times New Roman"/>
          <w:b/>
          <w:bCs/>
          <w:sz w:val="24"/>
          <w:u w:val="single"/>
        </w:rPr>
        <w:t>经计算本项目油漆</w:t>
      </w:r>
      <w:r>
        <w:rPr>
          <w:rFonts w:hint="eastAsia" w:ascii="Times New Roman" w:hAnsi="Times New Roman" w:eastAsia="宋体" w:cs="Times New Roman"/>
          <w:b/>
          <w:bCs/>
          <w:sz w:val="24"/>
          <w:u w:val="single"/>
        </w:rPr>
        <w:t>、水性漆</w:t>
      </w:r>
      <w:r>
        <w:rPr>
          <w:rFonts w:ascii="Times New Roman" w:hAnsi="Times New Roman" w:cs="Times New Roman"/>
          <w:b/>
          <w:bCs/>
          <w:sz w:val="24"/>
          <w:u w:val="single"/>
        </w:rPr>
        <w:t>用量见下表。</w:t>
      </w:r>
    </w:p>
    <w:p w14:paraId="32845BEE">
      <w:pPr>
        <w:pStyle w:val="37"/>
        <w:numPr>
          <w:ilvl w:val="0"/>
          <w:numId w:val="33"/>
        </w:numPr>
        <w:jc w:val="center"/>
        <w:rPr>
          <w:rFonts w:ascii="Times New Roman" w:hAnsi="Times New Roman" w:eastAsia="宋体" w:cs="Times New Roman"/>
          <w:b/>
          <w:bCs/>
          <w:color w:val="000000"/>
          <w:szCs w:val="21"/>
          <w:u w:val="single"/>
        </w:rPr>
      </w:pPr>
      <w:r>
        <w:rPr>
          <w:rFonts w:hint="eastAsia" w:ascii="Times New Roman" w:hAnsi="Times New Roman" w:cs="Times New Roman"/>
          <w:b/>
          <w:bCs/>
          <w:szCs w:val="21"/>
          <w:u w:val="single"/>
        </w:rPr>
        <w:t xml:space="preserve"> </w:t>
      </w:r>
      <w:r>
        <w:rPr>
          <w:rFonts w:hint="eastAsia" w:ascii="Times New Roman" w:hAnsi="Times New Roman" w:eastAsia="宋体" w:cs="Times New Roman"/>
          <w:b/>
          <w:bCs/>
          <w:color w:val="000000"/>
          <w:szCs w:val="21"/>
          <w:u w:val="single"/>
        </w:rPr>
        <w:t>油性</w:t>
      </w:r>
      <w:r>
        <w:rPr>
          <w:rFonts w:ascii="Times New Roman" w:hAnsi="Times New Roman" w:eastAsia="宋体" w:cs="Times New Roman"/>
          <w:b/>
          <w:bCs/>
          <w:color w:val="000000"/>
          <w:szCs w:val="21"/>
          <w:u w:val="single"/>
        </w:rPr>
        <w:t>底漆、面漆消耗一览表</w:t>
      </w:r>
    </w:p>
    <w:tbl>
      <w:tblPr>
        <w:tblStyle w:val="31"/>
        <w:tblW w:w="8373"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8"/>
        <w:gridCol w:w="2293"/>
        <w:gridCol w:w="2372"/>
      </w:tblGrid>
      <w:tr w14:paraId="19C5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8" w:type="dxa"/>
            <w:tcBorders>
              <w:tl2br w:val="nil"/>
              <w:tr2bl w:val="nil"/>
            </w:tcBorders>
            <w:vAlign w:val="center"/>
          </w:tcPr>
          <w:p w14:paraId="4E750E71">
            <w:pPr>
              <w:ind w:firstLine="422"/>
              <w:jc w:val="center"/>
              <w:rPr>
                <w:rFonts w:ascii="Times New Roman" w:hAnsi="Times New Roman" w:eastAsia="宋体" w:cs="Times New Roman"/>
                <w:b/>
                <w:bCs/>
                <w:szCs w:val="21"/>
                <w:u w:val="single"/>
              </w:rPr>
            </w:pPr>
            <w:r>
              <w:rPr>
                <w:rFonts w:ascii="Times New Roman" w:hAnsi="Times New Roman" w:cs="Times New Roman"/>
                <w:b/>
                <w:bCs/>
                <w:szCs w:val="21"/>
                <w:u w:val="single"/>
              </w:rPr>
              <w:t>类别</w:t>
            </w:r>
          </w:p>
        </w:tc>
        <w:tc>
          <w:tcPr>
            <w:tcW w:w="2293" w:type="dxa"/>
            <w:tcBorders>
              <w:tl2br w:val="nil"/>
              <w:tr2bl w:val="nil"/>
            </w:tcBorders>
            <w:vAlign w:val="center"/>
          </w:tcPr>
          <w:p w14:paraId="4A536FE6">
            <w:pPr>
              <w:ind w:firstLine="422"/>
              <w:jc w:val="center"/>
              <w:rPr>
                <w:rFonts w:ascii="Times New Roman" w:hAnsi="Times New Roman" w:eastAsia="宋体" w:cs="Times New Roman"/>
                <w:b/>
                <w:bCs/>
                <w:szCs w:val="21"/>
                <w:u w:val="single"/>
              </w:rPr>
            </w:pPr>
            <w:r>
              <w:rPr>
                <w:rFonts w:ascii="Times New Roman" w:hAnsi="Times New Roman" w:cs="Times New Roman"/>
                <w:b/>
                <w:bCs/>
                <w:szCs w:val="21"/>
                <w:u w:val="single"/>
              </w:rPr>
              <w:t>底漆</w:t>
            </w:r>
          </w:p>
        </w:tc>
        <w:tc>
          <w:tcPr>
            <w:tcW w:w="2372" w:type="dxa"/>
            <w:tcBorders>
              <w:tl2br w:val="nil"/>
              <w:tr2bl w:val="nil"/>
            </w:tcBorders>
            <w:vAlign w:val="center"/>
          </w:tcPr>
          <w:p w14:paraId="512ABD44">
            <w:pPr>
              <w:ind w:firstLine="422"/>
              <w:jc w:val="center"/>
              <w:rPr>
                <w:rFonts w:ascii="Times New Roman" w:hAnsi="Times New Roman" w:eastAsia="宋体" w:cs="Times New Roman"/>
                <w:b/>
                <w:bCs/>
                <w:szCs w:val="21"/>
                <w:u w:val="single"/>
              </w:rPr>
            </w:pPr>
            <w:r>
              <w:rPr>
                <w:rFonts w:ascii="Times New Roman" w:hAnsi="Times New Roman" w:cs="Times New Roman"/>
                <w:b/>
                <w:bCs/>
                <w:szCs w:val="21"/>
                <w:u w:val="single"/>
              </w:rPr>
              <w:t>面漆</w:t>
            </w:r>
          </w:p>
        </w:tc>
      </w:tr>
      <w:tr w14:paraId="2C7B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8" w:type="dxa"/>
            <w:tcBorders>
              <w:tl2br w:val="nil"/>
              <w:tr2bl w:val="nil"/>
            </w:tcBorders>
            <w:vAlign w:val="center"/>
          </w:tcPr>
          <w:p w14:paraId="1C4E887F">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highlight w:val="none"/>
                <w:u w:val="single"/>
              </w:rPr>
              <w:t>涂装</w:t>
            </w:r>
            <w:r>
              <w:rPr>
                <w:rFonts w:ascii="Times New Roman" w:hAnsi="Times New Roman" w:cs="Times New Roman"/>
                <w:b/>
                <w:bCs/>
                <w:szCs w:val="21"/>
                <w:u w:val="single"/>
              </w:rPr>
              <w:t>面积</w:t>
            </w:r>
          </w:p>
        </w:tc>
        <w:tc>
          <w:tcPr>
            <w:tcW w:w="2293" w:type="dxa"/>
            <w:tcBorders>
              <w:tl2br w:val="nil"/>
              <w:tr2bl w:val="nil"/>
            </w:tcBorders>
            <w:vAlign w:val="center"/>
          </w:tcPr>
          <w:p w14:paraId="72DB303F">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20</w:t>
            </w:r>
            <w:r>
              <w:rPr>
                <w:rFonts w:ascii="Times New Roman" w:hAnsi="Times New Roman" w:cs="Times New Roman"/>
                <w:b/>
                <w:bCs/>
                <w:szCs w:val="21"/>
                <w:u w:val="single"/>
              </w:rPr>
              <w:t>0</w:t>
            </w:r>
            <w:r>
              <w:rPr>
                <w:rFonts w:hint="eastAsia" w:ascii="Times New Roman" w:hAnsi="Times New Roman" w:cs="Times New Roman"/>
                <w:b/>
                <w:bCs/>
                <w:szCs w:val="21"/>
                <w:u w:val="single"/>
              </w:rPr>
              <w:t>00</w:t>
            </w:r>
            <w:r>
              <w:rPr>
                <w:rFonts w:ascii="Times New Roman" w:hAnsi="Times New Roman" w:cs="Times New Roman"/>
                <w:b/>
                <w:bCs/>
                <w:szCs w:val="21"/>
                <w:u w:val="single"/>
              </w:rPr>
              <w:t>m</w:t>
            </w:r>
            <w:r>
              <w:rPr>
                <w:rFonts w:ascii="Times New Roman" w:hAnsi="Times New Roman" w:cs="Times New Roman"/>
                <w:b/>
                <w:bCs/>
                <w:szCs w:val="21"/>
                <w:u w:val="single"/>
                <w:vertAlign w:val="superscript"/>
              </w:rPr>
              <w:t>2</w:t>
            </w:r>
            <w:r>
              <w:rPr>
                <w:rFonts w:ascii="Times New Roman" w:hAnsi="Times New Roman" w:cs="Times New Roman"/>
                <w:b/>
                <w:bCs/>
                <w:szCs w:val="21"/>
                <w:u w:val="single"/>
              </w:rPr>
              <w:t>/a</w:t>
            </w:r>
          </w:p>
        </w:tc>
        <w:tc>
          <w:tcPr>
            <w:tcW w:w="2372" w:type="dxa"/>
            <w:tcBorders>
              <w:tl2br w:val="nil"/>
              <w:tr2bl w:val="nil"/>
            </w:tcBorders>
            <w:vAlign w:val="center"/>
          </w:tcPr>
          <w:p w14:paraId="4301E742">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20000</w:t>
            </w:r>
            <w:r>
              <w:rPr>
                <w:rFonts w:ascii="Times New Roman" w:hAnsi="Times New Roman" w:cs="Times New Roman"/>
                <w:b/>
                <w:bCs/>
                <w:szCs w:val="21"/>
                <w:u w:val="single"/>
              </w:rPr>
              <w:t>m</w:t>
            </w:r>
            <w:r>
              <w:rPr>
                <w:rFonts w:ascii="Times New Roman" w:hAnsi="Times New Roman" w:cs="Times New Roman"/>
                <w:b/>
                <w:bCs/>
                <w:szCs w:val="21"/>
                <w:u w:val="single"/>
                <w:vertAlign w:val="superscript"/>
              </w:rPr>
              <w:t>2</w:t>
            </w:r>
            <w:r>
              <w:rPr>
                <w:rFonts w:ascii="Times New Roman" w:hAnsi="Times New Roman" w:cs="Times New Roman"/>
                <w:b/>
                <w:bCs/>
                <w:szCs w:val="21"/>
                <w:u w:val="single"/>
              </w:rPr>
              <w:t>/a</w:t>
            </w:r>
          </w:p>
        </w:tc>
      </w:tr>
      <w:tr w14:paraId="64E3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8" w:type="dxa"/>
            <w:tcBorders>
              <w:tl2br w:val="nil"/>
              <w:tr2bl w:val="nil"/>
            </w:tcBorders>
            <w:vAlign w:val="center"/>
          </w:tcPr>
          <w:p w14:paraId="4698A557">
            <w:pPr>
              <w:ind w:firstLine="420"/>
              <w:jc w:val="center"/>
              <w:rPr>
                <w:rFonts w:ascii="Times New Roman" w:hAnsi="Times New Roman" w:cs="Times New Roman"/>
                <w:b/>
                <w:bCs/>
                <w:szCs w:val="21"/>
                <w:u w:val="single"/>
              </w:rPr>
            </w:pPr>
            <w:r>
              <w:rPr>
                <w:rFonts w:ascii="Times New Roman" w:hAnsi="Times New Roman" w:cs="Times New Roman"/>
                <w:b/>
                <w:bCs/>
                <w:szCs w:val="21"/>
                <w:u w:val="single"/>
              </w:rPr>
              <w:t>底漆密度</w:t>
            </w:r>
          </w:p>
        </w:tc>
        <w:tc>
          <w:tcPr>
            <w:tcW w:w="2293" w:type="dxa"/>
            <w:tcBorders>
              <w:tl2br w:val="nil"/>
              <w:tr2bl w:val="nil"/>
            </w:tcBorders>
            <w:vAlign w:val="center"/>
          </w:tcPr>
          <w:p w14:paraId="299BD518">
            <w:pPr>
              <w:ind w:firstLine="420"/>
              <w:jc w:val="center"/>
              <w:rPr>
                <w:rFonts w:ascii="Times New Roman" w:hAnsi="Times New Roman" w:cs="Times New Roman"/>
                <w:b/>
                <w:bCs/>
                <w:szCs w:val="21"/>
                <w:u w:val="single"/>
              </w:rPr>
            </w:pPr>
            <w:r>
              <w:rPr>
                <w:rFonts w:ascii="Times New Roman" w:hAnsi="Times New Roman" w:cs="Times New Roman"/>
                <w:b/>
                <w:bCs/>
                <w:szCs w:val="21"/>
                <w:u w:val="single"/>
              </w:rPr>
              <w:t>1.16g/cm</w:t>
            </w:r>
            <w:r>
              <w:rPr>
                <w:rFonts w:ascii="Times New Roman" w:hAnsi="Times New Roman" w:cs="Times New Roman"/>
                <w:b/>
                <w:bCs/>
                <w:szCs w:val="21"/>
                <w:u w:val="single"/>
                <w:vertAlign w:val="superscript"/>
              </w:rPr>
              <w:t>3</w:t>
            </w:r>
          </w:p>
        </w:tc>
        <w:tc>
          <w:tcPr>
            <w:tcW w:w="2372" w:type="dxa"/>
            <w:tcBorders>
              <w:tl2br w:val="nil"/>
              <w:tr2bl w:val="nil"/>
            </w:tcBorders>
            <w:vAlign w:val="center"/>
          </w:tcPr>
          <w:p w14:paraId="569491EF">
            <w:pPr>
              <w:ind w:firstLine="420"/>
              <w:jc w:val="center"/>
              <w:rPr>
                <w:rFonts w:ascii="Times New Roman" w:hAnsi="Times New Roman" w:cs="Times New Roman"/>
                <w:b/>
                <w:bCs/>
                <w:szCs w:val="21"/>
                <w:u w:val="single"/>
              </w:rPr>
            </w:pPr>
            <w:r>
              <w:rPr>
                <w:rFonts w:ascii="Times New Roman" w:hAnsi="Times New Roman" w:cs="Times New Roman"/>
                <w:b/>
                <w:bCs/>
                <w:szCs w:val="21"/>
                <w:u w:val="single"/>
              </w:rPr>
              <w:t>1.22g/cm</w:t>
            </w:r>
            <w:r>
              <w:rPr>
                <w:rFonts w:ascii="Times New Roman" w:hAnsi="Times New Roman" w:cs="Times New Roman"/>
                <w:b/>
                <w:bCs/>
                <w:szCs w:val="21"/>
                <w:u w:val="single"/>
                <w:vertAlign w:val="superscript"/>
              </w:rPr>
              <w:t>3</w:t>
            </w:r>
          </w:p>
        </w:tc>
      </w:tr>
      <w:tr w14:paraId="6BDB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8" w:type="dxa"/>
            <w:tcBorders>
              <w:tl2br w:val="nil"/>
              <w:tr2bl w:val="nil"/>
            </w:tcBorders>
            <w:vAlign w:val="center"/>
          </w:tcPr>
          <w:p w14:paraId="0C4A198C">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漆膜厚度</w:t>
            </w:r>
          </w:p>
        </w:tc>
        <w:tc>
          <w:tcPr>
            <w:tcW w:w="2293" w:type="dxa"/>
            <w:tcBorders>
              <w:tl2br w:val="nil"/>
              <w:tr2bl w:val="nil"/>
            </w:tcBorders>
            <w:vAlign w:val="center"/>
          </w:tcPr>
          <w:p w14:paraId="264DF79F">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60μm</w:t>
            </w:r>
          </w:p>
        </w:tc>
        <w:tc>
          <w:tcPr>
            <w:tcW w:w="2372" w:type="dxa"/>
            <w:tcBorders>
              <w:tl2br w:val="nil"/>
              <w:tr2bl w:val="nil"/>
            </w:tcBorders>
            <w:vAlign w:val="center"/>
          </w:tcPr>
          <w:p w14:paraId="6296E29F">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100μm</w:t>
            </w:r>
          </w:p>
        </w:tc>
      </w:tr>
      <w:tr w14:paraId="0698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8" w:type="dxa"/>
            <w:tcBorders>
              <w:tl2br w:val="nil"/>
              <w:tr2bl w:val="nil"/>
            </w:tcBorders>
            <w:vAlign w:val="center"/>
          </w:tcPr>
          <w:p w14:paraId="095BF568">
            <w:pPr>
              <w:ind w:firstLine="420"/>
              <w:jc w:val="center"/>
              <w:rPr>
                <w:rFonts w:ascii="Times New Roman" w:hAnsi="Times New Roman" w:cs="Times New Roman"/>
                <w:b/>
                <w:bCs/>
                <w:szCs w:val="21"/>
                <w:u w:val="single"/>
              </w:rPr>
            </w:pPr>
            <w:r>
              <w:rPr>
                <w:rFonts w:ascii="Times New Roman" w:hAnsi="Times New Roman" w:cs="Times New Roman"/>
                <w:b/>
                <w:bCs/>
                <w:szCs w:val="21"/>
                <w:u w:val="single"/>
              </w:rPr>
              <w:t>固体份NV</w:t>
            </w:r>
          </w:p>
        </w:tc>
        <w:tc>
          <w:tcPr>
            <w:tcW w:w="2293" w:type="dxa"/>
            <w:tcBorders>
              <w:tl2br w:val="nil"/>
              <w:tr2bl w:val="nil"/>
            </w:tcBorders>
            <w:vAlign w:val="center"/>
          </w:tcPr>
          <w:p w14:paraId="035817C5">
            <w:pPr>
              <w:ind w:firstLine="420"/>
              <w:jc w:val="center"/>
              <w:rPr>
                <w:rFonts w:ascii="Times New Roman" w:hAnsi="Times New Roman" w:cs="Times New Roman"/>
                <w:b/>
                <w:bCs/>
                <w:szCs w:val="21"/>
                <w:u w:val="single"/>
              </w:rPr>
            </w:pPr>
            <w:r>
              <w:rPr>
                <w:rFonts w:ascii="Times New Roman" w:hAnsi="Times New Roman" w:cs="Times New Roman"/>
                <w:b/>
                <w:bCs/>
                <w:szCs w:val="21"/>
                <w:u w:val="single"/>
              </w:rPr>
              <w:t>50%</w:t>
            </w:r>
          </w:p>
        </w:tc>
        <w:tc>
          <w:tcPr>
            <w:tcW w:w="2372" w:type="dxa"/>
            <w:tcBorders>
              <w:tl2br w:val="nil"/>
              <w:tr2bl w:val="nil"/>
            </w:tcBorders>
            <w:vAlign w:val="center"/>
          </w:tcPr>
          <w:p w14:paraId="0F9CCCC1">
            <w:pPr>
              <w:ind w:firstLine="420"/>
              <w:jc w:val="center"/>
              <w:rPr>
                <w:rFonts w:ascii="Times New Roman" w:hAnsi="Times New Roman" w:cs="Times New Roman"/>
                <w:b/>
                <w:bCs/>
                <w:szCs w:val="21"/>
                <w:u w:val="single"/>
              </w:rPr>
            </w:pPr>
            <w:r>
              <w:rPr>
                <w:rFonts w:ascii="Times New Roman" w:hAnsi="Times New Roman" w:cs="Times New Roman"/>
                <w:b/>
                <w:bCs/>
                <w:szCs w:val="21"/>
                <w:u w:val="single"/>
              </w:rPr>
              <w:t>55%</w:t>
            </w:r>
          </w:p>
        </w:tc>
      </w:tr>
      <w:tr w14:paraId="0C02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8" w:type="dxa"/>
            <w:tcBorders>
              <w:tl2br w:val="nil"/>
              <w:tr2bl w:val="nil"/>
            </w:tcBorders>
            <w:vAlign w:val="center"/>
          </w:tcPr>
          <w:p w14:paraId="0A9BFCFA">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漆料的附着率%</w:t>
            </w:r>
          </w:p>
        </w:tc>
        <w:tc>
          <w:tcPr>
            <w:tcW w:w="2293" w:type="dxa"/>
            <w:tcBorders>
              <w:tl2br w:val="nil"/>
              <w:tr2bl w:val="nil"/>
            </w:tcBorders>
            <w:vAlign w:val="center"/>
          </w:tcPr>
          <w:p w14:paraId="28654226">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70%</w:t>
            </w:r>
          </w:p>
        </w:tc>
        <w:tc>
          <w:tcPr>
            <w:tcW w:w="2372" w:type="dxa"/>
            <w:tcBorders>
              <w:tl2br w:val="nil"/>
              <w:tr2bl w:val="nil"/>
            </w:tcBorders>
            <w:vAlign w:val="center"/>
          </w:tcPr>
          <w:p w14:paraId="34A29194">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70%</w:t>
            </w:r>
          </w:p>
        </w:tc>
      </w:tr>
      <w:tr w14:paraId="1EC1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8" w:type="dxa"/>
            <w:tcBorders>
              <w:tl2br w:val="nil"/>
              <w:tr2bl w:val="nil"/>
            </w:tcBorders>
            <w:vAlign w:val="center"/>
          </w:tcPr>
          <w:p w14:paraId="0B7E891F">
            <w:pPr>
              <w:ind w:firstLine="420"/>
              <w:jc w:val="center"/>
              <w:rPr>
                <w:rFonts w:ascii="Times New Roman" w:hAnsi="Times New Roman" w:cs="Times New Roman"/>
                <w:b/>
                <w:bCs/>
                <w:szCs w:val="21"/>
                <w:u w:val="single"/>
              </w:rPr>
            </w:pPr>
            <w:r>
              <w:rPr>
                <w:rFonts w:hint="eastAsia" w:ascii="Times New Roman" w:hAnsi="Times New Roman" w:cs="Times New Roman"/>
                <w:b/>
                <w:bCs/>
                <w:szCs w:val="21"/>
                <w:u w:val="single"/>
              </w:rPr>
              <w:t>喷涂次数</w:t>
            </w:r>
          </w:p>
        </w:tc>
        <w:tc>
          <w:tcPr>
            <w:tcW w:w="2293" w:type="dxa"/>
            <w:tcBorders>
              <w:tl2br w:val="nil"/>
              <w:tr2bl w:val="nil"/>
            </w:tcBorders>
            <w:vAlign w:val="center"/>
          </w:tcPr>
          <w:p w14:paraId="6BDC919A">
            <w:pPr>
              <w:ind w:firstLine="420"/>
              <w:jc w:val="center"/>
              <w:rPr>
                <w:rFonts w:ascii="Times New Roman" w:hAnsi="Times New Roman" w:cs="Times New Roman"/>
                <w:b/>
                <w:bCs/>
                <w:szCs w:val="21"/>
                <w:u w:val="single"/>
              </w:rPr>
            </w:pPr>
            <w:r>
              <w:rPr>
                <w:rFonts w:hint="eastAsia" w:ascii="Times New Roman" w:hAnsi="Times New Roman" w:cs="Times New Roman"/>
                <w:b/>
                <w:bCs/>
                <w:szCs w:val="21"/>
                <w:u w:val="single"/>
              </w:rPr>
              <w:t>2</w:t>
            </w:r>
          </w:p>
        </w:tc>
        <w:tc>
          <w:tcPr>
            <w:tcW w:w="2372" w:type="dxa"/>
            <w:tcBorders>
              <w:tl2br w:val="nil"/>
              <w:tr2bl w:val="nil"/>
            </w:tcBorders>
            <w:vAlign w:val="center"/>
          </w:tcPr>
          <w:p w14:paraId="2803AC6C">
            <w:pPr>
              <w:ind w:firstLine="420"/>
              <w:jc w:val="center"/>
              <w:rPr>
                <w:rFonts w:ascii="Times New Roman" w:hAnsi="Times New Roman" w:cs="Times New Roman"/>
                <w:b/>
                <w:bCs/>
                <w:szCs w:val="21"/>
                <w:u w:val="single"/>
              </w:rPr>
            </w:pPr>
            <w:r>
              <w:rPr>
                <w:rFonts w:hint="eastAsia" w:ascii="Times New Roman" w:hAnsi="Times New Roman" w:cs="Times New Roman"/>
                <w:b/>
                <w:bCs/>
                <w:szCs w:val="21"/>
                <w:u w:val="single"/>
              </w:rPr>
              <w:t>1</w:t>
            </w:r>
          </w:p>
        </w:tc>
      </w:tr>
      <w:tr w14:paraId="5829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8" w:type="dxa"/>
            <w:tcBorders>
              <w:tl2br w:val="nil"/>
              <w:tr2bl w:val="nil"/>
            </w:tcBorders>
            <w:vAlign w:val="center"/>
          </w:tcPr>
          <w:p w14:paraId="29440DF3">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油漆的总用量（含</w:t>
            </w:r>
            <w:r>
              <w:rPr>
                <w:rFonts w:hint="eastAsia" w:ascii="Times New Roman" w:hAnsi="Times New Roman" w:cs="Times New Roman"/>
                <w:b/>
                <w:bCs/>
                <w:szCs w:val="21"/>
                <w:u w:val="single"/>
              </w:rPr>
              <w:t>固化剂</w:t>
            </w:r>
            <w:r>
              <w:rPr>
                <w:rFonts w:ascii="Times New Roman" w:hAnsi="Times New Roman" w:cs="Times New Roman"/>
                <w:b/>
                <w:bCs/>
                <w:szCs w:val="21"/>
                <w:u w:val="single"/>
              </w:rPr>
              <w:t>、稀释剂）</w:t>
            </w:r>
          </w:p>
        </w:tc>
        <w:tc>
          <w:tcPr>
            <w:tcW w:w="2293" w:type="dxa"/>
            <w:tcBorders>
              <w:tl2br w:val="nil"/>
              <w:tr2bl w:val="nil"/>
            </w:tcBorders>
            <w:vAlign w:val="center"/>
          </w:tcPr>
          <w:p w14:paraId="08C33EB8">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8.0</w:t>
            </w:r>
            <w:r>
              <w:rPr>
                <w:rFonts w:ascii="Times New Roman" w:hAnsi="Times New Roman" w:cs="Times New Roman"/>
                <w:b/>
                <w:bCs/>
                <w:szCs w:val="21"/>
                <w:u w:val="single"/>
              </w:rPr>
              <w:t>t/a</w:t>
            </w:r>
          </w:p>
        </w:tc>
        <w:tc>
          <w:tcPr>
            <w:tcW w:w="2372" w:type="dxa"/>
            <w:tcBorders>
              <w:tl2br w:val="nil"/>
              <w:tr2bl w:val="nil"/>
            </w:tcBorders>
            <w:vAlign w:val="center"/>
          </w:tcPr>
          <w:p w14:paraId="6A2DD5DF">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6.4</w:t>
            </w:r>
            <w:r>
              <w:rPr>
                <w:rFonts w:ascii="Times New Roman" w:hAnsi="Times New Roman" w:cs="Times New Roman"/>
                <w:b/>
                <w:bCs/>
                <w:szCs w:val="21"/>
                <w:u w:val="single"/>
              </w:rPr>
              <w:t>t/a</w:t>
            </w:r>
          </w:p>
        </w:tc>
      </w:tr>
    </w:tbl>
    <w:p w14:paraId="58D62DFC">
      <w:pPr>
        <w:pStyle w:val="37"/>
        <w:numPr>
          <w:ilvl w:val="0"/>
          <w:numId w:val="33"/>
        </w:numPr>
        <w:jc w:val="center"/>
        <w:rPr>
          <w:rFonts w:ascii="Times New Roman" w:hAnsi="Times New Roman" w:eastAsia="宋体" w:cs="Times New Roman"/>
          <w:b/>
          <w:bCs/>
          <w:color w:val="000000"/>
          <w:szCs w:val="21"/>
          <w:u w:val="single"/>
        </w:rPr>
      </w:pPr>
      <w:r>
        <w:rPr>
          <w:rFonts w:hint="eastAsia" w:ascii="Times New Roman" w:hAnsi="Times New Roman" w:cs="Times New Roman"/>
          <w:b/>
          <w:bCs/>
          <w:szCs w:val="21"/>
          <w:u w:val="single"/>
        </w:rPr>
        <w:t xml:space="preserve"> </w:t>
      </w:r>
      <w:r>
        <w:rPr>
          <w:rFonts w:ascii="Times New Roman" w:hAnsi="Times New Roman" w:eastAsia="宋体" w:cs="Times New Roman"/>
          <w:b/>
          <w:bCs/>
          <w:color w:val="000000"/>
          <w:szCs w:val="21"/>
          <w:u w:val="single"/>
        </w:rPr>
        <w:t>水性底漆、面漆消耗一览表</w:t>
      </w:r>
    </w:p>
    <w:tbl>
      <w:tblPr>
        <w:tblStyle w:val="31"/>
        <w:tblW w:w="8400"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8"/>
        <w:gridCol w:w="2673"/>
        <w:gridCol w:w="2699"/>
      </w:tblGrid>
      <w:tr w14:paraId="5BF5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8" w:type="dxa"/>
            <w:tcBorders>
              <w:tl2br w:val="nil"/>
              <w:tr2bl w:val="nil"/>
            </w:tcBorders>
            <w:vAlign w:val="center"/>
          </w:tcPr>
          <w:p w14:paraId="4A4FF3CA">
            <w:pPr>
              <w:ind w:firstLine="422"/>
              <w:jc w:val="center"/>
              <w:rPr>
                <w:rFonts w:ascii="Times New Roman" w:hAnsi="Times New Roman" w:eastAsia="宋体" w:cs="Times New Roman"/>
                <w:b/>
                <w:bCs/>
                <w:szCs w:val="21"/>
                <w:u w:val="single"/>
              </w:rPr>
            </w:pPr>
            <w:r>
              <w:rPr>
                <w:rFonts w:ascii="Times New Roman" w:hAnsi="Times New Roman" w:cs="Times New Roman"/>
                <w:b/>
                <w:bCs/>
                <w:szCs w:val="21"/>
                <w:u w:val="single"/>
              </w:rPr>
              <w:t>类别</w:t>
            </w:r>
          </w:p>
        </w:tc>
        <w:tc>
          <w:tcPr>
            <w:tcW w:w="2673" w:type="dxa"/>
            <w:tcBorders>
              <w:tl2br w:val="nil"/>
              <w:tr2bl w:val="nil"/>
            </w:tcBorders>
            <w:vAlign w:val="center"/>
          </w:tcPr>
          <w:p w14:paraId="70803419">
            <w:pPr>
              <w:ind w:firstLine="422"/>
              <w:jc w:val="center"/>
              <w:rPr>
                <w:rFonts w:ascii="Times New Roman" w:hAnsi="Times New Roman" w:eastAsia="宋体" w:cs="Times New Roman"/>
                <w:b/>
                <w:bCs/>
                <w:szCs w:val="21"/>
                <w:u w:val="single"/>
              </w:rPr>
            </w:pPr>
            <w:r>
              <w:rPr>
                <w:rFonts w:ascii="Times New Roman" w:hAnsi="Times New Roman" w:cs="Times New Roman"/>
                <w:b/>
                <w:bCs/>
                <w:szCs w:val="21"/>
                <w:u w:val="single"/>
              </w:rPr>
              <w:t>底漆</w:t>
            </w:r>
          </w:p>
        </w:tc>
        <w:tc>
          <w:tcPr>
            <w:tcW w:w="2699" w:type="dxa"/>
            <w:tcBorders>
              <w:tl2br w:val="nil"/>
              <w:tr2bl w:val="nil"/>
            </w:tcBorders>
            <w:vAlign w:val="center"/>
          </w:tcPr>
          <w:p w14:paraId="2B92A059">
            <w:pPr>
              <w:ind w:firstLine="422"/>
              <w:jc w:val="center"/>
              <w:rPr>
                <w:rFonts w:ascii="Times New Roman" w:hAnsi="Times New Roman" w:eastAsia="宋体" w:cs="Times New Roman"/>
                <w:b/>
                <w:bCs/>
                <w:szCs w:val="21"/>
                <w:u w:val="single"/>
              </w:rPr>
            </w:pPr>
            <w:r>
              <w:rPr>
                <w:rFonts w:ascii="Times New Roman" w:hAnsi="Times New Roman" w:cs="Times New Roman"/>
                <w:b/>
                <w:bCs/>
                <w:szCs w:val="21"/>
                <w:u w:val="single"/>
              </w:rPr>
              <w:t>面漆</w:t>
            </w:r>
          </w:p>
        </w:tc>
      </w:tr>
      <w:tr w14:paraId="6213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8" w:type="dxa"/>
            <w:tcBorders>
              <w:tl2br w:val="nil"/>
              <w:tr2bl w:val="nil"/>
            </w:tcBorders>
            <w:vAlign w:val="center"/>
          </w:tcPr>
          <w:p w14:paraId="32DD34E6">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涂装</w:t>
            </w:r>
            <w:r>
              <w:rPr>
                <w:rFonts w:ascii="Times New Roman" w:hAnsi="Times New Roman" w:cs="Times New Roman"/>
                <w:b/>
                <w:bCs/>
                <w:szCs w:val="21"/>
                <w:u w:val="single"/>
              </w:rPr>
              <w:t>面积</w:t>
            </w:r>
          </w:p>
        </w:tc>
        <w:tc>
          <w:tcPr>
            <w:tcW w:w="2673" w:type="dxa"/>
            <w:tcBorders>
              <w:tl2br w:val="nil"/>
              <w:tr2bl w:val="nil"/>
            </w:tcBorders>
            <w:vAlign w:val="center"/>
          </w:tcPr>
          <w:p w14:paraId="76919717">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18000</w:t>
            </w:r>
            <w:r>
              <w:rPr>
                <w:rFonts w:ascii="Times New Roman" w:hAnsi="Times New Roman" w:cs="Times New Roman"/>
                <w:b/>
                <w:bCs/>
                <w:szCs w:val="21"/>
                <w:u w:val="single"/>
              </w:rPr>
              <w:t>m</w:t>
            </w:r>
            <w:r>
              <w:rPr>
                <w:rFonts w:ascii="Times New Roman" w:hAnsi="Times New Roman" w:cs="Times New Roman"/>
                <w:b/>
                <w:bCs/>
                <w:szCs w:val="21"/>
                <w:u w:val="single"/>
                <w:vertAlign w:val="superscript"/>
              </w:rPr>
              <w:t>2</w:t>
            </w:r>
            <w:r>
              <w:rPr>
                <w:rFonts w:ascii="Times New Roman" w:hAnsi="Times New Roman" w:cs="Times New Roman"/>
                <w:b/>
                <w:bCs/>
                <w:szCs w:val="21"/>
                <w:u w:val="single"/>
              </w:rPr>
              <w:t>/a</w:t>
            </w:r>
          </w:p>
        </w:tc>
        <w:tc>
          <w:tcPr>
            <w:tcW w:w="2699" w:type="dxa"/>
            <w:tcBorders>
              <w:tl2br w:val="nil"/>
              <w:tr2bl w:val="nil"/>
            </w:tcBorders>
            <w:vAlign w:val="center"/>
          </w:tcPr>
          <w:p w14:paraId="53B02A40">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18000</w:t>
            </w:r>
            <w:r>
              <w:rPr>
                <w:rFonts w:ascii="Times New Roman" w:hAnsi="Times New Roman" w:cs="Times New Roman"/>
                <w:b/>
                <w:bCs/>
                <w:szCs w:val="21"/>
                <w:u w:val="single"/>
              </w:rPr>
              <w:t>m</w:t>
            </w:r>
            <w:r>
              <w:rPr>
                <w:rFonts w:ascii="Times New Roman" w:hAnsi="Times New Roman" w:cs="Times New Roman"/>
                <w:b/>
                <w:bCs/>
                <w:szCs w:val="21"/>
                <w:u w:val="single"/>
                <w:vertAlign w:val="superscript"/>
              </w:rPr>
              <w:t>2</w:t>
            </w:r>
            <w:r>
              <w:rPr>
                <w:rFonts w:ascii="Times New Roman" w:hAnsi="Times New Roman" w:cs="Times New Roman"/>
                <w:b/>
                <w:bCs/>
                <w:szCs w:val="21"/>
                <w:u w:val="single"/>
              </w:rPr>
              <w:t>/a</w:t>
            </w:r>
          </w:p>
        </w:tc>
      </w:tr>
      <w:tr w14:paraId="6D6C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8" w:type="dxa"/>
            <w:tcBorders>
              <w:tl2br w:val="nil"/>
              <w:tr2bl w:val="nil"/>
            </w:tcBorders>
            <w:vAlign w:val="center"/>
          </w:tcPr>
          <w:p w14:paraId="694F92DA">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底漆密度</w:t>
            </w:r>
          </w:p>
        </w:tc>
        <w:tc>
          <w:tcPr>
            <w:tcW w:w="2673" w:type="dxa"/>
            <w:tcBorders>
              <w:tl2br w:val="nil"/>
              <w:tr2bl w:val="nil"/>
            </w:tcBorders>
            <w:vAlign w:val="center"/>
          </w:tcPr>
          <w:p w14:paraId="670FA833">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1.2g/cm</w:t>
            </w:r>
            <w:r>
              <w:rPr>
                <w:rFonts w:ascii="Times New Roman" w:hAnsi="Times New Roman" w:cs="Times New Roman"/>
                <w:b/>
                <w:bCs/>
                <w:szCs w:val="21"/>
                <w:u w:val="single"/>
                <w:vertAlign w:val="superscript"/>
              </w:rPr>
              <w:t>3</w:t>
            </w:r>
          </w:p>
        </w:tc>
        <w:tc>
          <w:tcPr>
            <w:tcW w:w="2699" w:type="dxa"/>
            <w:tcBorders>
              <w:tl2br w:val="nil"/>
              <w:tr2bl w:val="nil"/>
            </w:tcBorders>
            <w:vAlign w:val="center"/>
          </w:tcPr>
          <w:p w14:paraId="3FFA20B7">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1.26g/cm</w:t>
            </w:r>
            <w:r>
              <w:rPr>
                <w:rFonts w:ascii="Times New Roman" w:hAnsi="Times New Roman" w:cs="Times New Roman"/>
                <w:b/>
                <w:bCs/>
                <w:szCs w:val="21"/>
                <w:u w:val="single"/>
                <w:vertAlign w:val="superscript"/>
              </w:rPr>
              <w:t>3</w:t>
            </w:r>
          </w:p>
        </w:tc>
      </w:tr>
      <w:tr w14:paraId="1C11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8" w:type="dxa"/>
            <w:tcBorders>
              <w:tl2br w:val="nil"/>
              <w:tr2bl w:val="nil"/>
            </w:tcBorders>
            <w:vAlign w:val="center"/>
          </w:tcPr>
          <w:p w14:paraId="6CF2AEA6">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漆膜厚度</w:t>
            </w:r>
          </w:p>
        </w:tc>
        <w:tc>
          <w:tcPr>
            <w:tcW w:w="2673" w:type="dxa"/>
            <w:tcBorders>
              <w:tl2br w:val="nil"/>
              <w:tr2bl w:val="nil"/>
            </w:tcBorders>
            <w:vAlign w:val="center"/>
          </w:tcPr>
          <w:p w14:paraId="0B21F8BE">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6</w:t>
            </w:r>
            <w:r>
              <w:rPr>
                <w:rFonts w:ascii="Times New Roman" w:hAnsi="Times New Roman" w:cs="Times New Roman"/>
                <w:b/>
                <w:bCs/>
                <w:szCs w:val="21"/>
                <w:u w:val="single"/>
              </w:rPr>
              <w:t>0μm</w:t>
            </w:r>
          </w:p>
        </w:tc>
        <w:tc>
          <w:tcPr>
            <w:tcW w:w="2699" w:type="dxa"/>
            <w:tcBorders>
              <w:tl2br w:val="nil"/>
              <w:tr2bl w:val="nil"/>
            </w:tcBorders>
            <w:vAlign w:val="center"/>
          </w:tcPr>
          <w:p w14:paraId="53F6B06D">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100</w:t>
            </w:r>
            <w:r>
              <w:rPr>
                <w:rFonts w:ascii="Times New Roman" w:hAnsi="Times New Roman" w:cs="Times New Roman"/>
                <w:b/>
                <w:bCs/>
                <w:szCs w:val="21"/>
                <w:u w:val="single"/>
              </w:rPr>
              <w:t>μm</w:t>
            </w:r>
          </w:p>
        </w:tc>
      </w:tr>
      <w:tr w14:paraId="7C60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28" w:type="dxa"/>
            <w:tcBorders>
              <w:tl2br w:val="nil"/>
              <w:tr2bl w:val="nil"/>
            </w:tcBorders>
            <w:vAlign w:val="center"/>
          </w:tcPr>
          <w:p w14:paraId="0DC3D82F">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固体份NV</w:t>
            </w:r>
          </w:p>
        </w:tc>
        <w:tc>
          <w:tcPr>
            <w:tcW w:w="2673" w:type="dxa"/>
            <w:tcBorders>
              <w:tl2br w:val="nil"/>
              <w:tr2bl w:val="nil"/>
            </w:tcBorders>
            <w:vAlign w:val="center"/>
          </w:tcPr>
          <w:p w14:paraId="5789CBCB">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35%</w:t>
            </w:r>
          </w:p>
        </w:tc>
        <w:tc>
          <w:tcPr>
            <w:tcW w:w="2699" w:type="dxa"/>
            <w:tcBorders>
              <w:tl2br w:val="nil"/>
              <w:tr2bl w:val="nil"/>
            </w:tcBorders>
            <w:vAlign w:val="center"/>
          </w:tcPr>
          <w:p w14:paraId="2D6D6293">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38%</w:t>
            </w:r>
          </w:p>
        </w:tc>
      </w:tr>
      <w:tr w14:paraId="488C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028" w:type="dxa"/>
            <w:tcBorders>
              <w:tl2br w:val="nil"/>
              <w:tr2bl w:val="nil"/>
            </w:tcBorders>
            <w:vAlign w:val="center"/>
          </w:tcPr>
          <w:p w14:paraId="3260F222">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漆料的附着率</w:t>
            </w:r>
          </w:p>
        </w:tc>
        <w:tc>
          <w:tcPr>
            <w:tcW w:w="2673" w:type="dxa"/>
            <w:tcBorders>
              <w:tl2br w:val="nil"/>
              <w:tr2bl w:val="nil"/>
            </w:tcBorders>
            <w:vAlign w:val="center"/>
          </w:tcPr>
          <w:p w14:paraId="16CDEC0E">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70%</w:t>
            </w:r>
          </w:p>
        </w:tc>
        <w:tc>
          <w:tcPr>
            <w:tcW w:w="2699" w:type="dxa"/>
            <w:tcBorders>
              <w:tl2br w:val="nil"/>
              <w:tr2bl w:val="nil"/>
            </w:tcBorders>
            <w:vAlign w:val="center"/>
          </w:tcPr>
          <w:p w14:paraId="510B77AC">
            <w:pPr>
              <w:ind w:firstLine="420"/>
              <w:jc w:val="center"/>
              <w:rPr>
                <w:rFonts w:ascii="Times New Roman" w:hAnsi="Times New Roman" w:eastAsia="宋体" w:cs="Times New Roman"/>
                <w:b/>
                <w:bCs/>
                <w:szCs w:val="21"/>
                <w:u w:val="single"/>
              </w:rPr>
            </w:pPr>
            <w:r>
              <w:rPr>
                <w:rFonts w:ascii="Times New Roman" w:hAnsi="Times New Roman" w:cs="Times New Roman"/>
                <w:b/>
                <w:bCs/>
                <w:szCs w:val="21"/>
                <w:u w:val="single"/>
              </w:rPr>
              <w:t>70%</w:t>
            </w:r>
          </w:p>
        </w:tc>
      </w:tr>
      <w:tr w14:paraId="1BFC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028" w:type="dxa"/>
            <w:tcBorders>
              <w:tl2br w:val="nil"/>
              <w:tr2bl w:val="nil"/>
            </w:tcBorders>
            <w:vAlign w:val="center"/>
          </w:tcPr>
          <w:p w14:paraId="0EB0823E">
            <w:pPr>
              <w:ind w:firstLine="420"/>
              <w:jc w:val="center"/>
              <w:rPr>
                <w:rFonts w:ascii="Times New Roman" w:hAnsi="Times New Roman" w:cs="Times New Roman"/>
                <w:b/>
                <w:bCs/>
                <w:szCs w:val="21"/>
                <w:u w:val="single"/>
              </w:rPr>
            </w:pPr>
            <w:r>
              <w:rPr>
                <w:rFonts w:hint="eastAsia" w:ascii="Times New Roman" w:hAnsi="Times New Roman" w:cs="Times New Roman"/>
                <w:b/>
                <w:bCs/>
                <w:szCs w:val="21"/>
                <w:u w:val="single"/>
              </w:rPr>
              <w:t>喷涂次数</w:t>
            </w:r>
          </w:p>
        </w:tc>
        <w:tc>
          <w:tcPr>
            <w:tcW w:w="2673" w:type="dxa"/>
            <w:tcBorders>
              <w:tl2br w:val="nil"/>
              <w:tr2bl w:val="nil"/>
            </w:tcBorders>
            <w:vAlign w:val="center"/>
          </w:tcPr>
          <w:p w14:paraId="76B6D3D2">
            <w:pPr>
              <w:ind w:firstLine="420"/>
              <w:jc w:val="center"/>
              <w:rPr>
                <w:rFonts w:ascii="Times New Roman" w:hAnsi="Times New Roman" w:cs="Times New Roman"/>
                <w:b/>
                <w:bCs/>
                <w:szCs w:val="21"/>
                <w:u w:val="single"/>
              </w:rPr>
            </w:pPr>
            <w:r>
              <w:rPr>
                <w:rFonts w:hint="eastAsia" w:ascii="Times New Roman" w:hAnsi="Times New Roman" w:cs="Times New Roman"/>
                <w:b/>
                <w:bCs/>
                <w:szCs w:val="21"/>
                <w:u w:val="single"/>
              </w:rPr>
              <w:t>2</w:t>
            </w:r>
          </w:p>
        </w:tc>
        <w:tc>
          <w:tcPr>
            <w:tcW w:w="2699" w:type="dxa"/>
            <w:tcBorders>
              <w:tl2br w:val="nil"/>
              <w:tr2bl w:val="nil"/>
            </w:tcBorders>
            <w:vAlign w:val="center"/>
          </w:tcPr>
          <w:p w14:paraId="7BAB695E">
            <w:pPr>
              <w:ind w:firstLine="420"/>
              <w:jc w:val="center"/>
              <w:rPr>
                <w:rFonts w:ascii="Times New Roman" w:hAnsi="Times New Roman" w:cs="Times New Roman"/>
                <w:b/>
                <w:bCs/>
                <w:szCs w:val="21"/>
                <w:u w:val="single"/>
              </w:rPr>
            </w:pPr>
            <w:r>
              <w:rPr>
                <w:rFonts w:hint="eastAsia" w:ascii="Times New Roman" w:hAnsi="Times New Roman" w:cs="Times New Roman"/>
                <w:b/>
                <w:bCs/>
                <w:szCs w:val="21"/>
                <w:u w:val="single"/>
              </w:rPr>
              <w:t>1</w:t>
            </w:r>
          </w:p>
        </w:tc>
      </w:tr>
      <w:tr w14:paraId="7F24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8" w:type="dxa"/>
            <w:tcBorders>
              <w:tl2br w:val="nil"/>
              <w:tr2bl w:val="nil"/>
            </w:tcBorders>
            <w:vAlign w:val="center"/>
          </w:tcPr>
          <w:p w14:paraId="4DDAC604">
            <w:pPr>
              <w:ind w:firstLine="420"/>
              <w:jc w:val="center"/>
              <w:rPr>
                <w:rFonts w:ascii="Times New Roman" w:hAnsi="Times New Roman" w:cs="Times New Roman"/>
                <w:b/>
                <w:bCs/>
                <w:szCs w:val="21"/>
                <w:u w:val="single"/>
              </w:rPr>
            </w:pPr>
            <w:r>
              <w:rPr>
                <w:rFonts w:ascii="Times New Roman" w:hAnsi="Times New Roman" w:cs="Times New Roman"/>
                <w:b/>
                <w:bCs/>
                <w:szCs w:val="21"/>
                <w:u w:val="single"/>
              </w:rPr>
              <w:t>水性漆的总用量</w:t>
            </w:r>
            <w:r>
              <w:rPr>
                <w:rFonts w:hint="eastAsia" w:ascii="Times New Roman" w:hAnsi="Times New Roman" w:cs="Times New Roman"/>
                <w:b/>
                <w:bCs/>
                <w:szCs w:val="21"/>
                <w:u w:val="single"/>
              </w:rPr>
              <w:t>（含水）</w:t>
            </w:r>
          </w:p>
        </w:tc>
        <w:tc>
          <w:tcPr>
            <w:tcW w:w="2673" w:type="dxa"/>
            <w:tcBorders>
              <w:tl2br w:val="nil"/>
              <w:tr2bl w:val="nil"/>
            </w:tcBorders>
            <w:vAlign w:val="center"/>
          </w:tcPr>
          <w:p w14:paraId="15C56865">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10.6t</w:t>
            </w:r>
            <w:r>
              <w:rPr>
                <w:rFonts w:ascii="Times New Roman" w:hAnsi="Times New Roman" w:cs="Times New Roman"/>
                <w:b/>
                <w:bCs/>
                <w:szCs w:val="21"/>
                <w:u w:val="single"/>
              </w:rPr>
              <w:t>/a</w:t>
            </w:r>
          </w:p>
        </w:tc>
        <w:tc>
          <w:tcPr>
            <w:tcW w:w="2699" w:type="dxa"/>
            <w:tcBorders>
              <w:tl2br w:val="nil"/>
              <w:tr2bl w:val="nil"/>
            </w:tcBorders>
            <w:vAlign w:val="center"/>
          </w:tcPr>
          <w:p w14:paraId="3E7EF5F9">
            <w:pPr>
              <w:ind w:firstLine="420"/>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8.5</w:t>
            </w:r>
            <w:r>
              <w:rPr>
                <w:rFonts w:ascii="Times New Roman" w:hAnsi="Times New Roman" w:cs="Times New Roman"/>
                <w:b/>
                <w:bCs/>
                <w:szCs w:val="21"/>
                <w:u w:val="single"/>
              </w:rPr>
              <w:t>t/a</w:t>
            </w:r>
          </w:p>
        </w:tc>
      </w:tr>
    </w:tbl>
    <w:p w14:paraId="45816065">
      <w:pPr>
        <w:pStyle w:val="43"/>
        <w:spacing w:line="500" w:lineRule="exact"/>
        <w:ind w:firstLine="480"/>
        <w:jc w:val="both"/>
        <w:rPr>
          <w:rFonts w:ascii="Times New Roman" w:hAnsi="Times New Roman" w:cs="Times New Roman"/>
          <w:color w:val="auto"/>
          <w:szCs w:val="18"/>
        </w:rPr>
      </w:pPr>
      <w:r>
        <w:rPr>
          <w:rFonts w:ascii="Times New Roman" w:hAnsi="Times New Roman" w:eastAsia="宋体" w:cs="Times New Roman"/>
          <w:b/>
          <w:bCs/>
          <w:color w:val="auto"/>
          <w:szCs w:val="18"/>
          <w:u w:val="single"/>
        </w:rPr>
        <w:t>根据建设单位提供的</w:t>
      </w:r>
      <w:r>
        <w:rPr>
          <w:rFonts w:hint="eastAsia" w:ascii="Times New Roman" w:hAnsi="Times New Roman" w:eastAsia="宋体" w:cs="Times New Roman"/>
          <w:b/>
          <w:bCs/>
          <w:color w:val="auto"/>
          <w:szCs w:val="18"/>
          <w:u w:val="single"/>
        </w:rPr>
        <w:t>漆料检测报告</w:t>
      </w:r>
      <w:r>
        <w:rPr>
          <w:rFonts w:ascii="Times New Roman" w:hAnsi="Times New Roman" w:eastAsia="宋体" w:cs="Times New Roman"/>
          <w:b/>
          <w:bCs/>
          <w:color w:val="auto"/>
          <w:szCs w:val="18"/>
          <w:u w:val="single"/>
        </w:rPr>
        <w:t>，本项目油性底漆VOC</w:t>
      </w:r>
      <w:r>
        <w:rPr>
          <w:rFonts w:hint="eastAsia" w:ascii="Times New Roman" w:hAnsi="Times New Roman" w:eastAsia="宋体" w:cs="Times New Roman"/>
          <w:b/>
          <w:bCs/>
          <w:color w:val="auto"/>
          <w:szCs w:val="18"/>
          <w:u w:val="single"/>
        </w:rPr>
        <w:t>s</w:t>
      </w:r>
      <w:r>
        <w:rPr>
          <w:rFonts w:ascii="Times New Roman" w:hAnsi="Times New Roman" w:eastAsia="宋体" w:cs="Times New Roman"/>
          <w:b/>
          <w:bCs/>
          <w:color w:val="auto"/>
          <w:szCs w:val="18"/>
          <w:u w:val="single"/>
        </w:rPr>
        <w:t>含量为</w:t>
      </w:r>
      <w:r>
        <w:rPr>
          <w:rFonts w:hint="eastAsia" w:ascii="Times New Roman" w:hAnsi="Times New Roman" w:eastAsia="宋体" w:cs="Times New Roman"/>
          <w:b/>
          <w:bCs/>
          <w:color w:val="auto"/>
          <w:szCs w:val="18"/>
          <w:u w:val="single"/>
        </w:rPr>
        <w:t>382</w:t>
      </w:r>
      <w:r>
        <w:rPr>
          <w:rFonts w:ascii="Times New Roman" w:hAnsi="Times New Roman" w:eastAsia="宋体" w:cs="Times New Roman"/>
          <w:b/>
          <w:bCs/>
          <w:color w:val="auto"/>
          <w:szCs w:val="18"/>
          <w:u w:val="single"/>
        </w:rPr>
        <w:t>g/L，油性面漆VOC</w:t>
      </w:r>
      <w:r>
        <w:rPr>
          <w:rFonts w:hint="eastAsia" w:ascii="Times New Roman" w:hAnsi="Times New Roman" w:eastAsia="宋体" w:cs="Times New Roman"/>
          <w:b/>
          <w:bCs/>
          <w:color w:val="auto"/>
          <w:szCs w:val="18"/>
          <w:u w:val="single"/>
        </w:rPr>
        <w:t>s</w:t>
      </w:r>
      <w:r>
        <w:rPr>
          <w:rFonts w:ascii="Times New Roman" w:hAnsi="Times New Roman" w:eastAsia="宋体" w:cs="Times New Roman"/>
          <w:b/>
          <w:bCs/>
          <w:color w:val="auto"/>
          <w:szCs w:val="18"/>
          <w:u w:val="single"/>
        </w:rPr>
        <w:t>含量为</w:t>
      </w:r>
      <w:r>
        <w:rPr>
          <w:rFonts w:hint="eastAsia" w:ascii="Times New Roman" w:hAnsi="Times New Roman" w:eastAsia="宋体" w:cs="Times New Roman"/>
          <w:b/>
          <w:bCs/>
          <w:color w:val="auto"/>
          <w:szCs w:val="18"/>
          <w:u w:val="single"/>
        </w:rPr>
        <w:t>393</w:t>
      </w:r>
      <w:r>
        <w:rPr>
          <w:rFonts w:ascii="Times New Roman" w:hAnsi="Times New Roman" w:eastAsia="宋体" w:cs="Times New Roman"/>
          <w:b/>
          <w:bCs/>
          <w:color w:val="auto"/>
          <w:szCs w:val="18"/>
          <w:u w:val="single"/>
        </w:rPr>
        <w:t>g/L，满足《低挥发性有机化合物含量涂料产品技术要求（GB/T38597-2020）》中表2溶剂型涂料中VOC</w:t>
      </w:r>
      <w:r>
        <w:rPr>
          <w:rFonts w:hint="eastAsia" w:ascii="Times New Roman" w:hAnsi="Times New Roman" w:eastAsia="宋体" w:cs="Times New Roman"/>
          <w:b/>
          <w:bCs/>
          <w:color w:val="auto"/>
          <w:szCs w:val="18"/>
          <w:u w:val="single"/>
        </w:rPr>
        <w:t>s</w:t>
      </w:r>
      <w:r>
        <w:rPr>
          <w:rFonts w:ascii="Times New Roman" w:hAnsi="Times New Roman" w:eastAsia="宋体" w:cs="Times New Roman"/>
          <w:b/>
          <w:bCs/>
          <w:color w:val="auto"/>
          <w:szCs w:val="18"/>
          <w:u w:val="single"/>
        </w:rPr>
        <w:t>含量的要求（</w:t>
      </w:r>
      <w:r>
        <w:rPr>
          <w:rFonts w:hint="eastAsia" w:ascii="Times New Roman" w:hAnsi="Times New Roman" w:eastAsia="宋体" w:cs="Times New Roman"/>
          <w:b/>
          <w:bCs/>
          <w:color w:val="auto"/>
          <w:szCs w:val="18"/>
          <w:u w:val="single"/>
        </w:rPr>
        <w:t>木器</w:t>
      </w:r>
      <w:r>
        <w:rPr>
          <w:rFonts w:ascii="Times New Roman" w:hAnsi="Times New Roman" w:eastAsia="宋体" w:cs="Times New Roman"/>
          <w:b/>
          <w:bCs/>
          <w:color w:val="auto"/>
          <w:szCs w:val="18"/>
          <w:u w:val="single"/>
        </w:rPr>
        <w:t>涂料，≦420g/L）。</w:t>
      </w:r>
      <w:r>
        <w:rPr>
          <w:rFonts w:ascii="Times New Roman" w:hAnsi="Times New Roman" w:eastAsia="宋体" w:cs="Times New Roman"/>
          <w:b/>
          <w:bCs/>
          <w:color w:val="auto"/>
          <w:u w:val="single"/>
        </w:rPr>
        <w:t>本项目水性底漆：VOCs含量为</w:t>
      </w:r>
      <w:r>
        <w:rPr>
          <w:rFonts w:hint="eastAsia" w:ascii="Times New Roman" w:hAnsi="Times New Roman" w:eastAsia="宋体" w:cs="Times New Roman"/>
          <w:b/>
          <w:bCs/>
          <w:color w:val="auto"/>
          <w:u w:val="single"/>
        </w:rPr>
        <w:t>182</w:t>
      </w:r>
      <w:r>
        <w:rPr>
          <w:rFonts w:ascii="Times New Roman" w:hAnsi="Times New Roman" w:eastAsia="宋体" w:cs="Times New Roman"/>
          <w:b/>
          <w:bCs/>
          <w:color w:val="auto"/>
          <w:u w:val="single"/>
        </w:rPr>
        <w:t>g/L；水性面漆，VOCs含量为</w:t>
      </w:r>
      <w:r>
        <w:rPr>
          <w:rFonts w:hint="eastAsia" w:ascii="Times New Roman" w:hAnsi="Times New Roman" w:eastAsia="宋体" w:cs="Times New Roman"/>
          <w:b/>
          <w:bCs/>
          <w:color w:val="auto"/>
          <w:u w:val="single"/>
        </w:rPr>
        <w:t>203</w:t>
      </w:r>
      <w:r>
        <w:rPr>
          <w:rFonts w:ascii="Times New Roman" w:hAnsi="Times New Roman" w:eastAsia="宋体" w:cs="Times New Roman"/>
          <w:b/>
          <w:bCs/>
          <w:color w:val="auto"/>
          <w:u w:val="single"/>
        </w:rPr>
        <w:t>g/L，</w:t>
      </w:r>
      <w:r>
        <w:rPr>
          <w:rFonts w:ascii="Times New Roman" w:hAnsi="Times New Roman" w:eastAsia="宋体" w:cs="Times New Roman"/>
          <w:b/>
          <w:bCs/>
          <w:color w:val="auto"/>
          <w:szCs w:val="18"/>
          <w:u w:val="single"/>
        </w:rPr>
        <w:t>满足《低挥发性有机化合物含量涂料产品技术要求（GB/T38597-2020）》中表1水性涂料中VOC</w:t>
      </w:r>
      <w:r>
        <w:rPr>
          <w:rFonts w:hint="eastAsia" w:ascii="Times New Roman" w:hAnsi="Times New Roman" w:eastAsia="宋体" w:cs="Times New Roman"/>
          <w:b/>
          <w:bCs/>
          <w:color w:val="auto"/>
          <w:szCs w:val="18"/>
          <w:u w:val="single"/>
        </w:rPr>
        <w:t>s（含甲苯、二甲苯）</w:t>
      </w:r>
      <w:r>
        <w:rPr>
          <w:rFonts w:ascii="Times New Roman" w:hAnsi="Times New Roman" w:eastAsia="宋体" w:cs="Times New Roman"/>
          <w:b/>
          <w:bCs/>
          <w:color w:val="auto"/>
          <w:szCs w:val="18"/>
          <w:u w:val="single"/>
        </w:rPr>
        <w:t>含量的要求（</w:t>
      </w:r>
      <w:r>
        <w:rPr>
          <w:rFonts w:hint="eastAsia" w:ascii="Times New Roman" w:hAnsi="Times New Roman" w:eastAsia="宋体" w:cs="Times New Roman"/>
          <w:b/>
          <w:bCs/>
          <w:color w:val="auto"/>
          <w:szCs w:val="18"/>
          <w:u w:val="single"/>
        </w:rPr>
        <w:t>木器</w:t>
      </w:r>
      <w:r>
        <w:rPr>
          <w:rFonts w:ascii="Times New Roman" w:hAnsi="Times New Roman" w:eastAsia="宋体" w:cs="Times New Roman"/>
          <w:b/>
          <w:bCs/>
          <w:color w:val="auto"/>
          <w:szCs w:val="18"/>
          <w:u w:val="single"/>
        </w:rPr>
        <w:t>涂料，</w:t>
      </w:r>
      <w:r>
        <w:rPr>
          <w:rFonts w:hint="eastAsia" w:ascii="Times New Roman" w:hAnsi="Times New Roman" w:eastAsia="宋体" w:cs="Times New Roman"/>
          <w:b/>
          <w:bCs/>
          <w:color w:val="auto"/>
          <w:szCs w:val="18"/>
          <w:u w:val="single"/>
        </w:rPr>
        <w:t>色</w:t>
      </w:r>
      <w:r>
        <w:rPr>
          <w:rFonts w:ascii="Times New Roman" w:hAnsi="Times New Roman" w:eastAsia="宋体" w:cs="Times New Roman"/>
          <w:b/>
          <w:bCs/>
          <w:color w:val="auto"/>
          <w:szCs w:val="18"/>
          <w:u w:val="single"/>
        </w:rPr>
        <w:t>漆≦2</w:t>
      </w:r>
      <w:r>
        <w:rPr>
          <w:rFonts w:hint="eastAsia" w:ascii="Times New Roman" w:hAnsi="Times New Roman" w:eastAsia="宋体" w:cs="Times New Roman"/>
          <w:b/>
          <w:bCs/>
          <w:color w:val="auto"/>
          <w:szCs w:val="18"/>
          <w:u w:val="single"/>
        </w:rPr>
        <w:t>2</w:t>
      </w:r>
      <w:r>
        <w:rPr>
          <w:rFonts w:ascii="Times New Roman" w:hAnsi="Times New Roman" w:eastAsia="宋体" w:cs="Times New Roman"/>
          <w:b/>
          <w:bCs/>
          <w:color w:val="auto"/>
          <w:szCs w:val="18"/>
          <w:u w:val="single"/>
        </w:rPr>
        <w:t>0g/L，</w:t>
      </w:r>
      <w:r>
        <w:rPr>
          <w:rFonts w:hint="eastAsia" w:ascii="Times New Roman" w:hAnsi="Times New Roman" w:eastAsia="宋体" w:cs="Times New Roman"/>
          <w:b/>
          <w:bCs/>
          <w:color w:val="auto"/>
          <w:szCs w:val="18"/>
          <w:u w:val="single"/>
        </w:rPr>
        <w:t>清</w:t>
      </w:r>
      <w:r>
        <w:rPr>
          <w:rFonts w:ascii="Times New Roman" w:hAnsi="Times New Roman" w:eastAsia="宋体" w:cs="Times New Roman"/>
          <w:b/>
          <w:bCs/>
          <w:color w:val="auto"/>
          <w:szCs w:val="18"/>
          <w:u w:val="single"/>
        </w:rPr>
        <w:t>漆≦</w:t>
      </w:r>
      <w:r>
        <w:rPr>
          <w:rFonts w:hint="eastAsia" w:ascii="Times New Roman" w:hAnsi="Times New Roman" w:eastAsia="宋体" w:cs="Times New Roman"/>
          <w:b/>
          <w:bCs/>
          <w:color w:val="auto"/>
          <w:szCs w:val="18"/>
          <w:u w:val="single"/>
        </w:rPr>
        <w:t>270</w:t>
      </w:r>
      <w:r>
        <w:rPr>
          <w:rFonts w:ascii="Times New Roman" w:hAnsi="Times New Roman" w:eastAsia="宋体" w:cs="Times New Roman"/>
          <w:b/>
          <w:bCs/>
          <w:color w:val="auto"/>
          <w:szCs w:val="18"/>
          <w:u w:val="single"/>
        </w:rPr>
        <w:t>g/L）。</w:t>
      </w:r>
    </w:p>
    <w:p w14:paraId="5DFC1D31">
      <w:pPr>
        <w:pStyle w:val="37"/>
        <w:tabs>
          <w:tab w:val="left" w:pos="0"/>
        </w:tabs>
        <w:spacing w:line="360" w:lineRule="auto"/>
        <w:ind w:firstLine="480" w:firstLineChars="200"/>
        <w:jc w:val="both"/>
        <w:rPr>
          <w:rFonts w:ascii="Times New Roman" w:hAnsi="Times New Roman"/>
          <w:color w:val="auto"/>
          <w:sz w:val="24"/>
        </w:rPr>
      </w:pPr>
      <w:r>
        <w:rPr>
          <w:rFonts w:hint="eastAsia" w:ascii="Times New Roman" w:hAnsi="Times New Roman"/>
          <w:color w:val="auto"/>
          <w:sz w:val="24"/>
        </w:rPr>
        <w:t>根据油漆厂家提供的漆料检测报告（见附件），各类漆料《木器涂料中有害物质限量》（GB18581-2020）。</w:t>
      </w:r>
    </w:p>
    <w:p w14:paraId="40851BB2">
      <w:pPr>
        <w:pStyle w:val="37"/>
        <w:numPr>
          <w:ilvl w:val="0"/>
          <w:numId w:val="33"/>
        </w:numPr>
        <w:jc w:val="center"/>
        <w:rPr>
          <w:rFonts w:ascii="Times New Roman" w:hAnsi="Times New Roman"/>
          <w:b/>
          <w:bCs/>
          <w:szCs w:val="21"/>
        </w:rPr>
      </w:pPr>
      <w:r>
        <w:rPr>
          <w:rFonts w:hint="eastAsia" w:ascii="Times New Roman" w:hAnsi="Times New Roman" w:cs="Times New Roman"/>
          <w:b/>
          <w:bCs/>
        </w:rPr>
        <w:t xml:space="preserve">  </w:t>
      </w:r>
      <w:r>
        <w:rPr>
          <w:rFonts w:ascii="Times New Roman" w:hAnsi="Times New Roman"/>
          <w:b/>
          <w:bCs/>
          <w:szCs w:val="21"/>
        </w:rPr>
        <w:t>主要原辅材料理化性质一览表</w:t>
      </w:r>
    </w:p>
    <w:tbl>
      <w:tblPr>
        <w:tblStyle w:val="30"/>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00"/>
        <w:gridCol w:w="7185"/>
      </w:tblGrid>
      <w:tr w14:paraId="567F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l2br w:val="nil"/>
              <w:tr2bl w:val="nil"/>
            </w:tcBorders>
            <w:vAlign w:val="center"/>
          </w:tcPr>
          <w:p w14:paraId="59788630">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序号</w:t>
            </w:r>
          </w:p>
        </w:tc>
        <w:tc>
          <w:tcPr>
            <w:tcW w:w="800" w:type="dxa"/>
            <w:tcBorders>
              <w:tl2br w:val="nil"/>
              <w:tr2bl w:val="nil"/>
            </w:tcBorders>
            <w:tcMar>
              <w:top w:w="45" w:type="dxa"/>
              <w:left w:w="0" w:type="dxa"/>
              <w:bottom w:w="45" w:type="dxa"/>
              <w:right w:w="0" w:type="dxa"/>
            </w:tcMar>
            <w:vAlign w:val="center"/>
          </w:tcPr>
          <w:p w14:paraId="1606DFDB">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原料</w:t>
            </w:r>
          </w:p>
        </w:tc>
        <w:tc>
          <w:tcPr>
            <w:tcW w:w="7185" w:type="dxa"/>
            <w:tcBorders>
              <w:tl2br w:val="nil"/>
              <w:tr2bl w:val="nil"/>
            </w:tcBorders>
            <w:tcMar>
              <w:left w:w="0" w:type="dxa"/>
              <w:right w:w="0" w:type="dxa"/>
            </w:tcMar>
            <w:vAlign w:val="center"/>
          </w:tcPr>
          <w:p w14:paraId="263074E2">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主要性质及用途</w:t>
            </w:r>
          </w:p>
        </w:tc>
      </w:tr>
      <w:tr w14:paraId="27DD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bottom w:val="single" w:color="000000" w:sz="4" w:space="0"/>
              <w:tl2br w:val="nil"/>
              <w:tr2bl w:val="nil"/>
            </w:tcBorders>
            <w:tcMar>
              <w:top w:w="45" w:type="dxa"/>
              <w:bottom w:w="45" w:type="dxa"/>
            </w:tcMar>
            <w:vAlign w:val="center"/>
          </w:tcPr>
          <w:p w14:paraId="1EB6437B">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1</w:t>
            </w:r>
          </w:p>
        </w:tc>
        <w:tc>
          <w:tcPr>
            <w:tcW w:w="800" w:type="dxa"/>
            <w:tcBorders>
              <w:bottom w:val="single" w:color="000000" w:sz="4" w:space="0"/>
              <w:tl2br w:val="nil"/>
              <w:tr2bl w:val="nil"/>
            </w:tcBorders>
            <w:tcMar>
              <w:top w:w="45" w:type="dxa"/>
              <w:bottom w:w="45" w:type="dxa"/>
            </w:tcMar>
            <w:vAlign w:val="center"/>
          </w:tcPr>
          <w:p w14:paraId="1DF19818">
            <w:pPr>
              <w:pStyle w:val="29"/>
              <w:spacing w:line="240" w:lineRule="auto"/>
              <w:ind w:firstLine="0" w:firstLineChars="0"/>
              <w:jc w:val="center"/>
              <w:rPr>
                <w:rFonts w:ascii="Times New Roman" w:hAnsi="Times New Roman" w:eastAsia="宋体" w:cs="Times New Roman"/>
                <w:b/>
                <w:bCs/>
                <w:color w:val="000000"/>
                <w:sz w:val="21"/>
                <w:szCs w:val="21"/>
                <w:u w:val="single"/>
              </w:rPr>
            </w:pPr>
            <w:r>
              <w:rPr>
                <w:rFonts w:ascii="Times New Roman" w:hAnsi="Times New Roman" w:eastAsia="宋体" w:cs="Times New Roman"/>
                <w:b/>
                <w:bCs/>
                <w:color w:val="000000"/>
                <w:sz w:val="21"/>
                <w:szCs w:val="21"/>
                <w:u w:val="single"/>
              </w:rPr>
              <w:t>白乳胶</w:t>
            </w:r>
          </w:p>
        </w:tc>
        <w:tc>
          <w:tcPr>
            <w:tcW w:w="7185" w:type="dxa"/>
            <w:tcBorders>
              <w:bottom w:val="single" w:color="000000" w:sz="4" w:space="0"/>
              <w:tl2br w:val="nil"/>
              <w:tr2bl w:val="nil"/>
            </w:tcBorders>
            <w:tcMar>
              <w:top w:w="45" w:type="dxa"/>
              <w:bottom w:w="45" w:type="dxa"/>
            </w:tcMar>
            <w:vAlign w:val="center"/>
          </w:tcPr>
          <w:p w14:paraId="5F256882">
            <w:pPr>
              <w:jc w:val="left"/>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是一种水溶性胶粘剂，属于环保型无醛白乳胶，为聚醋酸乙烯树脂乳液，聚醋酸乙烯酯简称PVA，分子式为C</w:t>
            </w:r>
            <w:r>
              <w:rPr>
                <w:rFonts w:ascii="Times New Roman" w:hAnsi="Times New Roman" w:eastAsia="宋体" w:cs="Times New Roman"/>
                <w:b/>
                <w:bCs/>
                <w:color w:val="000000"/>
                <w:szCs w:val="21"/>
                <w:u w:val="single"/>
                <w:vertAlign w:val="subscript"/>
              </w:rPr>
              <w:t>4</w:t>
            </w:r>
            <w:r>
              <w:rPr>
                <w:rFonts w:ascii="Times New Roman" w:hAnsi="Times New Roman" w:eastAsia="宋体" w:cs="Times New Roman"/>
                <w:b/>
                <w:bCs/>
                <w:color w:val="000000"/>
                <w:szCs w:val="21"/>
                <w:u w:val="single"/>
              </w:rPr>
              <w:t>H</w:t>
            </w:r>
            <w:r>
              <w:rPr>
                <w:rFonts w:ascii="Times New Roman" w:hAnsi="Times New Roman" w:eastAsia="宋体" w:cs="Times New Roman"/>
                <w:b/>
                <w:bCs/>
                <w:color w:val="000000"/>
                <w:szCs w:val="21"/>
                <w:u w:val="single"/>
                <w:vertAlign w:val="subscript"/>
              </w:rPr>
              <w:t>6</w:t>
            </w:r>
            <w:r>
              <w:rPr>
                <w:rFonts w:ascii="Times New Roman" w:hAnsi="Times New Roman" w:eastAsia="宋体" w:cs="Times New Roman"/>
                <w:b/>
                <w:bCs/>
                <w:color w:val="000000"/>
                <w:szCs w:val="21"/>
                <w:u w:val="single"/>
              </w:rPr>
              <w:t>O</w:t>
            </w:r>
            <w:r>
              <w:rPr>
                <w:rFonts w:ascii="Times New Roman" w:hAnsi="Times New Roman" w:eastAsia="宋体" w:cs="Times New Roman"/>
                <w:b/>
                <w:bCs/>
                <w:color w:val="000000"/>
                <w:szCs w:val="21"/>
                <w:u w:val="single"/>
                <w:vertAlign w:val="subscript"/>
              </w:rPr>
              <w:t>2</w:t>
            </w:r>
            <w:r>
              <w:rPr>
                <w:rFonts w:ascii="Times New Roman" w:hAnsi="Times New Roman" w:eastAsia="宋体" w:cs="Times New Roman"/>
                <w:b/>
                <w:bCs/>
                <w:color w:val="000000"/>
                <w:szCs w:val="21"/>
                <w:u w:val="single"/>
              </w:rPr>
              <w:t>，醋酸乙</w:t>
            </w:r>
            <w:r>
              <w:rPr>
                <w:rFonts w:ascii="Times New Roman" w:hAnsi="Times New Roman" w:eastAsia="宋体" w:cs="Times New Roman"/>
                <w:b/>
                <w:bCs/>
                <w:color w:val="000000"/>
                <w:szCs w:val="21"/>
                <w:u w:val="single"/>
              </w:rPr>
              <w:fldChar w:fldCharType="begin"/>
            </w:r>
            <w:r>
              <w:rPr>
                <w:rFonts w:ascii="Times New Roman" w:hAnsi="Times New Roman" w:eastAsia="宋体" w:cs="Times New Roman"/>
                <w:b/>
                <w:bCs/>
                <w:color w:val="000000"/>
                <w:szCs w:val="21"/>
                <w:u w:val="single"/>
              </w:rPr>
              <w:instrText xml:space="preserve"> HYPERLINK "http://baike.so.com/doc/3833079.html" \t "_blank" </w:instrText>
            </w:r>
            <w:r>
              <w:rPr>
                <w:rFonts w:ascii="Times New Roman" w:hAnsi="Times New Roman" w:eastAsia="宋体" w:cs="Times New Roman"/>
                <w:b/>
                <w:bCs/>
                <w:color w:val="000000"/>
                <w:szCs w:val="21"/>
                <w:u w:val="single"/>
              </w:rPr>
              <w:fldChar w:fldCharType="separate"/>
            </w:r>
            <w:r>
              <w:rPr>
                <w:rFonts w:ascii="Times New Roman" w:hAnsi="Times New Roman" w:eastAsia="宋体" w:cs="Times New Roman"/>
                <w:b/>
                <w:bCs/>
                <w:color w:val="000000"/>
                <w:szCs w:val="21"/>
                <w:u w:val="single"/>
              </w:rPr>
              <w:t>烯</w:t>
            </w:r>
            <w:r>
              <w:rPr>
                <w:rFonts w:ascii="Times New Roman" w:hAnsi="Times New Roman" w:eastAsia="宋体" w:cs="Times New Roman"/>
                <w:b/>
                <w:bCs/>
                <w:color w:val="000000"/>
                <w:szCs w:val="21"/>
                <w:u w:val="single"/>
              </w:rPr>
              <w:fldChar w:fldCharType="end"/>
            </w:r>
            <w:r>
              <w:rPr>
                <w:rFonts w:ascii="Times New Roman" w:hAnsi="Times New Roman" w:eastAsia="宋体" w:cs="Times New Roman"/>
                <w:b/>
                <w:bCs/>
                <w:color w:val="000000"/>
                <w:szCs w:val="21"/>
                <w:u w:val="single"/>
              </w:rPr>
              <w:t>酯经聚合生成的聚合物。是无定形聚合物，外观透明、溶于</w:t>
            </w:r>
            <w:r>
              <w:rPr>
                <w:b/>
                <w:bCs/>
                <w:u w:val="single"/>
              </w:rPr>
              <w:fldChar w:fldCharType="begin"/>
            </w:r>
            <w:r>
              <w:rPr>
                <w:b/>
                <w:bCs/>
                <w:u w:val="single"/>
              </w:rPr>
              <w:instrText xml:space="preserve"> HYPERLINK "http://baike.so.com/doc/3194557.html" \t "_blank" </w:instrText>
            </w:r>
            <w:r>
              <w:rPr>
                <w:b/>
                <w:bCs/>
                <w:u w:val="single"/>
              </w:rPr>
              <w:fldChar w:fldCharType="separate"/>
            </w:r>
            <w:r>
              <w:rPr>
                <w:rFonts w:ascii="Times New Roman" w:hAnsi="Times New Roman" w:eastAsia="宋体" w:cs="Times New Roman"/>
                <w:b/>
                <w:bCs/>
                <w:color w:val="000000"/>
                <w:szCs w:val="21"/>
                <w:u w:val="single"/>
              </w:rPr>
              <w:t>苯</w:t>
            </w:r>
            <w:r>
              <w:rPr>
                <w:rFonts w:ascii="Times New Roman" w:hAnsi="Times New Roman" w:eastAsia="宋体" w:cs="Times New Roman"/>
                <w:b/>
                <w:bCs/>
                <w:color w:val="000000"/>
                <w:szCs w:val="21"/>
                <w:u w:val="single"/>
              </w:rPr>
              <w:fldChar w:fldCharType="end"/>
            </w:r>
            <w:r>
              <w:rPr>
                <w:rFonts w:ascii="Times New Roman" w:hAnsi="Times New Roman" w:eastAsia="宋体" w:cs="Times New Roman"/>
                <w:b/>
                <w:bCs/>
                <w:color w:val="000000"/>
                <w:szCs w:val="21"/>
                <w:u w:val="single"/>
              </w:rPr>
              <w:t>、丙酮和</w:t>
            </w:r>
            <w:r>
              <w:rPr>
                <w:b/>
                <w:bCs/>
                <w:u w:val="single"/>
              </w:rPr>
              <w:fldChar w:fldCharType="begin"/>
            </w:r>
            <w:r>
              <w:rPr>
                <w:b/>
                <w:bCs/>
                <w:u w:val="single"/>
              </w:rPr>
              <w:instrText xml:space="preserve"> HYPERLINK "http://baike.so.com/doc/3328269.html" \t "_blank" </w:instrText>
            </w:r>
            <w:r>
              <w:rPr>
                <w:b/>
                <w:bCs/>
                <w:u w:val="single"/>
              </w:rPr>
              <w:fldChar w:fldCharType="separate"/>
            </w:r>
            <w:r>
              <w:rPr>
                <w:rFonts w:ascii="Times New Roman" w:hAnsi="Times New Roman" w:eastAsia="宋体" w:cs="Times New Roman"/>
                <w:b/>
                <w:bCs/>
                <w:color w:val="000000"/>
                <w:szCs w:val="21"/>
                <w:u w:val="single"/>
              </w:rPr>
              <w:t>三氯甲烷</w:t>
            </w:r>
            <w:r>
              <w:rPr>
                <w:rFonts w:ascii="Times New Roman" w:hAnsi="Times New Roman" w:eastAsia="宋体" w:cs="Times New Roman"/>
                <w:b/>
                <w:bCs/>
                <w:color w:val="000000"/>
                <w:szCs w:val="21"/>
                <w:u w:val="single"/>
              </w:rPr>
              <w:fldChar w:fldCharType="end"/>
            </w:r>
            <w:r>
              <w:rPr>
                <w:rFonts w:ascii="Times New Roman" w:hAnsi="Times New Roman" w:eastAsia="宋体" w:cs="Times New Roman"/>
                <w:b/>
                <w:bCs/>
                <w:color w:val="000000"/>
                <w:szCs w:val="21"/>
                <w:u w:val="single"/>
              </w:rPr>
              <w:t>等溶剂。对光和热稳定，加热到250℃以上会分解出醋酸。保存于室内，保存温度在0-40度，</w:t>
            </w:r>
            <w:r>
              <w:rPr>
                <w:rFonts w:ascii="Times New Roman" w:hAnsi="Times New Roman" w:eastAsia="宋体" w:cs="Times New Roman"/>
                <w:b/>
                <w:bCs/>
                <w:color w:val="000000"/>
                <w:szCs w:val="21"/>
                <w:u w:val="single"/>
              </w:rPr>
              <w:fldChar w:fldCharType="begin"/>
            </w:r>
            <w:r>
              <w:rPr>
                <w:rFonts w:ascii="Times New Roman" w:hAnsi="Times New Roman" w:eastAsia="宋体" w:cs="Times New Roman"/>
                <w:b/>
                <w:bCs/>
                <w:color w:val="000000"/>
                <w:szCs w:val="21"/>
                <w:u w:val="single"/>
              </w:rPr>
              <w:instrText xml:space="preserve"> HYPERLINK "http://baike.so.com/doc/6591003.html" \t "_blank" </w:instrText>
            </w:r>
            <w:r>
              <w:rPr>
                <w:rFonts w:ascii="Times New Roman" w:hAnsi="Times New Roman" w:eastAsia="宋体" w:cs="Times New Roman"/>
                <w:b/>
                <w:bCs/>
                <w:color w:val="000000"/>
                <w:szCs w:val="21"/>
                <w:u w:val="single"/>
              </w:rPr>
              <w:fldChar w:fldCharType="separate"/>
            </w:r>
            <w:r>
              <w:rPr>
                <w:rFonts w:ascii="Times New Roman" w:hAnsi="Times New Roman" w:eastAsia="宋体" w:cs="Times New Roman"/>
                <w:b/>
                <w:bCs/>
                <w:color w:val="000000"/>
                <w:szCs w:val="21"/>
                <w:u w:val="single"/>
              </w:rPr>
              <w:t>保质期</w:t>
            </w:r>
            <w:r>
              <w:rPr>
                <w:rFonts w:ascii="Times New Roman" w:hAnsi="Times New Roman" w:eastAsia="宋体" w:cs="Times New Roman"/>
                <w:b/>
                <w:bCs/>
                <w:color w:val="000000"/>
                <w:szCs w:val="21"/>
                <w:u w:val="single"/>
              </w:rPr>
              <w:fldChar w:fldCharType="end"/>
            </w:r>
            <w:r>
              <w:rPr>
                <w:rFonts w:ascii="Times New Roman" w:hAnsi="Times New Roman" w:eastAsia="宋体" w:cs="Times New Roman"/>
                <w:b/>
                <w:bCs/>
                <w:color w:val="000000"/>
                <w:szCs w:val="21"/>
                <w:u w:val="single"/>
              </w:rPr>
              <w:t>为6个月，属于水性产品，主要作为粘接剂，用于木材、纺织、涂料、纸加工、建筑等行业。密度为0.9±0.1g/cm</w:t>
            </w:r>
            <w:r>
              <w:rPr>
                <w:rFonts w:ascii="Times New Roman" w:hAnsi="Times New Roman" w:eastAsia="宋体" w:cs="Times New Roman"/>
                <w:b/>
                <w:bCs/>
                <w:color w:val="000000"/>
                <w:szCs w:val="21"/>
                <w:u w:val="single"/>
                <w:vertAlign w:val="superscript"/>
              </w:rPr>
              <w:t>3</w:t>
            </w:r>
            <w:r>
              <w:rPr>
                <w:rFonts w:ascii="Times New Roman" w:hAnsi="Times New Roman" w:eastAsia="宋体" w:cs="Times New Roman"/>
                <w:b/>
                <w:bCs/>
                <w:color w:val="000000"/>
                <w:szCs w:val="21"/>
                <w:u w:val="single"/>
              </w:rPr>
              <w:t>，熔点60℃。</w:t>
            </w:r>
          </w:p>
        </w:tc>
      </w:tr>
      <w:tr w14:paraId="64E3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op w:val="single" w:color="000000" w:sz="4" w:space="0"/>
              <w:tl2br w:val="nil"/>
              <w:tr2bl w:val="nil"/>
            </w:tcBorders>
            <w:tcMar>
              <w:top w:w="45" w:type="dxa"/>
              <w:bottom w:w="45" w:type="dxa"/>
            </w:tcMar>
            <w:vAlign w:val="center"/>
          </w:tcPr>
          <w:p w14:paraId="4F87BE17">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2</w:t>
            </w:r>
          </w:p>
        </w:tc>
        <w:tc>
          <w:tcPr>
            <w:tcW w:w="800" w:type="dxa"/>
            <w:tcBorders>
              <w:top w:val="single" w:color="000000" w:sz="4" w:space="0"/>
              <w:tl2br w:val="nil"/>
              <w:tr2bl w:val="nil"/>
            </w:tcBorders>
            <w:tcMar>
              <w:top w:w="45" w:type="dxa"/>
              <w:bottom w:w="45" w:type="dxa"/>
            </w:tcMar>
            <w:vAlign w:val="center"/>
          </w:tcPr>
          <w:p w14:paraId="203C06FD">
            <w:pPr>
              <w:pStyle w:val="29"/>
              <w:spacing w:line="240" w:lineRule="auto"/>
              <w:ind w:firstLine="0" w:firstLineChars="0"/>
              <w:jc w:val="center"/>
              <w:rPr>
                <w:rFonts w:ascii="Times New Roman" w:hAnsi="Times New Roman" w:eastAsia="宋体" w:cs="Times New Roman"/>
                <w:b/>
                <w:bCs/>
                <w:color w:val="000000"/>
                <w:sz w:val="21"/>
                <w:szCs w:val="21"/>
                <w:u w:val="single"/>
              </w:rPr>
            </w:pPr>
            <w:r>
              <w:rPr>
                <w:rFonts w:ascii="Times New Roman" w:hAnsi="Times New Roman" w:eastAsia="宋体" w:cs="Times New Roman"/>
                <w:b/>
                <w:bCs/>
                <w:sz w:val="21"/>
                <w:szCs w:val="21"/>
                <w:u w:val="single"/>
              </w:rPr>
              <w:t>热熔胶</w:t>
            </w:r>
          </w:p>
        </w:tc>
        <w:tc>
          <w:tcPr>
            <w:tcW w:w="7185" w:type="dxa"/>
            <w:tcBorders>
              <w:top w:val="single" w:color="000000" w:sz="4" w:space="0"/>
              <w:tl2br w:val="nil"/>
              <w:tr2bl w:val="nil"/>
            </w:tcBorders>
            <w:tcMar>
              <w:top w:w="45" w:type="dxa"/>
              <w:bottom w:w="45" w:type="dxa"/>
            </w:tcMar>
            <w:vAlign w:val="center"/>
          </w:tcPr>
          <w:p w14:paraId="466CFE3C">
            <w:pPr>
              <w:jc w:val="left"/>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低VOC胶粘剂，总挥发性有机物为3g/L，VOC含量低于10%，琥珀色固体</w:t>
            </w:r>
            <w:r>
              <w:rPr>
                <w:rFonts w:hint="eastAsia" w:ascii="Times New Roman" w:hAnsi="Times New Roman" w:eastAsia="宋体" w:cs="Times New Roman"/>
                <w:b/>
                <w:bCs/>
                <w:color w:val="000000"/>
                <w:szCs w:val="21"/>
                <w:u w:val="single"/>
              </w:rPr>
              <w:t>，颗粒状</w:t>
            </w:r>
            <w:r>
              <w:rPr>
                <w:rFonts w:ascii="Times New Roman" w:hAnsi="Times New Roman" w:eastAsia="宋体" w:cs="Times New Roman"/>
                <w:b/>
                <w:bCs/>
                <w:color w:val="000000"/>
                <w:szCs w:val="21"/>
                <w:u w:val="single"/>
              </w:rPr>
              <w:t>，固含量100%，加热熔融到一定程度变为能流动且有一定粘性的液体粘合剂，其熔融后为浅棕色半透明体或本白色。主要成分是乙烯与醋酸乙烯在高压下共聚而成的，再配以增粘剂、粘度调节剂、抗氧剂等制成热熔胶。具有粘接强度高、耐热性优异、固化速度快等特点，适用于各种木料板材的封边贴合。融化温度：160-180℃</w:t>
            </w:r>
            <w:r>
              <w:rPr>
                <w:rFonts w:hint="eastAsia" w:ascii="Times New Roman" w:hAnsi="Times New Roman" w:eastAsia="宋体" w:cs="Times New Roman"/>
                <w:b/>
                <w:bCs/>
                <w:color w:val="000000"/>
                <w:szCs w:val="21"/>
                <w:u w:val="single"/>
              </w:rPr>
              <w:t>。</w:t>
            </w:r>
          </w:p>
        </w:tc>
      </w:tr>
      <w:tr w14:paraId="5448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l2br w:val="nil"/>
              <w:tr2bl w:val="nil"/>
            </w:tcBorders>
            <w:tcMar>
              <w:top w:w="45" w:type="dxa"/>
              <w:bottom w:w="45" w:type="dxa"/>
            </w:tcMar>
            <w:vAlign w:val="center"/>
          </w:tcPr>
          <w:p w14:paraId="308F1E22">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3</w:t>
            </w:r>
          </w:p>
        </w:tc>
        <w:tc>
          <w:tcPr>
            <w:tcW w:w="800" w:type="dxa"/>
            <w:tcBorders>
              <w:tl2br w:val="nil"/>
              <w:tr2bl w:val="nil"/>
            </w:tcBorders>
            <w:tcMar>
              <w:top w:w="45" w:type="dxa"/>
              <w:bottom w:w="45" w:type="dxa"/>
            </w:tcMar>
            <w:vAlign w:val="center"/>
          </w:tcPr>
          <w:p w14:paraId="077C12D0">
            <w:pPr>
              <w:widowControl/>
              <w:adjustRightInd w:val="0"/>
              <w:snapToGrid w:val="0"/>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水性</w:t>
            </w:r>
          </w:p>
          <w:p w14:paraId="49E7CF16">
            <w:pPr>
              <w:widowControl/>
              <w:adjustRightInd w:val="0"/>
              <w:snapToGrid w:val="0"/>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底漆</w:t>
            </w:r>
          </w:p>
        </w:tc>
        <w:tc>
          <w:tcPr>
            <w:tcW w:w="7185" w:type="dxa"/>
            <w:tcBorders>
              <w:tl2br w:val="nil"/>
              <w:tr2bl w:val="nil"/>
            </w:tcBorders>
            <w:tcMar>
              <w:top w:w="45" w:type="dxa"/>
              <w:bottom w:w="45" w:type="dxa"/>
            </w:tcMar>
            <w:vAlign w:val="center"/>
          </w:tcPr>
          <w:p w14:paraId="1E767307">
            <w:pP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水性漆是以水作为稀释剂的漆，水性木器漆以其无毒环保、无气味、可挥发物极少、不燃不爆的高安全性、不黄变、涂刷面积大等优点。主要为树脂、颜料、乙醇、去离子水等。非甲烷总烃含量</w:t>
            </w:r>
            <w:r>
              <w:rPr>
                <w:rFonts w:hint="eastAsia" w:ascii="Times New Roman" w:hAnsi="Times New Roman" w:eastAsia="宋体" w:cs="Times New Roman"/>
                <w:b/>
                <w:bCs/>
                <w:color w:val="000000"/>
                <w:szCs w:val="21"/>
                <w:u w:val="single"/>
              </w:rPr>
              <w:t>182</w:t>
            </w:r>
            <w:r>
              <w:rPr>
                <w:rFonts w:ascii="Times New Roman" w:hAnsi="Times New Roman" w:eastAsia="宋体" w:cs="Times New Roman"/>
                <w:b/>
                <w:bCs/>
                <w:color w:val="000000"/>
                <w:szCs w:val="21"/>
                <w:u w:val="single"/>
              </w:rPr>
              <w:t>g/L，本项目水性漆为外购成品漆，添加10%的去离子水。</w:t>
            </w:r>
          </w:p>
        </w:tc>
      </w:tr>
      <w:tr w14:paraId="5D56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l2br w:val="nil"/>
              <w:tr2bl w:val="nil"/>
            </w:tcBorders>
            <w:tcMar>
              <w:top w:w="45" w:type="dxa"/>
              <w:bottom w:w="45" w:type="dxa"/>
            </w:tcMar>
            <w:vAlign w:val="center"/>
          </w:tcPr>
          <w:p w14:paraId="53F799A7">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4</w:t>
            </w:r>
          </w:p>
        </w:tc>
        <w:tc>
          <w:tcPr>
            <w:tcW w:w="800" w:type="dxa"/>
            <w:tcBorders>
              <w:tl2br w:val="nil"/>
              <w:tr2bl w:val="nil"/>
            </w:tcBorders>
            <w:tcMar>
              <w:top w:w="45" w:type="dxa"/>
              <w:bottom w:w="45" w:type="dxa"/>
            </w:tcMar>
            <w:vAlign w:val="center"/>
          </w:tcPr>
          <w:p w14:paraId="5AE94D94">
            <w:pPr>
              <w:widowControl/>
              <w:adjustRightInd w:val="0"/>
              <w:snapToGrid w:val="0"/>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水性</w:t>
            </w:r>
          </w:p>
          <w:p w14:paraId="4E70E1D1">
            <w:pPr>
              <w:widowControl/>
              <w:adjustRightInd w:val="0"/>
              <w:snapToGrid w:val="0"/>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面漆</w:t>
            </w:r>
          </w:p>
        </w:tc>
        <w:tc>
          <w:tcPr>
            <w:tcW w:w="7185" w:type="dxa"/>
            <w:tcBorders>
              <w:tl2br w:val="nil"/>
              <w:tr2bl w:val="nil"/>
            </w:tcBorders>
            <w:tcMar>
              <w:top w:w="45" w:type="dxa"/>
              <w:bottom w:w="45" w:type="dxa"/>
            </w:tcMar>
            <w:vAlign w:val="center"/>
          </w:tcPr>
          <w:p w14:paraId="3719F22F">
            <w:pP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水性漆是以水作为稀释剂的漆，水性木器漆以其无毒环保、无气味、可挥发物极少、不燃不爆的高安全性、不黄变、涂刷面积大等优点。主要为树脂、颜料、乙醇、去离子水等。非甲烷总烃含量</w:t>
            </w:r>
            <w:r>
              <w:rPr>
                <w:rFonts w:hint="eastAsia" w:ascii="Times New Roman" w:hAnsi="Times New Roman" w:eastAsia="宋体" w:cs="Times New Roman"/>
                <w:b/>
                <w:bCs/>
                <w:color w:val="000000"/>
                <w:szCs w:val="21"/>
                <w:u w:val="single"/>
              </w:rPr>
              <w:t>203</w:t>
            </w:r>
            <w:r>
              <w:rPr>
                <w:rFonts w:ascii="Times New Roman" w:hAnsi="Times New Roman" w:eastAsia="宋体" w:cs="Times New Roman"/>
                <w:b/>
                <w:bCs/>
                <w:color w:val="000000"/>
                <w:szCs w:val="21"/>
                <w:u w:val="single"/>
              </w:rPr>
              <w:t>g/L，本项目水性漆为外购成品漆</w:t>
            </w:r>
            <w:r>
              <w:rPr>
                <w:rFonts w:hint="eastAsia" w:ascii="Times New Roman" w:hAnsi="Times New Roman" w:eastAsia="宋体" w:cs="Times New Roman"/>
                <w:b/>
                <w:bCs/>
                <w:color w:val="000000"/>
                <w:szCs w:val="21"/>
                <w:u w:val="single"/>
              </w:rPr>
              <w:t>，</w:t>
            </w:r>
            <w:r>
              <w:rPr>
                <w:rFonts w:ascii="Times New Roman" w:hAnsi="Times New Roman" w:eastAsia="宋体" w:cs="Times New Roman"/>
                <w:b/>
                <w:bCs/>
                <w:color w:val="000000"/>
                <w:szCs w:val="21"/>
                <w:u w:val="single"/>
              </w:rPr>
              <w:t>添加10%的去离子水。</w:t>
            </w:r>
          </w:p>
        </w:tc>
      </w:tr>
      <w:tr w14:paraId="6AE4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l2br w:val="nil"/>
              <w:tr2bl w:val="nil"/>
            </w:tcBorders>
            <w:tcMar>
              <w:top w:w="45" w:type="dxa"/>
              <w:bottom w:w="45" w:type="dxa"/>
            </w:tcMar>
            <w:vAlign w:val="center"/>
          </w:tcPr>
          <w:p w14:paraId="71CC04EE">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5</w:t>
            </w:r>
          </w:p>
        </w:tc>
        <w:tc>
          <w:tcPr>
            <w:tcW w:w="800" w:type="dxa"/>
            <w:tcBorders>
              <w:tl2br w:val="nil"/>
              <w:tr2bl w:val="nil"/>
            </w:tcBorders>
            <w:tcMar>
              <w:top w:w="45" w:type="dxa"/>
              <w:bottom w:w="45" w:type="dxa"/>
            </w:tcMar>
            <w:vAlign w:val="center"/>
          </w:tcPr>
          <w:p w14:paraId="3DC884A1">
            <w:pPr>
              <w:pStyle w:val="29"/>
              <w:spacing w:line="240" w:lineRule="auto"/>
              <w:ind w:firstLine="0" w:firstLineChars="0"/>
              <w:jc w:val="center"/>
              <w:rPr>
                <w:rFonts w:ascii="Times New Roman" w:hAnsi="Times New Roman" w:eastAsia="宋体" w:cs="Times New Roman"/>
                <w:b/>
                <w:bCs/>
                <w:color w:val="auto"/>
                <w:sz w:val="21"/>
                <w:szCs w:val="21"/>
                <w:u w:val="single"/>
              </w:rPr>
            </w:pPr>
            <w:r>
              <w:rPr>
                <w:rFonts w:ascii="Times New Roman" w:hAnsi="Times New Roman" w:eastAsia="宋体" w:cs="Times New Roman"/>
                <w:b/>
                <w:bCs/>
                <w:color w:val="auto"/>
                <w:sz w:val="21"/>
                <w:szCs w:val="21"/>
                <w:u w:val="single"/>
              </w:rPr>
              <w:t>聚酯漆底漆</w:t>
            </w:r>
          </w:p>
        </w:tc>
        <w:tc>
          <w:tcPr>
            <w:tcW w:w="7185" w:type="dxa"/>
            <w:tcBorders>
              <w:tl2br w:val="nil"/>
              <w:tr2bl w:val="nil"/>
            </w:tcBorders>
            <w:tcMar>
              <w:top w:w="45" w:type="dxa"/>
              <w:bottom w:w="45" w:type="dxa"/>
            </w:tcMar>
            <w:vAlign w:val="center"/>
          </w:tcPr>
          <w:p w14:paraId="251383EB">
            <w:pPr>
              <w:snapToGrid w:val="0"/>
              <w:rPr>
                <w:rFonts w:ascii="Times New Roman" w:hAnsi="Times New Roman" w:eastAsia="宋体" w:cs="Times New Roman"/>
                <w:b/>
                <w:bCs/>
                <w:color w:val="auto"/>
                <w:szCs w:val="21"/>
                <w:u w:val="single"/>
              </w:rPr>
            </w:pPr>
            <w:r>
              <w:rPr>
                <w:rFonts w:ascii="Times New Roman" w:hAnsi="Times New Roman" w:eastAsia="宋体" w:cs="Times New Roman"/>
                <w:b/>
                <w:bCs/>
                <w:color w:val="auto"/>
                <w:szCs w:val="21"/>
                <w:u w:val="single"/>
              </w:rPr>
              <w:t>本项目使用的是聚氨酯漆，又名不饱和聚酯漆，是用聚酯树脂为主要成膜物制成的一种厚质漆。聚酯漆的漆膜丰满，层厚面硬</w:t>
            </w:r>
            <w:r>
              <w:rPr>
                <w:rFonts w:hint="eastAsia" w:ascii="Times New Roman" w:hAnsi="Times New Roman" w:eastAsia="宋体" w:cs="Times New Roman"/>
                <w:b/>
                <w:bCs/>
                <w:color w:val="auto"/>
                <w:szCs w:val="21"/>
                <w:u w:val="single"/>
              </w:rPr>
              <w:t>，甲苯与二甲苯之和为</w:t>
            </w:r>
            <w:r>
              <w:rPr>
                <w:rFonts w:hint="eastAsia" w:ascii="Times New Roman" w:hAnsi="Times New Roman" w:eastAsia="宋体" w:cs="Times New Roman"/>
                <w:b/>
                <w:bCs/>
                <w:color w:val="auto"/>
                <w:szCs w:val="21"/>
                <w:u w:val="single"/>
                <w:lang w:val="en-US" w:eastAsia="zh-CN"/>
              </w:rPr>
              <w:t>8</w:t>
            </w:r>
            <w:r>
              <w:rPr>
                <w:rFonts w:hint="eastAsia" w:ascii="Times New Roman" w:hAnsi="Times New Roman" w:eastAsia="宋体" w:cs="Times New Roman"/>
                <w:b/>
                <w:bCs/>
                <w:color w:val="auto"/>
                <w:szCs w:val="21"/>
                <w:u w:val="single"/>
              </w:rPr>
              <w:t>%（甲苯</w:t>
            </w:r>
            <w:r>
              <w:rPr>
                <w:rFonts w:hint="eastAsia" w:ascii="Times New Roman" w:hAnsi="Times New Roman" w:eastAsia="宋体" w:cs="Times New Roman"/>
                <w:b/>
                <w:bCs/>
                <w:color w:val="auto"/>
                <w:szCs w:val="21"/>
                <w:u w:val="single"/>
                <w:lang w:val="en-US" w:eastAsia="zh-CN"/>
              </w:rPr>
              <w:t>2</w:t>
            </w:r>
            <w:r>
              <w:rPr>
                <w:rFonts w:hint="eastAsia" w:ascii="Times New Roman" w:hAnsi="Times New Roman" w:eastAsia="宋体" w:cs="Times New Roman"/>
                <w:b/>
                <w:bCs/>
                <w:color w:val="auto"/>
                <w:szCs w:val="21"/>
                <w:u w:val="single"/>
              </w:rPr>
              <w:t>%+二甲苯6%），</w:t>
            </w:r>
            <w:r>
              <w:rPr>
                <w:rFonts w:hint="eastAsia" w:ascii="Times New Roman" w:hAnsi="Times New Roman" w:eastAsia="宋体" w:cs="Times New Roman"/>
                <w:b/>
                <w:bCs/>
                <w:color w:val="auto"/>
                <w:szCs w:val="21"/>
                <w:u w:val="single"/>
                <w:lang w:val="en-US" w:eastAsia="zh-CN"/>
              </w:rPr>
              <w:t>苯2%，</w:t>
            </w:r>
            <w:r>
              <w:rPr>
                <w:rFonts w:hint="eastAsia" w:ascii="Times New Roman" w:hAnsi="Times New Roman" w:eastAsia="宋体" w:cs="Times New Roman"/>
                <w:b/>
                <w:bCs/>
                <w:color w:val="auto"/>
                <w:szCs w:val="21"/>
                <w:u w:val="single"/>
              </w:rPr>
              <w:t>根据漆料检测报告，VOCs含量为382g/L（约占42.5%）其余为固体份</w:t>
            </w:r>
            <w:r>
              <w:rPr>
                <w:rFonts w:ascii="Times New Roman" w:hAnsi="Times New Roman" w:eastAsia="宋体" w:cs="Times New Roman"/>
                <w:b/>
                <w:bCs/>
                <w:color w:val="auto"/>
                <w:szCs w:val="21"/>
                <w:u w:val="single"/>
              </w:rPr>
              <w:t>。</w:t>
            </w:r>
          </w:p>
        </w:tc>
      </w:tr>
      <w:tr w14:paraId="6A95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l2br w:val="nil"/>
              <w:tr2bl w:val="nil"/>
            </w:tcBorders>
            <w:tcMar>
              <w:top w:w="45" w:type="dxa"/>
              <w:bottom w:w="45" w:type="dxa"/>
            </w:tcMar>
            <w:vAlign w:val="center"/>
          </w:tcPr>
          <w:p w14:paraId="0D442BEA">
            <w:pPr>
              <w:jc w:val="center"/>
              <w:rPr>
                <w:rFonts w:ascii="Times New Roman" w:hAnsi="Times New Roman" w:eastAsia="宋体" w:cs="Times New Roman"/>
                <w:b/>
                <w:bCs/>
                <w:color w:val="000000"/>
                <w:szCs w:val="21"/>
                <w:u w:val="single"/>
              </w:rPr>
            </w:pPr>
            <w:r>
              <w:rPr>
                <w:rFonts w:hint="eastAsia" w:ascii="Times New Roman" w:hAnsi="Times New Roman" w:eastAsia="宋体" w:cs="Times New Roman"/>
                <w:b/>
                <w:bCs/>
                <w:color w:val="000000"/>
                <w:szCs w:val="21"/>
                <w:u w:val="single"/>
              </w:rPr>
              <w:t>6</w:t>
            </w:r>
          </w:p>
        </w:tc>
        <w:tc>
          <w:tcPr>
            <w:tcW w:w="800" w:type="dxa"/>
            <w:tcBorders>
              <w:tl2br w:val="nil"/>
              <w:tr2bl w:val="nil"/>
            </w:tcBorders>
            <w:tcMar>
              <w:top w:w="45" w:type="dxa"/>
              <w:bottom w:w="45" w:type="dxa"/>
            </w:tcMar>
            <w:vAlign w:val="center"/>
          </w:tcPr>
          <w:p w14:paraId="0F2BC59E">
            <w:pPr>
              <w:pStyle w:val="29"/>
              <w:spacing w:line="240" w:lineRule="auto"/>
              <w:ind w:firstLine="0" w:firstLineChars="0"/>
              <w:jc w:val="center"/>
              <w:rPr>
                <w:rFonts w:ascii="Times New Roman" w:hAnsi="Times New Roman" w:eastAsia="宋体" w:cs="Times New Roman"/>
                <w:b/>
                <w:bCs/>
                <w:color w:val="auto"/>
                <w:sz w:val="21"/>
                <w:szCs w:val="21"/>
                <w:u w:val="single"/>
              </w:rPr>
            </w:pPr>
            <w:r>
              <w:rPr>
                <w:rFonts w:ascii="Times New Roman" w:hAnsi="Times New Roman" w:eastAsia="宋体" w:cs="Times New Roman"/>
                <w:b/>
                <w:bCs/>
                <w:color w:val="auto"/>
                <w:sz w:val="21"/>
                <w:szCs w:val="21"/>
                <w:u w:val="single"/>
              </w:rPr>
              <w:t>聚氨酯漆面漆</w:t>
            </w:r>
          </w:p>
        </w:tc>
        <w:tc>
          <w:tcPr>
            <w:tcW w:w="7185" w:type="dxa"/>
            <w:tcBorders>
              <w:tl2br w:val="nil"/>
              <w:tr2bl w:val="nil"/>
            </w:tcBorders>
            <w:tcMar>
              <w:top w:w="45" w:type="dxa"/>
              <w:bottom w:w="45" w:type="dxa"/>
            </w:tcMar>
            <w:vAlign w:val="center"/>
          </w:tcPr>
          <w:p w14:paraId="3B439A07">
            <w:pPr>
              <w:jc w:val="left"/>
              <w:rPr>
                <w:rFonts w:ascii="Times New Roman" w:hAnsi="Times New Roman" w:eastAsia="宋体" w:cs="Times New Roman"/>
                <w:b/>
                <w:bCs/>
                <w:color w:val="auto"/>
                <w:szCs w:val="21"/>
                <w:u w:val="single"/>
              </w:rPr>
            </w:pPr>
            <w:r>
              <w:rPr>
                <w:rFonts w:ascii="Times New Roman" w:hAnsi="Times New Roman" w:eastAsia="宋体" w:cs="Times New Roman"/>
                <w:b/>
                <w:bCs/>
                <w:color w:val="auto"/>
                <w:szCs w:val="21"/>
                <w:u w:val="single"/>
              </w:rPr>
              <w:t>本项目用的是聚氨酯漆，是以高级丙烯酸树脂、颜料、助剂和溶剂等组成的漆料为羟基组分，以脂肪族异氰酸酯为另一组份的双组份自干涂料。该油漆性能优异，漆膜装饰性能好（丰满光亮、硬度高），耐化学品性能好。</w:t>
            </w:r>
            <w:r>
              <w:rPr>
                <w:rFonts w:hint="eastAsia" w:ascii="Times New Roman" w:hAnsi="Times New Roman" w:eastAsia="宋体" w:cs="Times New Roman"/>
                <w:b/>
                <w:bCs/>
                <w:color w:val="auto"/>
                <w:szCs w:val="21"/>
                <w:u w:val="single"/>
              </w:rPr>
              <w:t>甲苯与二甲苯之和为</w:t>
            </w:r>
            <w:r>
              <w:rPr>
                <w:rFonts w:hint="eastAsia" w:ascii="Times New Roman" w:hAnsi="Times New Roman" w:eastAsia="宋体" w:cs="Times New Roman"/>
                <w:b/>
                <w:bCs/>
                <w:color w:val="auto"/>
                <w:szCs w:val="21"/>
                <w:u w:val="single"/>
                <w:lang w:val="en-US" w:eastAsia="zh-CN"/>
              </w:rPr>
              <w:t>7</w:t>
            </w:r>
            <w:r>
              <w:rPr>
                <w:rFonts w:hint="eastAsia" w:ascii="Times New Roman" w:hAnsi="Times New Roman" w:eastAsia="宋体" w:cs="Times New Roman"/>
                <w:b/>
                <w:bCs/>
                <w:color w:val="auto"/>
                <w:szCs w:val="21"/>
                <w:u w:val="single"/>
              </w:rPr>
              <w:t>%（甲苯</w:t>
            </w:r>
            <w:r>
              <w:rPr>
                <w:rFonts w:hint="eastAsia" w:ascii="Times New Roman" w:hAnsi="Times New Roman" w:eastAsia="宋体" w:cs="Times New Roman"/>
                <w:b/>
                <w:bCs/>
                <w:color w:val="auto"/>
                <w:szCs w:val="21"/>
                <w:u w:val="single"/>
                <w:lang w:val="en-US" w:eastAsia="zh-CN"/>
              </w:rPr>
              <w:t>2</w:t>
            </w:r>
            <w:r>
              <w:rPr>
                <w:rFonts w:hint="eastAsia" w:ascii="Times New Roman" w:hAnsi="Times New Roman" w:eastAsia="宋体" w:cs="Times New Roman"/>
                <w:b/>
                <w:bCs/>
                <w:color w:val="auto"/>
                <w:szCs w:val="21"/>
                <w:u w:val="single"/>
              </w:rPr>
              <w:t>%+二甲苯5%）</w:t>
            </w:r>
            <w:r>
              <w:rPr>
                <w:rFonts w:hint="eastAsia" w:ascii="Times New Roman" w:hAnsi="Times New Roman" w:eastAsia="宋体" w:cs="Times New Roman"/>
                <w:b/>
                <w:bCs/>
                <w:color w:val="auto"/>
                <w:szCs w:val="21"/>
                <w:u w:val="single"/>
                <w:lang w:eastAsia="zh-CN"/>
              </w:rPr>
              <w:t>，</w:t>
            </w:r>
            <w:r>
              <w:rPr>
                <w:rFonts w:hint="eastAsia" w:ascii="Times New Roman" w:hAnsi="Times New Roman" w:eastAsia="宋体" w:cs="Times New Roman"/>
                <w:b/>
                <w:bCs/>
                <w:color w:val="auto"/>
                <w:szCs w:val="21"/>
                <w:u w:val="single"/>
                <w:lang w:val="en-US" w:eastAsia="zh-CN"/>
              </w:rPr>
              <w:t>苯1%</w:t>
            </w:r>
            <w:r>
              <w:rPr>
                <w:rFonts w:hint="eastAsia" w:ascii="Times New Roman" w:hAnsi="Times New Roman" w:eastAsia="宋体" w:cs="Times New Roman"/>
                <w:b/>
                <w:bCs/>
                <w:color w:val="auto"/>
                <w:szCs w:val="21"/>
                <w:u w:val="single"/>
              </w:rPr>
              <w:t>，根据漆料检测报告，VOCs含量为393g/L（约占33.9%），其余为固体份</w:t>
            </w:r>
            <w:r>
              <w:rPr>
                <w:rFonts w:ascii="Times New Roman" w:hAnsi="Times New Roman" w:eastAsia="宋体" w:cs="Times New Roman"/>
                <w:b/>
                <w:bCs/>
                <w:color w:val="auto"/>
                <w:szCs w:val="21"/>
                <w:u w:val="single"/>
              </w:rPr>
              <w:t>。</w:t>
            </w:r>
          </w:p>
        </w:tc>
      </w:tr>
      <w:tr w14:paraId="334F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34" w:type="dxa"/>
            <w:tcBorders>
              <w:tl2br w:val="nil"/>
              <w:tr2bl w:val="nil"/>
            </w:tcBorders>
            <w:tcMar>
              <w:top w:w="45" w:type="dxa"/>
              <w:bottom w:w="45" w:type="dxa"/>
            </w:tcMar>
            <w:vAlign w:val="center"/>
          </w:tcPr>
          <w:p w14:paraId="35A47218">
            <w:pPr>
              <w:jc w:val="center"/>
              <w:rPr>
                <w:rFonts w:ascii="Times New Roman" w:hAnsi="Times New Roman" w:eastAsia="宋体" w:cs="Times New Roman"/>
                <w:b/>
                <w:bCs/>
                <w:color w:val="000000"/>
                <w:szCs w:val="21"/>
                <w:u w:val="single"/>
              </w:rPr>
            </w:pPr>
            <w:r>
              <w:rPr>
                <w:rFonts w:hint="eastAsia" w:ascii="Times New Roman" w:hAnsi="Times New Roman" w:eastAsia="宋体" w:cs="Times New Roman"/>
                <w:b/>
                <w:bCs/>
                <w:color w:val="000000"/>
                <w:szCs w:val="21"/>
                <w:u w:val="single"/>
              </w:rPr>
              <w:t>7</w:t>
            </w:r>
          </w:p>
        </w:tc>
        <w:tc>
          <w:tcPr>
            <w:tcW w:w="800" w:type="dxa"/>
            <w:tcBorders>
              <w:tl2br w:val="nil"/>
              <w:tr2bl w:val="nil"/>
            </w:tcBorders>
            <w:tcMar>
              <w:top w:w="45" w:type="dxa"/>
              <w:bottom w:w="45" w:type="dxa"/>
            </w:tcMar>
            <w:vAlign w:val="center"/>
          </w:tcPr>
          <w:p w14:paraId="260CD7B1">
            <w:pPr>
              <w:rPr>
                <w:rFonts w:ascii="Times New Roman" w:hAnsi="Times New Roman" w:cs="Times New Roman"/>
                <w:b/>
                <w:bCs/>
                <w:u w:val="single"/>
              </w:rPr>
            </w:pPr>
            <w:r>
              <w:rPr>
                <w:rFonts w:ascii="Times New Roman" w:hAnsi="Times New Roman" w:cs="Times New Roman"/>
                <w:b/>
                <w:bCs/>
                <w:u w:val="single"/>
              </w:rPr>
              <w:t>稀释剂</w:t>
            </w:r>
          </w:p>
        </w:tc>
        <w:tc>
          <w:tcPr>
            <w:tcW w:w="7185" w:type="dxa"/>
            <w:tcBorders>
              <w:tl2br w:val="nil"/>
              <w:tr2bl w:val="nil"/>
            </w:tcBorders>
            <w:tcMar>
              <w:top w:w="45" w:type="dxa"/>
              <w:bottom w:w="45" w:type="dxa"/>
            </w:tcMar>
            <w:vAlign w:val="center"/>
          </w:tcPr>
          <w:p w14:paraId="77B3BADD">
            <w:pPr>
              <w:rPr>
                <w:rFonts w:ascii="Times New Roman" w:hAnsi="Times New Roman" w:cs="Times New Roman"/>
                <w:b/>
                <w:bCs/>
                <w:u w:val="single"/>
              </w:rPr>
            </w:pPr>
            <w:r>
              <w:rPr>
                <w:rFonts w:ascii="Times New Roman" w:hAnsi="Times New Roman" w:cs="Times New Roman"/>
                <w:b/>
                <w:bCs/>
                <w:u w:val="single"/>
              </w:rPr>
              <w:t>环已酮40%，醋酸丁酯30%，甲苯10%，二甲苯20%。施工时按油漆：稀释剂=2:1的比例配比。</w:t>
            </w:r>
          </w:p>
        </w:tc>
      </w:tr>
      <w:tr w14:paraId="471B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l2br w:val="nil"/>
              <w:tr2bl w:val="nil"/>
            </w:tcBorders>
            <w:tcMar>
              <w:top w:w="45" w:type="dxa"/>
              <w:bottom w:w="45" w:type="dxa"/>
            </w:tcMar>
            <w:vAlign w:val="center"/>
          </w:tcPr>
          <w:p w14:paraId="1D127F0C">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8</w:t>
            </w:r>
          </w:p>
        </w:tc>
        <w:tc>
          <w:tcPr>
            <w:tcW w:w="800" w:type="dxa"/>
            <w:tcBorders>
              <w:tl2br w:val="nil"/>
              <w:tr2bl w:val="nil"/>
            </w:tcBorders>
            <w:tcMar>
              <w:top w:w="45" w:type="dxa"/>
              <w:bottom w:w="45" w:type="dxa"/>
            </w:tcMar>
            <w:vAlign w:val="center"/>
          </w:tcPr>
          <w:p w14:paraId="74161B0E">
            <w:pPr>
              <w:widowControl/>
              <w:adjustRightInd w:val="0"/>
              <w:snapToGrid w:val="0"/>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固化剂</w:t>
            </w:r>
          </w:p>
        </w:tc>
        <w:tc>
          <w:tcPr>
            <w:tcW w:w="7185" w:type="dxa"/>
            <w:tcBorders>
              <w:tl2br w:val="nil"/>
              <w:tr2bl w:val="nil"/>
            </w:tcBorders>
            <w:tcMar>
              <w:top w:w="45" w:type="dxa"/>
              <w:bottom w:w="45" w:type="dxa"/>
            </w:tcMar>
            <w:vAlign w:val="center"/>
          </w:tcPr>
          <w:p w14:paraId="6C5ABF15">
            <w:pPr>
              <w:widowControl/>
              <w:adjustRightInd w:val="0"/>
              <w:snapToGrid w:val="0"/>
              <w:rPr>
                <w:rFonts w:ascii="Times New Roman" w:hAnsi="Times New Roman" w:eastAsia="宋体" w:cs="Times New Roman"/>
                <w:b/>
                <w:bCs/>
                <w:color w:val="000000"/>
                <w:szCs w:val="21"/>
                <w:u w:val="single"/>
              </w:rPr>
            </w:pPr>
            <w:r>
              <w:rPr>
                <w:rFonts w:ascii="Times New Roman" w:hAnsi="Times New Roman" w:eastAsia="宋体" w:cs="Times New Roman"/>
                <w:b/>
                <w:bCs/>
                <w:szCs w:val="21"/>
                <w:u w:val="single"/>
              </w:rPr>
              <w:t>主要成分为：二甲基乙醇胺、月桂酸二丁基锡等物质；不含有甲苯、二甲苯；固体分占70%，其余占30%，调入油漆中与油漆中固相树脂的不饱和键或线性结构高分反应交键，促使油漆干化形成漆膜。施工时按油漆：固化剂=2:1的比例配比。</w:t>
            </w:r>
          </w:p>
        </w:tc>
      </w:tr>
      <w:tr w14:paraId="7546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l2br w:val="nil"/>
              <w:tr2bl w:val="nil"/>
            </w:tcBorders>
            <w:tcMar>
              <w:top w:w="45" w:type="dxa"/>
              <w:bottom w:w="45" w:type="dxa"/>
            </w:tcMar>
            <w:vAlign w:val="center"/>
          </w:tcPr>
          <w:p w14:paraId="0175D3AE">
            <w:pPr>
              <w:jc w:val="center"/>
              <w:rPr>
                <w:rFonts w:ascii="Times New Roman" w:hAnsi="Times New Roman" w:eastAsia="宋体" w:cs="Times New Roman"/>
                <w:b/>
                <w:bCs/>
                <w:color w:val="000000"/>
                <w:szCs w:val="21"/>
                <w:u w:val="single"/>
              </w:rPr>
            </w:pPr>
            <w:r>
              <w:rPr>
                <w:rFonts w:hint="eastAsia" w:ascii="Times New Roman" w:hAnsi="Times New Roman" w:eastAsia="宋体" w:cs="Times New Roman"/>
                <w:b/>
                <w:bCs/>
                <w:color w:val="000000"/>
                <w:szCs w:val="21"/>
                <w:u w:val="single"/>
              </w:rPr>
              <w:t>9</w:t>
            </w:r>
          </w:p>
        </w:tc>
        <w:tc>
          <w:tcPr>
            <w:tcW w:w="800" w:type="dxa"/>
            <w:tcBorders>
              <w:tl2br w:val="nil"/>
              <w:tr2bl w:val="nil"/>
            </w:tcBorders>
            <w:tcMar>
              <w:top w:w="45" w:type="dxa"/>
              <w:bottom w:w="45" w:type="dxa"/>
            </w:tcMar>
            <w:vAlign w:val="center"/>
          </w:tcPr>
          <w:p w14:paraId="32F28BC0">
            <w:pPr>
              <w:rPr>
                <w:rFonts w:ascii="Times New Roman" w:hAnsi="Times New Roman" w:cs="Times New Roman"/>
                <w:b/>
                <w:bCs/>
                <w:u w:val="single"/>
              </w:rPr>
            </w:pPr>
            <w:r>
              <w:rPr>
                <w:rFonts w:ascii="Times New Roman" w:hAnsi="Times New Roman" w:cs="Times New Roman"/>
                <w:b/>
                <w:bCs/>
                <w:u w:val="single"/>
              </w:rPr>
              <w:t>腻子</w:t>
            </w:r>
          </w:p>
        </w:tc>
        <w:tc>
          <w:tcPr>
            <w:tcW w:w="7185" w:type="dxa"/>
            <w:tcBorders>
              <w:tl2br w:val="nil"/>
              <w:tr2bl w:val="nil"/>
            </w:tcBorders>
            <w:tcMar>
              <w:top w:w="45" w:type="dxa"/>
              <w:bottom w:w="45" w:type="dxa"/>
            </w:tcMar>
            <w:vAlign w:val="center"/>
          </w:tcPr>
          <w:p w14:paraId="494B6A7B">
            <w:pPr>
              <w:rPr>
                <w:rFonts w:ascii="Times New Roman" w:hAnsi="Times New Roman" w:cs="Times New Roman"/>
                <w:b/>
                <w:bCs/>
                <w:u w:val="single"/>
              </w:rPr>
            </w:pPr>
            <w:r>
              <w:rPr>
                <w:rFonts w:ascii="Times New Roman" w:hAnsi="Times New Roman" w:cs="Times New Roman"/>
                <w:b/>
                <w:bCs/>
                <w:u w:val="single"/>
              </w:rPr>
              <w:t>腻子粉是漆类施工前，对施工面进行预处理的一种表面找平粉状材料，主要目的是填充施工面的孔隙及矫正施工面的曲线偏差，为获得均匀、平滑的漆面打好基础。本项目使用的腻子粉成分为水溶性高分子树脂胶粉8～10%、双飞粉</w:t>
            </w:r>
            <w:r>
              <w:rPr>
                <w:rFonts w:hint="eastAsia" w:ascii="Times New Roman" w:hAnsi="Times New Roman" w:cs="Times New Roman"/>
                <w:b/>
                <w:bCs/>
                <w:u w:val="single"/>
              </w:rPr>
              <w:t>（</w:t>
            </w:r>
            <w:r>
              <w:rPr>
                <w:rFonts w:ascii="Times New Roman" w:hAnsi="Times New Roman" w:cs="Times New Roman"/>
                <w:b/>
                <w:bCs/>
                <w:u w:val="single"/>
              </w:rPr>
              <w:t>重钙粉</w:t>
            </w:r>
            <w:r>
              <w:rPr>
                <w:rFonts w:hint="eastAsia" w:ascii="Times New Roman" w:hAnsi="Times New Roman" w:cs="Times New Roman"/>
                <w:b/>
                <w:bCs/>
                <w:u w:val="single"/>
              </w:rPr>
              <w:t>）</w:t>
            </w:r>
            <w:r>
              <w:rPr>
                <w:rFonts w:ascii="Times New Roman" w:hAnsi="Times New Roman" w:cs="Times New Roman"/>
                <w:b/>
                <w:bCs/>
                <w:u w:val="single"/>
              </w:rPr>
              <w:t>60%、石膏粉24%、滑石粉6～8%。</w:t>
            </w:r>
          </w:p>
        </w:tc>
      </w:tr>
      <w:tr w14:paraId="44FB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l2br w:val="nil"/>
              <w:tr2bl w:val="nil"/>
            </w:tcBorders>
            <w:tcMar>
              <w:top w:w="45" w:type="dxa"/>
              <w:bottom w:w="45" w:type="dxa"/>
            </w:tcMar>
            <w:vAlign w:val="center"/>
          </w:tcPr>
          <w:p w14:paraId="747E3B17">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10</w:t>
            </w:r>
          </w:p>
        </w:tc>
        <w:tc>
          <w:tcPr>
            <w:tcW w:w="800" w:type="dxa"/>
            <w:tcBorders>
              <w:tl2br w:val="nil"/>
              <w:tr2bl w:val="nil"/>
            </w:tcBorders>
            <w:tcMar>
              <w:top w:w="45" w:type="dxa"/>
              <w:bottom w:w="45" w:type="dxa"/>
            </w:tcMar>
            <w:vAlign w:val="center"/>
          </w:tcPr>
          <w:p w14:paraId="15C3F028">
            <w:pPr>
              <w:rPr>
                <w:rFonts w:ascii="Times New Roman" w:hAnsi="Times New Roman" w:cs="Times New Roman"/>
                <w:b/>
                <w:bCs/>
                <w:u w:val="single"/>
              </w:rPr>
            </w:pPr>
            <w:r>
              <w:rPr>
                <w:rFonts w:ascii="Times New Roman" w:hAnsi="Times New Roman" w:cs="Times New Roman"/>
                <w:b/>
                <w:bCs/>
                <w:u w:val="single"/>
              </w:rPr>
              <w:t>着色剂（格丽斯）</w:t>
            </w:r>
          </w:p>
        </w:tc>
        <w:tc>
          <w:tcPr>
            <w:tcW w:w="7185" w:type="dxa"/>
            <w:tcBorders>
              <w:tl2br w:val="nil"/>
              <w:tr2bl w:val="nil"/>
            </w:tcBorders>
            <w:tcMar>
              <w:top w:w="45" w:type="dxa"/>
              <w:bottom w:w="45" w:type="dxa"/>
            </w:tcMar>
            <w:vAlign w:val="center"/>
          </w:tcPr>
          <w:p w14:paraId="490B0FE5">
            <w:pPr>
              <w:rPr>
                <w:rFonts w:ascii="Times New Roman" w:hAnsi="Times New Roman" w:cs="Times New Roman"/>
                <w:b/>
                <w:bCs/>
                <w:u w:val="single"/>
              </w:rPr>
            </w:pPr>
            <w:r>
              <w:rPr>
                <w:rFonts w:ascii="Times New Roman" w:hAnsi="Times New Roman" w:cs="Times New Roman"/>
                <w:b/>
                <w:bCs/>
                <w:u w:val="single"/>
              </w:rPr>
              <w:t>着色剂格丽斯为干性植物油型自干树脂，环保气味低，浅红棕色透明黏液，有植物油香，主要成分为天然植物油、醇类、酸类，不含甲醛、苯、甲苯、二甲苯，不含重金属，总挥发性有机物（以非甲烷总烃计）含量约占5%。</w:t>
            </w:r>
          </w:p>
        </w:tc>
      </w:tr>
      <w:tr w14:paraId="1B9D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l2br w:val="nil"/>
              <w:tr2bl w:val="nil"/>
            </w:tcBorders>
            <w:tcMar>
              <w:top w:w="45" w:type="dxa"/>
              <w:bottom w:w="45" w:type="dxa"/>
            </w:tcMar>
            <w:vAlign w:val="center"/>
          </w:tcPr>
          <w:p w14:paraId="53395E07">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11</w:t>
            </w:r>
          </w:p>
        </w:tc>
        <w:tc>
          <w:tcPr>
            <w:tcW w:w="800" w:type="dxa"/>
            <w:tcBorders>
              <w:tl2br w:val="nil"/>
              <w:tr2bl w:val="nil"/>
            </w:tcBorders>
            <w:tcMar>
              <w:top w:w="45" w:type="dxa"/>
              <w:bottom w:w="45" w:type="dxa"/>
            </w:tcMar>
            <w:vAlign w:val="center"/>
          </w:tcPr>
          <w:p w14:paraId="0809E947">
            <w:pPr>
              <w:widowControl/>
              <w:adjustRightInd w:val="0"/>
              <w:snapToGrid w:val="0"/>
              <w:jc w:val="center"/>
              <w:rPr>
                <w:rFonts w:ascii="Times New Roman" w:hAnsi="Times New Roman" w:eastAsia="宋体" w:cs="Times New Roman"/>
                <w:b/>
                <w:bCs/>
                <w:color w:val="000000"/>
                <w:kern w:val="0"/>
                <w:szCs w:val="21"/>
                <w:u w:val="single"/>
              </w:rPr>
            </w:pPr>
            <w:r>
              <w:rPr>
                <w:rFonts w:ascii="Times New Roman" w:hAnsi="Times New Roman" w:eastAsia="宋体" w:cs="Times New Roman"/>
                <w:b/>
                <w:bCs/>
                <w:color w:val="000000"/>
                <w:szCs w:val="21"/>
                <w:u w:val="single"/>
              </w:rPr>
              <w:t>PAC</w:t>
            </w:r>
          </w:p>
        </w:tc>
        <w:tc>
          <w:tcPr>
            <w:tcW w:w="7185" w:type="dxa"/>
            <w:tcBorders>
              <w:tl2br w:val="nil"/>
              <w:tr2bl w:val="nil"/>
            </w:tcBorders>
            <w:tcMar>
              <w:top w:w="45" w:type="dxa"/>
              <w:bottom w:w="45" w:type="dxa"/>
            </w:tcMar>
            <w:vAlign w:val="center"/>
          </w:tcPr>
          <w:p w14:paraId="481C12B3">
            <w:pPr>
              <w:autoSpaceDE w:val="0"/>
              <w:autoSpaceDN w:val="0"/>
              <w:adjustRightInd w:val="0"/>
              <w:jc w:val="left"/>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PAC为聚合氯化铝，简称聚铝，黄色粉末状，也是一种絮凝剂，在水中起的作用是加强活性污泥凝聚性兼具去除COD的效果，当进水COD较高难以处理时，加入适量聚铝能一定程度上保证出水达标。</w:t>
            </w:r>
          </w:p>
        </w:tc>
      </w:tr>
      <w:tr w14:paraId="3704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dxa"/>
            <w:tcBorders>
              <w:tl2br w:val="nil"/>
              <w:tr2bl w:val="nil"/>
            </w:tcBorders>
            <w:tcMar>
              <w:top w:w="45" w:type="dxa"/>
              <w:bottom w:w="45" w:type="dxa"/>
            </w:tcMar>
            <w:vAlign w:val="center"/>
          </w:tcPr>
          <w:p w14:paraId="0009CA40">
            <w:pPr>
              <w:jc w:val="center"/>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12</w:t>
            </w:r>
          </w:p>
        </w:tc>
        <w:tc>
          <w:tcPr>
            <w:tcW w:w="800" w:type="dxa"/>
            <w:tcBorders>
              <w:tl2br w:val="nil"/>
              <w:tr2bl w:val="nil"/>
            </w:tcBorders>
            <w:tcMar>
              <w:top w:w="45" w:type="dxa"/>
              <w:bottom w:w="45" w:type="dxa"/>
            </w:tcMar>
            <w:vAlign w:val="center"/>
          </w:tcPr>
          <w:p w14:paraId="6A9AB8E5">
            <w:pPr>
              <w:widowControl/>
              <w:adjustRightInd w:val="0"/>
              <w:snapToGrid w:val="0"/>
              <w:jc w:val="center"/>
              <w:rPr>
                <w:rFonts w:ascii="Times New Roman" w:hAnsi="Times New Roman" w:eastAsia="宋体" w:cs="Times New Roman"/>
                <w:b/>
                <w:bCs/>
                <w:color w:val="000000"/>
                <w:kern w:val="0"/>
                <w:szCs w:val="21"/>
                <w:u w:val="single"/>
              </w:rPr>
            </w:pPr>
            <w:r>
              <w:rPr>
                <w:rFonts w:ascii="Times New Roman" w:hAnsi="Times New Roman" w:eastAsia="宋体" w:cs="Times New Roman"/>
                <w:b/>
                <w:bCs/>
                <w:color w:val="000000"/>
                <w:szCs w:val="21"/>
                <w:u w:val="single"/>
              </w:rPr>
              <w:t>PAM</w:t>
            </w:r>
          </w:p>
        </w:tc>
        <w:tc>
          <w:tcPr>
            <w:tcW w:w="7185" w:type="dxa"/>
            <w:tcBorders>
              <w:tl2br w:val="nil"/>
              <w:tr2bl w:val="nil"/>
            </w:tcBorders>
            <w:tcMar>
              <w:top w:w="45" w:type="dxa"/>
              <w:bottom w:w="45" w:type="dxa"/>
            </w:tcMar>
            <w:vAlign w:val="center"/>
          </w:tcPr>
          <w:p w14:paraId="601BD03B">
            <w:pPr>
              <w:autoSpaceDE w:val="0"/>
              <w:autoSpaceDN w:val="0"/>
              <w:adjustRightInd w:val="0"/>
              <w:jc w:val="left"/>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PAM为聚丙烯酰胺，是一种高分子聚合物，白色粉末状，分阴阳离子型和非离子型，阴离子型主要是用来混凝沉淀，当水中悬浮物较高且不易沉降时，加入一些阴离子絮凝剂，悬浮物沉淀效果会很好。PAC絮凝效果好，但矾花碎，</w:t>
            </w:r>
            <w:r>
              <w:rPr>
                <w:rFonts w:ascii="Times New Roman" w:hAnsi="Times New Roman" w:eastAsia="宋体" w:cs="Times New Roman"/>
                <w:b/>
                <w:bCs/>
                <w:color w:val="000000"/>
                <w:szCs w:val="21"/>
                <w:u w:val="single"/>
              </w:rPr>
              <w:fldChar w:fldCharType="begin"/>
            </w:r>
            <w:r>
              <w:rPr>
                <w:rFonts w:ascii="Times New Roman" w:hAnsi="Times New Roman" w:eastAsia="宋体" w:cs="Times New Roman"/>
                <w:b/>
                <w:bCs/>
                <w:color w:val="000000"/>
                <w:szCs w:val="21"/>
                <w:u w:val="single"/>
              </w:rPr>
              <w:instrText xml:space="preserve"> HYPERLINK "http://www.so.com/s?q=PAM&amp;ie=utf-8&amp;src=internal_wenda_recommend_text" \t "http://wenda.so.com/q/_blank" </w:instrText>
            </w:r>
            <w:r>
              <w:rPr>
                <w:rFonts w:ascii="Times New Roman" w:hAnsi="Times New Roman" w:eastAsia="宋体" w:cs="Times New Roman"/>
                <w:b/>
                <w:bCs/>
                <w:color w:val="000000"/>
                <w:szCs w:val="21"/>
                <w:u w:val="single"/>
              </w:rPr>
              <w:fldChar w:fldCharType="separate"/>
            </w:r>
            <w:r>
              <w:rPr>
                <w:rFonts w:ascii="Times New Roman" w:hAnsi="Times New Roman" w:eastAsia="宋体" w:cs="Times New Roman"/>
                <w:b/>
                <w:bCs/>
                <w:color w:val="000000"/>
                <w:szCs w:val="21"/>
                <w:u w:val="single"/>
              </w:rPr>
              <w:t>PAM</w:t>
            </w:r>
            <w:r>
              <w:rPr>
                <w:rFonts w:ascii="Times New Roman" w:hAnsi="Times New Roman" w:eastAsia="宋体" w:cs="Times New Roman"/>
                <w:b/>
                <w:bCs/>
                <w:color w:val="000000"/>
                <w:szCs w:val="21"/>
                <w:u w:val="single"/>
              </w:rPr>
              <w:fldChar w:fldCharType="end"/>
            </w:r>
            <w:r>
              <w:rPr>
                <w:rFonts w:ascii="Times New Roman" w:hAnsi="Times New Roman" w:eastAsia="宋体" w:cs="Times New Roman"/>
                <w:b/>
                <w:bCs/>
                <w:color w:val="000000"/>
                <w:szCs w:val="21"/>
                <w:u w:val="single"/>
              </w:rPr>
              <w:t>起助凝效果，能让PAC形成的矾花聚成团状有助于沉淀，一般PAC和PAM搭配使用，先加PAC后加PAM。</w:t>
            </w:r>
          </w:p>
        </w:tc>
      </w:tr>
      <w:tr w14:paraId="18C3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9" w:type="dxa"/>
            <w:gridSpan w:val="3"/>
            <w:tcBorders>
              <w:tl2br w:val="nil"/>
              <w:tr2bl w:val="nil"/>
            </w:tcBorders>
            <w:tcMar>
              <w:top w:w="45" w:type="dxa"/>
              <w:bottom w:w="45" w:type="dxa"/>
            </w:tcMar>
            <w:vAlign w:val="center"/>
          </w:tcPr>
          <w:p w14:paraId="23D57EA9">
            <w:pPr>
              <w:widowControl/>
              <w:jc w:val="left"/>
              <w:rPr>
                <w:rFonts w:ascii="Times New Roman" w:hAnsi="Times New Roman" w:eastAsia="宋体" w:cs="Times New Roman"/>
                <w:b/>
                <w:bCs/>
                <w:color w:val="000000"/>
                <w:szCs w:val="21"/>
                <w:u w:val="single"/>
              </w:rPr>
            </w:pPr>
            <w:r>
              <w:rPr>
                <w:rFonts w:ascii="Times New Roman" w:hAnsi="Times New Roman" w:eastAsia="宋体" w:cs="Times New Roman"/>
                <w:b/>
                <w:bCs/>
                <w:color w:val="000000"/>
                <w:szCs w:val="21"/>
                <w:u w:val="single"/>
              </w:rPr>
              <w:t>注：油漆、稀释剂及固化剂中酯、酮、醚、醇因无相关标准，而产生量较大，将之纳入非甲烷总烃考虑。</w:t>
            </w:r>
          </w:p>
        </w:tc>
      </w:tr>
    </w:tbl>
    <w:p w14:paraId="6BA9A4CF">
      <w:pPr>
        <w:pStyle w:val="3"/>
        <w:numPr>
          <w:ilvl w:val="1"/>
          <w:numId w:val="30"/>
        </w:numPr>
      </w:pPr>
      <w:bookmarkStart w:id="52" w:name="_Toc11615"/>
      <w:r>
        <w:rPr>
          <w:rFonts w:hint="eastAsia"/>
        </w:rPr>
        <w:t>能耗消耗与主要生产设备</w:t>
      </w:r>
      <w:bookmarkEnd w:id="52"/>
    </w:p>
    <w:p w14:paraId="707E8B0A">
      <w:pPr>
        <w:pStyle w:val="4"/>
        <w:numPr>
          <w:ilvl w:val="2"/>
          <w:numId w:val="34"/>
        </w:numPr>
        <w:tabs>
          <w:tab w:val="clear" w:pos="0"/>
        </w:tabs>
      </w:pPr>
      <w:r>
        <w:rPr>
          <w:rFonts w:hint="eastAsia"/>
        </w:rPr>
        <w:t>能源消耗分析</w:t>
      </w:r>
    </w:p>
    <w:p w14:paraId="371CDDC1">
      <w:pPr>
        <w:spacing w:line="360" w:lineRule="auto"/>
        <w:ind w:firstLine="480" w:firstLineChars="200"/>
        <w:rPr>
          <w:rFonts w:hint="eastAsia" w:ascii="Times New Roman" w:hAnsi="Times New Roman" w:cs="Times New Roman"/>
          <w:sz w:val="24"/>
        </w:rPr>
      </w:pPr>
      <w:r>
        <w:rPr>
          <w:rFonts w:ascii="Times New Roman" w:hAnsi="Times New Roman" w:cs="Times New Roman"/>
          <w:sz w:val="24"/>
        </w:rPr>
        <w:t>本项目所需能源种类及消耗量见</w:t>
      </w:r>
      <w:r>
        <w:rPr>
          <w:rFonts w:hint="eastAsia" w:ascii="Times New Roman" w:hAnsi="Times New Roman" w:cs="Times New Roman"/>
          <w:sz w:val="24"/>
        </w:rPr>
        <w:t>下</w:t>
      </w:r>
      <w:r>
        <w:rPr>
          <w:rFonts w:ascii="Times New Roman" w:hAnsi="Times New Roman" w:cs="Times New Roman"/>
          <w:sz w:val="24"/>
        </w:rPr>
        <w:t>表</w:t>
      </w:r>
      <w:r>
        <w:rPr>
          <w:rFonts w:hint="eastAsia" w:ascii="Times New Roman" w:hAnsi="Times New Roman" w:cs="Times New Roman"/>
          <w:sz w:val="24"/>
        </w:rPr>
        <w:t>。</w:t>
      </w:r>
    </w:p>
    <w:p w14:paraId="3E8AC945">
      <w:pPr>
        <w:pStyle w:val="17"/>
        <w:numPr>
          <w:ilvl w:val="0"/>
          <w:numId w:val="35"/>
        </w:numPr>
        <w:jc w:val="center"/>
        <w:rPr>
          <w:rFonts w:ascii="Times New Roman" w:hAnsi="Times New Roman" w:cs="Times New Roman"/>
          <w:b/>
          <w:bCs/>
          <w:szCs w:val="21"/>
        </w:rPr>
      </w:pPr>
      <w:r>
        <w:rPr>
          <w:rFonts w:ascii="Times New Roman" w:hAnsi="Times New Roman" w:cs="Times New Roman"/>
          <w:b/>
          <w:bCs/>
          <w:szCs w:val="21"/>
        </w:rPr>
        <w:t xml:space="preserve">  本项目所需能源种类及消耗量</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406"/>
        <w:gridCol w:w="1517"/>
        <w:gridCol w:w="1629"/>
        <w:gridCol w:w="3259"/>
      </w:tblGrid>
      <w:tr w14:paraId="334B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vAlign w:val="center"/>
          </w:tcPr>
          <w:p w14:paraId="74D82602">
            <w:pPr>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406" w:type="dxa"/>
            <w:vAlign w:val="center"/>
          </w:tcPr>
          <w:p w14:paraId="50BF7764">
            <w:pPr>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1517" w:type="dxa"/>
            <w:vAlign w:val="center"/>
          </w:tcPr>
          <w:p w14:paraId="3570A55A">
            <w:pPr>
              <w:jc w:val="center"/>
              <w:rPr>
                <w:rFonts w:ascii="Times New Roman" w:hAnsi="Times New Roman" w:eastAsia="宋体" w:cs="Times New Roman"/>
                <w:szCs w:val="21"/>
              </w:rPr>
            </w:pPr>
            <w:r>
              <w:rPr>
                <w:rFonts w:ascii="Times New Roman" w:hAnsi="Times New Roman" w:eastAsia="宋体" w:cs="Times New Roman"/>
                <w:szCs w:val="21"/>
              </w:rPr>
              <w:t>单位</w:t>
            </w:r>
          </w:p>
        </w:tc>
        <w:tc>
          <w:tcPr>
            <w:tcW w:w="1629" w:type="dxa"/>
            <w:tcBorders>
              <w:right w:val="single" w:color="000000" w:sz="4" w:space="0"/>
            </w:tcBorders>
            <w:vAlign w:val="center"/>
          </w:tcPr>
          <w:p w14:paraId="022CDF51">
            <w:pPr>
              <w:jc w:val="center"/>
              <w:rPr>
                <w:rFonts w:ascii="Times New Roman" w:hAnsi="Times New Roman" w:eastAsia="宋体" w:cs="Times New Roman"/>
                <w:szCs w:val="21"/>
              </w:rPr>
            </w:pPr>
            <w:r>
              <w:rPr>
                <w:rFonts w:ascii="Times New Roman" w:hAnsi="Times New Roman" w:eastAsia="宋体" w:cs="Times New Roman"/>
                <w:szCs w:val="21"/>
              </w:rPr>
              <w:t>消耗量</w:t>
            </w:r>
          </w:p>
        </w:tc>
        <w:tc>
          <w:tcPr>
            <w:tcW w:w="3259" w:type="dxa"/>
            <w:tcBorders>
              <w:left w:val="single" w:color="000000" w:sz="4" w:space="0"/>
            </w:tcBorders>
            <w:vAlign w:val="center"/>
          </w:tcPr>
          <w:p w14:paraId="52A7EA6C">
            <w:pPr>
              <w:jc w:val="center"/>
              <w:rPr>
                <w:rFonts w:ascii="Times New Roman" w:hAnsi="Times New Roman" w:eastAsia="宋体" w:cs="Times New Roman"/>
                <w:szCs w:val="21"/>
              </w:rPr>
            </w:pPr>
            <w:r>
              <w:rPr>
                <w:rFonts w:hint="eastAsia" w:ascii="Times New Roman" w:hAnsi="Times New Roman" w:eastAsia="宋体" w:cs="Times New Roman"/>
                <w:szCs w:val="21"/>
              </w:rPr>
              <w:t>来源</w:t>
            </w:r>
          </w:p>
        </w:tc>
      </w:tr>
      <w:tr w14:paraId="6DE6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6ABFDD95">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406" w:type="dxa"/>
            <w:vAlign w:val="center"/>
          </w:tcPr>
          <w:p w14:paraId="4FECCEEB">
            <w:pPr>
              <w:jc w:val="center"/>
              <w:rPr>
                <w:rFonts w:ascii="Times New Roman" w:hAnsi="Times New Roman" w:eastAsia="宋体" w:cs="Times New Roman"/>
                <w:szCs w:val="21"/>
              </w:rPr>
            </w:pPr>
            <w:r>
              <w:rPr>
                <w:rFonts w:ascii="Times New Roman" w:hAnsi="Times New Roman" w:eastAsia="宋体" w:cs="Times New Roman"/>
                <w:szCs w:val="21"/>
              </w:rPr>
              <w:t>电</w:t>
            </w:r>
            <w:r>
              <w:rPr>
                <w:rFonts w:hint="eastAsia" w:ascii="Times New Roman" w:hAnsi="Times New Roman" w:eastAsia="宋体" w:cs="Times New Roman"/>
                <w:szCs w:val="21"/>
              </w:rPr>
              <w:t>力</w:t>
            </w:r>
          </w:p>
        </w:tc>
        <w:tc>
          <w:tcPr>
            <w:tcW w:w="1517" w:type="dxa"/>
            <w:vAlign w:val="center"/>
          </w:tcPr>
          <w:p w14:paraId="56D17DA8">
            <w:pPr>
              <w:jc w:val="center"/>
              <w:rPr>
                <w:rFonts w:ascii="Times New Roman" w:hAnsi="Times New Roman" w:eastAsia="宋体" w:cs="Times New Roman"/>
                <w:szCs w:val="21"/>
              </w:rPr>
            </w:pPr>
            <w:r>
              <w:rPr>
                <w:rFonts w:ascii="Times New Roman" w:hAnsi="Times New Roman" w:eastAsia="宋体" w:cs="Times New Roman"/>
                <w:szCs w:val="21"/>
              </w:rPr>
              <w:t>kW</w:t>
            </w:r>
            <w:r>
              <w:rPr>
                <w:rFonts w:hint="eastAsia" w:ascii="宋体" w:hAnsi="宋体" w:eastAsia="宋体" w:cs="宋体"/>
                <w:szCs w:val="21"/>
              </w:rPr>
              <w:t>·</w:t>
            </w:r>
            <w:r>
              <w:rPr>
                <w:rFonts w:ascii="Times New Roman" w:hAnsi="Times New Roman" w:eastAsia="宋体" w:cs="Times New Roman"/>
                <w:szCs w:val="21"/>
              </w:rPr>
              <w:t>h</w:t>
            </w:r>
            <w:r>
              <w:rPr>
                <w:rFonts w:hint="eastAsia" w:ascii="Times New Roman" w:hAnsi="Times New Roman" w:eastAsia="宋体" w:cs="Times New Roman"/>
                <w:szCs w:val="21"/>
              </w:rPr>
              <w:t>/a</w:t>
            </w:r>
          </w:p>
        </w:tc>
        <w:tc>
          <w:tcPr>
            <w:tcW w:w="1629" w:type="dxa"/>
            <w:vAlign w:val="center"/>
          </w:tcPr>
          <w:p w14:paraId="2C4BE82A">
            <w:pPr>
              <w:jc w:val="center"/>
              <w:rPr>
                <w:rFonts w:ascii="Times New Roman" w:hAnsi="Times New Roman" w:eastAsia="宋体" w:cs="Times New Roman"/>
                <w:szCs w:val="21"/>
              </w:rPr>
            </w:pPr>
            <w:r>
              <w:rPr>
                <w:rFonts w:hint="eastAsia" w:ascii="Times New Roman" w:hAnsi="Times New Roman" w:eastAsia="宋体" w:cs="Times New Roman"/>
                <w:szCs w:val="21"/>
              </w:rPr>
              <w:t>40万</w:t>
            </w:r>
          </w:p>
        </w:tc>
        <w:tc>
          <w:tcPr>
            <w:tcW w:w="3259" w:type="dxa"/>
            <w:vAlign w:val="center"/>
          </w:tcPr>
          <w:p w14:paraId="3E9B8300">
            <w:pPr>
              <w:widowControl/>
              <w:jc w:val="center"/>
              <w:rPr>
                <w:rFonts w:ascii="Times New Roman" w:hAnsi="Times New Roman" w:eastAsia="宋体" w:cs="Times New Roman"/>
                <w:szCs w:val="21"/>
              </w:rPr>
            </w:pPr>
            <w:r>
              <w:rPr>
                <w:rFonts w:ascii="Times New Roman" w:hAnsi="Times New Roman" w:eastAsia="宋体"/>
                <w:bCs/>
                <w:kern w:val="0"/>
                <w:szCs w:val="21"/>
              </w:rPr>
              <w:t>清丰县产业聚集区供电局供给</w:t>
            </w:r>
          </w:p>
        </w:tc>
      </w:tr>
      <w:tr w14:paraId="3FC0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3D45235A">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406" w:type="dxa"/>
            <w:vAlign w:val="center"/>
          </w:tcPr>
          <w:p w14:paraId="667650B1">
            <w:pPr>
              <w:jc w:val="center"/>
              <w:rPr>
                <w:rFonts w:ascii="Times New Roman" w:hAnsi="Times New Roman" w:eastAsia="宋体" w:cs="Times New Roman"/>
                <w:szCs w:val="21"/>
              </w:rPr>
            </w:pPr>
            <w:r>
              <w:rPr>
                <w:rFonts w:ascii="Times New Roman" w:hAnsi="Times New Roman" w:eastAsia="宋体" w:cs="Times New Roman"/>
                <w:szCs w:val="21"/>
              </w:rPr>
              <w:t>新鲜水</w:t>
            </w:r>
          </w:p>
        </w:tc>
        <w:tc>
          <w:tcPr>
            <w:tcW w:w="1517" w:type="dxa"/>
            <w:vAlign w:val="center"/>
          </w:tcPr>
          <w:p w14:paraId="2FC5F7B1">
            <w:pPr>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zCs w:val="21"/>
                <w:vertAlign w:val="superscript"/>
              </w:rPr>
              <w:t>3</w:t>
            </w:r>
            <w:r>
              <w:rPr>
                <w:rFonts w:hint="eastAsia" w:ascii="Times New Roman" w:hAnsi="Times New Roman" w:eastAsia="宋体" w:cs="Times New Roman"/>
                <w:szCs w:val="21"/>
              </w:rPr>
              <w:t>/a</w:t>
            </w:r>
          </w:p>
        </w:tc>
        <w:tc>
          <w:tcPr>
            <w:tcW w:w="1629" w:type="dxa"/>
            <w:vAlign w:val="center"/>
          </w:tcPr>
          <w:p w14:paraId="0BE4B6BD">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289</w:t>
            </w:r>
            <w:r>
              <w:rPr>
                <w:rFonts w:hint="eastAsia" w:ascii="Times New Roman" w:hAnsi="Times New Roman" w:eastAsia="宋体" w:cs="Times New Roman"/>
                <w:szCs w:val="21"/>
                <w:lang w:val="en-US" w:eastAsia="zh-CN"/>
              </w:rPr>
              <w:t>3.92</w:t>
            </w:r>
          </w:p>
        </w:tc>
        <w:tc>
          <w:tcPr>
            <w:tcW w:w="3259" w:type="dxa"/>
            <w:vAlign w:val="center"/>
          </w:tcPr>
          <w:p w14:paraId="3A1A5DB5">
            <w:pPr>
              <w:widowControl/>
              <w:jc w:val="center"/>
              <w:rPr>
                <w:rFonts w:ascii="Times New Roman" w:hAnsi="Times New Roman" w:eastAsia="宋体" w:cs="Times New Roman"/>
                <w:color w:val="0000FF"/>
                <w:szCs w:val="21"/>
              </w:rPr>
            </w:pPr>
            <w:r>
              <w:rPr>
                <w:rFonts w:ascii="Times New Roman" w:hAnsi="Times New Roman" w:eastAsia="宋体"/>
                <w:bCs/>
                <w:kern w:val="0"/>
                <w:szCs w:val="21"/>
              </w:rPr>
              <w:t>清丰县产业聚集区</w:t>
            </w:r>
            <w:r>
              <w:rPr>
                <w:rFonts w:hint="eastAsia" w:ascii="Times New Roman" w:hAnsi="Times New Roman" w:eastAsia="宋体"/>
                <w:bCs/>
                <w:kern w:val="0"/>
                <w:szCs w:val="21"/>
              </w:rPr>
              <w:t>集中</w:t>
            </w:r>
            <w:r>
              <w:rPr>
                <w:rFonts w:ascii="Times New Roman" w:hAnsi="Times New Roman" w:eastAsia="宋体"/>
                <w:bCs/>
                <w:kern w:val="0"/>
                <w:szCs w:val="21"/>
              </w:rPr>
              <w:t>供给</w:t>
            </w:r>
          </w:p>
        </w:tc>
      </w:tr>
    </w:tbl>
    <w:p w14:paraId="164DA78D">
      <w:pPr>
        <w:pStyle w:val="4"/>
        <w:numPr>
          <w:ilvl w:val="2"/>
          <w:numId w:val="34"/>
        </w:numPr>
        <w:tabs>
          <w:tab w:val="clear" w:pos="0"/>
        </w:tabs>
      </w:pPr>
      <w:r>
        <w:rPr>
          <w:rFonts w:hint="eastAsia"/>
        </w:rPr>
        <w:t>主要生产设备</w:t>
      </w:r>
    </w:p>
    <w:p w14:paraId="7C6FBFC4">
      <w:pPr>
        <w:pStyle w:val="37"/>
        <w:spacing w:line="360" w:lineRule="auto"/>
        <w:ind w:firstLine="480" w:firstLineChars="200"/>
        <w:rPr>
          <w:rFonts w:hint="eastAsia" w:ascii="Times New Roman" w:hAnsi="Times New Roman" w:eastAsia="宋体" w:cs="Times New Roman"/>
          <w:bCs/>
          <w:kern w:val="0"/>
          <w:sz w:val="24"/>
        </w:rPr>
      </w:pPr>
      <w:r>
        <w:rPr>
          <w:rFonts w:hint="eastAsia" w:ascii="Times New Roman" w:hAnsi="Times New Roman" w:eastAsia="宋体" w:cs="Times New Roman"/>
          <w:bCs/>
          <w:kern w:val="0"/>
          <w:sz w:val="24"/>
        </w:rPr>
        <w:t>本项目主要</w:t>
      </w:r>
      <w:r>
        <w:rPr>
          <w:rFonts w:ascii="Times New Roman" w:hAnsi="Times New Roman" w:eastAsia="宋体" w:cs="Times New Roman"/>
          <w:bCs/>
          <w:kern w:val="0"/>
          <w:sz w:val="24"/>
        </w:rPr>
        <w:t>生产设备</w:t>
      </w:r>
      <w:r>
        <w:rPr>
          <w:rFonts w:hint="eastAsia" w:ascii="Times New Roman" w:hAnsi="Times New Roman" w:eastAsia="宋体" w:cs="Times New Roman"/>
          <w:bCs/>
          <w:kern w:val="0"/>
          <w:sz w:val="24"/>
        </w:rPr>
        <w:t>见下表。</w:t>
      </w:r>
    </w:p>
    <w:p w14:paraId="3B0CEE58">
      <w:pPr>
        <w:pStyle w:val="17"/>
        <w:numPr>
          <w:ilvl w:val="0"/>
          <w:numId w:val="35"/>
        </w:numPr>
        <w:jc w:val="center"/>
        <w:rPr>
          <w:rFonts w:ascii="Times New Roman" w:hAnsi="Times New Roman" w:cs="Times New Roman"/>
          <w:b/>
          <w:bCs/>
        </w:rPr>
      </w:pPr>
      <w:r>
        <w:rPr>
          <w:rFonts w:hint="eastAsia" w:ascii="Times New Roman" w:hAnsi="Times New Roman" w:cs="Times New Roman"/>
          <w:b/>
          <w:bCs/>
        </w:rPr>
        <w:t xml:space="preserve"> 本项目</w:t>
      </w:r>
      <w:r>
        <w:rPr>
          <w:rFonts w:ascii="Times New Roman" w:hAnsi="Times New Roman" w:cs="Times New Roman"/>
          <w:b/>
          <w:bCs/>
        </w:rPr>
        <w:t>主要生产设备一览表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754"/>
        <w:gridCol w:w="1658"/>
        <w:gridCol w:w="658"/>
        <w:gridCol w:w="2511"/>
        <w:gridCol w:w="1249"/>
      </w:tblGrid>
      <w:tr w14:paraId="1CC1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4" w:type="pct"/>
            <w:vAlign w:val="center"/>
          </w:tcPr>
          <w:p w14:paraId="25317A28">
            <w:pPr>
              <w:pStyle w:val="37"/>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029" w:type="pct"/>
            <w:vAlign w:val="center"/>
          </w:tcPr>
          <w:p w14:paraId="14D870E3">
            <w:pPr>
              <w:pStyle w:val="37"/>
              <w:jc w:val="center"/>
              <w:rPr>
                <w:rFonts w:ascii="Times New Roman" w:hAnsi="Times New Roman" w:eastAsia="宋体" w:cs="Times New Roman"/>
                <w:szCs w:val="21"/>
              </w:rPr>
            </w:pPr>
            <w:r>
              <w:rPr>
                <w:rFonts w:ascii="Times New Roman" w:hAnsi="Times New Roman" w:eastAsia="宋体" w:cs="Times New Roman"/>
                <w:szCs w:val="21"/>
              </w:rPr>
              <w:t>设备名称</w:t>
            </w:r>
          </w:p>
        </w:tc>
        <w:tc>
          <w:tcPr>
            <w:tcW w:w="973" w:type="pct"/>
            <w:vAlign w:val="center"/>
          </w:tcPr>
          <w:p w14:paraId="339546B2">
            <w:pPr>
              <w:pStyle w:val="37"/>
              <w:jc w:val="center"/>
              <w:rPr>
                <w:rFonts w:ascii="Times New Roman" w:hAnsi="Times New Roman" w:eastAsia="宋体" w:cs="Times New Roman"/>
                <w:szCs w:val="21"/>
              </w:rPr>
            </w:pPr>
            <w:r>
              <w:rPr>
                <w:rFonts w:ascii="Times New Roman" w:hAnsi="Times New Roman" w:eastAsia="宋体" w:cs="Times New Roman"/>
                <w:szCs w:val="21"/>
              </w:rPr>
              <w:t>规格型号/参数</w:t>
            </w:r>
          </w:p>
        </w:tc>
        <w:tc>
          <w:tcPr>
            <w:tcW w:w="386" w:type="pct"/>
            <w:vAlign w:val="center"/>
          </w:tcPr>
          <w:p w14:paraId="54545311">
            <w:pPr>
              <w:pStyle w:val="37"/>
              <w:jc w:val="center"/>
              <w:rPr>
                <w:rFonts w:ascii="Times New Roman" w:hAnsi="Times New Roman" w:eastAsia="宋体" w:cs="Times New Roman"/>
                <w:szCs w:val="21"/>
              </w:rPr>
            </w:pPr>
            <w:r>
              <w:rPr>
                <w:rFonts w:ascii="Times New Roman" w:hAnsi="Times New Roman" w:eastAsia="宋体" w:cs="Times New Roman"/>
                <w:szCs w:val="21"/>
              </w:rPr>
              <w:t>数量</w:t>
            </w:r>
          </w:p>
        </w:tc>
        <w:tc>
          <w:tcPr>
            <w:tcW w:w="1473" w:type="pct"/>
            <w:vAlign w:val="center"/>
          </w:tcPr>
          <w:p w14:paraId="6C492E4C">
            <w:pPr>
              <w:pStyle w:val="37"/>
              <w:jc w:val="center"/>
              <w:rPr>
                <w:rFonts w:hint="eastAsia"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生产产品</w:t>
            </w:r>
          </w:p>
        </w:tc>
        <w:tc>
          <w:tcPr>
            <w:tcW w:w="733" w:type="pct"/>
            <w:vAlign w:val="center"/>
          </w:tcPr>
          <w:p w14:paraId="39632C7D">
            <w:pPr>
              <w:pStyle w:val="37"/>
              <w:jc w:val="center"/>
              <w:rPr>
                <w:rFonts w:hint="default"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备注</w:t>
            </w:r>
          </w:p>
        </w:tc>
      </w:tr>
      <w:tr w14:paraId="6BD2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2DCE5A0F">
            <w:pPr>
              <w:pStyle w:val="37"/>
              <w:jc w:val="center"/>
              <w:rPr>
                <w:rFonts w:ascii="Times New Roman" w:hAnsi="Times New Roman" w:eastAsia="宋体" w:cs="Times New Roman"/>
                <w:szCs w:val="21"/>
              </w:rPr>
            </w:pPr>
            <w:r>
              <w:rPr>
                <w:rFonts w:ascii="Times New Roman" w:hAnsi="Times New Roman" w:eastAsia="宋体" w:cs="Times New Roman"/>
                <w:szCs w:val="21"/>
              </w:rPr>
              <w:t>1</w:t>
            </w:r>
          </w:p>
        </w:tc>
        <w:tc>
          <w:tcPr>
            <w:tcW w:w="1029" w:type="pct"/>
            <w:vAlign w:val="center"/>
          </w:tcPr>
          <w:p w14:paraId="64EA36CB">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精密推台锯</w:t>
            </w:r>
          </w:p>
        </w:tc>
        <w:tc>
          <w:tcPr>
            <w:tcW w:w="973" w:type="pct"/>
            <w:vAlign w:val="center"/>
          </w:tcPr>
          <w:p w14:paraId="1D816769">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MJ6132B</w:t>
            </w:r>
          </w:p>
        </w:tc>
        <w:tc>
          <w:tcPr>
            <w:tcW w:w="386" w:type="pct"/>
            <w:vAlign w:val="center"/>
          </w:tcPr>
          <w:p w14:paraId="337C6E1D">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4</w:t>
            </w:r>
            <w:r>
              <w:rPr>
                <w:rFonts w:ascii="Times New Roman" w:hAnsi="Times New Roman" w:eastAsia="宋体" w:cs="Times New Roman"/>
                <w:bCs/>
                <w:szCs w:val="21"/>
              </w:rPr>
              <w:t>台</w:t>
            </w:r>
          </w:p>
        </w:tc>
        <w:tc>
          <w:tcPr>
            <w:tcW w:w="1473" w:type="pct"/>
            <w:vAlign w:val="center"/>
          </w:tcPr>
          <w:p w14:paraId="64D61C52">
            <w:pPr>
              <w:tabs>
                <w:tab w:val="left" w:pos="5475"/>
              </w:tabs>
              <w:jc w:val="center"/>
              <w:rPr>
                <w:rFonts w:hint="default"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0E6B02F4">
            <w:pPr>
              <w:tabs>
                <w:tab w:val="left" w:pos="5475"/>
              </w:tabs>
              <w:jc w:val="center"/>
              <w:rPr>
                <w:rFonts w:hint="default"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外购</w:t>
            </w:r>
          </w:p>
        </w:tc>
      </w:tr>
      <w:tr w14:paraId="6ED6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3F11FD37">
            <w:pPr>
              <w:pStyle w:val="37"/>
              <w:jc w:val="center"/>
              <w:rPr>
                <w:rFonts w:ascii="Times New Roman" w:hAnsi="Times New Roman" w:eastAsia="宋体" w:cs="Times New Roman"/>
                <w:szCs w:val="21"/>
              </w:rPr>
            </w:pPr>
            <w:r>
              <w:rPr>
                <w:rFonts w:ascii="Times New Roman" w:hAnsi="Times New Roman" w:eastAsia="宋体" w:cs="Times New Roman"/>
                <w:szCs w:val="21"/>
              </w:rPr>
              <w:t>2</w:t>
            </w:r>
          </w:p>
        </w:tc>
        <w:tc>
          <w:tcPr>
            <w:tcW w:w="1029" w:type="pct"/>
            <w:vAlign w:val="center"/>
          </w:tcPr>
          <w:p w14:paraId="470D1A98">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冷压机</w:t>
            </w:r>
          </w:p>
        </w:tc>
        <w:tc>
          <w:tcPr>
            <w:tcW w:w="973" w:type="pct"/>
            <w:vAlign w:val="center"/>
          </w:tcPr>
          <w:p w14:paraId="6DF9362D">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315X50T</w:t>
            </w:r>
          </w:p>
        </w:tc>
        <w:tc>
          <w:tcPr>
            <w:tcW w:w="386" w:type="pct"/>
            <w:vAlign w:val="center"/>
          </w:tcPr>
          <w:p w14:paraId="11DC5583">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5</w:t>
            </w:r>
            <w:r>
              <w:rPr>
                <w:rFonts w:ascii="Times New Roman" w:hAnsi="Times New Roman" w:eastAsia="宋体" w:cs="Times New Roman"/>
                <w:bCs/>
                <w:szCs w:val="21"/>
              </w:rPr>
              <w:t>台</w:t>
            </w:r>
          </w:p>
        </w:tc>
        <w:tc>
          <w:tcPr>
            <w:tcW w:w="1473" w:type="pct"/>
            <w:vAlign w:val="center"/>
          </w:tcPr>
          <w:p w14:paraId="72C8E0AC">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41DA1D0A">
            <w:pPr>
              <w:tabs>
                <w:tab w:val="left" w:pos="5475"/>
              </w:tabs>
              <w:jc w:val="center"/>
              <w:rPr>
                <w:rFonts w:hint="eastAsia"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外购</w:t>
            </w:r>
          </w:p>
        </w:tc>
      </w:tr>
      <w:tr w14:paraId="099B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2F83BA95">
            <w:pPr>
              <w:pStyle w:val="37"/>
              <w:jc w:val="center"/>
              <w:rPr>
                <w:rFonts w:ascii="Times New Roman" w:hAnsi="Times New Roman" w:eastAsia="宋体" w:cs="Times New Roman"/>
                <w:szCs w:val="21"/>
              </w:rPr>
            </w:pPr>
            <w:r>
              <w:rPr>
                <w:rFonts w:ascii="Times New Roman" w:hAnsi="Times New Roman" w:eastAsia="宋体" w:cs="Times New Roman"/>
                <w:szCs w:val="21"/>
              </w:rPr>
              <w:t>3</w:t>
            </w:r>
          </w:p>
        </w:tc>
        <w:tc>
          <w:tcPr>
            <w:tcW w:w="1029" w:type="pct"/>
            <w:vAlign w:val="center"/>
          </w:tcPr>
          <w:p w14:paraId="77E851DF">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封边机</w:t>
            </w:r>
          </w:p>
        </w:tc>
        <w:tc>
          <w:tcPr>
            <w:tcW w:w="973" w:type="pct"/>
            <w:vAlign w:val="center"/>
          </w:tcPr>
          <w:p w14:paraId="192D56F4">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NB7CJM</w:t>
            </w:r>
          </w:p>
        </w:tc>
        <w:tc>
          <w:tcPr>
            <w:tcW w:w="386" w:type="pct"/>
            <w:vAlign w:val="center"/>
          </w:tcPr>
          <w:p w14:paraId="671371CE">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台</w:t>
            </w:r>
          </w:p>
        </w:tc>
        <w:tc>
          <w:tcPr>
            <w:tcW w:w="1473" w:type="pct"/>
            <w:vAlign w:val="center"/>
          </w:tcPr>
          <w:p w14:paraId="10C09E22">
            <w:pPr>
              <w:pStyle w:val="37"/>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7D410635">
            <w:pPr>
              <w:pStyle w:val="37"/>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1DF2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4AE5673A">
            <w:pPr>
              <w:pStyle w:val="37"/>
              <w:jc w:val="center"/>
              <w:rPr>
                <w:rFonts w:ascii="Times New Roman" w:hAnsi="Times New Roman" w:eastAsia="宋体" w:cs="Times New Roman"/>
                <w:szCs w:val="21"/>
              </w:rPr>
            </w:pPr>
            <w:r>
              <w:rPr>
                <w:rFonts w:ascii="Times New Roman" w:hAnsi="Times New Roman" w:eastAsia="宋体" w:cs="Times New Roman"/>
                <w:szCs w:val="21"/>
              </w:rPr>
              <w:t>4</w:t>
            </w:r>
          </w:p>
        </w:tc>
        <w:tc>
          <w:tcPr>
            <w:tcW w:w="1029" w:type="pct"/>
            <w:vAlign w:val="center"/>
          </w:tcPr>
          <w:p w14:paraId="2D858785">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砂光机</w:t>
            </w:r>
          </w:p>
        </w:tc>
        <w:tc>
          <w:tcPr>
            <w:tcW w:w="973" w:type="pct"/>
            <w:vAlign w:val="center"/>
          </w:tcPr>
          <w:p w14:paraId="22CC0110">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6" w:type="pct"/>
            <w:vAlign w:val="center"/>
          </w:tcPr>
          <w:p w14:paraId="47D4D46C">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台</w:t>
            </w:r>
          </w:p>
        </w:tc>
        <w:tc>
          <w:tcPr>
            <w:tcW w:w="1473" w:type="pct"/>
            <w:vAlign w:val="center"/>
          </w:tcPr>
          <w:p w14:paraId="1902C0CE">
            <w:pPr>
              <w:pStyle w:val="37"/>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65FADFAD">
            <w:pPr>
              <w:pStyle w:val="37"/>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0021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04" w:type="pct"/>
            <w:vAlign w:val="center"/>
          </w:tcPr>
          <w:p w14:paraId="708E5A03">
            <w:pPr>
              <w:pStyle w:val="37"/>
              <w:jc w:val="center"/>
              <w:rPr>
                <w:rFonts w:ascii="Times New Roman" w:hAnsi="Times New Roman" w:eastAsia="宋体" w:cs="Times New Roman"/>
                <w:szCs w:val="21"/>
              </w:rPr>
            </w:pPr>
            <w:r>
              <w:rPr>
                <w:rFonts w:ascii="Times New Roman" w:hAnsi="Times New Roman" w:eastAsia="宋体" w:cs="Times New Roman"/>
                <w:szCs w:val="21"/>
              </w:rPr>
              <w:t>5</w:t>
            </w:r>
          </w:p>
        </w:tc>
        <w:tc>
          <w:tcPr>
            <w:tcW w:w="1029" w:type="pct"/>
            <w:vAlign w:val="center"/>
          </w:tcPr>
          <w:p w14:paraId="7D5D7A83">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下轴铣</w:t>
            </w:r>
          </w:p>
        </w:tc>
        <w:tc>
          <w:tcPr>
            <w:tcW w:w="973" w:type="pct"/>
            <w:vAlign w:val="center"/>
          </w:tcPr>
          <w:p w14:paraId="33EEF1E1">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6" w:type="pct"/>
            <w:vAlign w:val="center"/>
          </w:tcPr>
          <w:p w14:paraId="1BD5DB1F">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台</w:t>
            </w:r>
          </w:p>
        </w:tc>
        <w:tc>
          <w:tcPr>
            <w:tcW w:w="1473" w:type="pct"/>
            <w:vAlign w:val="center"/>
          </w:tcPr>
          <w:p w14:paraId="630846D0">
            <w:pPr>
              <w:pStyle w:val="37"/>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1E3DDD2C">
            <w:pPr>
              <w:pStyle w:val="37"/>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3E29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308C476C">
            <w:pPr>
              <w:pStyle w:val="37"/>
              <w:jc w:val="center"/>
              <w:rPr>
                <w:rFonts w:ascii="Times New Roman" w:hAnsi="Times New Roman" w:eastAsia="宋体" w:cs="Times New Roman"/>
                <w:szCs w:val="21"/>
              </w:rPr>
            </w:pPr>
            <w:r>
              <w:rPr>
                <w:rFonts w:ascii="Times New Roman" w:hAnsi="Times New Roman" w:eastAsia="宋体" w:cs="Times New Roman"/>
                <w:szCs w:val="21"/>
              </w:rPr>
              <w:t>6</w:t>
            </w:r>
          </w:p>
        </w:tc>
        <w:tc>
          <w:tcPr>
            <w:tcW w:w="1029" w:type="pct"/>
            <w:vAlign w:val="center"/>
          </w:tcPr>
          <w:p w14:paraId="18C6B361">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空压机</w:t>
            </w:r>
          </w:p>
        </w:tc>
        <w:tc>
          <w:tcPr>
            <w:tcW w:w="973" w:type="pct"/>
            <w:vAlign w:val="center"/>
          </w:tcPr>
          <w:p w14:paraId="0C7ACF16">
            <w:pPr>
              <w:pStyle w:val="37"/>
              <w:jc w:val="center"/>
              <w:rPr>
                <w:rFonts w:ascii="Times New Roman" w:hAnsi="Times New Roman" w:eastAsia="宋体" w:cs="Times New Roman"/>
                <w:szCs w:val="21"/>
              </w:rPr>
            </w:pPr>
            <w:r>
              <w:rPr>
                <w:rFonts w:ascii="Times New Roman" w:hAnsi="Times New Roman" w:eastAsia="宋体" w:cs="Times New Roman"/>
                <w:szCs w:val="21"/>
              </w:rPr>
              <w:t>TGE22A</w:t>
            </w:r>
          </w:p>
        </w:tc>
        <w:tc>
          <w:tcPr>
            <w:tcW w:w="386" w:type="pct"/>
            <w:vAlign w:val="center"/>
          </w:tcPr>
          <w:p w14:paraId="341A2AA7">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台</w:t>
            </w:r>
          </w:p>
        </w:tc>
        <w:tc>
          <w:tcPr>
            <w:tcW w:w="1473" w:type="pct"/>
            <w:vAlign w:val="center"/>
          </w:tcPr>
          <w:p w14:paraId="3BD4EFDC">
            <w:pPr>
              <w:pStyle w:val="37"/>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5CA2DC76">
            <w:pPr>
              <w:pStyle w:val="37"/>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043A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34FEAD33">
            <w:pPr>
              <w:pStyle w:val="37"/>
              <w:jc w:val="center"/>
              <w:rPr>
                <w:rFonts w:ascii="Times New Roman" w:hAnsi="Times New Roman" w:eastAsia="宋体" w:cs="Times New Roman"/>
                <w:szCs w:val="21"/>
              </w:rPr>
            </w:pPr>
            <w:r>
              <w:rPr>
                <w:rFonts w:ascii="Times New Roman" w:hAnsi="Times New Roman" w:eastAsia="宋体" w:cs="Times New Roman"/>
                <w:szCs w:val="21"/>
              </w:rPr>
              <w:t>7</w:t>
            </w:r>
          </w:p>
        </w:tc>
        <w:tc>
          <w:tcPr>
            <w:tcW w:w="1029" w:type="pct"/>
            <w:vAlign w:val="center"/>
          </w:tcPr>
          <w:p w14:paraId="40C7E892">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数控雕刻机</w:t>
            </w:r>
          </w:p>
        </w:tc>
        <w:tc>
          <w:tcPr>
            <w:tcW w:w="973" w:type="pct"/>
            <w:vAlign w:val="center"/>
          </w:tcPr>
          <w:p w14:paraId="1AF4E928">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M35</w:t>
            </w:r>
          </w:p>
        </w:tc>
        <w:tc>
          <w:tcPr>
            <w:tcW w:w="386" w:type="pct"/>
            <w:vAlign w:val="center"/>
          </w:tcPr>
          <w:p w14:paraId="602B3D60">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3</w:t>
            </w:r>
            <w:r>
              <w:rPr>
                <w:rFonts w:ascii="Times New Roman" w:hAnsi="Times New Roman" w:eastAsia="宋体" w:cs="Times New Roman"/>
                <w:bCs/>
                <w:szCs w:val="21"/>
              </w:rPr>
              <w:t>台</w:t>
            </w:r>
          </w:p>
        </w:tc>
        <w:tc>
          <w:tcPr>
            <w:tcW w:w="1473" w:type="pct"/>
            <w:vAlign w:val="center"/>
          </w:tcPr>
          <w:p w14:paraId="04BCC8F8">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6BD093D3">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1801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54F9B5A3">
            <w:pPr>
              <w:pStyle w:val="37"/>
              <w:jc w:val="center"/>
              <w:rPr>
                <w:rFonts w:ascii="Times New Roman" w:hAnsi="Times New Roman" w:eastAsia="宋体" w:cs="Times New Roman"/>
                <w:szCs w:val="21"/>
              </w:rPr>
            </w:pPr>
            <w:r>
              <w:rPr>
                <w:rFonts w:ascii="Times New Roman" w:hAnsi="Times New Roman" w:eastAsia="宋体" w:cs="Times New Roman"/>
                <w:szCs w:val="21"/>
              </w:rPr>
              <w:t>8</w:t>
            </w:r>
          </w:p>
        </w:tc>
        <w:tc>
          <w:tcPr>
            <w:tcW w:w="1029" w:type="pct"/>
            <w:vAlign w:val="center"/>
          </w:tcPr>
          <w:p w14:paraId="4B409196">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压刨机</w:t>
            </w:r>
          </w:p>
        </w:tc>
        <w:tc>
          <w:tcPr>
            <w:tcW w:w="973" w:type="pct"/>
            <w:vAlign w:val="center"/>
          </w:tcPr>
          <w:p w14:paraId="281C78CF">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4591CFE7">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473" w:type="pct"/>
            <w:vAlign w:val="center"/>
          </w:tcPr>
          <w:p w14:paraId="42CC09DA">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5B202AD8">
            <w:pPr>
              <w:tabs>
                <w:tab w:val="left" w:pos="5475"/>
              </w:tabs>
              <w:jc w:val="center"/>
              <w:rPr>
                <w:rFonts w:hint="eastAsia"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租赁</w:t>
            </w:r>
          </w:p>
        </w:tc>
      </w:tr>
      <w:tr w14:paraId="07E9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730C489A">
            <w:pPr>
              <w:pStyle w:val="37"/>
              <w:jc w:val="center"/>
              <w:rPr>
                <w:rFonts w:ascii="Times New Roman" w:hAnsi="Times New Roman" w:eastAsia="宋体" w:cs="Times New Roman"/>
                <w:szCs w:val="21"/>
              </w:rPr>
            </w:pPr>
            <w:r>
              <w:rPr>
                <w:rFonts w:ascii="Times New Roman" w:hAnsi="Times New Roman" w:eastAsia="宋体" w:cs="Times New Roman"/>
                <w:szCs w:val="21"/>
              </w:rPr>
              <w:t>9</w:t>
            </w:r>
          </w:p>
        </w:tc>
        <w:tc>
          <w:tcPr>
            <w:tcW w:w="1029" w:type="pct"/>
            <w:vAlign w:val="center"/>
          </w:tcPr>
          <w:p w14:paraId="1A2B150F">
            <w:pPr>
              <w:tabs>
                <w:tab w:val="left" w:pos="5475"/>
              </w:tabs>
              <w:jc w:val="center"/>
              <w:rPr>
                <w:rFonts w:ascii="Times New Roman" w:hAnsi="Times New Roman" w:eastAsia="宋体" w:cs="Times New Roman"/>
                <w:szCs w:val="21"/>
              </w:rPr>
            </w:pPr>
            <w:r>
              <w:rPr>
                <w:rFonts w:hint="eastAsia" w:ascii="Times New Roman" w:hAnsi="Times New Roman" w:eastAsia="宋体" w:cs="Times New Roman"/>
                <w:szCs w:val="21"/>
              </w:rPr>
              <w:t>木线机</w:t>
            </w:r>
          </w:p>
        </w:tc>
        <w:tc>
          <w:tcPr>
            <w:tcW w:w="973" w:type="pct"/>
            <w:vAlign w:val="center"/>
          </w:tcPr>
          <w:p w14:paraId="554FBC58">
            <w:pPr>
              <w:tabs>
                <w:tab w:val="left" w:pos="5475"/>
              </w:tabs>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6" w:type="pct"/>
            <w:vAlign w:val="center"/>
          </w:tcPr>
          <w:p w14:paraId="387C1A47">
            <w:pPr>
              <w:tabs>
                <w:tab w:val="left" w:pos="5475"/>
              </w:tabs>
              <w:jc w:val="center"/>
              <w:rPr>
                <w:rFonts w:ascii="Times New Roman" w:hAnsi="Times New Roman" w:eastAsia="宋体" w:cs="Times New Roman"/>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473" w:type="pct"/>
            <w:vAlign w:val="center"/>
          </w:tcPr>
          <w:p w14:paraId="2CE74C91">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12C0010D">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租赁</w:t>
            </w:r>
          </w:p>
        </w:tc>
      </w:tr>
      <w:tr w14:paraId="1E67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493C7B95">
            <w:pPr>
              <w:pStyle w:val="37"/>
              <w:jc w:val="center"/>
              <w:rPr>
                <w:rFonts w:ascii="Times New Roman" w:hAnsi="Times New Roman" w:eastAsia="宋体" w:cs="Times New Roman"/>
                <w:szCs w:val="21"/>
              </w:rPr>
            </w:pPr>
            <w:r>
              <w:rPr>
                <w:rFonts w:ascii="Times New Roman" w:hAnsi="Times New Roman" w:eastAsia="宋体" w:cs="Times New Roman"/>
                <w:szCs w:val="21"/>
              </w:rPr>
              <w:t>10</w:t>
            </w:r>
          </w:p>
        </w:tc>
        <w:tc>
          <w:tcPr>
            <w:tcW w:w="1029" w:type="pct"/>
            <w:vAlign w:val="center"/>
          </w:tcPr>
          <w:p w14:paraId="485E5E54">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热压机</w:t>
            </w:r>
          </w:p>
        </w:tc>
        <w:tc>
          <w:tcPr>
            <w:tcW w:w="973" w:type="pct"/>
            <w:vAlign w:val="center"/>
          </w:tcPr>
          <w:p w14:paraId="59A63972">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04B0761A">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台</w:t>
            </w:r>
          </w:p>
        </w:tc>
        <w:tc>
          <w:tcPr>
            <w:tcW w:w="1473" w:type="pct"/>
            <w:vAlign w:val="center"/>
          </w:tcPr>
          <w:p w14:paraId="217749E0">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5DFA98D2">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0A7C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162D751A">
            <w:pPr>
              <w:pStyle w:val="37"/>
              <w:jc w:val="center"/>
              <w:rPr>
                <w:rFonts w:ascii="Times New Roman" w:hAnsi="Times New Roman" w:eastAsia="宋体" w:cs="Times New Roman"/>
                <w:szCs w:val="21"/>
              </w:rPr>
            </w:pPr>
            <w:r>
              <w:rPr>
                <w:rFonts w:ascii="Times New Roman" w:hAnsi="Times New Roman" w:eastAsia="宋体" w:cs="Times New Roman"/>
                <w:szCs w:val="21"/>
              </w:rPr>
              <w:t>11</w:t>
            </w:r>
          </w:p>
        </w:tc>
        <w:tc>
          <w:tcPr>
            <w:tcW w:w="1029" w:type="pct"/>
            <w:vAlign w:val="center"/>
          </w:tcPr>
          <w:p w14:paraId="7BEA9130">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排钻</w:t>
            </w:r>
          </w:p>
        </w:tc>
        <w:tc>
          <w:tcPr>
            <w:tcW w:w="973" w:type="pct"/>
            <w:vAlign w:val="center"/>
          </w:tcPr>
          <w:p w14:paraId="5C20B228">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Z3A</w:t>
            </w:r>
          </w:p>
        </w:tc>
        <w:tc>
          <w:tcPr>
            <w:tcW w:w="386" w:type="pct"/>
            <w:vAlign w:val="center"/>
          </w:tcPr>
          <w:p w14:paraId="620A2731">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473" w:type="pct"/>
            <w:vAlign w:val="center"/>
          </w:tcPr>
          <w:p w14:paraId="3916DA33">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2F93D9CB">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租赁</w:t>
            </w:r>
          </w:p>
        </w:tc>
      </w:tr>
      <w:tr w14:paraId="06DE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5CDE50A8">
            <w:pPr>
              <w:pStyle w:val="37"/>
              <w:jc w:val="center"/>
              <w:rPr>
                <w:rFonts w:ascii="Times New Roman" w:hAnsi="Times New Roman" w:eastAsia="宋体" w:cs="Times New Roman"/>
                <w:szCs w:val="21"/>
              </w:rPr>
            </w:pPr>
            <w:r>
              <w:rPr>
                <w:rFonts w:ascii="Times New Roman" w:hAnsi="Times New Roman" w:eastAsia="宋体" w:cs="Times New Roman"/>
                <w:szCs w:val="21"/>
              </w:rPr>
              <w:t>12</w:t>
            </w:r>
          </w:p>
        </w:tc>
        <w:tc>
          <w:tcPr>
            <w:tcW w:w="1029" w:type="pct"/>
            <w:vAlign w:val="center"/>
          </w:tcPr>
          <w:p w14:paraId="195F6A8F">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侧孔机</w:t>
            </w:r>
          </w:p>
        </w:tc>
        <w:tc>
          <w:tcPr>
            <w:tcW w:w="973" w:type="pct"/>
            <w:vAlign w:val="center"/>
          </w:tcPr>
          <w:p w14:paraId="491CFFDA">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0E8C63DE">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473" w:type="pct"/>
            <w:vAlign w:val="center"/>
          </w:tcPr>
          <w:p w14:paraId="6CEF2E06">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7A4E18C8">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租赁</w:t>
            </w:r>
          </w:p>
        </w:tc>
      </w:tr>
      <w:tr w14:paraId="359A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710C45E7">
            <w:pPr>
              <w:pStyle w:val="37"/>
              <w:jc w:val="center"/>
              <w:rPr>
                <w:rFonts w:ascii="Times New Roman" w:hAnsi="Times New Roman" w:eastAsia="宋体" w:cs="Times New Roman"/>
                <w:szCs w:val="21"/>
              </w:rPr>
            </w:pPr>
            <w:r>
              <w:rPr>
                <w:rFonts w:ascii="Times New Roman" w:hAnsi="Times New Roman" w:eastAsia="宋体" w:cs="Times New Roman"/>
                <w:szCs w:val="21"/>
              </w:rPr>
              <w:t>13</w:t>
            </w:r>
          </w:p>
        </w:tc>
        <w:tc>
          <w:tcPr>
            <w:tcW w:w="1029" w:type="pct"/>
            <w:vAlign w:val="center"/>
          </w:tcPr>
          <w:p w14:paraId="49BF8182">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开锁机</w:t>
            </w:r>
          </w:p>
        </w:tc>
        <w:tc>
          <w:tcPr>
            <w:tcW w:w="973" w:type="pct"/>
            <w:vAlign w:val="center"/>
          </w:tcPr>
          <w:p w14:paraId="454D1269">
            <w:pPr>
              <w:tabs>
                <w:tab w:val="left" w:pos="5475"/>
              </w:tabs>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6" w:type="pct"/>
            <w:vAlign w:val="center"/>
          </w:tcPr>
          <w:p w14:paraId="1772A2BD">
            <w:pPr>
              <w:tabs>
                <w:tab w:val="left" w:pos="5475"/>
              </w:tabs>
              <w:jc w:val="center"/>
              <w:rPr>
                <w:rFonts w:ascii="Times New Roman" w:hAnsi="Times New Roman" w:eastAsia="宋体" w:cs="Times New Roman"/>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473" w:type="pct"/>
            <w:vAlign w:val="center"/>
          </w:tcPr>
          <w:p w14:paraId="53BBECCB">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1841B72B">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租赁</w:t>
            </w:r>
          </w:p>
        </w:tc>
      </w:tr>
      <w:tr w14:paraId="5F76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040CF189">
            <w:pPr>
              <w:pStyle w:val="37"/>
              <w:jc w:val="center"/>
              <w:rPr>
                <w:rFonts w:ascii="Times New Roman" w:hAnsi="Times New Roman" w:eastAsia="宋体" w:cs="Times New Roman"/>
                <w:szCs w:val="21"/>
              </w:rPr>
            </w:pPr>
            <w:r>
              <w:rPr>
                <w:rFonts w:ascii="Times New Roman" w:hAnsi="Times New Roman" w:eastAsia="宋体" w:cs="Times New Roman"/>
                <w:szCs w:val="21"/>
              </w:rPr>
              <w:t>14</w:t>
            </w:r>
          </w:p>
        </w:tc>
        <w:tc>
          <w:tcPr>
            <w:tcW w:w="1029" w:type="pct"/>
            <w:vAlign w:val="center"/>
          </w:tcPr>
          <w:p w14:paraId="59A6C1C8">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立铣机</w:t>
            </w:r>
          </w:p>
        </w:tc>
        <w:tc>
          <w:tcPr>
            <w:tcW w:w="973" w:type="pct"/>
            <w:vAlign w:val="center"/>
          </w:tcPr>
          <w:p w14:paraId="64F22ABE">
            <w:pPr>
              <w:tabs>
                <w:tab w:val="left" w:pos="5475"/>
              </w:tabs>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86" w:type="pct"/>
            <w:vAlign w:val="center"/>
          </w:tcPr>
          <w:p w14:paraId="46604C51">
            <w:pPr>
              <w:tabs>
                <w:tab w:val="left" w:pos="5475"/>
              </w:tabs>
              <w:jc w:val="center"/>
              <w:rPr>
                <w:rFonts w:ascii="Times New Roman" w:hAnsi="Times New Roman" w:eastAsia="宋体" w:cs="Times New Roman"/>
                <w:szCs w:val="21"/>
              </w:rPr>
            </w:pPr>
            <w:r>
              <w:rPr>
                <w:rFonts w:hint="eastAsia" w:ascii="Times New Roman" w:hAnsi="Times New Roman" w:eastAsia="宋体" w:cs="Times New Roman"/>
                <w:bCs/>
                <w:szCs w:val="21"/>
              </w:rPr>
              <w:t>4</w:t>
            </w:r>
            <w:r>
              <w:rPr>
                <w:rFonts w:ascii="Times New Roman" w:hAnsi="Times New Roman" w:eastAsia="宋体" w:cs="Times New Roman"/>
                <w:bCs/>
                <w:szCs w:val="21"/>
              </w:rPr>
              <w:t>台</w:t>
            </w:r>
          </w:p>
        </w:tc>
        <w:tc>
          <w:tcPr>
            <w:tcW w:w="1473" w:type="pct"/>
            <w:vAlign w:val="center"/>
          </w:tcPr>
          <w:p w14:paraId="4F8C9DFC">
            <w:pPr>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29E4F0F3">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7349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16ADD34A">
            <w:pPr>
              <w:pStyle w:val="37"/>
              <w:jc w:val="center"/>
              <w:rPr>
                <w:rFonts w:ascii="Times New Roman" w:hAnsi="Times New Roman" w:eastAsia="宋体" w:cs="Times New Roman"/>
                <w:szCs w:val="21"/>
              </w:rPr>
            </w:pPr>
            <w:r>
              <w:rPr>
                <w:rFonts w:ascii="Times New Roman" w:hAnsi="Times New Roman" w:eastAsia="宋体" w:cs="Times New Roman"/>
                <w:szCs w:val="21"/>
              </w:rPr>
              <w:t>15</w:t>
            </w:r>
          </w:p>
        </w:tc>
        <w:tc>
          <w:tcPr>
            <w:tcW w:w="1029" w:type="pct"/>
            <w:vAlign w:val="center"/>
          </w:tcPr>
          <w:p w14:paraId="0B42A8C7">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九头砂</w:t>
            </w:r>
          </w:p>
        </w:tc>
        <w:tc>
          <w:tcPr>
            <w:tcW w:w="973" w:type="pct"/>
            <w:vAlign w:val="center"/>
          </w:tcPr>
          <w:p w14:paraId="3EA29B9A">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4F063CC6">
            <w:pPr>
              <w:tabs>
                <w:tab w:val="left" w:pos="5475"/>
              </w:tabs>
              <w:jc w:val="center"/>
              <w:rPr>
                <w:rFonts w:ascii="Times New Roman" w:hAnsi="Times New Roman" w:eastAsia="宋体" w:cs="Times New Roman"/>
                <w:bCs/>
                <w:szCs w:val="21"/>
              </w:rPr>
            </w:pPr>
            <w:r>
              <w:rPr>
                <w:rFonts w:ascii="Times New Roman" w:hAnsi="Times New Roman" w:eastAsia="宋体" w:cs="Times New Roman"/>
                <w:bCs/>
                <w:szCs w:val="21"/>
              </w:rPr>
              <w:t>1台</w:t>
            </w:r>
          </w:p>
        </w:tc>
        <w:tc>
          <w:tcPr>
            <w:tcW w:w="1473" w:type="pct"/>
            <w:vAlign w:val="center"/>
          </w:tcPr>
          <w:p w14:paraId="2C3E44F2">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54779352">
            <w:pPr>
              <w:tabs>
                <w:tab w:val="left" w:pos="5475"/>
              </w:tabs>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30B2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336C69AD">
            <w:pPr>
              <w:pStyle w:val="37"/>
              <w:jc w:val="center"/>
              <w:rPr>
                <w:rFonts w:ascii="Times New Roman" w:hAnsi="Times New Roman" w:eastAsia="宋体" w:cs="Times New Roman"/>
                <w:szCs w:val="21"/>
              </w:rPr>
            </w:pPr>
            <w:r>
              <w:rPr>
                <w:rFonts w:ascii="Times New Roman" w:hAnsi="Times New Roman" w:eastAsia="宋体" w:cs="Times New Roman"/>
                <w:szCs w:val="21"/>
              </w:rPr>
              <w:t>16</w:t>
            </w:r>
          </w:p>
        </w:tc>
        <w:tc>
          <w:tcPr>
            <w:tcW w:w="1029" w:type="pct"/>
            <w:vAlign w:val="center"/>
          </w:tcPr>
          <w:p w14:paraId="349F558A">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UV线</w:t>
            </w:r>
          </w:p>
        </w:tc>
        <w:tc>
          <w:tcPr>
            <w:tcW w:w="973" w:type="pct"/>
            <w:vAlign w:val="center"/>
          </w:tcPr>
          <w:p w14:paraId="7D8E54FE">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4E608D5C">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2条</w:t>
            </w:r>
          </w:p>
        </w:tc>
        <w:tc>
          <w:tcPr>
            <w:tcW w:w="1473" w:type="pct"/>
            <w:vAlign w:val="center"/>
          </w:tcPr>
          <w:p w14:paraId="2A675775">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67D13199">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1020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6E46E83A">
            <w:pPr>
              <w:pStyle w:val="37"/>
              <w:jc w:val="center"/>
              <w:rPr>
                <w:rFonts w:ascii="Times New Roman" w:hAnsi="Times New Roman" w:eastAsia="宋体" w:cs="Times New Roman"/>
                <w:szCs w:val="21"/>
              </w:rPr>
            </w:pPr>
            <w:r>
              <w:rPr>
                <w:rFonts w:ascii="Times New Roman" w:hAnsi="Times New Roman" w:eastAsia="宋体" w:cs="Times New Roman"/>
                <w:szCs w:val="21"/>
              </w:rPr>
              <w:t>17</w:t>
            </w:r>
          </w:p>
        </w:tc>
        <w:tc>
          <w:tcPr>
            <w:tcW w:w="1029" w:type="pct"/>
            <w:vAlign w:val="center"/>
          </w:tcPr>
          <w:p w14:paraId="69A2B6A1">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包复机</w:t>
            </w:r>
          </w:p>
        </w:tc>
        <w:tc>
          <w:tcPr>
            <w:tcW w:w="973" w:type="pct"/>
            <w:vAlign w:val="center"/>
          </w:tcPr>
          <w:p w14:paraId="637B3256">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769DA26E">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3</w:t>
            </w:r>
            <w:r>
              <w:rPr>
                <w:rFonts w:ascii="Times New Roman" w:hAnsi="Times New Roman" w:eastAsia="宋体" w:cs="Times New Roman"/>
                <w:bCs/>
                <w:szCs w:val="21"/>
              </w:rPr>
              <w:t>台</w:t>
            </w:r>
          </w:p>
        </w:tc>
        <w:tc>
          <w:tcPr>
            <w:tcW w:w="1473" w:type="pct"/>
            <w:vAlign w:val="center"/>
          </w:tcPr>
          <w:p w14:paraId="608AA585">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297515F7">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租赁</w:t>
            </w:r>
          </w:p>
        </w:tc>
      </w:tr>
      <w:tr w14:paraId="691A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71404A7F">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18</w:t>
            </w:r>
          </w:p>
        </w:tc>
        <w:tc>
          <w:tcPr>
            <w:tcW w:w="1029" w:type="pct"/>
            <w:vAlign w:val="center"/>
          </w:tcPr>
          <w:p w14:paraId="42127503">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单面涂胶机</w:t>
            </w:r>
          </w:p>
        </w:tc>
        <w:tc>
          <w:tcPr>
            <w:tcW w:w="973" w:type="pct"/>
            <w:vAlign w:val="center"/>
          </w:tcPr>
          <w:p w14:paraId="11D1AE0C">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MT6113型</w:t>
            </w:r>
          </w:p>
        </w:tc>
        <w:tc>
          <w:tcPr>
            <w:tcW w:w="386" w:type="pct"/>
            <w:vAlign w:val="center"/>
          </w:tcPr>
          <w:p w14:paraId="24C8318D">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473" w:type="pct"/>
            <w:vAlign w:val="center"/>
          </w:tcPr>
          <w:p w14:paraId="404081FB">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1C19151E">
            <w:pPr>
              <w:tabs>
                <w:tab w:val="left" w:pos="5475"/>
              </w:tabs>
              <w:jc w:val="center"/>
              <w:rPr>
                <w:rFonts w:hint="default" w:ascii="Times New Roman" w:hAnsi="Times New Roman" w:eastAsia="宋体" w:cs="Times New Roman"/>
                <w:b/>
                <w:bCs/>
                <w:szCs w:val="21"/>
                <w:u w:val="single"/>
                <w:lang w:val="en-US"/>
              </w:rPr>
            </w:pPr>
            <w:r>
              <w:rPr>
                <w:rFonts w:hint="eastAsia" w:ascii="Times New Roman" w:hAnsi="Times New Roman" w:eastAsia="宋体" w:cs="Times New Roman"/>
                <w:b/>
                <w:bCs/>
                <w:szCs w:val="21"/>
                <w:u w:val="single"/>
                <w:lang w:val="en-US" w:eastAsia="zh-CN"/>
              </w:rPr>
              <w:t>租赁+外购</w:t>
            </w:r>
          </w:p>
        </w:tc>
      </w:tr>
      <w:tr w14:paraId="6386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161E0B5D">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19</w:t>
            </w:r>
          </w:p>
        </w:tc>
        <w:tc>
          <w:tcPr>
            <w:tcW w:w="1029" w:type="pct"/>
            <w:vAlign w:val="center"/>
          </w:tcPr>
          <w:p w14:paraId="06818791">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角度锯</w:t>
            </w:r>
          </w:p>
        </w:tc>
        <w:tc>
          <w:tcPr>
            <w:tcW w:w="973" w:type="pct"/>
            <w:vAlign w:val="center"/>
          </w:tcPr>
          <w:p w14:paraId="7D5CC8E8">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7E9851EF">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6</w:t>
            </w:r>
            <w:r>
              <w:rPr>
                <w:rFonts w:ascii="Times New Roman" w:hAnsi="Times New Roman" w:eastAsia="宋体" w:cs="Times New Roman"/>
                <w:bCs/>
                <w:szCs w:val="21"/>
              </w:rPr>
              <w:t>台</w:t>
            </w:r>
          </w:p>
        </w:tc>
        <w:tc>
          <w:tcPr>
            <w:tcW w:w="1473" w:type="pct"/>
            <w:vAlign w:val="center"/>
          </w:tcPr>
          <w:p w14:paraId="6D6BB5CD">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11AC424F">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租赁</w:t>
            </w:r>
          </w:p>
        </w:tc>
      </w:tr>
      <w:tr w14:paraId="7AFC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75980DAB">
            <w:pPr>
              <w:pStyle w:val="37"/>
              <w:jc w:val="center"/>
              <w:rPr>
                <w:rFonts w:ascii="Times New Roman" w:hAnsi="Times New Roman" w:eastAsia="宋体" w:cs="Times New Roman"/>
                <w:szCs w:val="21"/>
              </w:rPr>
            </w:pPr>
            <w:r>
              <w:rPr>
                <w:rFonts w:ascii="Times New Roman" w:hAnsi="Times New Roman" w:eastAsia="宋体" w:cs="Times New Roman"/>
                <w:szCs w:val="21"/>
              </w:rPr>
              <w:t>20</w:t>
            </w:r>
          </w:p>
        </w:tc>
        <w:tc>
          <w:tcPr>
            <w:tcW w:w="1029" w:type="pct"/>
            <w:vAlign w:val="center"/>
          </w:tcPr>
          <w:p w14:paraId="320755B7">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缝皮机</w:t>
            </w:r>
          </w:p>
        </w:tc>
        <w:tc>
          <w:tcPr>
            <w:tcW w:w="973" w:type="pct"/>
            <w:vAlign w:val="center"/>
          </w:tcPr>
          <w:p w14:paraId="3D965983">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GR-1680E</w:t>
            </w:r>
          </w:p>
        </w:tc>
        <w:tc>
          <w:tcPr>
            <w:tcW w:w="386" w:type="pct"/>
            <w:vAlign w:val="center"/>
          </w:tcPr>
          <w:p w14:paraId="47211014">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473" w:type="pct"/>
            <w:vAlign w:val="center"/>
          </w:tcPr>
          <w:p w14:paraId="51187B51">
            <w:pPr>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01BE5870">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1578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52F3792D">
            <w:pPr>
              <w:pStyle w:val="37"/>
              <w:jc w:val="center"/>
              <w:rPr>
                <w:rFonts w:ascii="Times New Roman" w:hAnsi="Times New Roman" w:eastAsia="宋体" w:cs="Times New Roman"/>
                <w:szCs w:val="21"/>
              </w:rPr>
            </w:pPr>
            <w:r>
              <w:rPr>
                <w:rFonts w:ascii="Times New Roman" w:hAnsi="Times New Roman" w:eastAsia="宋体" w:cs="Times New Roman"/>
                <w:szCs w:val="21"/>
              </w:rPr>
              <w:t>21</w:t>
            </w:r>
          </w:p>
        </w:tc>
        <w:tc>
          <w:tcPr>
            <w:tcW w:w="1029" w:type="pct"/>
            <w:vAlign w:val="center"/>
          </w:tcPr>
          <w:p w14:paraId="3D273DFA">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切皮机</w:t>
            </w:r>
          </w:p>
        </w:tc>
        <w:tc>
          <w:tcPr>
            <w:tcW w:w="973" w:type="pct"/>
            <w:vAlign w:val="center"/>
          </w:tcPr>
          <w:p w14:paraId="1C745255">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45D79DE7">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473" w:type="pct"/>
            <w:vAlign w:val="center"/>
          </w:tcPr>
          <w:p w14:paraId="766AB077">
            <w:pPr>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42F359A5">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2324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0705FF0D">
            <w:pPr>
              <w:pStyle w:val="37"/>
              <w:jc w:val="center"/>
              <w:rPr>
                <w:rFonts w:ascii="Times New Roman" w:hAnsi="Times New Roman" w:eastAsia="宋体" w:cs="Times New Roman"/>
                <w:szCs w:val="21"/>
              </w:rPr>
            </w:pPr>
            <w:r>
              <w:rPr>
                <w:rFonts w:ascii="Times New Roman" w:hAnsi="Times New Roman" w:eastAsia="宋体" w:cs="Times New Roman"/>
                <w:szCs w:val="21"/>
              </w:rPr>
              <w:t>22</w:t>
            </w:r>
          </w:p>
        </w:tc>
        <w:tc>
          <w:tcPr>
            <w:tcW w:w="1029" w:type="pct"/>
            <w:vAlign w:val="center"/>
          </w:tcPr>
          <w:p w14:paraId="383A79A0">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载皮机</w:t>
            </w:r>
          </w:p>
        </w:tc>
        <w:tc>
          <w:tcPr>
            <w:tcW w:w="973" w:type="pct"/>
            <w:vAlign w:val="center"/>
          </w:tcPr>
          <w:p w14:paraId="30138A22">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59323981">
            <w:pPr>
              <w:tabs>
                <w:tab w:val="left" w:pos="5475"/>
              </w:tabs>
              <w:jc w:val="center"/>
              <w:rPr>
                <w:rFonts w:ascii="Times New Roman" w:hAnsi="Times New Roman" w:eastAsia="宋体" w:cs="Times New Roman"/>
                <w:bCs/>
                <w:szCs w:val="21"/>
              </w:rPr>
            </w:pPr>
            <w:r>
              <w:rPr>
                <w:rFonts w:ascii="Times New Roman" w:hAnsi="Times New Roman" w:eastAsia="宋体" w:cs="Times New Roman"/>
                <w:bCs/>
                <w:szCs w:val="21"/>
              </w:rPr>
              <w:t>1台</w:t>
            </w:r>
          </w:p>
        </w:tc>
        <w:tc>
          <w:tcPr>
            <w:tcW w:w="1473" w:type="pct"/>
            <w:vAlign w:val="center"/>
          </w:tcPr>
          <w:p w14:paraId="5BE14410">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49D63BF9">
            <w:pPr>
              <w:tabs>
                <w:tab w:val="left" w:pos="5475"/>
              </w:tabs>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7C6C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41EE7D17">
            <w:pPr>
              <w:pStyle w:val="37"/>
              <w:jc w:val="center"/>
              <w:rPr>
                <w:rFonts w:ascii="Times New Roman" w:hAnsi="Times New Roman" w:eastAsia="宋体" w:cs="Times New Roman"/>
                <w:szCs w:val="21"/>
              </w:rPr>
            </w:pPr>
            <w:r>
              <w:rPr>
                <w:rFonts w:ascii="Times New Roman" w:hAnsi="Times New Roman" w:eastAsia="宋体" w:cs="Times New Roman"/>
                <w:szCs w:val="21"/>
              </w:rPr>
              <w:t>23</w:t>
            </w:r>
          </w:p>
        </w:tc>
        <w:tc>
          <w:tcPr>
            <w:tcW w:w="1029" w:type="pct"/>
            <w:vAlign w:val="center"/>
          </w:tcPr>
          <w:p w14:paraId="029ADC84">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打砂机</w:t>
            </w:r>
          </w:p>
        </w:tc>
        <w:tc>
          <w:tcPr>
            <w:tcW w:w="973" w:type="pct"/>
            <w:vAlign w:val="center"/>
          </w:tcPr>
          <w:p w14:paraId="2A02F64A">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4D8E1342">
            <w:pPr>
              <w:jc w:val="center"/>
              <w:rPr>
                <w:rFonts w:ascii="Times New Roman" w:hAnsi="Times New Roman" w:eastAsia="宋体" w:cs="Times New Roman"/>
                <w:bCs/>
                <w:szCs w:val="21"/>
              </w:rPr>
            </w:pPr>
            <w:r>
              <w:rPr>
                <w:rFonts w:ascii="Times New Roman" w:hAnsi="Times New Roman" w:eastAsia="宋体" w:cs="Times New Roman"/>
                <w:bCs/>
                <w:szCs w:val="21"/>
              </w:rPr>
              <w:t>1台</w:t>
            </w:r>
          </w:p>
        </w:tc>
        <w:tc>
          <w:tcPr>
            <w:tcW w:w="1473" w:type="pct"/>
            <w:vAlign w:val="center"/>
          </w:tcPr>
          <w:p w14:paraId="01A00EB1">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0F5B5F31">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租赁</w:t>
            </w:r>
          </w:p>
        </w:tc>
      </w:tr>
      <w:tr w14:paraId="0A92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2DB18B30">
            <w:pPr>
              <w:pStyle w:val="37"/>
              <w:jc w:val="center"/>
              <w:rPr>
                <w:rFonts w:ascii="Times New Roman" w:hAnsi="Times New Roman" w:eastAsia="宋体" w:cs="Times New Roman"/>
                <w:szCs w:val="21"/>
              </w:rPr>
            </w:pPr>
            <w:r>
              <w:rPr>
                <w:rFonts w:ascii="Times New Roman" w:hAnsi="Times New Roman" w:eastAsia="宋体" w:cs="Times New Roman"/>
                <w:szCs w:val="21"/>
              </w:rPr>
              <w:t>24</w:t>
            </w:r>
          </w:p>
        </w:tc>
        <w:tc>
          <w:tcPr>
            <w:tcW w:w="1029" w:type="pct"/>
            <w:vAlign w:val="center"/>
          </w:tcPr>
          <w:p w14:paraId="4FDCF807">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异形砂</w:t>
            </w:r>
          </w:p>
        </w:tc>
        <w:tc>
          <w:tcPr>
            <w:tcW w:w="973" w:type="pct"/>
            <w:vAlign w:val="center"/>
          </w:tcPr>
          <w:p w14:paraId="0F401727">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3AAF7225">
            <w:pPr>
              <w:jc w:val="center"/>
              <w:rPr>
                <w:rFonts w:ascii="Times New Roman" w:hAnsi="Times New Roman" w:eastAsia="宋体" w:cs="Times New Roman"/>
                <w:bCs/>
                <w:szCs w:val="21"/>
              </w:rPr>
            </w:pPr>
            <w:r>
              <w:rPr>
                <w:rFonts w:ascii="Times New Roman" w:hAnsi="Times New Roman" w:eastAsia="宋体" w:cs="Times New Roman"/>
                <w:bCs/>
                <w:szCs w:val="21"/>
              </w:rPr>
              <w:t>1台</w:t>
            </w:r>
          </w:p>
        </w:tc>
        <w:tc>
          <w:tcPr>
            <w:tcW w:w="1473" w:type="pct"/>
            <w:vAlign w:val="center"/>
          </w:tcPr>
          <w:p w14:paraId="6B9B3276">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4E86BFA1">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租赁</w:t>
            </w:r>
          </w:p>
        </w:tc>
      </w:tr>
      <w:tr w14:paraId="4E50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24B5B794">
            <w:pPr>
              <w:pStyle w:val="37"/>
              <w:jc w:val="center"/>
              <w:rPr>
                <w:rFonts w:ascii="Times New Roman" w:hAnsi="Times New Roman" w:eastAsia="宋体" w:cs="Times New Roman"/>
                <w:szCs w:val="21"/>
              </w:rPr>
            </w:pPr>
            <w:r>
              <w:rPr>
                <w:rFonts w:ascii="Times New Roman" w:hAnsi="Times New Roman" w:eastAsia="宋体" w:cs="Times New Roman"/>
                <w:szCs w:val="21"/>
              </w:rPr>
              <w:t>25</w:t>
            </w:r>
          </w:p>
        </w:tc>
        <w:tc>
          <w:tcPr>
            <w:tcW w:w="1029" w:type="pct"/>
            <w:vAlign w:val="center"/>
          </w:tcPr>
          <w:p w14:paraId="591036B1">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电子开料锯</w:t>
            </w:r>
          </w:p>
        </w:tc>
        <w:tc>
          <w:tcPr>
            <w:tcW w:w="973" w:type="pct"/>
            <w:vAlign w:val="center"/>
          </w:tcPr>
          <w:p w14:paraId="658B7D34">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310D5A5E">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473" w:type="pct"/>
            <w:vAlign w:val="center"/>
          </w:tcPr>
          <w:p w14:paraId="1460793B">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06DDA052">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租赁</w:t>
            </w:r>
          </w:p>
        </w:tc>
      </w:tr>
      <w:tr w14:paraId="2DF3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5D1585B3">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26</w:t>
            </w:r>
          </w:p>
        </w:tc>
        <w:tc>
          <w:tcPr>
            <w:tcW w:w="1029" w:type="pct"/>
            <w:vAlign w:val="center"/>
          </w:tcPr>
          <w:p w14:paraId="55E6915E">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六面钻</w:t>
            </w:r>
          </w:p>
        </w:tc>
        <w:tc>
          <w:tcPr>
            <w:tcW w:w="973" w:type="pct"/>
            <w:vAlign w:val="center"/>
          </w:tcPr>
          <w:p w14:paraId="019A59E8">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6D40487A">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473" w:type="pct"/>
            <w:vAlign w:val="center"/>
          </w:tcPr>
          <w:p w14:paraId="42C38491">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实木复合门、全屋定制</w:t>
            </w:r>
          </w:p>
        </w:tc>
        <w:tc>
          <w:tcPr>
            <w:tcW w:w="733" w:type="pct"/>
            <w:vAlign w:val="center"/>
          </w:tcPr>
          <w:p w14:paraId="05B01820">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租赁</w:t>
            </w:r>
          </w:p>
        </w:tc>
      </w:tr>
      <w:tr w14:paraId="0128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3CED90D9">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27</w:t>
            </w:r>
          </w:p>
        </w:tc>
        <w:tc>
          <w:tcPr>
            <w:tcW w:w="1029" w:type="pct"/>
            <w:vAlign w:val="center"/>
          </w:tcPr>
          <w:p w14:paraId="49F9D15F">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底漆房</w:t>
            </w:r>
          </w:p>
        </w:tc>
        <w:tc>
          <w:tcPr>
            <w:tcW w:w="973" w:type="pct"/>
            <w:vAlign w:val="center"/>
          </w:tcPr>
          <w:p w14:paraId="0441FD77">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7300FA33">
            <w:pPr>
              <w:tabs>
                <w:tab w:val="left" w:pos="5475"/>
              </w:tabs>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2个</w:t>
            </w:r>
          </w:p>
        </w:tc>
        <w:tc>
          <w:tcPr>
            <w:tcW w:w="1473" w:type="pct"/>
            <w:vAlign w:val="center"/>
          </w:tcPr>
          <w:p w14:paraId="18FA3F38">
            <w:pPr>
              <w:tabs>
                <w:tab w:val="left" w:pos="5475"/>
              </w:tabs>
              <w:jc w:val="center"/>
              <w:rPr>
                <w:rFonts w:hint="eastAsia" w:ascii="Times New Roman" w:hAnsi="Times New Roman" w:eastAsia="宋体" w:cs="Times New Roman"/>
                <w:b/>
                <w:bCs/>
                <w:color w:val="auto"/>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7D4713D6">
            <w:pPr>
              <w:tabs>
                <w:tab w:val="left" w:pos="5475"/>
              </w:tabs>
              <w:jc w:val="center"/>
              <w:rPr>
                <w:rFonts w:hint="eastAsia" w:ascii="Times New Roman" w:hAnsi="Times New Roman" w:eastAsia="宋体" w:cs="Times New Roman"/>
                <w:b/>
                <w:bCs/>
                <w:color w:val="auto"/>
                <w:szCs w:val="21"/>
                <w:u w:val="single"/>
              </w:rPr>
            </w:pPr>
            <w:r>
              <w:rPr>
                <w:rFonts w:hint="eastAsia" w:ascii="Times New Roman" w:hAnsi="Times New Roman" w:eastAsia="宋体" w:cs="Times New Roman"/>
                <w:b/>
                <w:bCs/>
                <w:szCs w:val="21"/>
                <w:u w:val="single"/>
                <w:lang w:val="en-US" w:eastAsia="zh-CN"/>
              </w:rPr>
              <w:t>外购</w:t>
            </w:r>
          </w:p>
        </w:tc>
      </w:tr>
      <w:tr w14:paraId="255C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282909C6">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28</w:t>
            </w:r>
          </w:p>
        </w:tc>
        <w:tc>
          <w:tcPr>
            <w:tcW w:w="1029" w:type="pct"/>
            <w:vAlign w:val="center"/>
          </w:tcPr>
          <w:p w14:paraId="6E8FCAB9">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面漆房</w:t>
            </w:r>
          </w:p>
        </w:tc>
        <w:tc>
          <w:tcPr>
            <w:tcW w:w="973" w:type="pct"/>
            <w:vAlign w:val="center"/>
          </w:tcPr>
          <w:p w14:paraId="6BDE05FB">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025581FC">
            <w:pPr>
              <w:tabs>
                <w:tab w:val="left" w:pos="5475"/>
              </w:tabs>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3个</w:t>
            </w:r>
          </w:p>
        </w:tc>
        <w:tc>
          <w:tcPr>
            <w:tcW w:w="1473" w:type="pct"/>
            <w:vAlign w:val="center"/>
          </w:tcPr>
          <w:p w14:paraId="0C22AAA9">
            <w:pPr>
              <w:tabs>
                <w:tab w:val="left" w:pos="5475"/>
              </w:tabs>
              <w:jc w:val="center"/>
              <w:rPr>
                <w:rFonts w:hint="eastAsia" w:ascii="Times New Roman" w:hAnsi="Times New Roman" w:eastAsia="宋体" w:cs="Times New Roman"/>
                <w:b/>
                <w:bCs/>
                <w:color w:val="auto"/>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72C5EADB">
            <w:pPr>
              <w:tabs>
                <w:tab w:val="left" w:pos="5475"/>
              </w:tabs>
              <w:jc w:val="center"/>
              <w:rPr>
                <w:rFonts w:hint="eastAsia" w:ascii="Times New Roman" w:hAnsi="Times New Roman" w:eastAsia="宋体" w:cs="Times New Roman"/>
                <w:b/>
                <w:bCs/>
                <w:color w:val="auto"/>
                <w:szCs w:val="21"/>
                <w:u w:val="single"/>
              </w:rPr>
            </w:pPr>
            <w:r>
              <w:rPr>
                <w:rFonts w:hint="eastAsia" w:ascii="Times New Roman" w:hAnsi="Times New Roman" w:eastAsia="宋体" w:cs="Times New Roman"/>
                <w:b/>
                <w:bCs/>
                <w:szCs w:val="21"/>
                <w:u w:val="single"/>
                <w:lang w:val="en-US" w:eastAsia="zh-CN"/>
              </w:rPr>
              <w:t>外购</w:t>
            </w:r>
          </w:p>
        </w:tc>
      </w:tr>
      <w:tr w14:paraId="1572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39D3264B">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29</w:t>
            </w:r>
          </w:p>
        </w:tc>
        <w:tc>
          <w:tcPr>
            <w:tcW w:w="1029" w:type="pct"/>
            <w:vAlign w:val="center"/>
          </w:tcPr>
          <w:p w14:paraId="4E1CE96A">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修色房</w:t>
            </w:r>
          </w:p>
        </w:tc>
        <w:tc>
          <w:tcPr>
            <w:tcW w:w="973" w:type="pct"/>
            <w:vAlign w:val="center"/>
          </w:tcPr>
          <w:p w14:paraId="16EB9750">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386" w:type="pct"/>
            <w:vAlign w:val="center"/>
          </w:tcPr>
          <w:p w14:paraId="5768AB34">
            <w:pPr>
              <w:tabs>
                <w:tab w:val="left" w:pos="5475"/>
              </w:tabs>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2个</w:t>
            </w:r>
          </w:p>
        </w:tc>
        <w:tc>
          <w:tcPr>
            <w:tcW w:w="1473" w:type="pct"/>
            <w:vAlign w:val="center"/>
          </w:tcPr>
          <w:p w14:paraId="321807D0">
            <w:pPr>
              <w:tabs>
                <w:tab w:val="left" w:pos="5475"/>
              </w:tabs>
              <w:jc w:val="center"/>
              <w:rPr>
                <w:rFonts w:hint="eastAsia" w:ascii="Times New Roman" w:hAnsi="Times New Roman" w:eastAsia="宋体" w:cs="Times New Roman"/>
                <w:b/>
                <w:bCs/>
                <w:color w:val="auto"/>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2B5D77D1">
            <w:pPr>
              <w:tabs>
                <w:tab w:val="left" w:pos="5475"/>
              </w:tabs>
              <w:jc w:val="center"/>
              <w:rPr>
                <w:rFonts w:hint="eastAsia" w:ascii="Times New Roman" w:hAnsi="Times New Roman" w:eastAsia="宋体" w:cs="Times New Roman"/>
                <w:b/>
                <w:bCs/>
                <w:color w:val="auto"/>
                <w:szCs w:val="21"/>
                <w:u w:val="single"/>
              </w:rPr>
            </w:pPr>
            <w:r>
              <w:rPr>
                <w:rFonts w:hint="eastAsia" w:ascii="Times New Roman" w:hAnsi="Times New Roman" w:eastAsia="宋体" w:cs="Times New Roman"/>
                <w:b/>
                <w:bCs/>
                <w:szCs w:val="21"/>
                <w:u w:val="single"/>
                <w:lang w:val="en-US" w:eastAsia="zh-CN"/>
              </w:rPr>
              <w:t>外购</w:t>
            </w:r>
          </w:p>
        </w:tc>
      </w:tr>
      <w:tr w14:paraId="3502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18330DBF">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1029" w:type="pct"/>
            <w:vAlign w:val="center"/>
          </w:tcPr>
          <w:p w14:paraId="775214F1">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中央除尘系统</w:t>
            </w:r>
          </w:p>
        </w:tc>
        <w:tc>
          <w:tcPr>
            <w:tcW w:w="973" w:type="pct"/>
            <w:vAlign w:val="center"/>
          </w:tcPr>
          <w:p w14:paraId="5D278D11">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lang w:val="en-US" w:eastAsia="zh-CN"/>
              </w:rPr>
              <w:t>21</w:t>
            </w:r>
            <w:r>
              <w:rPr>
                <w:rFonts w:hint="eastAsia" w:ascii="Times New Roman" w:hAnsi="Times New Roman" w:eastAsia="宋体" w:cs="Times New Roman"/>
                <w:bCs/>
                <w:szCs w:val="21"/>
              </w:rPr>
              <w:t>000m</w:t>
            </w:r>
            <w:r>
              <w:rPr>
                <w:rFonts w:hint="eastAsia" w:ascii="Times New Roman" w:hAnsi="Times New Roman" w:eastAsia="宋体" w:cs="Times New Roman"/>
                <w:bCs/>
                <w:szCs w:val="21"/>
                <w:vertAlign w:val="superscript"/>
              </w:rPr>
              <w:t>3</w:t>
            </w:r>
            <w:r>
              <w:rPr>
                <w:rFonts w:hint="eastAsia" w:ascii="Times New Roman" w:hAnsi="Times New Roman" w:eastAsia="宋体" w:cs="Times New Roman"/>
                <w:bCs/>
                <w:szCs w:val="21"/>
              </w:rPr>
              <w:t>/h</w:t>
            </w:r>
          </w:p>
        </w:tc>
        <w:tc>
          <w:tcPr>
            <w:tcW w:w="386" w:type="pct"/>
            <w:vAlign w:val="center"/>
          </w:tcPr>
          <w:p w14:paraId="0B00DCB4">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1套</w:t>
            </w:r>
          </w:p>
        </w:tc>
        <w:tc>
          <w:tcPr>
            <w:tcW w:w="1473" w:type="pct"/>
            <w:vAlign w:val="center"/>
          </w:tcPr>
          <w:p w14:paraId="51D33A9F">
            <w:pPr>
              <w:tabs>
                <w:tab w:val="left" w:pos="5475"/>
              </w:tabs>
              <w:jc w:val="center"/>
              <w:rPr>
                <w:rFonts w:hint="eastAsia"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w:t>
            </w:r>
          </w:p>
        </w:tc>
        <w:tc>
          <w:tcPr>
            <w:tcW w:w="733" w:type="pct"/>
            <w:vAlign w:val="center"/>
          </w:tcPr>
          <w:p w14:paraId="59F1062E">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r w14:paraId="7545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29DFC291">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31</w:t>
            </w:r>
          </w:p>
        </w:tc>
        <w:tc>
          <w:tcPr>
            <w:tcW w:w="1029" w:type="pct"/>
            <w:vAlign w:val="center"/>
          </w:tcPr>
          <w:p w14:paraId="2F6C31FD">
            <w:pPr>
              <w:tabs>
                <w:tab w:val="left" w:pos="5475"/>
              </w:tabs>
              <w:jc w:val="center"/>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活性炭吸附脱附+催化燃烧装置</w:t>
            </w:r>
          </w:p>
        </w:tc>
        <w:tc>
          <w:tcPr>
            <w:tcW w:w="973" w:type="pct"/>
            <w:vAlign w:val="center"/>
          </w:tcPr>
          <w:p w14:paraId="7F20F16A">
            <w:pPr>
              <w:tabs>
                <w:tab w:val="left" w:pos="5475"/>
              </w:tabs>
              <w:jc w:val="center"/>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rPr>
              <w:t>单套</w:t>
            </w:r>
            <w:r>
              <w:rPr>
                <w:rFonts w:hint="eastAsia" w:ascii="Times New Roman" w:hAnsi="Times New Roman" w:eastAsia="宋体" w:cs="Times New Roman"/>
                <w:bCs/>
                <w:szCs w:val="21"/>
                <w:highlight w:val="none"/>
                <w:lang w:val="en-US" w:eastAsia="zh-CN"/>
              </w:rPr>
              <w:t>65</w:t>
            </w:r>
            <w:r>
              <w:rPr>
                <w:rFonts w:hint="eastAsia" w:ascii="Times New Roman" w:hAnsi="Times New Roman" w:eastAsia="宋体" w:cs="Times New Roman"/>
                <w:bCs/>
                <w:szCs w:val="21"/>
                <w:highlight w:val="none"/>
              </w:rPr>
              <w:t>000m</w:t>
            </w:r>
            <w:r>
              <w:rPr>
                <w:rFonts w:hint="eastAsia" w:ascii="Times New Roman" w:hAnsi="Times New Roman" w:eastAsia="宋体" w:cs="Times New Roman"/>
                <w:bCs/>
                <w:szCs w:val="21"/>
                <w:highlight w:val="none"/>
                <w:vertAlign w:val="superscript"/>
              </w:rPr>
              <w:t>3</w:t>
            </w:r>
            <w:r>
              <w:rPr>
                <w:rFonts w:hint="eastAsia" w:ascii="Times New Roman" w:hAnsi="Times New Roman" w:eastAsia="宋体" w:cs="Times New Roman"/>
                <w:bCs/>
                <w:szCs w:val="21"/>
                <w:highlight w:val="none"/>
              </w:rPr>
              <w:t>/h</w:t>
            </w:r>
          </w:p>
        </w:tc>
        <w:tc>
          <w:tcPr>
            <w:tcW w:w="386" w:type="pct"/>
            <w:vAlign w:val="center"/>
          </w:tcPr>
          <w:p w14:paraId="3634C381">
            <w:pPr>
              <w:tabs>
                <w:tab w:val="left" w:pos="5475"/>
              </w:tabs>
              <w:jc w:val="center"/>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lang w:val="en-US" w:eastAsia="zh-CN"/>
              </w:rPr>
              <w:t>1</w:t>
            </w:r>
            <w:r>
              <w:rPr>
                <w:rFonts w:hint="eastAsia" w:ascii="Times New Roman" w:hAnsi="Times New Roman" w:eastAsia="宋体" w:cs="Times New Roman"/>
                <w:bCs/>
                <w:szCs w:val="21"/>
                <w:highlight w:val="none"/>
              </w:rPr>
              <w:t>套</w:t>
            </w:r>
          </w:p>
        </w:tc>
        <w:tc>
          <w:tcPr>
            <w:tcW w:w="1473" w:type="pct"/>
            <w:vAlign w:val="center"/>
          </w:tcPr>
          <w:p w14:paraId="4B8E0D41">
            <w:pPr>
              <w:tabs>
                <w:tab w:val="left" w:pos="5475"/>
              </w:tabs>
              <w:jc w:val="center"/>
              <w:rPr>
                <w:rFonts w:hint="default"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w:t>
            </w:r>
          </w:p>
        </w:tc>
        <w:tc>
          <w:tcPr>
            <w:tcW w:w="733" w:type="pct"/>
            <w:vAlign w:val="center"/>
          </w:tcPr>
          <w:p w14:paraId="4F4C6BEC">
            <w:pPr>
              <w:tabs>
                <w:tab w:val="left" w:pos="5475"/>
              </w:tabs>
              <w:jc w:val="center"/>
              <w:rPr>
                <w:rFonts w:hint="eastAsia"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外购</w:t>
            </w:r>
          </w:p>
        </w:tc>
      </w:tr>
      <w:tr w14:paraId="3087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42959C3C">
            <w:pPr>
              <w:pStyle w:val="37"/>
              <w:jc w:val="center"/>
              <w:rPr>
                <w:rFonts w:ascii="Times New Roman" w:hAnsi="Times New Roman" w:eastAsia="宋体" w:cs="Times New Roman"/>
                <w:szCs w:val="21"/>
              </w:rPr>
            </w:pPr>
            <w:r>
              <w:rPr>
                <w:rFonts w:hint="eastAsia" w:ascii="Times New Roman" w:hAnsi="Times New Roman" w:eastAsia="宋体" w:cs="Times New Roman"/>
                <w:szCs w:val="21"/>
              </w:rPr>
              <w:t>32</w:t>
            </w:r>
          </w:p>
        </w:tc>
        <w:tc>
          <w:tcPr>
            <w:tcW w:w="1029" w:type="pct"/>
            <w:vAlign w:val="center"/>
          </w:tcPr>
          <w:p w14:paraId="7AA8D0E3">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打磨房</w:t>
            </w:r>
          </w:p>
        </w:tc>
        <w:tc>
          <w:tcPr>
            <w:tcW w:w="973" w:type="pct"/>
            <w:vAlign w:val="center"/>
          </w:tcPr>
          <w:p w14:paraId="7B914082">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386" w:type="pct"/>
            <w:vAlign w:val="center"/>
          </w:tcPr>
          <w:p w14:paraId="680F1259">
            <w:pPr>
              <w:tabs>
                <w:tab w:val="left" w:pos="5475"/>
              </w:tabs>
              <w:jc w:val="center"/>
              <w:rPr>
                <w:rFonts w:ascii="Times New Roman" w:hAnsi="Times New Roman" w:eastAsia="宋体" w:cs="Times New Roman"/>
                <w:bCs/>
                <w:szCs w:val="21"/>
              </w:rPr>
            </w:pPr>
            <w:r>
              <w:rPr>
                <w:rFonts w:hint="eastAsia" w:ascii="Times New Roman" w:hAnsi="Times New Roman" w:eastAsia="宋体" w:cs="Times New Roman"/>
                <w:bCs/>
                <w:szCs w:val="21"/>
              </w:rPr>
              <w:t>10个</w:t>
            </w:r>
          </w:p>
        </w:tc>
        <w:tc>
          <w:tcPr>
            <w:tcW w:w="1473" w:type="pct"/>
            <w:vAlign w:val="center"/>
          </w:tcPr>
          <w:p w14:paraId="53149557">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实木复合门</w:t>
            </w:r>
          </w:p>
        </w:tc>
        <w:tc>
          <w:tcPr>
            <w:tcW w:w="733" w:type="pct"/>
            <w:vAlign w:val="center"/>
          </w:tcPr>
          <w:p w14:paraId="4AA8962B">
            <w:pPr>
              <w:tabs>
                <w:tab w:val="left" w:pos="5475"/>
              </w:tabs>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外购</w:t>
            </w:r>
          </w:p>
        </w:tc>
      </w:tr>
    </w:tbl>
    <w:p w14:paraId="0495E7C0">
      <w:pPr>
        <w:pStyle w:val="3"/>
        <w:numPr>
          <w:ilvl w:val="1"/>
          <w:numId w:val="30"/>
        </w:numPr>
      </w:pPr>
      <w:bookmarkStart w:id="53" w:name="_Toc26811"/>
      <w:r>
        <w:rPr>
          <w:rFonts w:hint="eastAsia"/>
        </w:rPr>
        <w:t>生产工艺及产污环节分析</w:t>
      </w:r>
      <w:bookmarkEnd w:id="53"/>
    </w:p>
    <w:p w14:paraId="5CD1758F">
      <w:pPr>
        <w:pStyle w:val="4"/>
        <w:numPr>
          <w:ilvl w:val="2"/>
          <w:numId w:val="36"/>
        </w:numPr>
        <w:tabs>
          <w:tab w:val="clear" w:pos="0"/>
        </w:tabs>
      </w:pPr>
      <w:r>
        <w:rPr>
          <w:rFonts w:hint="eastAsia"/>
        </w:rPr>
        <w:t>本项目生产工艺及产污环节</w:t>
      </w:r>
    </w:p>
    <w:p w14:paraId="49B4B38D">
      <w:pPr>
        <w:spacing w:line="360" w:lineRule="auto"/>
        <w:ind w:firstLine="422"/>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实木复合门生产工艺及产污环节示意图如下：</w:t>
      </w:r>
    </w:p>
    <w:p w14:paraId="1693B470">
      <w:pPr>
        <w:spacing w:line="360" w:lineRule="auto"/>
        <w:ind w:firstLine="422"/>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object>
          <v:shape id="_x0000_i1026" o:spt="75" type="#_x0000_t75" style="height:227.1pt;width:408.7pt;" o:ole="t" filled="f" o:preferrelative="t" stroked="f" coordsize="21600,21600">
            <v:path/>
            <v:fill on="f" focussize="0,0"/>
            <v:stroke on="f" joinstyle="miter"/>
            <v:imagedata r:id="rId38" o:title=""/>
            <o:lock v:ext="edit" aspectratio="f"/>
            <w10:wrap type="none"/>
            <w10:anchorlock/>
          </v:shape>
          <o:OLEObject Type="Embed" ProgID="Visio.Drawing.11" ShapeID="_x0000_i1026" DrawAspect="Content" ObjectID="_1468075726" r:id="rId37">
            <o:LockedField>false</o:LockedField>
          </o:OLEObject>
        </w:object>
      </w:r>
      <w:r>
        <w:rPr>
          <w:rFonts w:ascii="Times New Roman" w:hAnsi="Times New Roman" w:cs="Times New Roman"/>
          <w:b/>
          <w:bCs/>
          <w:color w:val="000000" w:themeColor="text1"/>
          <w:szCs w:val="21"/>
          <w14:textFill>
            <w14:solidFill>
              <w14:schemeClr w14:val="tx1"/>
            </w14:solidFill>
          </w14:textFill>
        </w:rPr>
        <w:t>图</w:t>
      </w:r>
      <w:r>
        <w:rPr>
          <w:rFonts w:hint="eastAsia" w:ascii="Times New Roman" w:hAnsi="Times New Roman" w:cs="Times New Roman"/>
          <w:b/>
          <w:bCs/>
          <w:color w:val="000000" w:themeColor="text1"/>
          <w:szCs w:val="21"/>
          <w14:textFill>
            <w14:solidFill>
              <w14:schemeClr w14:val="tx1"/>
            </w14:solidFill>
          </w14:textFill>
        </w:rPr>
        <w:t>3.4-1</w:t>
      </w:r>
      <w:r>
        <w:rPr>
          <w:rFonts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实木复合门</w:t>
      </w:r>
      <w:r>
        <w:rPr>
          <w:rFonts w:ascii="Times New Roman" w:hAnsi="Times New Roman" w:cs="Times New Roman"/>
          <w:b/>
          <w:bCs/>
          <w:color w:val="000000" w:themeColor="text1"/>
          <w:szCs w:val="21"/>
          <w14:textFill>
            <w14:solidFill>
              <w14:schemeClr w14:val="tx1"/>
            </w14:solidFill>
          </w14:textFill>
        </w:rPr>
        <w:t>生产工艺流程及产污环节</w:t>
      </w:r>
      <w:r>
        <w:rPr>
          <w:rFonts w:hint="eastAsia" w:ascii="Times New Roman" w:hAnsi="Times New Roman" w:cs="Times New Roman"/>
          <w:b/>
          <w:bCs/>
          <w:color w:val="000000" w:themeColor="text1"/>
          <w:szCs w:val="21"/>
          <w14:textFill>
            <w14:solidFill>
              <w14:schemeClr w14:val="tx1"/>
            </w14:solidFill>
          </w14:textFill>
        </w:rPr>
        <w:t>示意图</w:t>
      </w:r>
    </w:p>
    <w:p w14:paraId="58EF19EB">
      <w:pPr>
        <w:spacing w:line="360" w:lineRule="auto"/>
        <w:ind w:firstLine="482"/>
        <w:rPr>
          <w:rFonts w:ascii="Times New Roman" w:hAnsi="Times New Roman" w:cs="Times New Roman"/>
          <w:color w:val="000000"/>
          <w:sz w:val="24"/>
        </w:rPr>
      </w:pPr>
      <w:r>
        <w:rPr>
          <w:rFonts w:ascii="Times New Roman" w:hAnsi="Times New Roman" w:cs="Times New Roman"/>
          <w:color w:val="000000"/>
          <w:sz w:val="24"/>
        </w:rPr>
        <w:t>开料：使用</w:t>
      </w:r>
      <w:r>
        <w:rPr>
          <w:rFonts w:hint="eastAsia" w:ascii="Times New Roman" w:hAnsi="Times New Roman" w:cs="Times New Roman"/>
          <w:color w:val="000000"/>
          <w:sz w:val="24"/>
        </w:rPr>
        <w:t>电子开料锯、</w:t>
      </w:r>
      <w:r>
        <w:rPr>
          <w:rFonts w:ascii="Times New Roman" w:hAnsi="Times New Roman" w:cs="Times New Roman"/>
          <w:color w:val="000000"/>
          <w:sz w:val="24"/>
        </w:rPr>
        <w:t>精密锯等设备对板材进行开料处理，即按照客户要求尺寸来对物料进行处理，该过程会产生噪声、粉尘</w:t>
      </w:r>
      <w:r>
        <w:rPr>
          <w:rFonts w:hint="eastAsia" w:ascii="Times New Roman" w:hAnsi="Times New Roman" w:cs="Times New Roman"/>
          <w:color w:val="000000"/>
          <w:sz w:val="24"/>
        </w:rPr>
        <w:t>、木材边角料</w:t>
      </w:r>
      <w:r>
        <w:rPr>
          <w:rFonts w:ascii="Times New Roman" w:hAnsi="Times New Roman" w:cs="Times New Roman"/>
          <w:color w:val="000000"/>
          <w:sz w:val="24"/>
        </w:rPr>
        <w:t>。</w:t>
      </w:r>
    </w:p>
    <w:p w14:paraId="2230A963">
      <w:pPr>
        <w:spacing w:line="360" w:lineRule="auto"/>
        <w:ind w:firstLine="482"/>
        <w:rPr>
          <w:rFonts w:ascii="Times New Roman" w:hAnsi="Times New Roman" w:cs="Times New Roman"/>
          <w:color w:val="000000"/>
          <w:sz w:val="24"/>
        </w:rPr>
      </w:pPr>
      <w:r>
        <w:rPr>
          <w:rFonts w:ascii="Times New Roman" w:hAnsi="Times New Roman" w:cs="Times New Roman"/>
          <w:color w:val="000000"/>
          <w:sz w:val="24"/>
        </w:rPr>
        <w:t>拼板</w:t>
      </w:r>
      <w:r>
        <w:rPr>
          <w:rFonts w:hint="eastAsia" w:ascii="Times New Roman" w:hAnsi="Times New Roman" w:cs="Times New Roman"/>
          <w:color w:val="000000"/>
          <w:sz w:val="24"/>
        </w:rPr>
        <w:t>冷压</w:t>
      </w:r>
      <w:r>
        <w:rPr>
          <w:rFonts w:ascii="Times New Roman" w:hAnsi="Times New Roman" w:cs="Times New Roman"/>
          <w:color w:val="000000"/>
          <w:sz w:val="24"/>
        </w:rPr>
        <w:t>：</w:t>
      </w:r>
      <w:r>
        <w:rPr>
          <w:rFonts w:ascii="Times New Roman" w:hAnsi="Times New Roman" w:cs="Times New Roman"/>
          <w:color w:val="000000" w:themeColor="text1"/>
          <w:sz w:val="24"/>
          <w14:textFill>
            <w14:solidFill>
              <w14:schemeClr w14:val="tx1"/>
            </w14:solidFill>
          </w14:textFill>
        </w:rPr>
        <w:t>将木材进行人工涂胶，将木板拼接到一块，拼板工序使板材达到一定的长度和宽度</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拼板使用白乳胶对木板进行冷压压合，拼板温度为常温，</w:t>
      </w:r>
      <w:r>
        <w:rPr>
          <w:rFonts w:hint="eastAsia" w:ascii="Times New Roman" w:hAnsi="Times New Roman" w:cs="Times New Roman"/>
          <w:color w:val="000000" w:themeColor="text1"/>
          <w:sz w:val="24"/>
          <w14:textFill>
            <w14:solidFill>
              <w14:schemeClr w14:val="tx1"/>
            </w14:solidFill>
          </w14:textFill>
        </w:rPr>
        <w:t>冷压</w:t>
      </w:r>
      <w:r>
        <w:rPr>
          <w:rFonts w:ascii="Times New Roman" w:hAnsi="Times New Roman" w:cs="Times New Roman"/>
          <w:color w:val="000000" w:themeColor="text1"/>
          <w:sz w:val="24"/>
          <w14:textFill>
            <w14:solidFill>
              <w14:schemeClr w14:val="tx1"/>
            </w14:solidFill>
          </w14:textFill>
        </w:rPr>
        <w:t>工序产生</w:t>
      </w:r>
      <w:r>
        <w:rPr>
          <w:rFonts w:hint="eastAsia" w:ascii="Times New Roman" w:hAnsi="Times New Roman" w:cs="Times New Roman"/>
          <w:color w:val="000000"/>
          <w:sz w:val="24"/>
        </w:rPr>
        <w:t>有机废气</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sz w:val="24"/>
        </w:rPr>
        <w:t>该过程会产生噪声</w:t>
      </w:r>
      <w:r>
        <w:rPr>
          <w:rFonts w:hint="eastAsia" w:ascii="Times New Roman" w:hAnsi="Times New Roman" w:cs="Times New Roman"/>
          <w:color w:val="000000"/>
          <w:sz w:val="24"/>
        </w:rPr>
        <w:t>、有机废气</w:t>
      </w:r>
      <w:r>
        <w:rPr>
          <w:rFonts w:ascii="Times New Roman" w:hAnsi="Times New Roman" w:cs="Times New Roman"/>
          <w:color w:val="000000"/>
          <w:sz w:val="24"/>
        </w:rPr>
        <w:t>。</w:t>
      </w:r>
    </w:p>
    <w:p w14:paraId="7590EF12">
      <w:pPr>
        <w:pStyle w:val="27"/>
        <w:widowControl/>
        <w:rPr>
          <w:bCs/>
          <w:color w:val="auto"/>
        </w:rPr>
      </w:pPr>
      <w:r>
        <w:rPr>
          <w:color w:val="auto"/>
        </w:rPr>
        <w:t>封边：</w:t>
      </w:r>
      <w:r>
        <w:rPr>
          <w:bCs/>
          <w:color w:val="auto"/>
        </w:rPr>
        <w:t>对板材的边廓进行封边，在封边机上操作完成，在封边机内加入</w:t>
      </w:r>
      <w:r>
        <w:rPr>
          <w:rFonts w:hint="eastAsia"/>
          <w:bCs/>
          <w:color w:val="auto"/>
        </w:rPr>
        <w:t>热熔胶</w:t>
      </w:r>
      <w:r>
        <w:rPr>
          <w:bCs/>
          <w:color w:val="auto"/>
        </w:rPr>
        <w:t>，将机器加热至180℃左右，热熔胶融化后被均匀涂抹在板材边廓，封边条从机器一端进入，经挤压与板材粘合。</w:t>
      </w:r>
      <w:r>
        <w:rPr>
          <w:color w:val="auto"/>
        </w:rPr>
        <w:t>该过程会产生噪声</w:t>
      </w:r>
      <w:r>
        <w:rPr>
          <w:rFonts w:hint="eastAsia"/>
          <w:color w:val="auto"/>
        </w:rPr>
        <w:t>、有机废气</w:t>
      </w:r>
      <w:r>
        <w:rPr>
          <w:color w:val="auto"/>
        </w:rPr>
        <w:t>。</w:t>
      </w:r>
    </w:p>
    <w:p w14:paraId="72ADD2B5">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贴皮热压：将外购木皮使用</w:t>
      </w:r>
      <w:r>
        <w:rPr>
          <w:rFonts w:hint="eastAsia" w:ascii="Times New Roman" w:hAnsi="Times New Roman" w:cs="Times New Roman"/>
          <w:color w:val="auto"/>
          <w:sz w:val="24"/>
        </w:rPr>
        <w:t>热熔胶</w:t>
      </w:r>
      <w:r>
        <w:rPr>
          <w:rFonts w:ascii="Times New Roman" w:hAnsi="Times New Roman" w:cs="Times New Roman"/>
          <w:color w:val="auto"/>
          <w:sz w:val="24"/>
        </w:rPr>
        <w:t>贴于门板上，采用热压机进行热压，热压温度应控制在100℃左右，热压时间控制在每毫米50～60秒之间，热压机压力控制在18-20MPa之间。该过程会产生噪声</w:t>
      </w:r>
      <w:r>
        <w:rPr>
          <w:rFonts w:hint="eastAsia" w:ascii="Times New Roman" w:hAnsi="Times New Roman" w:cs="Times New Roman"/>
          <w:color w:val="auto"/>
          <w:sz w:val="24"/>
        </w:rPr>
        <w:t>、有机废气</w:t>
      </w:r>
      <w:r>
        <w:rPr>
          <w:rFonts w:ascii="Times New Roman" w:hAnsi="Times New Roman" w:cs="Times New Roman"/>
          <w:color w:val="auto"/>
          <w:sz w:val="24"/>
        </w:rPr>
        <w:t>。</w:t>
      </w:r>
    </w:p>
    <w:p w14:paraId="211C06A4">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打磨：机加工完成基本的形状后，通过砂光机使板材表面光滑平整、厚度均匀一致。该过程会产生噪声、粉尘</w:t>
      </w:r>
      <w:r>
        <w:rPr>
          <w:rFonts w:hint="eastAsia" w:ascii="Times New Roman" w:hAnsi="Times New Roman" w:cs="Times New Roman"/>
          <w:color w:val="auto"/>
          <w:sz w:val="24"/>
        </w:rPr>
        <w:t>、木材边角料</w:t>
      </w:r>
      <w:r>
        <w:rPr>
          <w:rFonts w:ascii="Times New Roman" w:hAnsi="Times New Roman" w:cs="Times New Roman"/>
          <w:color w:val="auto"/>
          <w:sz w:val="24"/>
        </w:rPr>
        <w:t>。</w:t>
      </w:r>
    </w:p>
    <w:p w14:paraId="7AA5D0C1">
      <w:pPr>
        <w:spacing w:line="360" w:lineRule="auto"/>
        <w:ind w:firstLine="480"/>
        <w:rPr>
          <w:rFonts w:ascii="Times New Roman" w:hAnsi="Times New Roman" w:cs="Times New Roman"/>
          <w:sz w:val="24"/>
        </w:rPr>
      </w:pPr>
      <w:r>
        <w:rPr>
          <w:rFonts w:ascii="Times New Roman" w:hAnsi="Times New Roman" w:cs="Times New Roman"/>
          <w:sz w:val="24"/>
        </w:rPr>
        <w:t>雕刻：在板材平面上进行雕刻各种图案。</w:t>
      </w:r>
      <w:r>
        <w:rPr>
          <w:rFonts w:ascii="Times New Roman" w:hAnsi="Times New Roman" w:cs="Times New Roman"/>
          <w:color w:val="000000"/>
          <w:sz w:val="24"/>
        </w:rPr>
        <w:t>该过程会产生噪声、粉尘</w:t>
      </w:r>
      <w:r>
        <w:rPr>
          <w:rFonts w:hint="eastAsia" w:ascii="Times New Roman" w:hAnsi="Times New Roman" w:cs="Times New Roman"/>
          <w:color w:val="000000"/>
          <w:sz w:val="24"/>
        </w:rPr>
        <w:t>、木材边角料</w:t>
      </w:r>
      <w:r>
        <w:rPr>
          <w:rFonts w:ascii="Times New Roman" w:hAnsi="Times New Roman" w:cs="Times New Roman"/>
          <w:color w:val="000000"/>
          <w:sz w:val="24"/>
        </w:rPr>
        <w:t>。</w:t>
      </w:r>
    </w:p>
    <w:p w14:paraId="1D673BC2">
      <w:pPr>
        <w:spacing w:line="360" w:lineRule="auto"/>
        <w:ind w:firstLine="480"/>
        <w:rPr>
          <w:rFonts w:ascii="Times New Roman" w:hAnsi="Times New Roman" w:cs="Times New Roman"/>
          <w:color w:val="000000"/>
          <w:sz w:val="24"/>
        </w:rPr>
      </w:pPr>
      <w:r>
        <w:rPr>
          <w:rFonts w:ascii="Times New Roman" w:hAnsi="Times New Roman" w:cs="Times New Roman"/>
          <w:sz w:val="24"/>
        </w:rPr>
        <w:t>修正：采用腻子用来补平板面上的不平处或坑洞，批灰完成后要对工件进行打磨，露出工件的纹络。</w:t>
      </w:r>
      <w:r>
        <w:rPr>
          <w:rFonts w:ascii="Times New Roman" w:hAnsi="Times New Roman" w:cs="Times New Roman"/>
          <w:color w:val="000000"/>
          <w:sz w:val="24"/>
        </w:rPr>
        <w:t>该过程会产生噪声、粉尘。</w:t>
      </w:r>
    </w:p>
    <w:p w14:paraId="723F8D5F">
      <w:pPr>
        <w:spacing w:line="360" w:lineRule="auto"/>
        <w:ind w:firstLine="480"/>
        <w:rPr>
          <w:rFonts w:ascii="Times New Roman" w:hAnsi="Times New Roman" w:cs="Times New Roman"/>
          <w:sz w:val="24"/>
        </w:rPr>
      </w:pPr>
      <w:r>
        <w:rPr>
          <w:rFonts w:ascii="Times New Roman" w:hAnsi="Times New Roman" w:cs="Times New Roman"/>
          <w:sz w:val="24"/>
        </w:rPr>
        <w:t>擦色：将工件利用棉布手工进行擦色处理，擦色一般擦1遍，擦色目的使木材的纹理得到填充，节省油漆的用量。</w:t>
      </w:r>
      <w:r>
        <w:rPr>
          <w:rFonts w:ascii="Times New Roman" w:hAnsi="Times New Roman" w:cs="Times New Roman"/>
          <w:color w:val="000000"/>
          <w:sz w:val="24"/>
        </w:rPr>
        <w:t>该过程会产生</w:t>
      </w:r>
      <w:r>
        <w:rPr>
          <w:rFonts w:hint="eastAsia" w:ascii="Times New Roman" w:hAnsi="Times New Roman" w:cs="Times New Roman"/>
          <w:color w:val="000000"/>
          <w:sz w:val="24"/>
        </w:rPr>
        <w:t>有机废气、废擦色抹布</w:t>
      </w:r>
      <w:r>
        <w:rPr>
          <w:rFonts w:ascii="Times New Roman" w:hAnsi="Times New Roman" w:cs="Times New Roman"/>
          <w:color w:val="000000"/>
          <w:sz w:val="24"/>
        </w:rPr>
        <w:t>。</w:t>
      </w:r>
    </w:p>
    <w:p w14:paraId="34AFC6D7">
      <w:pPr>
        <w:spacing w:line="360" w:lineRule="auto"/>
        <w:ind w:firstLine="480"/>
        <w:rPr>
          <w:rFonts w:ascii="Times New Roman" w:hAnsi="Times New Roman" w:cs="Times New Roman"/>
          <w:color w:val="auto"/>
          <w:sz w:val="24"/>
        </w:rPr>
      </w:pPr>
      <w:r>
        <w:rPr>
          <w:rFonts w:ascii="Times New Roman" w:hAnsi="Times New Roman" w:cs="Times New Roman"/>
          <w:sz w:val="24"/>
        </w:rPr>
        <w:t>底漆</w:t>
      </w:r>
      <w:r>
        <w:rPr>
          <w:rFonts w:ascii="Times New Roman" w:hAnsi="Times New Roman" w:cs="Times New Roman"/>
          <w:color w:val="auto"/>
          <w:sz w:val="24"/>
        </w:rPr>
        <w:t>：</w:t>
      </w:r>
      <w:r>
        <w:rPr>
          <w:rFonts w:hint="eastAsia" w:ascii="Times New Roman" w:hAnsi="Times New Roman" w:cs="Times New Roman"/>
          <w:color w:val="auto"/>
          <w:sz w:val="24"/>
        </w:rPr>
        <w:t>使用喷枪</w:t>
      </w:r>
      <w:r>
        <w:rPr>
          <w:rFonts w:ascii="Times New Roman" w:hAnsi="Times New Roman" w:cs="Times New Roman"/>
          <w:color w:val="auto"/>
          <w:sz w:val="24"/>
        </w:rPr>
        <w:t>将工件喷涂底漆。该过程会产生</w:t>
      </w:r>
      <w:r>
        <w:rPr>
          <w:rFonts w:hint="eastAsia" w:ascii="Times New Roman" w:hAnsi="Times New Roman" w:cs="Times New Roman"/>
          <w:color w:val="auto"/>
          <w:sz w:val="24"/>
        </w:rPr>
        <w:t>噪声、有机废气</w:t>
      </w:r>
      <w:r>
        <w:rPr>
          <w:rFonts w:ascii="Times New Roman" w:hAnsi="Times New Roman" w:cs="Times New Roman"/>
          <w:color w:val="auto"/>
          <w:sz w:val="24"/>
        </w:rPr>
        <w:t>。</w:t>
      </w:r>
    </w:p>
    <w:p w14:paraId="5F97F88F">
      <w:pPr>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rPr>
        <w:t>晾干：</w:t>
      </w:r>
      <w:r>
        <w:rPr>
          <w:rFonts w:ascii="Times New Roman" w:hAnsi="Times New Roman" w:cs="Times New Roman"/>
          <w:color w:val="auto"/>
          <w:sz w:val="24"/>
        </w:rPr>
        <w:t>喷完后将产品推至晾干房进行晾干，冬季采用灯管加热晾干，其余季节自然晾干</w:t>
      </w:r>
      <w:r>
        <w:rPr>
          <w:rFonts w:hint="eastAsia" w:ascii="Times New Roman" w:hAnsi="Times New Roman" w:cs="Times New Roman"/>
          <w:color w:val="auto"/>
          <w:sz w:val="24"/>
        </w:rPr>
        <w:t>。</w:t>
      </w:r>
      <w:r>
        <w:rPr>
          <w:rFonts w:ascii="Times New Roman" w:hAnsi="Times New Roman" w:cs="Times New Roman"/>
          <w:color w:val="auto"/>
          <w:sz w:val="24"/>
        </w:rPr>
        <w:t>该过程会产生</w:t>
      </w:r>
      <w:r>
        <w:rPr>
          <w:rFonts w:hint="eastAsia" w:ascii="Times New Roman" w:hAnsi="Times New Roman" w:cs="Times New Roman"/>
          <w:color w:val="auto"/>
          <w:sz w:val="24"/>
        </w:rPr>
        <w:t>有机废气</w:t>
      </w:r>
      <w:r>
        <w:rPr>
          <w:rFonts w:ascii="Times New Roman" w:hAnsi="Times New Roman" w:cs="Times New Roman"/>
          <w:color w:val="auto"/>
          <w:sz w:val="24"/>
        </w:rPr>
        <w:t>。</w:t>
      </w:r>
    </w:p>
    <w:p w14:paraId="472185DF">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油磨：底漆干透后，打磨平整、光滑。该过程会产生</w:t>
      </w:r>
      <w:r>
        <w:rPr>
          <w:rFonts w:hint="eastAsia" w:ascii="Times New Roman" w:hAnsi="Times New Roman" w:cs="Times New Roman"/>
          <w:color w:val="auto"/>
          <w:sz w:val="24"/>
        </w:rPr>
        <w:t>噪声、粉尘</w:t>
      </w:r>
      <w:r>
        <w:rPr>
          <w:rFonts w:ascii="Times New Roman" w:hAnsi="Times New Roman" w:cs="Times New Roman"/>
          <w:color w:val="auto"/>
          <w:sz w:val="24"/>
        </w:rPr>
        <w:t>。</w:t>
      </w:r>
    </w:p>
    <w:p w14:paraId="1CA1156B">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面漆：</w:t>
      </w:r>
      <w:r>
        <w:rPr>
          <w:rFonts w:hint="eastAsia" w:ascii="Times New Roman" w:hAnsi="Times New Roman" w:cs="Times New Roman"/>
          <w:color w:val="auto"/>
          <w:sz w:val="24"/>
        </w:rPr>
        <w:t>使用喷枪</w:t>
      </w:r>
      <w:r>
        <w:rPr>
          <w:rFonts w:ascii="Times New Roman" w:hAnsi="Times New Roman" w:cs="Times New Roman"/>
          <w:color w:val="auto"/>
          <w:sz w:val="24"/>
        </w:rPr>
        <w:t>将工件喷涂面漆</w:t>
      </w:r>
      <w:r>
        <w:rPr>
          <w:rFonts w:hint="eastAsia" w:ascii="Times New Roman" w:hAnsi="Times New Roman" w:cs="Times New Roman"/>
          <w:color w:val="auto"/>
          <w:sz w:val="24"/>
        </w:rPr>
        <w:t>。</w:t>
      </w:r>
      <w:r>
        <w:rPr>
          <w:rFonts w:ascii="Times New Roman" w:hAnsi="Times New Roman" w:cs="Times New Roman"/>
          <w:color w:val="auto"/>
          <w:sz w:val="24"/>
        </w:rPr>
        <w:t>该过程会产生</w:t>
      </w:r>
      <w:r>
        <w:rPr>
          <w:rFonts w:hint="eastAsia" w:ascii="Times New Roman" w:hAnsi="Times New Roman" w:cs="Times New Roman"/>
          <w:color w:val="auto"/>
          <w:sz w:val="24"/>
        </w:rPr>
        <w:t>噪声、有机废气</w:t>
      </w:r>
      <w:r>
        <w:rPr>
          <w:rFonts w:ascii="Times New Roman" w:hAnsi="Times New Roman" w:cs="Times New Roman"/>
          <w:color w:val="auto"/>
          <w:sz w:val="24"/>
        </w:rPr>
        <w:t>。</w:t>
      </w:r>
    </w:p>
    <w:p w14:paraId="000524FE">
      <w:pPr>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rPr>
        <w:t>晾干：</w:t>
      </w:r>
      <w:r>
        <w:rPr>
          <w:rFonts w:ascii="Times New Roman" w:hAnsi="Times New Roman" w:cs="Times New Roman"/>
          <w:color w:val="auto"/>
          <w:sz w:val="24"/>
        </w:rPr>
        <w:t>喷完后将产品推至晾干</w:t>
      </w:r>
      <w:r>
        <w:rPr>
          <w:rFonts w:hint="eastAsia" w:ascii="Times New Roman" w:hAnsi="Times New Roman" w:cs="Times New Roman"/>
          <w:color w:val="auto"/>
          <w:sz w:val="24"/>
        </w:rPr>
        <w:t>区</w:t>
      </w:r>
      <w:r>
        <w:rPr>
          <w:rFonts w:ascii="Times New Roman" w:hAnsi="Times New Roman" w:cs="Times New Roman"/>
          <w:color w:val="auto"/>
          <w:sz w:val="24"/>
        </w:rPr>
        <w:t>进行晾干，冬季采用灯管加热晾干，其余季节自然晾干。该过程会产生</w:t>
      </w:r>
      <w:r>
        <w:rPr>
          <w:rFonts w:hint="eastAsia" w:ascii="Times New Roman" w:hAnsi="Times New Roman" w:cs="Times New Roman"/>
          <w:color w:val="auto"/>
          <w:sz w:val="24"/>
        </w:rPr>
        <w:t>有机废气</w:t>
      </w:r>
      <w:r>
        <w:rPr>
          <w:rFonts w:ascii="Times New Roman" w:hAnsi="Times New Roman" w:cs="Times New Roman"/>
          <w:color w:val="auto"/>
          <w:sz w:val="24"/>
        </w:rPr>
        <w:t>。</w:t>
      </w:r>
    </w:p>
    <w:p w14:paraId="5C8C5935">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修色：根据客户需求对产品进</w:t>
      </w:r>
      <w:r>
        <w:rPr>
          <w:rFonts w:ascii="Times New Roman" w:hAnsi="Times New Roman" w:cs="Times New Roman"/>
          <w:color w:val="auto"/>
          <w:sz w:val="24"/>
          <w:highlight w:val="none"/>
        </w:rPr>
        <w:t>行修色喷涂（也</w:t>
      </w:r>
      <w:r>
        <w:rPr>
          <w:rFonts w:ascii="Times New Roman" w:hAnsi="Times New Roman" w:cs="Times New Roman"/>
          <w:color w:val="auto"/>
          <w:sz w:val="24"/>
        </w:rPr>
        <w:t>是面漆的一种），喷涂均匀后将产品推至内设的晾干</w:t>
      </w:r>
      <w:r>
        <w:rPr>
          <w:rFonts w:hint="eastAsia" w:ascii="Times New Roman" w:hAnsi="Times New Roman" w:cs="Times New Roman"/>
          <w:color w:val="auto"/>
          <w:sz w:val="24"/>
        </w:rPr>
        <w:t>区</w:t>
      </w:r>
      <w:r>
        <w:rPr>
          <w:rFonts w:ascii="Times New Roman" w:hAnsi="Times New Roman" w:cs="Times New Roman"/>
          <w:color w:val="auto"/>
          <w:sz w:val="24"/>
        </w:rPr>
        <w:t>进行自然晾干。该过程会产生</w:t>
      </w:r>
      <w:r>
        <w:rPr>
          <w:rFonts w:hint="eastAsia" w:ascii="Times New Roman" w:hAnsi="Times New Roman" w:cs="Times New Roman"/>
          <w:color w:val="auto"/>
          <w:sz w:val="24"/>
        </w:rPr>
        <w:t>噪声、有机废气</w:t>
      </w:r>
      <w:r>
        <w:rPr>
          <w:rFonts w:ascii="Times New Roman" w:hAnsi="Times New Roman" w:cs="Times New Roman"/>
          <w:color w:val="auto"/>
          <w:sz w:val="24"/>
        </w:rPr>
        <w:t>。</w:t>
      </w:r>
    </w:p>
    <w:p w14:paraId="35967B3C">
      <w:pPr>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rPr>
        <w:t>晾干：</w:t>
      </w:r>
      <w:r>
        <w:rPr>
          <w:rFonts w:ascii="Times New Roman" w:hAnsi="Times New Roman" w:cs="Times New Roman"/>
          <w:color w:val="auto"/>
          <w:sz w:val="24"/>
        </w:rPr>
        <w:t>喷完后将产品推至晾干</w:t>
      </w:r>
      <w:r>
        <w:rPr>
          <w:rFonts w:hint="eastAsia" w:ascii="Times New Roman" w:hAnsi="Times New Roman" w:cs="Times New Roman"/>
          <w:color w:val="auto"/>
          <w:sz w:val="24"/>
        </w:rPr>
        <w:t>区</w:t>
      </w:r>
      <w:r>
        <w:rPr>
          <w:rFonts w:ascii="Times New Roman" w:hAnsi="Times New Roman" w:cs="Times New Roman"/>
          <w:color w:val="auto"/>
          <w:sz w:val="24"/>
        </w:rPr>
        <w:t>进行晾干，冬季采用灯管加热晾干，其余季节自然晾干。该过程会产生</w:t>
      </w:r>
      <w:r>
        <w:rPr>
          <w:rFonts w:hint="eastAsia" w:ascii="Times New Roman" w:hAnsi="Times New Roman" w:cs="Times New Roman"/>
          <w:color w:val="auto"/>
          <w:sz w:val="24"/>
        </w:rPr>
        <w:t>有机废气</w:t>
      </w:r>
      <w:r>
        <w:rPr>
          <w:rFonts w:ascii="Times New Roman" w:hAnsi="Times New Roman" w:cs="Times New Roman"/>
          <w:color w:val="auto"/>
          <w:sz w:val="24"/>
        </w:rPr>
        <w:t>。</w:t>
      </w:r>
    </w:p>
    <w:p w14:paraId="06019581">
      <w:pPr>
        <w:spacing w:line="360" w:lineRule="auto"/>
        <w:ind w:firstLine="480"/>
        <w:rPr>
          <w:rFonts w:ascii="Times New Roman" w:hAnsi="Times New Roman" w:cs="Times New Roman"/>
          <w:sz w:val="24"/>
        </w:rPr>
      </w:pPr>
      <w:r>
        <w:rPr>
          <w:rFonts w:ascii="Times New Roman" w:hAnsi="Times New Roman" w:cs="Times New Roman"/>
          <w:sz w:val="24"/>
        </w:rPr>
        <w:t>包装入库：经修色检验之后，成品包装入库。</w:t>
      </w:r>
    </w:p>
    <w:p w14:paraId="75B8A06D">
      <w:pPr>
        <w:pStyle w:val="15"/>
        <w:spacing w:after="0" w:line="360" w:lineRule="auto"/>
        <w:rPr>
          <w:b/>
          <w:bCs/>
          <w:sz w:val="24"/>
        </w:rPr>
      </w:pPr>
      <w:r>
        <w:rPr>
          <w:rFonts w:hint="eastAsia"/>
          <w:b/>
          <w:bCs/>
          <w:sz w:val="24"/>
        </w:rPr>
        <w:t>全屋定制生产工艺及产污环节示意图：</w:t>
      </w:r>
    </w:p>
    <w:p w14:paraId="02B98D91">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object>
          <v:shape id="_x0000_i1027" o:spt="75" type="#_x0000_t75" style="height:66.75pt;width:336.65pt;" o:ole="t" filled="f" o:preferrelative="t" stroked="f" coordsize="21600,21600">
            <v:path/>
            <v:fill on="f" focussize="0,0"/>
            <v:stroke on="f" joinstyle="miter"/>
            <v:imagedata r:id="rId40" o:title=""/>
            <o:lock v:ext="edit" aspectratio="f"/>
            <w10:wrap type="none"/>
            <w10:anchorlock/>
          </v:shape>
          <o:OLEObject Type="Embed" ProgID="Visio.Drawing.11" ShapeID="_x0000_i1027" DrawAspect="Content" ObjectID="_1468075727" r:id="rId39">
            <o:LockedField>false</o:LockedField>
          </o:OLEObject>
        </w:object>
      </w:r>
    </w:p>
    <w:p w14:paraId="468C3C45">
      <w:pPr>
        <w:spacing w:line="360" w:lineRule="auto"/>
        <w:jc w:val="center"/>
        <w:rPr>
          <w:color w:val="auto"/>
        </w:rPr>
      </w:pPr>
      <w:r>
        <w:rPr>
          <w:rFonts w:ascii="Times New Roman" w:hAnsi="Times New Roman" w:cs="Times New Roman"/>
          <w:b/>
          <w:bCs/>
          <w:color w:val="000000" w:themeColor="text1"/>
          <w:szCs w:val="21"/>
          <w14:textFill>
            <w14:solidFill>
              <w14:schemeClr w14:val="tx1"/>
            </w14:solidFill>
          </w14:textFill>
        </w:rPr>
        <w:t>图</w:t>
      </w:r>
      <w:r>
        <w:rPr>
          <w:rFonts w:hint="eastAsia" w:ascii="Times New Roman" w:hAnsi="Times New Roman" w:cs="Times New Roman"/>
          <w:b/>
          <w:bCs/>
          <w:color w:val="000000" w:themeColor="text1"/>
          <w:szCs w:val="21"/>
          <w14:textFill>
            <w14:solidFill>
              <w14:schemeClr w14:val="tx1"/>
            </w14:solidFill>
          </w14:textFill>
        </w:rPr>
        <w:t>3.4-2</w:t>
      </w:r>
      <w:r>
        <w:rPr>
          <w:rFonts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auto"/>
          <w:szCs w:val="21"/>
        </w:rPr>
        <w:t>全屋定制</w:t>
      </w:r>
      <w:r>
        <w:rPr>
          <w:rFonts w:ascii="Times New Roman" w:hAnsi="Times New Roman" w:cs="Times New Roman"/>
          <w:b/>
          <w:bCs/>
          <w:color w:val="auto"/>
          <w:szCs w:val="21"/>
        </w:rPr>
        <w:t>生产工艺流程及产污环节</w:t>
      </w:r>
      <w:r>
        <w:rPr>
          <w:rFonts w:hint="eastAsia" w:ascii="Times New Roman" w:hAnsi="Times New Roman" w:cs="Times New Roman"/>
          <w:b/>
          <w:bCs/>
          <w:color w:val="auto"/>
          <w:szCs w:val="21"/>
        </w:rPr>
        <w:t>示意图</w:t>
      </w:r>
    </w:p>
    <w:p w14:paraId="36B57843">
      <w:pPr>
        <w:spacing w:line="360" w:lineRule="auto"/>
        <w:ind w:firstLine="482"/>
        <w:rPr>
          <w:rFonts w:ascii="Times New Roman" w:hAnsi="Times New Roman" w:cs="Times New Roman"/>
          <w:color w:val="auto"/>
          <w:sz w:val="24"/>
        </w:rPr>
      </w:pPr>
      <w:r>
        <w:rPr>
          <w:rFonts w:ascii="Times New Roman" w:hAnsi="Times New Roman" w:cs="Times New Roman"/>
          <w:color w:val="auto"/>
          <w:sz w:val="24"/>
        </w:rPr>
        <w:t>开料：使用精密锯等设备对板材进行开料处理，即按照客户要求尺寸来对物料进行处理，该过程会产生噪声、粉尘</w:t>
      </w:r>
      <w:r>
        <w:rPr>
          <w:rFonts w:hint="eastAsia" w:ascii="Times New Roman" w:hAnsi="Times New Roman" w:cs="Times New Roman"/>
          <w:color w:val="auto"/>
          <w:sz w:val="24"/>
        </w:rPr>
        <w:t>、木材边角料</w:t>
      </w:r>
      <w:r>
        <w:rPr>
          <w:rFonts w:ascii="Times New Roman" w:hAnsi="Times New Roman" w:cs="Times New Roman"/>
          <w:color w:val="auto"/>
          <w:sz w:val="24"/>
        </w:rPr>
        <w:t>。</w:t>
      </w:r>
    </w:p>
    <w:p w14:paraId="40C0A4FB">
      <w:pPr>
        <w:pStyle w:val="27"/>
        <w:widowControl/>
        <w:rPr>
          <w:color w:val="auto"/>
        </w:rPr>
      </w:pPr>
      <w:r>
        <w:rPr>
          <w:color w:val="auto"/>
        </w:rPr>
        <w:t>封边：</w:t>
      </w:r>
      <w:r>
        <w:rPr>
          <w:bCs/>
          <w:color w:val="auto"/>
        </w:rPr>
        <w:t>对板材的边廓进行封边，在封边机上操作完成，在封边机内加入热熔胶，将机器加热至180℃左右，热熔胶融化后被均匀涂抹在板材边廓，封边条从机器一端进入，经挤压与板材粘合。</w:t>
      </w:r>
      <w:r>
        <w:rPr>
          <w:color w:val="auto"/>
        </w:rPr>
        <w:t>该过程会产生噪声</w:t>
      </w:r>
      <w:r>
        <w:rPr>
          <w:rFonts w:hint="eastAsia"/>
          <w:color w:val="auto"/>
        </w:rPr>
        <w:t>、有机废气</w:t>
      </w:r>
      <w:r>
        <w:rPr>
          <w:color w:val="auto"/>
        </w:rPr>
        <w:t>。</w:t>
      </w:r>
    </w:p>
    <w:p w14:paraId="4831931C">
      <w:pPr>
        <w:pStyle w:val="27"/>
        <w:widowControl/>
        <w:rPr>
          <w:color w:val="auto"/>
        </w:rPr>
      </w:pPr>
      <w:r>
        <w:rPr>
          <w:color w:val="auto"/>
        </w:rPr>
        <w:t>锯切：采用</w:t>
      </w:r>
      <w:r>
        <w:rPr>
          <w:rFonts w:hint="eastAsia"/>
          <w:color w:val="auto"/>
        </w:rPr>
        <w:t>角度</w:t>
      </w:r>
      <w:r>
        <w:rPr>
          <w:color w:val="auto"/>
        </w:rPr>
        <w:t>锯对所需尺寸进行精密裁</w:t>
      </w:r>
      <w:r>
        <w:rPr>
          <w:rFonts w:hint="eastAsia"/>
          <w:color w:val="auto"/>
        </w:rPr>
        <w:t>。</w:t>
      </w:r>
      <w:r>
        <w:rPr>
          <w:color w:val="auto"/>
        </w:rPr>
        <w:t>该过程会产生噪声、粉尘</w:t>
      </w:r>
      <w:r>
        <w:rPr>
          <w:rFonts w:hint="eastAsia"/>
          <w:color w:val="auto"/>
        </w:rPr>
        <w:t>、木材边角料</w:t>
      </w:r>
      <w:r>
        <w:rPr>
          <w:color w:val="auto"/>
        </w:rPr>
        <w:t>。</w:t>
      </w:r>
    </w:p>
    <w:p w14:paraId="0BBCFCB0">
      <w:pPr>
        <w:pStyle w:val="27"/>
        <w:widowControl/>
      </w:pPr>
      <w:r>
        <w:rPr>
          <w:rFonts w:hint="eastAsia"/>
        </w:rPr>
        <w:t>开孔：</w:t>
      </w:r>
      <w:r>
        <w:t>对柜门等需要打孔的部位用钻孔机进行打孔。</w:t>
      </w:r>
      <w:r>
        <w:rPr>
          <w:color w:val="000000"/>
        </w:rPr>
        <w:t>该过程会产生噪声、粉尘</w:t>
      </w:r>
      <w:r>
        <w:rPr>
          <w:rFonts w:hint="eastAsia"/>
          <w:color w:val="000000"/>
        </w:rPr>
        <w:t>、</w:t>
      </w:r>
      <w:r>
        <w:rPr>
          <w:rFonts w:hint="eastAsia"/>
          <w:color w:val="auto"/>
        </w:rPr>
        <w:t>木材边角料</w:t>
      </w:r>
      <w:r>
        <w:rPr>
          <w:color w:val="auto"/>
        </w:rPr>
        <w:t>。</w:t>
      </w:r>
    </w:p>
    <w:p w14:paraId="618318E3">
      <w:pPr>
        <w:pStyle w:val="27"/>
        <w:widowControl/>
      </w:pPr>
      <w:r>
        <w:rPr>
          <w:rFonts w:hint="eastAsia"/>
        </w:rPr>
        <w:t>包装入库</w:t>
      </w:r>
      <w:r>
        <w:t>：</w:t>
      </w:r>
      <w:r>
        <w:rPr>
          <w:rFonts w:hint="eastAsia"/>
        </w:rPr>
        <w:t>开孔完成后</w:t>
      </w:r>
      <w:r>
        <w:t>成品包装入库。</w:t>
      </w:r>
    </w:p>
    <w:p w14:paraId="68E00B76">
      <w:pPr>
        <w:spacing w:line="360" w:lineRule="auto"/>
        <w:rPr>
          <w:rFonts w:ascii="Times New Roman" w:hAnsi="Times New Roman" w:eastAsia="宋体" w:cs="Times New Roman"/>
          <w:sz w:val="24"/>
        </w:rPr>
        <w:sectPr>
          <w:pgSz w:w="11906" w:h="16838"/>
          <w:pgMar w:top="1440" w:right="1800" w:bottom="1440" w:left="1800" w:header="851" w:footer="992" w:gutter="0"/>
          <w:pgNumType w:fmt="decimal"/>
          <w:cols w:space="425" w:num="1"/>
          <w:docGrid w:type="lines" w:linePitch="312" w:charSpace="0"/>
        </w:sectPr>
      </w:pPr>
    </w:p>
    <w:p w14:paraId="74949E16">
      <w:pPr>
        <w:pStyle w:val="4"/>
        <w:numPr>
          <w:ilvl w:val="2"/>
          <w:numId w:val="36"/>
        </w:numPr>
        <w:tabs>
          <w:tab w:val="clear" w:pos="0"/>
        </w:tabs>
      </w:pPr>
      <w:r>
        <w:rPr>
          <w:rFonts w:hint="eastAsia"/>
        </w:rPr>
        <w:t>产污环节汇总</w:t>
      </w:r>
    </w:p>
    <w:p w14:paraId="628F3BDF">
      <w:pPr>
        <w:pStyle w:val="37"/>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本项目产污环节详见</w:t>
      </w:r>
      <w:r>
        <w:rPr>
          <w:rFonts w:hint="eastAsia" w:ascii="Times New Roman" w:hAnsi="Times New Roman" w:eastAsia="宋体" w:cs="Times New Roman"/>
          <w:sz w:val="24"/>
        </w:rPr>
        <w:t>下</w:t>
      </w:r>
      <w:r>
        <w:rPr>
          <w:rFonts w:ascii="Times New Roman" w:hAnsi="Times New Roman" w:eastAsia="宋体" w:cs="Times New Roman"/>
          <w:sz w:val="24"/>
        </w:rPr>
        <w:t>表。</w:t>
      </w:r>
    </w:p>
    <w:p w14:paraId="23E026FE">
      <w:pPr>
        <w:pStyle w:val="17"/>
        <w:numPr>
          <w:ilvl w:val="0"/>
          <w:numId w:val="37"/>
        </w:num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 xml:space="preserve">  </w:t>
      </w:r>
      <w:r>
        <w:rPr>
          <w:rFonts w:ascii="Times New Roman" w:hAnsi="Times New Roman" w:eastAsia="宋体" w:cs="Times New Roman"/>
          <w:b/>
          <w:bCs/>
          <w:szCs w:val="21"/>
        </w:rPr>
        <w:t>本项目主要产污环节及污染物种类一览表</w:t>
      </w:r>
    </w:p>
    <w:tbl>
      <w:tblPr>
        <w:tblStyle w:val="31"/>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2646"/>
        <w:gridCol w:w="2264"/>
        <w:gridCol w:w="2236"/>
        <w:gridCol w:w="1091"/>
        <w:gridCol w:w="3518"/>
        <w:gridCol w:w="2035"/>
      </w:tblGrid>
      <w:tr w14:paraId="07CE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30" w:type="dxa"/>
            <w:gridSpan w:val="2"/>
            <w:vAlign w:val="center"/>
          </w:tcPr>
          <w:p w14:paraId="5A65C824">
            <w:pPr>
              <w:jc w:val="center"/>
              <w:rPr>
                <w:rFonts w:ascii="Times New Roman" w:hAnsi="Times New Roman" w:eastAsia="宋体" w:cs="Times New Roman"/>
                <w:szCs w:val="21"/>
              </w:rPr>
            </w:pPr>
            <w:r>
              <w:rPr>
                <w:rFonts w:ascii="Times New Roman" w:hAnsi="Times New Roman" w:eastAsia="宋体" w:cs="Times New Roman"/>
                <w:szCs w:val="21"/>
              </w:rPr>
              <w:t>类别</w:t>
            </w:r>
          </w:p>
        </w:tc>
        <w:tc>
          <w:tcPr>
            <w:tcW w:w="2264" w:type="dxa"/>
            <w:vAlign w:val="center"/>
          </w:tcPr>
          <w:p w14:paraId="2989D443">
            <w:pPr>
              <w:jc w:val="center"/>
              <w:rPr>
                <w:rFonts w:ascii="Times New Roman" w:hAnsi="Times New Roman" w:eastAsia="宋体" w:cs="Times New Roman"/>
                <w:szCs w:val="21"/>
              </w:rPr>
            </w:pPr>
            <w:r>
              <w:rPr>
                <w:rFonts w:ascii="Times New Roman" w:hAnsi="Times New Roman" w:eastAsia="宋体" w:cs="Times New Roman"/>
                <w:szCs w:val="21"/>
              </w:rPr>
              <w:t>产生工序</w:t>
            </w:r>
          </w:p>
        </w:tc>
        <w:tc>
          <w:tcPr>
            <w:tcW w:w="2236" w:type="dxa"/>
            <w:vAlign w:val="center"/>
          </w:tcPr>
          <w:p w14:paraId="7C103147">
            <w:pPr>
              <w:jc w:val="center"/>
              <w:rPr>
                <w:rFonts w:ascii="Times New Roman" w:hAnsi="Times New Roman" w:eastAsia="宋体" w:cs="Times New Roman"/>
                <w:szCs w:val="21"/>
              </w:rPr>
            </w:pPr>
            <w:r>
              <w:rPr>
                <w:rFonts w:ascii="Times New Roman" w:hAnsi="Times New Roman" w:eastAsia="宋体" w:cs="Times New Roman"/>
                <w:szCs w:val="21"/>
              </w:rPr>
              <w:t>主要污染物</w:t>
            </w:r>
          </w:p>
        </w:tc>
        <w:tc>
          <w:tcPr>
            <w:tcW w:w="1091" w:type="dxa"/>
            <w:vAlign w:val="center"/>
          </w:tcPr>
          <w:p w14:paraId="456BC49E">
            <w:pPr>
              <w:jc w:val="center"/>
              <w:rPr>
                <w:rFonts w:ascii="Times New Roman" w:hAnsi="Times New Roman" w:eastAsia="宋体" w:cs="Times New Roman"/>
                <w:szCs w:val="21"/>
              </w:rPr>
            </w:pPr>
            <w:r>
              <w:rPr>
                <w:rFonts w:ascii="Times New Roman" w:hAnsi="Times New Roman" w:eastAsia="宋体" w:cs="Times New Roman"/>
                <w:szCs w:val="21"/>
              </w:rPr>
              <w:t>产生特征</w:t>
            </w:r>
          </w:p>
        </w:tc>
        <w:tc>
          <w:tcPr>
            <w:tcW w:w="3518" w:type="dxa"/>
            <w:vAlign w:val="center"/>
          </w:tcPr>
          <w:p w14:paraId="336A58A7">
            <w:pPr>
              <w:jc w:val="center"/>
              <w:rPr>
                <w:rFonts w:ascii="Times New Roman" w:hAnsi="Times New Roman" w:eastAsia="宋体" w:cs="Times New Roman"/>
                <w:szCs w:val="21"/>
              </w:rPr>
            </w:pPr>
            <w:r>
              <w:rPr>
                <w:rFonts w:ascii="Times New Roman" w:hAnsi="Times New Roman" w:eastAsia="宋体" w:cs="Times New Roman"/>
                <w:szCs w:val="21"/>
              </w:rPr>
              <w:t>治理措施</w:t>
            </w:r>
          </w:p>
        </w:tc>
        <w:tc>
          <w:tcPr>
            <w:tcW w:w="2035" w:type="dxa"/>
            <w:vAlign w:val="center"/>
          </w:tcPr>
          <w:p w14:paraId="5B27557A">
            <w:pPr>
              <w:jc w:val="center"/>
              <w:rPr>
                <w:rFonts w:ascii="Times New Roman" w:hAnsi="Times New Roman" w:eastAsia="宋体" w:cs="Times New Roman"/>
                <w:szCs w:val="21"/>
              </w:rPr>
            </w:pPr>
            <w:r>
              <w:rPr>
                <w:rFonts w:ascii="Times New Roman" w:hAnsi="Times New Roman" w:eastAsia="宋体" w:cs="Times New Roman"/>
                <w:szCs w:val="21"/>
              </w:rPr>
              <w:t>备注</w:t>
            </w:r>
          </w:p>
        </w:tc>
      </w:tr>
      <w:tr w14:paraId="0241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Merge w:val="restart"/>
            <w:vAlign w:val="center"/>
          </w:tcPr>
          <w:p w14:paraId="58FE4E24">
            <w:pPr>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2646" w:type="dxa"/>
            <w:vAlign w:val="center"/>
          </w:tcPr>
          <w:p w14:paraId="74678458">
            <w:pPr>
              <w:jc w:val="center"/>
              <w:rPr>
                <w:rFonts w:ascii="Times New Roman" w:hAnsi="Times New Roman" w:eastAsia="宋体" w:cs="Times New Roman"/>
                <w:szCs w:val="21"/>
              </w:rPr>
            </w:pPr>
            <w:r>
              <w:rPr>
                <w:rFonts w:hint="eastAsia" w:ascii="Times New Roman" w:hAnsi="Times New Roman" w:eastAsia="宋体" w:cs="Times New Roman"/>
                <w:szCs w:val="21"/>
              </w:rPr>
              <w:t>木料加工粉尘</w:t>
            </w:r>
          </w:p>
        </w:tc>
        <w:tc>
          <w:tcPr>
            <w:tcW w:w="2264" w:type="dxa"/>
            <w:vAlign w:val="center"/>
          </w:tcPr>
          <w:p w14:paraId="5FC2FF98">
            <w:pPr>
              <w:jc w:val="center"/>
              <w:rPr>
                <w:rFonts w:ascii="Times New Roman" w:hAnsi="Times New Roman" w:eastAsia="宋体" w:cs="Times New Roman"/>
                <w:szCs w:val="21"/>
              </w:rPr>
            </w:pPr>
            <w:r>
              <w:rPr>
                <w:rFonts w:hint="eastAsia" w:ascii="Times New Roman" w:hAnsi="Times New Roman" w:eastAsia="宋体" w:cs="Times New Roman"/>
                <w:szCs w:val="21"/>
              </w:rPr>
              <w:t>木加工工序</w:t>
            </w:r>
          </w:p>
        </w:tc>
        <w:tc>
          <w:tcPr>
            <w:tcW w:w="2236" w:type="dxa"/>
            <w:vAlign w:val="center"/>
          </w:tcPr>
          <w:p w14:paraId="03B2939B">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091" w:type="dxa"/>
            <w:vAlign w:val="center"/>
          </w:tcPr>
          <w:p w14:paraId="3CE86F5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生产期间连续</w:t>
            </w:r>
            <w:r>
              <w:rPr>
                <w:rFonts w:hint="eastAsia" w:ascii="Times New Roman" w:hAnsi="Times New Roman" w:eastAsia="宋体" w:cs="Times New Roman"/>
                <w:color w:val="auto"/>
                <w:szCs w:val="21"/>
              </w:rPr>
              <w:t>产生</w:t>
            </w:r>
          </w:p>
        </w:tc>
        <w:tc>
          <w:tcPr>
            <w:tcW w:w="3518" w:type="dxa"/>
            <w:vAlign w:val="center"/>
          </w:tcPr>
          <w:p w14:paraId="3615106D">
            <w:pPr>
              <w:jc w:val="center"/>
              <w:rPr>
                <w:rFonts w:ascii="Times New Roman" w:hAnsi="Times New Roman" w:eastAsia="宋体" w:cs="Times New Roman"/>
                <w:szCs w:val="21"/>
              </w:rPr>
            </w:pPr>
            <w:r>
              <w:rPr>
                <w:rFonts w:ascii="Times New Roman" w:hAnsi="Times New Roman" w:cs="Times New Roman"/>
                <w:szCs w:val="21"/>
              </w:rPr>
              <w:t>集气罩+</w:t>
            </w:r>
            <w:r>
              <w:rPr>
                <w:rFonts w:hint="eastAsia" w:ascii="Times New Roman" w:hAnsi="Times New Roman" w:cs="Times New Roman"/>
                <w:szCs w:val="21"/>
              </w:rPr>
              <w:t>中央除尘系统</w:t>
            </w:r>
            <w:r>
              <w:rPr>
                <w:rFonts w:ascii="Times New Roman" w:hAnsi="Times New Roman" w:cs="Times New Roman"/>
                <w:szCs w:val="21"/>
              </w:rPr>
              <w:t>+15m排气筒（DA001）</w:t>
            </w:r>
          </w:p>
        </w:tc>
        <w:tc>
          <w:tcPr>
            <w:tcW w:w="2035" w:type="dxa"/>
            <w:vAlign w:val="center"/>
          </w:tcPr>
          <w:p w14:paraId="56C0B046">
            <w:pPr>
              <w:jc w:val="center"/>
              <w:rPr>
                <w:rFonts w:ascii="Times New Roman" w:hAnsi="Times New Roman" w:eastAsia="宋体" w:cs="Times New Roman"/>
                <w:szCs w:val="21"/>
              </w:rPr>
            </w:pPr>
            <w:r>
              <w:rPr>
                <w:rFonts w:hint="eastAsia" w:ascii="Times New Roman" w:hAnsi="Times New Roman" w:eastAsia="宋体" w:cs="Times New Roman"/>
                <w:szCs w:val="21"/>
              </w:rPr>
              <w:t>2400</w:t>
            </w:r>
            <w:r>
              <w:rPr>
                <w:rFonts w:ascii="Times New Roman" w:hAnsi="Times New Roman" w:eastAsia="宋体" w:cs="Times New Roman"/>
                <w:szCs w:val="21"/>
              </w:rPr>
              <w:t>h/a</w:t>
            </w:r>
          </w:p>
        </w:tc>
      </w:tr>
      <w:tr w14:paraId="36B8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84" w:type="dxa"/>
            <w:vMerge w:val="continue"/>
            <w:vAlign w:val="center"/>
          </w:tcPr>
          <w:p w14:paraId="607CA237">
            <w:pPr>
              <w:jc w:val="center"/>
              <w:rPr>
                <w:rFonts w:ascii="Times New Roman" w:hAnsi="Times New Roman" w:eastAsia="宋体" w:cs="Times New Roman"/>
                <w:szCs w:val="21"/>
              </w:rPr>
            </w:pPr>
          </w:p>
        </w:tc>
        <w:tc>
          <w:tcPr>
            <w:tcW w:w="2646" w:type="dxa"/>
            <w:vAlign w:val="center"/>
          </w:tcPr>
          <w:p w14:paraId="12C03917">
            <w:pPr>
              <w:jc w:val="center"/>
              <w:rPr>
                <w:rFonts w:ascii="Times New Roman" w:hAnsi="Times New Roman" w:eastAsia="宋体" w:cs="Times New Roman"/>
                <w:szCs w:val="21"/>
              </w:rPr>
            </w:pPr>
            <w:r>
              <w:rPr>
                <w:rFonts w:hint="eastAsia" w:ascii="Times New Roman" w:hAnsi="Times New Roman" w:eastAsia="宋体" w:cs="Times New Roman"/>
                <w:szCs w:val="21"/>
              </w:rPr>
              <w:t>修正、油磨工序粉尘</w:t>
            </w:r>
          </w:p>
        </w:tc>
        <w:tc>
          <w:tcPr>
            <w:tcW w:w="2264" w:type="dxa"/>
            <w:vAlign w:val="center"/>
          </w:tcPr>
          <w:p w14:paraId="131774EF">
            <w:pPr>
              <w:jc w:val="center"/>
              <w:rPr>
                <w:rFonts w:ascii="Times New Roman" w:hAnsi="Times New Roman" w:eastAsia="宋体" w:cs="Times New Roman"/>
                <w:szCs w:val="21"/>
              </w:rPr>
            </w:pPr>
            <w:r>
              <w:rPr>
                <w:rFonts w:hint="eastAsia" w:ascii="Times New Roman" w:hAnsi="Times New Roman" w:eastAsia="宋体" w:cs="Times New Roman"/>
                <w:szCs w:val="21"/>
              </w:rPr>
              <w:t>修正、油磨</w:t>
            </w:r>
          </w:p>
        </w:tc>
        <w:tc>
          <w:tcPr>
            <w:tcW w:w="2236" w:type="dxa"/>
            <w:vAlign w:val="center"/>
          </w:tcPr>
          <w:p w14:paraId="5264DB1F">
            <w:pPr>
              <w:widowControl/>
              <w:jc w:val="center"/>
              <w:textAlignment w:val="center"/>
              <w:rPr>
                <w:rFonts w:ascii="Times New Roman" w:hAnsi="Times New Roman" w:eastAsia="宋体" w:cs="Times New Roman"/>
                <w:szCs w:val="21"/>
              </w:rPr>
            </w:pPr>
            <w:r>
              <w:rPr>
                <w:rStyle w:val="54"/>
                <w:rFonts w:hint="default"/>
                <w:color w:val="auto"/>
                <w:sz w:val="21"/>
                <w:szCs w:val="21"/>
                <w:lang w:bidi="ar"/>
              </w:rPr>
              <w:t>颗粒物</w:t>
            </w:r>
          </w:p>
        </w:tc>
        <w:tc>
          <w:tcPr>
            <w:tcW w:w="1091" w:type="dxa"/>
            <w:vAlign w:val="center"/>
          </w:tcPr>
          <w:p w14:paraId="25CACBE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生产期间连续</w:t>
            </w:r>
            <w:r>
              <w:rPr>
                <w:rFonts w:hint="eastAsia" w:ascii="Times New Roman" w:hAnsi="Times New Roman" w:eastAsia="宋体" w:cs="Times New Roman"/>
                <w:color w:val="auto"/>
                <w:szCs w:val="21"/>
              </w:rPr>
              <w:t>产生</w:t>
            </w:r>
          </w:p>
        </w:tc>
        <w:tc>
          <w:tcPr>
            <w:tcW w:w="3518" w:type="dxa"/>
            <w:vAlign w:val="center"/>
          </w:tcPr>
          <w:p w14:paraId="5F56FFCA">
            <w:pPr>
              <w:jc w:val="center"/>
              <w:rPr>
                <w:rFonts w:ascii="Times New Roman" w:hAnsi="Times New Roman" w:eastAsia="宋体" w:cs="Times New Roman"/>
                <w:szCs w:val="21"/>
              </w:rPr>
            </w:pPr>
            <w:r>
              <w:rPr>
                <w:rFonts w:hint="eastAsia" w:ascii="Times New Roman" w:hAnsi="Times New Roman" w:cs="Times New Roman"/>
                <w:szCs w:val="21"/>
              </w:rPr>
              <w:t>负压</w:t>
            </w:r>
            <w:r>
              <w:rPr>
                <w:rFonts w:ascii="Times New Roman" w:hAnsi="Times New Roman" w:cs="Times New Roman"/>
                <w:szCs w:val="21"/>
              </w:rPr>
              <w:t>脉冲布袋除尘器</w:t>
            </w:r>
          </w:p>
        </w:tc>
        <w:tc>
          <w:tcPr>
            <w:tcW w:w="2035" w:type="dxa"/>
            <w:vAlign w:val="center"/>
          </w:tcPr>
          <w:p w14:paraId="61D0A0D3">
            <w:pPr>
              <w:jc w:val="center"/>
              <w:rPr>
                <w:rFonts w:ascii="Times New Roman" w:hAnsi="Times New Roman" w:eastAsia="宋体" w:cs="Times New Roman"/>
                <w:szCs w:val="21"/>
              </w:rPr>
            </w:pPr>
            <w:r>
              <w:rPr>
                <w:rFonts w:hint="eastAsia" w:ascii="Times New Roman" w:hAnsi="Times New Roman" w:eastAsia="宋体" w:cs="Times New Roman"/>
                <w:szCs w:val="21"/>
              </w:rPr>
              <w:t>2400</w:t>
            </w:r>
            <w:r>
              <w:rPr>
                <w:rFonts w:ascii="Times New Roman" w:hAnsi="Times New Roman" w:eastAsia="宋体" w:cs="Times New Roman"/>
                <w:szCs w:val="21"/>
              </w:rPr>
              <w:t>h/a</w:t>
            </w:r>
          </w:p>
        </w:tc>
      </w:tr>
      <w:tr w14:paraId="4469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Merge w:val="continue"/>
            <w:vAlign w:val="center"/>
          </w:tcPr>
          <w:p w14:paraId="6A39A73D">
            <w:pPr>
              <w:jc w:val="center"/>
              <w:rPr>
                <w:rFonts w:ascii="Times New Roman" w:hAnsi="Times New Roman" w:eastAsia="宋体" w:cs="Times New Roman"/>
                <w:szCs w:val="21"/>
              </w:rPr>
            </w:pPr>
          </w:p>
        </w:tc>
        <w:tc>
          <w:tcPr>
            <w:tcW w:w="2646" w:type="dxa"/>
            <w:vAlign w:val="center"/>
          </w:tcPr>
          <w:p w14:paraId="617AAF60">
            <w:pPr>
              <w:jc w:val="center"/>
              <w:rPr>
                <w:rFonts w:ascii="Times New Roman" w:hAnsi="Times New Roman" w:eastAsia="宋体" w:cs="Times New Roman"/>
                <w:szCs w:val="21"/>
              </w:rPr>
            </w:pPr>
            <w:r>
              <w:rPr>
                <w:rFonts w:ascii="Times New Roman" w:hAnsi="Times New Roman" w:eastAsia="宋体" w:cs="Times New Roman"/>
                <w:szCs w:val="21"/>
              </w:rPr>
              <w:t>拼板冷压、封边、热压、擦色、</w:t>
            </w:r>
            <w:r>
              <w:rPr>
                <w:rFonts w:hint="eastAsia" w:ascii="Times New Roman" w:hAnsi="Times New Roman" w:eastAsia="宋体" w:cs="Times New Roman"/>
                <w:szCs w:val="21"/>
                <w:lang w:val="en-US" w:eastAsia="zh-CN"/>
              </w:rPr>
              <w:t>喷</w:t>
            </w:r>
            <w:r>
              <w:rPr>
                <w:rFonts w:ascii="Times New Roman" w:hAnsi="Times New Roman" w:eastAsia="宋体" w:cs="Times New Roman"/>
                <w:szCs w:val="21"/>
              </w:rPr>
              <w:t>漆房（含晾干）废气</w:t>
            </w:r>
          </w:p>
        </w:tc>
        <w:tc>
          <w:tcPr>
            <w:tcW w:w="2264" w:type="dxa"/>
            <w:vAlign w:val="center"/>
          </w:tcPr>
          <w:p w14:paraId="78503522">
            <w:pPr>
              <w:jc w:val="center"/>
              <w:rPr>
                <w:rFonts w:ascii="Times New Roman" w:hAnsi="Times New Roman" w:eastAsia="宋体" w:cs="Times New Roman"/>
                <w:szCs w:val="21"/>
              </w:rPr>
            </w:pPr>
            <w:r>
              <w:rPr>
                <w:rFonts w:hint="eastAsia" w:ascii="Times New Roman" w:hAnsi="Times New Roman" w:eastAsia="宋体" w:cs="Times New Roman"/>
                <w:szCs w:val="21"/>
              </w:rPr>
              <w:t>拼板冷压、封边、热压、喷漆、调漆、烘干</w:t>
            </w:r>
          </w:p>
        </w:tc>
        <w:tc>
          <w:tcPr>
            <w:tcW w:w="2236" w:type="dxa"/>
            <w:vAlign w:val="center"/>
          </w:tcPr>
          <w:p w14:paraId="2624C906">
            <w:pPr>
              <w:jc w:val="center"/>
              <w:rPr>
                <w:rFonts w:ascii="Times New Roman" w:hAnsi="Times New Roman" w:eastAsia="宋体" w:cs="Times New Roman"/>
                <w:szCs w:val="21"/>
              </w:rPr>
            </w:pPr>
            <w:r>
              <w:rPr>
                <w:rFonts w:hint="eastAsia" w:ascii="Times New Roman" w:hAnsi="Times New Roman" w:eastAsia="宋体" w:cs="Times New Roman"/>
                <w:szCs w:val="21"/>
              </w:rPr>
              <w:t>颗粒物、</w:t>
            </w:r>
            <w:r>
              <w:rPr>
                <w:rFonts w:hint="eastAsia" w:ascii="Times New Roman" w:hAnsi="Times New Roman" w:eastAsia="宋体" w:cs="Times New Roman"/>
                <w:szCs w:val="21"/>
                <w:lang w:val="en-US" w:eastAsia="zh-CN"/>
              </w:rPr>
              <w:t>苯、</w:t>
            </w:r>
            <w:r>
              <w:rPr>
                <w:rFonts w:hint="eastAsia" w:ascii="Times New Roman" w:hAnsi="Times New Roman" w:eastAsia="宋体" w:cs="Times New Roman"/>
                <w:szCs w:val="21"/>
              </w:rPr>
              <w:t>甲苯、二甲苯、非甲烷总烃</w:t>
            </w:r>
          </w:p>
        </w:tc>
        <w:tc>
          <w:tcPr>
            <w:tcW w:w="1091" w:type="dxa"/>
            <w:vAlign w:val="center"/>
          </w:tcPr>
          <w:p w14:paraId="07EC868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生产期间连续</w:t>
            </w:r>
            <w:r>
              <w:rPr>
                <w:rFonts w:hint="eastAsia" w:ascii="Times New Roman" w:hAnsi="Times New Roman" w:eastAsia="宋体" w:cs="Times New Roman"/>
                <w:color w:val="auto"/>
                <w:szCs w:val="21"/>
              </w:rPr>
              <w:t>产生</w:t>
            </w:r>
          </w:p>
        </w:tc>
        <w:tc>
          <w:tcPr>
            <w:tcW w:w="3518" w:type="dxa"/>
            <w:vAlign w:val="center"/>
          </w:tcPr>
          <w:p w14:paraId="22FA0322">
            <w:pPr>
              <w:jc w:val="center"/>
              <w:rPr>
                <w:rFonts w:ascii="Times New Roman" w:hAnsi="Times New Roman" w:eastAsia="宋体" w:cs="Times New Roman"/>
                <w:szCs w:val="21"/>
              </w:rPr>
            </w:pPr>
            <w:r>
              <w:rPr>
                <w:rFonts w:ascii="Times New Roman" w:hAnsi="Times New Roman" w:cs="Times New Roman"/>
                <w:color w:val="000000" w:themeColor="text1"/>
                <w:szCs w:val="21"/>
                <w14:textFill>
                  <w14:solidFill>
                    <w14:schemeClr w14:val="tx1"/>
                  </w14:solidFill>
                </w14:textFill>
              </w:rPr>
              <w:t>水幕帘</w:t>
            </w:r>
            <w:r>
              <w:rPr>
                <w:rFonts w:hint="eastAsia" w:ascii="Times New Roman" w:hAnsi="Times New Roman" w:cs="Times New Roman"/>
                <w:color w:val="000000" w:themeColor="text1"/>
                <w:szCs w:val="21"/>
                <w14:textFill>
                  <w14:solidFill>
                    <w14:schemeClr w14:val="tx1"/>
                  </w14:solidFill>
                </w14:textFill>
              </w:rPr>
              <w:t>+漆雾过滤器+</w:t>
            </w:r>
            <w:r>
              <w:rPr>
                <w:rFonts w:ascii="Times New Roman" w:hAnsi="Times New Roman" w:cs="Times New Roman"/>
                <w:color w:val="000000"/>
                <w:kern w:val="0"/>
                <w:szCs w:val="21"/>
              </w:rPr>
              <w:t>活性炭吸附—脱附催化燃烧</w:t>
            </w:r>
            <w:r>
              <w:rPr>
                <w:rFonts w:ascii="Times New Roman" w:hAnsi="Times New Roman" w:cs="Times New Roman"/>
                <w:szCs w:val="21"/>
              </w:rPr>
              <w:t>+15m排气筒（DA00</w:t>
            </w:r>
            <w:r>
              <w:rPr>
                <w:rFonts w:hint="eastAsia" w:ascii="Times New Roman" w:hAnsi="Times New Roman" w:cs="Times New Roman"/>
                <w:szCs w:val="21"/>
                <w:lang w:val="en-US" w:eastAsia="zh-CN"/>
              </w:rPr>
              <w:t>2</w:t>
            </w:r>
            <w:r>
              <w:rPr>
                <w:rFonts w:ascii="Times New Roman" w:hAnsi="Times New Roman" w:cs="Times New Roman"/>
                <w:szCs w:val="21"/>
              </w:rPr>
              <w:t>）</w:t>
            </w:r>
          </w:p>
        </w:tc>
        <w:tc>
          <w:tcPr>
            <w:tcW w:w="2035" w:type="dxa"/>
            <w:vAlign w:val="center"/>
          </w:tcPr>
          <w:p w14:paraId="6A85438B">
            <w:pPr>
              <w:jc w:val="center"/>
              <w:rPr>
                <w:rFonts w:ascii="Times New Roman" w:hAnsi="Times New Roman" w:eastAsia="宋体" w:cs="Times New Roman"/>
                <w:szCs w:val="21"/>
              </w:rPr>
            </w:pPr>
            <w:r>
              <w:rPr>
                <w:rFonts w:hint="eastAsia" w:ascii="Times New Roman" w:hAnsi="Times New Roman" w:eastAsia="宋体" w:cs="Times New Roman"/>
                <w:szCs w:val="21"/>
              </w:rPr>
              <w:t>2400</w:t>
            </w:r>
            <w:r>
              <w:rPr>
                <w:rFonts w:ascii="Times New Roman" w:hAnsi="Times New Roman" w:eastAsia="宋体" w:cs="Times New Roman"/>
                <w:szCs w:val="21"/>
              </w:rPr>
              <w:t>h/a</w:t>
            </w:r>
          </w:p>
        </w:tc>
      </w:tr>
      <w:tr w14:paraId="03F0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84" w:type="dxa"/>
            <w:vMerge w:val="restart"/>
            <w:vAlign w:val="center"/>
          </w:tcPr>
          <w:p w14:paraId="5419AEED">
            <w:pPr>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2646" w:type="dxa"/>
            <w:vAlign w:val="center"/>
          </w:tcPr>
          <w:p w14:paraId="1FC16041">
            <w:pPr>
              <w:jc w:val="center"/>
              <w:rPr>
                <w:rFonts w:ascii="Times New Roman" w:hAnsi="Times New Roman" w:eastAsia="宋体" w:cs="Times New Roman"/>
                <w:szCs w:val="21"/>
              </w:rPr>
            </w:pPr>
            <w:r>
              <w:rPr>
                <w:rFonts w:ascii="Times New Roman" w:hAnsi="Times New Roman" w:eastAsia="宋体" w:cs="Times New Roman"/>
                <w:szCs w:val="21"/>
              </w:rPr>
              <w:t>生活污水</w:t>
            </w:r>
          </w:p>
        </w:tc>
        <w:tc>
          <w:tcPr>
            <w:tcW w:w="2264" w:type="dxa"/>
            <w:vAlign w:val="center"/>
          </w:tcPr>
          <w:p w14:paraId="58E31D30">
            <w:pPr>
              <w:jc w:val="center"/>
              <w:rPr>
                <w:rFonts w:ascii="Times New Roman" w:hAnsi="Times New Roman" w:eastAsia="宋体" w:cs="Times New Roman"/>
                <w:szCs w:val="21"/>
              </w:rPr>
            </w:pPr>
            <w:r>
              <w:rPr>
                <w:rFonts w:ascii="Times New Roman" w:hAnsi="Times New Roman" w:eastAsia="宋体" w:cs="Times New Roman"/>
                <w:szCs w:val="21"/>
              </w:rPr>
              <w:t>职工生活</w:t>
            </w:r>
          </w:p>
        </w:tc>
        <w:tc>
          <w:tcPr>
            <w:tcW w:w="2236" w:type="dxa"/>
            <w:vAlign w:val="center"/>
          </w:tcPr>
          <w:p w14:paraId="7A35F604">
            <w:pPr>
              <w:jc w:val="center"/>
              <w:rPr>
                <w:rFonts w:ascii="Times New Roman" w:hAnsi="Times New Roman" w:eastAsia="宋体" w:cs="Times New Roman"/>
                <w:szCs w:val="21"/>
              </w:rPr>
            </w:pPr>
            <w:r>
              <w:rPr>
                <w:rFonts w:ascii="Times New Roman" w:hAnsi="Times New Roman" w:eastAsia="宋体" w:cs="Times New Roman"/>
                <w:szCs w:val="21"/>
              </w:rPr>
              <w:t>pH、COD、BOD</w:t>
            </w:r>
            <w:r>
              <w:rPr>
                <w:rFonts w:ascii="Times New Roman" w:hAnsi="Times New Roman" w:eastAsia="宋体" w:cs="Times New Roman"/>
                <w:szCs w:val="21"/>
                <w:vertAlign w:val="subscript"/>
              </w:rPr>
              <w:t>5</w:t>
            </w:r>
            <w:r>
              <w:rPr>
                <w:rFonts w:ascii="Times New Roman" w:hAnsi="Times New Roman" w:eastAsia="宋体" w:cs="Times New Roman"/>
                <w:szCs w:val="21"/>
              </w:rPr>
              <w:t>、SS、NH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1091" w:type="dxa"/>
            <w:vAlign w:val="center"/>
          </w:tcPr>
          <w:p w14:paraId="1963720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2283313D">
            <w:pPr>
              <w:jc w:val="center"/>
              <w:rPr>
                <w:rFonts w:ascii="Times New Roman" w:hAnsi="Times New Roman" w:eastAsia="宋体" w:cs="Times New Roman"/>
                <w:szCs w:val="21"/>
              </w:rPr>
            </w:pPr>
            <w:r>
              <w:rPr>
                <w:rFonts w:ascii="Times New Roman" w:hAnsi="Times New Roman" w:eastAsia="宋体" w:cs="Times New Roman"/>
                <w:szCs w:val="21"/>
              </w:rPr>
              <w:t>化粪池</w:t>
            </w:r>
          </w:p>
        </w:tc>
        <w:tc>
          <w:tcPr>
            <w:tcW w:w="2035" w:type="dxa"/>
            <w:vMerge w:val="restart"/>
            <w:vAlign w:val="center"/>
          </w:tcPr>
          <w:p w14:paraId="0BE6150F">
            <w:pPr>
              <w:jc w:val="center"/>
              <w:rPr>
                <w:rFonts w:ascii="Times New Roman" w:hAnsi="Times New Roman" w:eastAsia="宋体" w:cs="Times New Roman"/>
                <w:szCs w:val="21"/>
              </w:rPr>
            </w:pPr>
            <w:r>
              <w:rPr>
                <w:rFonts w:hint="eastAsia" w:ascii="Times New Roman" w:hAnsi="Times New Roman" w:eastAsia="宋体" w:cs="Times New Roman"/>
                <w:szCs w:val="21"/>
              </w:rPr>
              <w:t>通过厂区废水总排口接管进入清丰中州水务有限公司第二污水处理厂</w:t>
            </w:r>
          </w:p>
        </w:tc>
      </w:tr>
      <w:tr w14:paraId="700A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84" w:type="dxa"/>
            <w:vMerge w:val="continue"/>
            <w:vAlign w:val="center"/>
          </w:tcPr>
          <w:p w14:paraId="1A40D16F">
            <w:pPr>
              <w:jc w:val="center"/>
              <w:rPr>
                <w:rFonts w:ascii="Times New Roman" w:hAnsi="Times New Roman" w:cs="Times New Roman"/>
                <w:color w:val="0000FF"/>
                <w:szCs w:val="21"/>
              </w:rPr>
            </w:pPr>
          </w:p>
        </w:tc>
        <w:tc>
          <w:tcPr>
            <w:tcW w:w="2646" w:type="dxa"/>
            <w:vAlign w:val="center"/>
          </w:tcPr>
          <w:p w14:paraId="0FE6300F">
            <w:pPr>
              <w:jc w:val="center"/>
              <w:rPr>
                <w:rFonts w:ascii="Times New Roman" w:hAnsi="Times New Roman" w:eastAsia="宋体" w:cs="Times New Roman"/>
                <w:szCs w:val="21"/>
              </w:rPr>
            </w:pPr>
            <w:r>
              <w:rPr>
                <w:rFonts w:hint="eastAsia" w:ascii="Times New Roman" w:hAnsi="Times New Roman" w:eastAsia="宋体" w:cs="Times New Roman"/>
                <w:szCs w:val="21"/>
              </w:rPr>
              <w:t>水帘废水</w:t>
            </w:r>
          </w:p>
        </w:tc>
        <w:tc>
          <w:tcPr>
            <w:tcW w:w="2264" w:type="dxa"/>
            <w:vAlign w:val="center"/>
          </w:tcPr>
          <w:p w14:paraId="76438EF7">
            <w:pPr>
              <w:jc w:val="center"/>
              <w:rPr>
                <w:rFonts w:ascii="Times New Roman" w:hAnsi="Times New Roman" w:eastAsia="宋体" w:cs="Times New Roman"/>
                <w:szCs w:val="21"/>
              </w:rPr>
            </w:pPr>
            <w:r>
              <w:rPr>
                <w:rFonts w:hint="eastAsia" w:ascii="Times New Roman" w:hAnsi="Times New Roman" w:eastAsia="宋体" w:cs="Times New Roman"/>
                <w:szCs w:val="21"/>
              </w:rPr>
              <w:t>喷漆水帘</w:t>
            </w:r>
          </w:p>
        </w:tc>
        <w:tc>
          <w:tcPr>
            <w:tcW w:w="2236" w:type="dxa"/>
            <w:vAlign w:val="center"/>
          </w:tcPr>
          <w:p w14:paraId="1DA438CF">
            <w:pPr>
              <w:jc w:val="center"/>
              <w:rPr>
                <w:rFonts w:ascii="Times New Roman" w:hAnsi="Times New Roman" w:eastAsia="宋体" w:cs="Times New Roman"/>
                <w:szCs w:val="21"/>
              </w:rPr>
            </w:pPr>
            <w:r>
              <w:rPr>
                <w:rFonts w:ascii="Times New Roman" w:hAnsi="Times New Roman" w:eastAsia="宋体" w:cs="Times New Roman"/>
                <w:szCs w:val="21"/>
              </w:rPr>
              <w:t>COD、SS、氨氮、</w:t>
            </w:r>
            <w:r>
              <w:rPr>
                <w:rFonts w:hint="eastAsia" w:ascii="Times New Roman" w:hAnsi="Times New Roman" w:eastAsia="宋体" w:cs="Times New Roman"/>
                <w:szCs w:val="21"/>
              </w:rPr>
              <w:t>甲苯、二甲苯</w:t>
            </w:r>
          </w:p>
        </w:tc>
        <w:tc>
          <w:tcPr>
            <w:tcW w:w="1091" w:type="dxa"/>
            <w:vAlign w:val="center"/>
          </w:tcPr>
          <w:p w14:paraId="3DB61FB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56D013B8">
            <w:pPr>
              <w:jc w:val="center"/>
              <w:rPr>
                <w:rFonts w:ascii="Times New Roman" w:hAnsi="Times New Roman" w:eastAsia="宋体" w:cs="Times New Roman"/>
                <w:szCs w:val="21"/>
              </w:rPr>
            </w:pPr>
            <w:r>
              <w:rPr>
                <w:rFonts w:ascii="Times New Roman" w:hAnsi="Times New Roman" w:eastAsia="宋体" w:cs="Times New Roman"/>
                <w:szCs w:val="21"/>
              </w:rPr>
              <w:t>混凝沉淀+fenton氧化处理</w:t>
            </w:r>
          </w:p>
        </w:tc>
        <w:tc>
          <w:tcPr>
            <w:tcW w:w="2035" w:type="dxa"/>
            <w:vMerge w:val="continue"/>
            <w:vAlign w:val="center"/>
          </w:tcPr>
          <w:p w14:paraId="6164768E">
            <w:pPr>
              <w:jc w:val="center"/>
              <w:rPr>
                <w:rFonts w:ascii="Times New Roman" w:hAnsi="Times New Roman" w:eastAsia="宋体" w:cs="Times New Roman"/>
                <w:color w:val="0000FF"/>
                <w:szCs w:val="21"/>
              </w:rPr>
            </w:pPr>
          </w:p>
        </w:tc>
      </w:tr>
      <w:tr w14:paraId="44AB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84" w:type="dxa"/>
            <w:vMerge w:val="restart"/>
            <w:vAlign w:val="center"/>
          </w:tcPr>
          <w:p w14:paraId="77275C22">
            <w:pPr>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2646" w:type="dxa"/>
          </w:tcPr>
          <w:p w14:paraId="7FF54177">
            <w:pPr>
              <w:pStyle w:val="39"/>
              <w:adjustRightInd/>
              <w:jc w:val="center"/>
              <w:rPr>
                <w:rFonts w:ascii="Times New Roman" w:hAnsi="Times New Roman" w:cs="Times New Roman"/>
                <w:color w:val="auto"/>
                <w:kern w:val="2"/>
                <w:sz w:val="21"/>
                <w:szCs w:val="21"/>
              </w:rPr>
            </w:pPr>
            <w:r>
              <w:rPr>
                <w:rFonts w:hint="eastAsia" w:cs="Times New Roman"/>
                <w:color w:val="auto"/>
                <w:sz w:val="21"/>
                <w:szCs w:val="21"/>
              </w:rPr>
              <w:t>废边角料和碎屑</w:t>
            </w:r>
          </w:p>
        </w:tc>
        <w:tc>
          <w:tcPr>
            <w:tcW w:w="2264" w:type="dxa"/>
            <w:vAlign w:val="center"/>
          </w:tcPr>
          <w:p w14:paraId="215EA466">
            <w:pPr>
              <w:jc w:val="center"/>
              <w:rPr>
                <w:rFonts w:ascii="Times New Roman" w:hAnsi="Times New Roman" w:eastAsia="宋体" w:cs="Times New Roman"/>
                <w:szCs w:val="21"/>
              </w:rPr>
            </w:pPr>
            <w:r>
              <w:rPr>
                <w:rFonts w:hint="eastAsia" w:ascii="Times New Roman" w:hAnsi="Times New Roman" w:eastAsia="宋体" w:cs="Times New Roman"/>
                <w:szCs w:val="21"/>
              </w:rPr>
              <w:t>木材加工</w:t>
            </w:r>
          </w:p>
        </w:tc>
        <w:tc>
          <w:tcPr>
            <w:tcW w:w="2236" w:type="dxa"/>
            <w:vAlign w:val="center"/>
          </w:tcPr>
          <w:p w14:paraId="1154D288">
            <w:pPr>
              <w:jc w:val="center"/>
              <w:rPr>
                <w:rFonts w:ascii="Times New Roman" w:hAnsi="Times New Roman" w:eastAsia="宋体" w:cs="Times New Roman"/>
                <w:szCs w:val="21"/>
              </w:rPr>
            </w:pPr>
            <w:r>
              <w:rPr>
                <w:rFonts w:hint="eastAsia" w:ascii="Times New Roman" w:hAnsi="Times New Roman" w:eastAsia="宋体" w:cs="Times New Roman"/>
                <w:szCs w:val="21"/>
              </w:rPr>
              <w:t>木材、木屑</w:t>
            </w:r>
          </w:p>
        </w:tc>
        <w:tc>
          <w:tcPr>
            <w:tcW w:w="1091" w:type="dxa"/>
            <w:vAlign w:val="center"/>
          </w:tcPr>
          <w:p w14:paraId="5E0A483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256C7FD4">
            <w:pPr>
              <w:jc w:val="center"/>
              <w:rPr>
                <w:rFonts w:ascii="Times New Roman" w:hAnsi="Times New Roman" w:eastAsia="宋体" w:cs="Times New Roman"/>
                <w:szCs w:val="21"/>
              </w:rPr>
            </w:pPr>
            <w:r>
              <w:rPr>
                <w:rFonts w:hint="eastAsia" w:ascii="Times New Roman" w:hAnsi="Times New Roman" w:eastAsia="宋体" w:cs="Times New Roman"/>
                <w:szCs w:val="21"/>
              </w:rPr>
              <w:t>收集后外售</w:t>
            </w:r>
          </w:p>
        </w:tc>
        <w:tc>
          <w:tcPr>
            <w:tcW w:w="2035" w:type="dxa"/>
            <w:vMerge w:val="restart"/>
            <w:vAlign w:val="center"/>
          </w:tcPr>
          <w:p w14:paraId="73F13D5D">
            <w:pPr>
              <w:jc w:val="center"/>
              <w:rPr>
                <w:rFonts w:ascii="Times New Roman" w:hAnsi="Times New Roman" w:eastAsia="宋体" w:cs="Times New Roman"/>
                <w:szCs w:val="21"/>
              </w:rPr>
            </w:pPr>
            <w:r>
              <w:rPr>
                <w:rFonts w:ascii="Times New Roman" w:hAnsi="Times New Roman" w:eastAsia="宋体" w:cs="Times New Roman"/>
                <w:szCs w:val="21"/>
              </w:rPr>
              <w:t>综合利用</w:t>
            </w:r>
          </w:p>
        </w:tc>
      </w:tr>
      <w:tr w14:paraId="4FCC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84" w:type="dxa"/>
            <w:vMerge w:val="continue"/>
            <w:vAlign w:val="center"/>
          </w:tcPr>
          <w:p w14:paraId="41713166">
            <w:pPr>
              <w:jc w:val="center"/>
              <w:rPr>
                <w:rFonts w:ascii="Times New Roman" w:hAnsi="Times New Roman" w:cs="Times New Roman"/>
                <w:szCs w:val="21"/>
              </w:rPr>
            </w:pPr>
          </w:p>
        </w:tc>
        <w:tc>
          <w:tcPr>
            <w:tcW w:w="2646" w:type="dxa"/>
          </w:tcPr>
          <w:p w14:paraId="73FFEE09">
            <w:pPr>
              <w:pStyle w:val="39"/>
              <w:adjustRightInd/>
              <w:jc w:val="center"/>
              <w:rPr>
                <w:rFonts w:ascii="Times New Roman" w:hAnsi="Times New Roman" w:cs="Times New Roman"/>
                <w:color w:val="auto"/>
                <w:kern w:val="2"/>
                <w:sz w:val="21"/>
                <w:szCs w:val="21"/>
              </w:rPr>
            </w:pPr>
            <w:r>
              <w:rPr>
                <w:rFonts w:hint="eastAsia" w:ascii="Times New Roman" w:hAnsi="Times New Roman" w:cs="Times New Roman"/>
                <w:color w:val="auto"/>
                <w:sz w:val="21"/>
                <w:szCs w:val="21"/>
              </w:rPr>
              <w:t>除尘器收尘</w:t>
            </w:r>
          </w:p>
        </w:tc>
        <w:tc>
          <w:tcPr>
            <w:tcW w:w="2264" w:type="dxa"/>
            <w:vAlign w:val="center"/>
          </w:tcPr>
          <w:p w14:paraId="2AEE00D2">
            <w:pPr>
              <w:jc w:val="center"/>
              <w:rPr>
                <w:rFonts w:ascii="Times New Roman" w:hAnsi="Times New Roman" w:eastAsia="宋体" w:cs="Times New Roman"/>
                <w:szCs w:val="21"/>
              </w:rPr>
            </w:pPr>
            <w:r>
              <w:rPr>
                <w:rFonts w:hint="eastAsia" w:ascii="Times New Roman" w:hAnsi="Times New Roman" w:eastAsia="宋体" w:cs="Times New Roman"/>
                <w:szCs w:val="21"/>
              </w:rPr>
              <w:t>除尘器</w:t>
            </w:r>
          </w:p>
        </w:tc>
        <w:tc>
          <w:tcPr>
            <w:tcW w:w="2236" w:type="dxa"/>
            <w:vAlign w:val="center"/>
          </w:tcPr>
          <w:p w14:paraId="69F66C74">
            <w:pPr>
              <w:jc w:val="center"/>
              <w:rPr>
                <w:rFonts w:ascii="Times New Roman" w:hAnsi="Times New Roman" w:eastAsia="宋体" w:cs="Times New Roman"/>
                <w:szCs w:val="21"/>
              </w:rPr>
            </w:pPr>
            <w:r>
              <w:rPr>
                <w:rFonts w:hint="eastAsia" w:ascii="Times New Roman" w:hAnsi="Times New Roman" w:eastAsia="宋体" w:cs="Times New Roman"/>
                <w:szCs w:val="21"/>
              </w:rPr>
              <w:t>木材、木屑</w:t>
            </w:r>
          </w:p>
        </w:tc>
        <w:tc>
          <w:tcPr>
            <w:tcW w:w="1091" w:type="dxa"/>
            <w:vAlign w:val="center"/>
          </w:tcPr>
          <w:p w14:paraId="7B7DF50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4830A628">
            <w:pPr>
              <w:jc w:val="center"/>
              <w:rPr>
                <w:rFonts w:ascii="Times New Roman" w:hAnsi="Times New Roman" w:eastAsia="宋体" w:cs="Times New Roman"/>
                <w:szCs w:val="21"/>
              </w:rPr>
            </w:pPr>
            <w:r>
              <w:rPr>
                <w:rFonts w:hint="eastAsia" w:ascii="Times New Roman" w:hAnsi="Times New Roman" w:eastAsia="宋体" w:cs="Times New Roman"/>
                <w:szCs w:val="21"/>
              </w:rPr>
              <w:t>收集后外售</w:t>
            </w:r>
          </w:p>
        </w:tc>
        <w:tc>
          <w:tcPr>
            <w:tcW w:w="2035" w:type="dxa"/>
            <w:vMerge w:val="continue"/>
            <w:vAlign w:val="center"/>
          </w:tcPr>
          <w:p w14:paraId="7878A24A">
            <w:pPr>
              <w:jc w:val="center"/>
              <w:rPr>
                <w:rFonts w:ascii="Times New Roman" w:hAnsi="Times New Roman" w:eastAsia="宋体" w:cs="Times New Roman"/>
                <w:szCs w:val="21"/>
              </w:rPr>
            </w:pPr>
          </w:p>
        </w:tc>
      </w:tr>
      <w:tr w14:paraId="66B2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84" w:type="dxa"/>
            <w:vMerge w:val="continue"/>
            <w:vAlign w:val="center"/>
          </w:tcPr>
          <w:p w14:paraId="1AAFB76A">
            <w:pPr>
              <w:jc w:val="center"/>
              <w:rPr>
                <w:rFonts w:ascii="Times New Roman" w:hAnsi="Times New Roman" w:eastAsia="宋体" w:cs="Times New Roman"/>
                <w:szCs w:val="21"/>
              </w:rPr>
            </w:pPr>
          </w:p>
        </w:tc>
        <w:tc>
          <w:tcPr>
            <w:tcW w:w="2646" w:type="dxa"/>
          </w:tcPr>
          <w:p w14:paraId="0FFA6C30">
            <w:pPr>
              <w:pStyle w:val="39"/>
              <w:adjustRightInd/>
              <w:jc w:val="center"/>
              <w:rPr>
                <w:rFonts w:ascii="Times New Roman" w:hAnsi="Times New Roman" w:cs="Times New Roman"/>
                <w:color w:val="auto"/>
                <w:kern w:val="2"/>
                <w:sz w:val="21"/>
                <w:szCs w:val="21"/>
              </w:rPr>
            </w:pPr>
            <w:r>
              <w:rPr>
                <w:rFonts w:hint="eastAsia" w:ascii="Times New Roman" w:hAnsi="Times New Roman" w:cs="Times New Roman"/>
                <w:bCs/>
                <w:color w:val="auto"/>
                <w:sz w:val="21"/>
                <w:szCs w:val="21"/>
              </w:rPr>
              <w:t>废包装材料</w:t>
            </w:r>
          </w:p>
        </w:tc>
        <w:tc>
          <w:tcPr>
            <w:tcW w:w="2264" w:type="dxa"/>
            <w:vAlign w:val="center"/>
          </w:tcPr>
          <w:p w14:paraId="1CF19331">
            <w:pPr>
              <w:jc w:val="center"/>
              <w:rPr>
                <w:rFonts w:ascii="Times New Roman" w:hAnsi="Times New Roman" w:eastAsia="宋体" w:cs="Times New Roman"/>
                <w:szCs w:val="21"/>
              </w:rPr>
            </w:pPr>
            <w:r>
              <w:rPr>
                <w:rFonts w:hint="eastAsia" w:ascii="Times New Roman" w:hAnsi="Times New Roman" w:eastAsia="宋体" w:cs="Times New Roman"/>
                <w:szCs w:val="21"/>
              </w:rPr>
              <w:t>原料包装、拆包</w:t>
            </w:r>
          </w:p>
        </w:tc>
        <w:tc>
          <w:tcPr>
            <w:tcW w:w="2236" w:type="dxa"/>
            <w:vAlign w:val="center"/>
          </w:tcPr>
          <w:p w14:paraId="45AE3E60">
            <w:pPr>
              <w:jc w:val="center"/>
              <w:rPr>
                <w:rFonts w:ascii="Times New Roman" w:hAnsi="Times New Roman" w:eastAsia="宋体" w:cs="Times New Roman"/>
                <w:szCs w:val="21"/>
              </w:rPr>
            </w:pPr>
            <w:r>
              <w:rPr>
                <w:rFonts w:hint="eastAsia" w:ascii="Times New Roman" w:hAnsi="Times New Roman" w:eastAsia="宋体" w:cs="Times New Roman"/>
                <w:szCs w:val="21"/>
              </w:rPr>
              <w:t>塑料、纸</w:t>
            </w:r>
          </w:p>
        </w:tc>
        <w:tc>
          <w:tcPr>
            <w:tcW w:w="1091" w:type="dxa"/>
            <w:vAlign w:val="center"/>
          </w:tcPr>
          <w:p w14:paraId="06C1221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767286AF">
            <w:pPr>
              <w:jc w:val="center"/>
              <w:rPr>
                <w:rFonts w:ascii="Times New Roman" w:hAnsi="Times New Roman" w:eastAsia="宋体" w:cs="Times New Roman"/>
                <w:szCs w:val="21"/>
              </w:rPr>
            </w:pPr>
            <w:r>
              <w:rPr>
                <w:rFonts w:hint="eastAsia" w:ascii="Times New Roman" w:hAnsi="Times New Roman" w:eastAsia="宋体" w:cs="Times New Roman"/>
                <w:szCs w:val="21"/>
              </w:rPr>
              <w:t>收集后外售</w:t>
            </w:r>
          </w:p>
        </w:tc>
        <w:tc>
          <w:tcPr>
            <w:tcW w:w="2035" w:type="dxa"/>
            <w:vMerge w:val="continue"/>
            <w:vAlign w:val="center"/>
          </w:tcPr>
          <w:p w14:paraId="278D98F9">
            <w:pPr>
              <w:jc w:val="center"/>
              <w:rPr>
                <w:rFonts w:ascii="Times New Roman" w:hAnsi="Times New Roman" w:eastAsia="宋体" w:cs="Times New Roman"/>
                <w:szCs w:val="21"/>
              </w:rPr>
            </w:pPr>
          </w:p>
        </w:tc>
      </w:tr>
      <w:tr w14:paraId="54F3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84" w:type="dxa"/>
            <w:vMerge w:val="continue"/>
            <w:vAlign w:val="center"/>
          </w:tcPr>
          <w:p w14:paraId="7BD3D01E">
            <w:pPr>
              <w:jc w:val="center"/>
              <w:rPr>
                <w:rFonts w:ascii="Times New Roman" w:hAnsi="Times New Roman" w:eastAsia="宋体" w:cs="Times New Roman"/>
                <w:szCs w:val="21"/>
              </w:rPr>
            </w:pPr>
          </w:p>
        </w:tc>
        <w:tc>
          <w:tcPr>
            <w:tcW w:w="2646" w:type="dxa"/>
            <w:vAlign w:val="center"/>
          </w:tcPr>
          <w:p w14:paraId="20BDF94F">
            <w:pPr>
              <w:jc w:val="center"/>
              <w:rPr>
                <w:rFonts w:ascii="Times New Roman" w:hAnsi="Times New Roman" w:eastAsia="宋体" w:cs="Times New Roman"/>
                <w:szCs w:val="21"/>
              </w:rPr>
            </w:pPr>
            <w:r>
              <w:rPr>
                <w:rFonts w:hint="eastAsia" w:ascii="Times New Roman" w:hAnsi="Times New Roman" w:eastAsia="宋体" w:cs="Times New Roman"/>
                <w:szCs w:val="21"/>
              </w:rPr>
              <w:t>废破损包装桶</w:t>
            </w:r>
          </w:p>
        </w:tc>
        <w:tc>
          <w:tcPr>
            <w:tcW w:w="2264" w:type="dxa"/>
            <w:vAlign w:val="center"/>
          </w:tcPr>
          <w:p w14:paraId="6DC4DD30">
            <w:pPr>
              <w:jc w:val="center"/>
              <w:rPr>
                <w:rFonts w:ascii="Times New Roman" w:hAnsi="Times New Roman" w:eastAsia="宋体" w:cs="Times New Roman"/>
                <w:szCs w:val="21"/>
              </w:rPr>
            </w:pPr>
            <w:r>
              <w:rPr>
                <w:rFonts w:hint="eastAsia" w:ascii="Times New Roman" w:hAnsi="Times New Roman" w:eastAsia="宋体" w:cs="Times New Roman"/>
                <w:szCs w:val="21"/>
              </w:rPr>
              <w:t>原料区</w:t>
            </w:r>
          </w:p>
        </w:tc>
        <w:tc>
          <w:tcPr>
            <w:tcW w:w="2236" w:type="dxa"/>
            <w:vAlign w:val="center"/>
          </w:tcPr>
          <w:p w14:paraId="40AAE5A4">
            <w:pPr>
              <w:jc w:val="center"/>
              <w:rPr>
                <w:rFonts w:ascii="Times New Roman" w:hAnsi="Times New Roman" w:eastAsia="宋体" w:cs="Times New Roman"/>
                <w:szCs w:val="21"/>
              </w:rPr>
            </w:pPr>
            <w:r>
              <w:rPr>
                <w:rFonts w:hint="eastAsia" w:ascii="Times New Roman" w:hAnsi="Times New Roman" w:cs="Times New Roman"/>
                <w:bCs/>
                <w:szCs w:val="21"/>
              </w:rPr>
              <w:t>漆料、稀释剂、胶黏剂</w:t>
            </w:r>
          </w:p>
        </w:tc>
        <w:tc>
          <w:tcPr>
            <w:tcW w:w="1091" w:type="dxa"/>
            <w:vAlign w:val="center"/>
          </w:tcPr>
          <w:p w14:paraId="67BD7A4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6D377AD6">
            <w:pPr>
              <w:jc w:val="center"/>
              <w:rPr>
                <w:rFonts w:ascii="Times New Roman" w:hAnsi="Times New Roman" w:eastAsia="宋体" w:cs="Times New Roman"/>
                <w:szCs w:val="21"/>
              </w:rPr>
            </w:pPr>
            <w:r>
              <w:rPr>
                <w:rFonts w:ascii="Times New Roman" w:hAnsi="Times New Roman" w:eastAsia="宋体" w:cs="Times New Roman"/>
                <w:szCs w:val="21"/>
              </w:rPr>
              <w:t>委托有资质单位外运处置</w:t>
            </w:r>
          </w:p>
        </w:tc>
        <w:tc>
          <w:tcPr>
            <w:tcW w:w="2035" w:type="dxa"/>
            <w:vAlign w:val="center"/>
          </w:tcPr>
          <w:p w14:paraId="6F6C80B3">
            <w:pPr>
              <w:jc w:val="center"/>
              <w:rPr>
                <w:rFonts w:ascii="Times New Roman" w:hAnsi="Times New Roman" w:eastAsia="宋体" w:cs="Times New Roman"/>
                <w:szCs w:val="21"/>
              </w:rPr>
            </w:pPr>
            <w:r>
              <w:rPr>
                <w:rFonts w:ascii="Times New Roman" w:hAnsi="Times New Roman" w:eastAsia="宋体" w:cs="Times New Roman"/>
                <w:szCs w:val="21"/>
              </w:rPr>
              <w:t>不外排</w:t>
            </w:r>
          </w:p>
        </w:tc>
      </w:tr>
      <w:tr w14:paraId="3F9F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84" w:type="dxa"/>
            <w:vMerge w:val="continue"/>
            <w:vAlign w:val="center"/>
          </w:tcPr>
          <w:p w14:paraId="7FF9C291">
            <w:pPr>
              <w:jc w:val="center"/>
              <w:rPr>
                <w:rFonts w:ascii="Times New Roman" w:hAnsi="Times New Roman" w:eastAsia="宋体" w:cs="Times New Roman"/>
                <w:szCs w:val="21"/>
              </w:rPr>
            </w:pPr>
          </w:p>
        </w:tc>
        <w:tc>
          <w:tcPr>
            <w:tcW w:w="2646" w:type="dxa"/>
            <w:vAlign w:val="center"/>
          </w:tcPr>
          <w:p w14:paraId="3DF55614">
            <w:pPr>
              <w:jc w:val="center"/>
              <w:rPr>
                <w:rFonts w:ascii="Times New Roman" w:hAnsi="Times New Roman" w:eastAsia="宋体" w:cs="Times New Roman"/>
                <w:szCs w:val="21"/>
              </w:rPr>
            </w:pPr>
            <w:r>
              <w:rPr>
                <w:rFonts w:hint="eastAsia" w:ascii="Times New Roman" w:hAnsi="Times New Roman" w:eastAsia="宋体" w:cs="Times New Roman"/>
                <w:szCs w:val="21"/>
              </w:rPr>
              <w:t>水帘漆渣</w:t>
            </w:r>
          </w:p>
        </w:tc>
        <w:tc>
          <w:tcPr>
            <w:tcW w:w="2264" w:type="dxa"/>
            <w:vAlign w:val="center"/>
          </w:tcPr>
          <w:p w14:paraId="0875703F">
            <w:pPr>
              <w:jc w:val="center"/>
              <w:rPr>
                <w:rFonts w:ascii="Times New Roman" w:hAnsi="Times New Roman" w:eastAsia="宋体" w:cs="Times New Roman"/>
                <w:szCs w:val="21"/>
              </w:rPr>
            </w:pPr>
            <w:r>
              <w:rPr>
                <w:rFonts w:hint="eastAsia" w:ascii="Times New Roman" w:hAnsi="Times New Roman" w:eastAsia="宋体" w:cs="Times New Roman"/>
                <w:szCs w:val="21"/>
              </w:rPr>
              <w:t>喷漆</w:t>
            </w:r>
          </w:p>
        </w:tc>
        <w:tc>
          <w:tcPr>
            <w:tcW w:w="2236" w:type="dxa"/>
          </w:tcPr>
          <w:p w14:paraId="3570628D">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091" w:type="dxa"/>
            <w:vAlign w:val="center"/>
          </w:tcPr>
          <w:p w14:paraId="706581B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3CA2F4EB">
            <w:pPr>
              <w:jc w:val="center"/>
              <w:rPr>
                <w:rFonts w:ascii="Times New Roman" w:hAnsi="Times New Roman" w:eastAsia="宋体" w:cs="Times New Roman"/>
                <w:szCs w:val="21"/>
              </w:rPr>
            </w:pPr>
            <w:r>
              <w:rPr>
                <w:rFonts w:ascii="Times New Roman" w:hAnsi="Times New Roman" w:eastAsia="宋体" w:cs="Times New Roman"/>
                <w:szCs w:val="21"/>
              </w:rPr>
              <w:t>委托有资质单位外运处置</w:t>
            </w:r>
          </w:p>
        </w:tc>
        <w:tc>
          <w:tcPr>
            <w:tcW w:w="2035" w:type="dxa"/>
            <w:vAlign w:val="center"/>
          </w:tcPr>
          <w:p w14:paraId="259A32EF">
            <w:pPr>
              <w:jc w:val="center"/>
              <w:rPr>
                <w:rFonts w:ascii="Times New Roman" w:hAnsi="Times New Roman" w:eastAsia="宋体" w:cs="Times New Roman"/>
                <w:szCs w:val="21"/>
              </w:rPr>
            </w:pPr>
            <w:r>
              <w:rPr>
                <w:rFonts w:ascii="Times New Roman" w:hAnsi="Times New Roman" w:eastAsia="宋体" w:cs="Times New Roman"/>
                <w:szCs w:val="21"/>
              </w:rPr>
              <w:t>不外排</w:t>
            </w:r>
          </w:p>
        </w:tc>
      </w:tr>
      <w:tr w14:paraId="2964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84" w:type="dxa"/>
            <w:vMerge w:val="continue"/>
            <w:vAlign w:val="center"/>
          </w:tcPr>
          <w:p w14:paraId="5DA5066F">
            <w:pPr>
              <w:jc w:val="center"/>
              <w:rPr>
                <w:rFonts w:ascii="Times New Roman" w:hAnsi="Times New Roman" w:eastAsia="宋体" w:cs="Times New Roman"/>
                <w:szCs w:val="21"/>
              </w:rPr>
            </w:pPr>
          </w:p>
        </w:tc>
        <w:tc>
          <w:tcPr>
            <w:tcW w:w="2646" w:type="dxa"/>
            <w:vAlign w:val="center"/>
          </w:tcPr>
          <w:p w14:paraId="54CB6791">
            <w:pPr>
              <w:jc w:val="center"/>
              <w:rPr>
                <w:rFonts w:ascii="Times New Roman" w:hAnsi="Times New Roman" w:eastAsia="宋体" w:cs="Times New Roman"/>
                <w:szCs w:val="21"/>
              </w:rPr>
            </w:pPr>
            <w:r>
              <w:rPr>
                <w:rFonts w:hint="eastAsia" w:ascii="Times New Roman" w:hAnsi="Times New Roman" w:eastAsia="宋体" w:cs="Times New Roman"/>
                <w:szCs w:val="21"/>
              </w:rPr>
              <w:t>油磨漆渣</w:t>
            </w:r>
          </w:p>
        </w:tc>
        <w:tc>
          <w:tcPr>
            <w:tcW w:w="2264" w:type="dxa"/>
            <w:vAlign w:val="center"/>
          </w:tcPr>
          <w:p w14:paraId="03A6C95F">
            <w:pPr>
              <w:jc w:val="center"/>
              <w:rPr>
                <w:rFonts w:ascii="Times New Roman" w:hAnsi="Times New Roman" w:eastAsia="宋体" w:cs="Times New Roman"/>
                <w:szCs w:val="21"/>
              </w:rPr>
            </w:pPr>
            <w:r>
              <w:rPr>
                <w:rFonts w:hint="eastAsia" w:ascii="Times New Roman" w:hAnsi="Times New Roman" w:eastAsia="宋体" w:cs="Times New Roman"/>
                <w:szCs w:val="21"/>
              </w:rPr>
              <w:t>油磨</w:t>
            </w:r>
          </w:p>
        </w:tc>
        <w:tc>
          <w:tcPr>
            <w:tcW w:w="2236" w:type="dxa"/>
          </w:tcPr>
          <w:p w14:paraId="517CD040">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091" w:type="dxa"/>
            <w:vAlign w:val="center"/>
          </w:tcPr>
          <w:p w14:paraId="3CE59C1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1B7B2AA7">
            <w:pPr>
              <w:jc w:val="center"/>
              <w:rPr>
                <w:rFonts w:ascii="Times New Roman" w:hAnsi="Times New Roman" w:eastAsia="宋体" w:cs="Times New Roman"/>
                <w:szCs w:val="21"/>
              </w:rPr>
            </w:pPr>
            <w:r>
              <w:rPr>
                <w:rFonts w:ascii="Times New Roman" w:hAnsi="Times New Roman" w:eastAsia="宋体" w:cs="Times New Roman"/>
                <w:szCs w:val="21"/>
              </w:rPr>
              <w:t>委托有资质单位外运处置</w:t>
            </w:r>
          </w:p>
        </w:tc>
        <w:tc>
          <w:tcPr>
            <w:tcW w:w="2035" w:type="dxa"/>
            <w:vAlign w:val="center"/>
          </w:tcPr>
          <w:p w14:paraId="630381DF">
            <w:pPr>
              <w:jc w:val="center"/>
              <w:rPr>
                <w:rFonts w:ascii="Times New Roman" w:hAnsi="Times New Roman" w:eastAsia="宋体" w:cs="Times New Roman"/>
                <w:szCs w:val="21"/>
              </w:rPr>
            </w:pPr>
            <w:r>
              <w:rPr>
                <w:rFonts w:ascii="Times New Roman" w:hAnsi="Times New Roman" w:eastAsia="宋体" w:cs="Times New Roman"/>
                <w:szCs w:val="21"/>
              </w:rPr>
              <w:t>不外排</w:t>
            </w:r>
          </w:p>
        </w:tc>
      </w:tr>
      <w:tr w14:paraId="5747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84" w:type="dxa"/>
            <w:vMerge w:val="continue"/>
            <w:vAlign w:val="center"/>
          </w:tcPr>
          <w:p w14:paraId="290CF2B0">
            <w:pPr>
              <w:jc w:val="center"/>
              <w:rPr>
                <w:rFonts w:ascii="Times New Roman" w:hAnsi="Times New Roman" w:eastAsia="宋体" w:cs="Times New Roman"/>
                <w:szCs w:val="21"/>
              </w:rPr>
            </w:pPr>
          </w:p>
        </w:tc>
        <w:tc>
          <w:tcPr>
            <w:tcW w:w="2646" w:type="dxa"/>
            <w:vAlign w:val="center"/>
          </w:tcPr>
          <w:p w14:paraId="5B1AE61E">
            <w:pPr>
              <w:jc w:val="center"/>
              <w:rPr>
                <w:rFonts w:ascii="Times New Roman" w:hAnsi="Times New Roman" w:eastAsia="宋体" w:cs="Times New Roman"/>
                <w:szCs w:val="21"/>
              </w:rPr>
            </w:pPr>
            <w:r>
              <w:rPr>
                <w:rFonts w:hint="eastAsia" w:ascii="Times New Roman" w:hAnsi="Times New Roman" w:eastAsia="宋体" w:cs="Times New Roman"/>
                <w:szCs w:val="21"/>
              </w:rPr>
              <w:t>污水处理站絮状沉淀物</w:t>
            </w:r>
          </w:p>
        </w:tc>
        <w:tc>
          <w:tcPr>
            <w:tcW w:w="2264" w:type="dxa"/>
            <w:vAlign w:val="center"/>
          </w:tcPr>
          <w:p w14:paraId="629CC05B">
            <w:pPr>
              <w:jc w:val="center"/>
              <w:rPr>
                <w:rFonts w:ascii="Times New Roman" w:hAnsi="Times New Roman" w:eastAsia="宋体" w:cs="Times New Roman"/>
                <w:szCs w:val="21"/>
              </w:rPr>
            </w:pPr>
            <w:r>
              <w:rPr>
                <w:rFonts w:hint="eastAsia" w:ascii="Times New Roman" w:hAnsi="Times New Roman" w:eastAsia="宋体" w:cs="Times New Roman"/>
                <w:szCs w:val="21"/>
              </w:rPr>
              <w:t>污水处理站</w:t>
            </w:r>
          </w:p>
        </w:tc>
        <w:tc>
          <w:tcPr>
            <w:tcW w:w="2236" w:type="dxa"/>
            <w:vAlign w:val="center"/>
          </w:tcPr>
          <w:p w14:paraId="1571531A">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091" w:type="dxa"/>
            <w:vAlign w:val="center"/>
          </w:tcPr>
          <w:p w14:paraId="6BEBDA1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51FD0862">
            <w:pPr>
              <w:jc w:val="center"/>
              <w:rPr>
                <w:rFonts w:ascii="Times New Roman" w:hAnsi="Times New Roman" w:eastAsia="宋体" w:cs="Times New Roman"/>
                <w:szCs w:val="21"/>
              </w:rPr>
            </w:pPr>
            <w:r>
              <w:rPr>
                <w:rFonts w:ascii="Times New Roman" w:hAnsi="Times New Roman" w:eastAsia="宋体" w:cs="Times New Roman"/>
                <w:szCs w:val="21"/>
              </w:rPr>
              <w:t>委托有资质单位外运处置</w:t>
            </w:r>
          </w:p>
        </w:tc>
        <w:tc>
          <w:tcPr>
            <w:tcW w:w="2035" w:type="dxa"/>
            <w:vAlign w:val="center"/>
          </w:tcPr>
          <w:p w14:paraId="3A81530B">
            <w:pPr>
              <w:jc w:val="center"/>
              <w:rPr>
                <w:rFonts w:ascii="Times New Roman" w:hAnsi="Times New Roman" w:eastAsia="宋体" w:cs="Times New Roman"/>
                <w:szCs w:val="21"/>
              </w:rPr>
            </w:pPr>
            <w:r>
              <w:rPr>
                <w:rFonts w:ascii="Times New Roman" w:hAnsi="Times New Roman" w:eastAsia="宋体" w:cs="Times New Roman"/>
                <w:szCs w:val="21"/>
              </w:rPr>
              <w:t>不外排</w:t>
            </w:r>
          </w:p>
        </w:tc>
      </w:tr>
      <w:tr w14:paraId="7C00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84" w:type="dxa"/>
            <w:vMerge w:val="continue"/>
            <w:vAlign w:val="center"/>
          </w:tcPr>
          <w:p w14:paraId="4CC71856">
            <w:pPr>
              <w:jc w:val="center"/>
              <w:rPr>
                <w:rFonts w:ascii="Times New Roman" w:hAnsi="Times New Roman" w:eastAsia="宋体" w:cs="Times New Roman"/>
                <w:szCs w:val="21"/>
              </w:rPr>
            </w:pPr>
          </w:p>
        </w:tc>
        <w:tc>
          <w:tcPr>
            <w:tcW w:w="2646" w:type="dxa"/>
            <w:vAlign w:val="center"/>
          </w:tcPr>
          <w:p w14:paraId="0AD57738">
            <w:pPr>
              <w:jc w:val="center"/>
              <w:rPr>
                <w:rFonts w:ascii="Times New Roman" w:hAnsi="Times New Roman" w:eastAsia="宋体" w:cs="Times New Roman"/>
                <w:szCs w:val="21"/>
              </w:rPr>
            </w:pPr>
            <w:r>
              <w:rPr>
                <w:rFonts w:hint="eastAsia" w:ascii="Times New Roman" w:hAnsi="Times New Roman" w:eastAsia="宋体" w:cs="Times New Roman"/>
                <w:szCs w:val="21"/>
              </w:rPr>
              <w:t>废活性炭</w:t>
            </w:r>
          </w:p>
        </w:tc>
        <w:tc>
          <w:tcPr>
            <w:tcW w:w="2264" w:type="dxa"/>
            <w:vAlign w:val="center"/>
          </w:tcPr>
          <w:p w14:paraId="3CA69DC3">
            <w:pPr>
              <w:jc w:val="center"/>
              <w:rPr>
                <w:rFonts w:ascii="Times New Roman" w:hAnsi="Times New Roman" w:eastAsia="宋体" w:cs="Times New Roman"/>
                <w:szCs w:val="21"/>
              </w:rPr>
            </w:pPr>
            <w:r>
              <w:rPr>
                <w:rFonts w:hint="eastAsia" w:ascii="Times New Roman" w:hAnsi="Times New Roman" w:cs="Times New Roman"/>
                <w:szCs w:val="21"/>
              </w:rPr>
              <w:t>废气治理设施</w:t>
            </w:r>
          </w:p>
        </w:tc>
        <w:tc>
          <w:tcPr>
            <w:tcW w:w="2236" w:type="dxa"/>
            <w:vAlign w:val="center"/>
          </w:tcPr>
          <w:p w14:paraId="59B96FFD">
            <w:pPr>
              <w:jc w:val="center"/>
              <w:rPr>
                <w:rFonts w:ascii="Times New Roman" w:hAnsi="Times New Roman" w:eastAsia="宋体" w:cs="Times New Roman"/>
                <w:szCs w:val="21"/>
              </w:rPr>
            </w:pPr>
            <w:r>
              <w:rPr>
                <w:rFonts w:hint="eastAsia" w:ascii="Times New Roman" w:hAnsi="Times New Roman" w:cs="Times New Roman"/>
                <w:szCs w:val="21"/>
              </w:rPr>
              <w:t>有机物、</w:t>
            </w:r>
            <w:r>
              <w:rPr>
                <w:rFonts w:hint="eastAsia" w:ascii="Times New Roman" w:hAnsi="Times New Roman" w:cs="Times New Roman"/>
                <w:bCs/>
                <w:szCs w:val="21"/>
              </w:rPr>
              <w:t>漆料</w:t>
            </w:r>
          </w:p>
        </w:tc>
        <w:tc>
          <w:tcPr>
            <w:tcW w:w="1091" w:type="dxa"/>
            <w:vAlign w:val="center"/>
          </w:tcPr>
          <w:p w14:paraId="5DD43D4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662A65D7">
            <w:pPr>
              <w:jc w:val="center"/>
              <w:rPr>
                <w:rFonts w:ascii="Times New Roman" w:hAnsi="Times New Roman" w:eastAsia="宋体" w:cs="Times New Roman"/>
                <w:szCs w:val="21"/>
              </w:rPr>
            </w:pPr>
            <w:r>
              <w:rPr>
                <w:rFonts w:ascii="Times New Roman" w:hAnsi="Times New Roman" w:eastAsia="宋体" w:cs="Times New Roman"/>
                <w:szCs w:val="21"/>
              </w:rPr>
              <w:t>委托有资质单位外运处置</w:t>
            </w:r>
          </w:p>
        </w:tc>
        <w:tc>
          <w:tcPr>
            <w:tcW w:w="2035" w:type="dxa"/>
            <w:vAlign w:val="center"/>
          </w:tcPr>
          <w:p w14:paraId="5C715B99">
            <w:pPr>
              <w:jc w:val="center"/>
              <w:rPr>
                <w:rFonts w:ascii="Times New Roman" w:hAnsi="Times New Roman" w:eastAsia="宋体" w:cs="Times New Roman"/>
                <w:szCs w:val="21"/>
              </w:rPr>
            </w:pPr>
            <w:r>
              <w:rPr>
                <w:rFonts w:ascii="Times New Roman" w:hAnsi="Times New Roman" w:eastAsia="宋体" w:cs="Times New Roman"/>
                <w:szCs w:val="21"/>
              </w:rPr>
              <w:t>不外排</w:t>
            </w:r>
          </w:p>
        </w:tc>
      </w:tr>
      <w:tr w14:paraId="1D9D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84" w:type="dxa"/>
            <w:vMerge w:val="continue"/>
            <w:vAlign w:val="center"/>
          </w:tcPr>
          <w:p w14:paraId="5FA39ABF">
            <w:pPr>
              <w:jc w:val="center"/>
              <w:rPr>
                <w:rFonts w:ascii="Times New Roman" w:hAnsi="Times New Roman" w:eastAsia="宋体" w:cs="Times New Roman"/>
                <w:szCs w:val="21"/>
              </w:rPr>
            </w:pPr>
          </w:p>
        </w:tc>
        <w:tc>
          <w:tcPr>
            <w:tcW w:w="2646" w:type="dxa"/>
            <w:vAlign w:val="center"/>
          </w:tcPr>
          <w:p w14:paraId="4401909E">
            <w:pPr>
              <w:jc w:val="center"/>
              <w:rPr>
                <w:rFonts w:ascii="Times New Roman" w:hAnsi="Times New Roman" w:eastAsia="宋体" w:cs="Times New Roman"/>
                <w:szCs w:val="21"/>
              </w:rPr>
            </w:pPr>
            <w:r>
              <w:rPr>
                <w:rFonts w:hint="eastAsia" w:ascii="Times New Roman" w:hAnsi="Times New Roman" w:eastAsia="宋体" w:cs="Times New Roman"/>
                <w:szCs w:val="21"/>
              </w:rPr>
              <w:t>喷枪清洗废水</w:t>
            </w:r>
          </w:p>
        </w:tc>
        <w:tc>
          <w:tcPr>
            <w:tcW w:w="2264" w:type="dxa"/>
            <w:vAlign w:val="center"/>
          </w:tcPr>
          <w:p w14:paraId="1DC1F8F4">
            <w:pPr>
              <w:jc w:val="center"/>
              <w:rPr>
                <w:rFonts w:ascii="Times New Roman" w:hAnsi="Times New Roman" w:eastAsia="宋体" w:cs="Times New Roman"/>
                <w:szCs w:val="21"/>
              </w:rPr>
            </w:pPr>
            <w:r>
              <w:rPr>
                <w:rFonts w:hint="eastAsia" w:ascii="Times New Roman" w:hAnsi="Times New Roman" w:cs="Times New Roman"/>
                <w:szCs w:val="21"/>
              </w:rPr>
              <w:t>喷枪清洗</w:t>
            </w:r>
          </w:p>
        </w:tc>
        <w:tc>
          <w:tcPr>
            <w:tcW w:w="2236" w:type="dxa"/>
            <w:vAlign w:val="center"/>
          </w:tcPr>
          <w:p w14:paraId="506E60D1">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091" w:type="dxa"/>
            <w:vAlign w:val="center"/>
          </w:tcPr>
          <w:p w14:paraId="6D4DDB5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3A6727CD">
            <w:pPr>
              <w:jc w:val="center"/>
              <w:rPr>
                <w:rFonts w:ascii="Times New Roman" w:hAnsi="Times New Roman" w:eastAsia="宋体" w:cs="Times New Roman"/>
                <w:szCs w:val="21"/>
              </w:rPr>
            </w:pPr>
            <w:r>
              <w:rPr>
                <w:rFonts w:ascii="Times New Roman" w:hAnsi="Times New Roman" w:eastAsia="宋体" w:cs="Times New Roman"/>
                <w:szCs w:val="21"/>
              </w:rPr>
              <w:t>委托有资质单位外运处置</w:t>
            </w:r>
          </w:p>
        </w:tc>
        <w:tc>
          <w:tcPr>
            <w:tcW w:w="2035" w:type="dxa"/>
            <w:vAlign w:val="center"/>
          </w:tcPr>
          <w:p w14:paraId="0E0B12D6">
            <w:pPr>
              <w:jc w:val="center"/>
              <w:rPr>
                <w:rFonts w:ascii="Times New Roman" w:hAnsi="Times New Roman" w:eastAsia="宋体" w:cs="Times New Roman"/>
                <w:szCs w:val="21"/>
              </w:rPr>
            </w:pPr>
            <w:r>
              <w:rPr>
                <w:rFonts w:ascii="Times New Roman" w:hAnsi="Times New Roman" w:eastAsia="宋体" w:cs="Times New Roman"/>
                <w:szCs w:val="21"/>
              </w:rPr>
              <w:t>不外排</w:t>
            </w:r>
          </w:p>
        </w:tc>
      </w:tr>
      <w:tr w14:paraId="0327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384" w:type="dxa"/>
            <w:vMerge w:val="continue"/>
            <w:vAlign w:val="center"/>
          </w:tcPr>
          <w:p w14:paraId="05BDCB34">
            <w:pPr>
              <w:jc w:val="center"/>
              <w:rPr>
                <w:rFonts w:ascii="Times New Roman" w:hAnsi="Times New Roman" w:eastAsia="宋体" w:cs="Times New Roman"/>
                <w:szCs w:val="21"/>
              </w:rPr>
            </w:pPr>
          </w:p>
        </w:tc>
        <w:tc>
          <w:tcPr>
            <w:tcW w:w="2646" w:type="dxa"/>
            <w:vAlign w:val="center"/>
          </w:tcPr>
          <w:p w14:paraId="5BA7CA27">
            <w:pPr>
              <w:jc w:val="center"/>
              <w:rPr>
                <w:rFonts w:ascii="Times New Roman" w:hAnsi="Times New Roman" w:eastAsia="宋体" w:cs="Times New Roman"/>
                <w:szCs w:val="21"/>
              </w:rPr>
            </w:pPr>
            <w:r>
              <w:rPr>
                <w:rFonts w:hint="eastAsia" w:ascii="Times New Roman" w:hAnsi="Times New Roman" w:eastAsia="宋体" w:cs="Times New Roman"/>
                <w:szCs w:val="21"/>
              </w:rPr>
              <w:t>废催化剂</w:t>
            </w:r>
          </w:p>
        </w:tc>
        <w:tc>
          <w:tcPr>
            <w:tcW w:w="2264" w:type="dxa"/>
            <w:vAlign w:val="center"/>
          </w:tcPr>
          <w:p w14:paraId="21EABCF4">
            <w:pPr>
              <w:jc w:val="center"/>
              <w:rPr>
                <w:rFonts w:ascii="Times New Roman" w:hAnsi="Times New Roman" w:eastAsia="宋体" w:cs="Times New Roman"/>
                <w:szCs w:val="21"/>
              </w:rPr>
            </w:pPr>
            <w:r>
              <w:rPr>
                <w:rFonts w:hint="eastAsia" w:ascii="Times New Roman" w:hAnsi="Times New Roman" w:cs="Times New Roman"/>
                <w:szCs w:val="21"/>
              </w:rPr>
              <w:t>废气治理设施</w:t>
            </w:r>
          </w:p>
        </w:tc>
        <w:tc>
          <w:tcPr>
            <w:tcW w:w="2236" w:type="dxa"/>
            <w:vAlign w:val="center"/>
          </w:tcPr>
          <w:p w14:paraId="7820C334">
            <w:pPr>
              <w:jc w:val="center"/>
              <w:rPr>
                <w:rFonts w:ascii="Times New Roman" w:hAnsi="Times New Roman" w:eastAsia="宋体" w:cs="Times New Roman"/>
                <w:szCs w:val="21"/>
              </w:rPr>
            </w:pPr>
            <w:r>
              <w:rPr>
                <w:rFonts w:ascii="Times New Roman" w:hAnsi="Times New Roman" w:cs="Times New Roman"/>
                <w:szCs w:val="21"/>
              </w:rPr>
              <w:t>陶瓷、Pt、Pd</w:t>
            </w:r>
          </w:p>
        </w:tc>
        <w:tc>
          <w:tcPr>
            <w:tcW w:w="1091" w:type="dxa"/>
            <w:vAlign w:val="center"/>
          </w:tcPr>
          <w:p w14:paraId="09BD901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69F49AB1">
            <w:pPr>
              <w:jc w:val="center"/>
              <w:rPr>
                <w:rFonts w:ascii="Times New Roman" w:hAnsi="Times New Roman" w:eastAsia="宋体" w:cs="Times New Roman"/>
                <w:szCs w:val="21"/>
              </w:rPr>
            </w:pPr>
            <w:r>
              <w:rPr>
                <w:rFonts w:ascii="Times New Roman" w:hAnsi="Times New Roman" w:eastAsia="宋体" w:cs="Times New Roman"/>
                <w:szCs w:val="21"/>
              </w:rPr>
              <w:t>委托有资质单位外运处置</w:t>
            </w:r>
          </w:p>
        </w:tc>
        <w:tc>
          <w:tcPr>
            <w:tcW w:w="2035" w:type="dxa"/>
            <w:vAlign w:val="center"/>
          </w:tcPr>
          <w:p w14:paraId="0D2C8D8B">
            <w:pPr>
              <w:jc w:val="center"/>
              <w:rPr>
                <w:rFonts w:ascii="Times New Roman" w:hAnsi="Times New Roman" w:eastAsia="宋体" w:cs="Times New Roman"/>
                <w:szCs w:val="21"/>
              </w:rPr>
            </w:pPr>
            <w:r>
              <w:rPr>
                <w:rFonts w:ascii="Times New Roman" w:hAnsi="Times New Roman" w:eastAsia="宋体" w:cs="Times New Roman"/>
                <w:szCs w:val="21"/>
              </w:rPr>
              <w:t>不外排</w:t>
            </w:r>
          </w:p>
        </w:tc>
      </w:tr>
      <w:tr w14:paraId="31BE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dxa"/>
            <w:vMerge w:val="continue"/>
            <w:vAlign w:val="center"/>
          </w:tcPr>
          <w:p w14:paraId="3EC73A1C">
            <w:pPr>
              <w:jc w:val="center"/>
              <w:rPr>
                <w:rFonts w:ascii="Times New Roman" w:hAnsi="Times New Roman" w:eastAsia="宋体" w:cs="Times New Roman"/>
                <w:szCs w:val="21"/>
              </w:rPr>
            </w:pPr>
          </w:p>
        </w:tc>
        <w:tc>
          <w:tcPr>
            <w:tcW w:w="2646" w:type="dxa"/>
            <w:vAlign w:val="center"/>
          </w:tcPr>
          <w:p w14:paraId="576CF41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废机油</w:t>
            </w:r>
          </w:p>
        </w:tc>
        <w:tc>
          <w:tcPr>
            <w:tcW w:w="2264" w:type="dxa"/>
            <w:vAlign w:val="center"/>
          </w:tcPr>
          <w:p w14:paraId="78E42D2B">
            <w:pPr>
              <w:jc w:val="center"/>
              <w:rPr>
                <w:rFonts w:ascii="Times New Roman" w:hAnsi="Times New Roman" w:cs="Times New Roman"/>
                <w:color w:val="auto"/>
                <w:szCs w:val="21"/>
              </w:rPr>
            </w:pPr>
            <w:r>
              <w:rPr>
                <w:rFonts w:hint="eastAsia" w:ascii="Times New Roman" w:hAnsi="Times New Roman" w:eastAsia="宋体" w:cs="Times New Roman"/>
                <w:color w:val="auto"/>
                <w:szCs w:val="21"/>
              </w:rPr>
              <w:t>/</w:t>
            </w:r>
          </w:p>
        </w:tc>
        <w:tc>
          <w:tcPr>
            <w:tcW w:w="2236" w:type="dxa"/>
            <w:vAlign w:val="center"/>
          </w:tcPr>
          <w:p w14:paraId="0A407159">
            <w:pPr>
              <w:jc w:val="center"/>
              <w:rPr>
                <w:rFonts w:ascii="Times New Roman" w:hAnsi="Times New Roman" w:eastAsia="宋体" w:cs="Times New Roman"/>
                <w:color w:val="auto"/>
                <w:szCs w:val="21"/>
              </w:rPr>
            </w:pPr>
            <w:r>
              <w:rPr>
                <w:rFonts w:hint="eastAsia" w:ascii="Times New Roman" w:hAnsi="Times New Roman" w:cs="Times New Roman"/>
                <w:color w:val="auto"/>
                <w:szCs w:val="21"/>
              </w:rPr>
              <w:t>油类物质</w:t>
            </w:r>
          </w:p>
        </w:tc>
        <w:tc>
          <w:tcPr>
            <w:tcW w:w="1091" w:type="dxa"/>
            <w:vAlign w:val="center"/>
          </w:tcPr>
          <w:p w14:paraId="0875532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7A797E0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委托有资质单位外运处置</w:t>
            </w:r>
          </w:p>
        </w:tc>
        <w:tc>
          <w:tcPr>
            <w:tcW w:w="2035" w:type="dxa"/>
            <w:vAlign w:val="center"/>
          </w:tcPr>
          <w:p w14:paraId="271A870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不外排</w:t>
            </w:r>
          </w:p>
        </w:tc>
      </w:tr>
      <w:tr w14:paraId="4049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84" w:type="dxa"/>
            <w:vMerge w:val="continue"/>
            <w:vAlign w:val="center"/>
          </w:tcPr>
          <w:p w14:paraId="6BF9358D">
            <w:pPr>
              <w:jc w:val="center"/>
              <w:rPr>
                <w:rFonts w:ascii="Times New Roman" w:hAnsi="Times New Roman" w:eastAsia="宋体" w:cs="Times New Roman"/>
                <w:szCs w:val="21"/>
              </w:rPr>
            </w:pPr>
          </w:p>
        </w:tc>
        <w:tc>
          <w:tcPr>
            <w:tcW w:w="2646" w:type="dxa"/>
            <w:vAlign w:val="center"/>
          </w:tcPr>
          <w:p w14:paraId="4F5EDA16">
            <w:pPr>
              <w:jc w:val="center"/>
              <w:rPr>
                <w:rFonts w:ascii="Times New Roman" w:hAnsi="Times New Roman" w:eastAsia="宋体" w:cs="Times New Roman"/>
                <w:szCs w:val="21"/>
              </w:rPr>
            </w:pPr>
            <w:r>
              <w:rPr>
                <w:rFonts w:hint="eastAsia" w:ascii="Times New Roman" w:hAnsi="Times New Roman" w:eastAsia="宋体" w:cs="Times New Roman"/>
                <w:szCs w:val="21"/>
              </w:rPr>
              <w:t>废过滤棉（含漆渣）</w:t>
            </w:r>
          </w:p>
        </w:tc>
        <w:tc>
          <w:tcPr>
            <w:tcW w:w="2264" w:type="dxa"/>
            <w:vAlign w:val="center"/>
          </w:tcPr>
          <w:p w14:paraId="6EA57CFC">
            <w:pPr>
              <w:jc w:val="center"/>
              <w:rPr>
                <w:rFonts w:ascii="Times New Roman" w:hAnsi="Times New Roman" w:cs="Times New Roman"/>
                <w:szCs w:val="21"/>
              </w:rPr>
            </w:pPr>
            <w:r>
              <w:rPr>
                <w:rFonts w:hint="eastAsia" w:ascii="Times New Roman" w:hAnsi="Times New Roman" w:cs="Times New Roman"/>
                <w:szCs w:val="21"/>
              </w:rPr>
              <w:t>废气治理设施</w:t>
            </w:r>
          </w:p>
        </w:tc>
        <w:tc>
          <w:tcPr>
            <w:tcW w:w="2236" w:type="dxa"/>
            <w:vAlign w:val="center"/>
          </w:tcPr>
          <w:p w14:paraId="4F9E7D52">
            <w:pPr>
              <w:jc w:val="center"/>
              <w:rPr>
                <w:rFonts w:ascii="Times New Roman" w:hAnsi="Times New Roman" w:eastAsia="宋体" w:cs="Times New Roman"/>
                <w:color w:val="auto"/>
                <w:szCs w:val="21"/>
              </w:rPr>
            </w:pPr>
            <w:r>
              <w:rPr>
                <w:rFonts w:hint="eastAsia" w:ascii="Times New Roman" w:hAnsi="Times New Roman" w:cs="Times New Roman"/>
                <w:bCs/>
                <w:color w:val="auto"/>
                <w:szCs w:val="21"/>
              </w:rPr>
              <w:t>漆料</w:t>
            </w:r>
          </w:p>
        </w:tc>
        <w:tc>
          <w:tcPr>
            <w:tcW w:w="1091" w:type="dxa"/>
            <w:vAlign w:val="center"/>
          </w:tcPr>
          <w:p w14:paraId="3EEC16F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7EE517B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委托有资质单位外运处置</w:t>
            </w:r>
          </w:p>
        </w:tc>
        <w:tc>
          <w:tcPr>
            <w:tcW w:w="2035" w:type="dxa"/>
            <w:vAlign w:val="center"/>
          </w:tcPr>
          <w:p w14:paraId="660C0C9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不外排</w:t>
            </w:r>
          </w:p>
        </w:tc>
      </w:tr>
      <w:tr w14:paraId="407A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384" w:type="dxa"/>
            <w:vMerge w:val="continue"/>
            <w:vAlign w:val="center"/>
          </w:tcPr>
          <w:p w14:paraId="52D649E2">
            <w:pPr>
              <w:jc w:val="center"/>
              <w:rPr>
                <w:rFonts w:ascii="Times New Roman" w:hAnsi="Times New Roman" w:eastAsia="宋体" w:cs="Times New Roman"/>
                <w:szCs w:val="21"/>
              </w:rPr>
            </w:pPr>
          </w:p>
        </w:tc>
        <w:tc>
          <w:tcPr>
            <w:tcW w:w="2646" w:type="dxa"/>
            <w:vAlign w:val="center"/>
          </w:tcPr>
          <w:p w14:paraId="5BC2F132">
            <w:pPr>
              <w:jc w:val="center"/>
              <w:rPr>
                <w:rFonts w:ascii="Times New Roman" w:hAnsi="Times New Roman" w:eastAsia="宋体" w:cs="Times New Roman"/>
                <w:szCs w:val="21"/>
              </w:rPr>
            </w:pPr>
            <w:r>
              <w:rPr>
                <w:rFonts w:hint="eastAsia" w:ascii="Times New Roman" w:hAnsi="Times New Roman" w:eastAsia="宋体" w:cs="Times New Roman"/>
                <w:szCs w:val="21"/>
              </w:rPr>
              <w:t>生活垃圾</w:t>
            </w:r>
          </w:p>
        </w:tc>
        <w:tc>
          <w:tcPr>
            <w:tcW w:w="2264" w:type="dxa"/>
            <w:vAlign w:val="center"/>
          </w:tcPr>
          <w:p w14:paraId="0E2495CF">
            <w:pPr>
              <w:jc w:val="center"/>
              <w:rPr>
                <w:rFonts w:ascii="Times New Roman" w:hAnsi="Times New Roman" w:cs="Times New Roman"/>
                <w:szCs w:val="21"/>
              </w:rPr>
            </w:pPr>
            <w:r>
              <w:rPr>
                <w:rFonts w:hint="eastAsia" w:ascii="Times New Roman" w:hAnsi="Times New Roman" w:cs="Times New Roman"/>
                <w:szCs w:val="21"/>
              </w:rPr>
              <w:t>员工生活办公</w:t>
            </w:r>
          </w:p>
        </w:tc>
        <w:tc>
          <w:tcPr>
            <w:tcW w:w="2236" w:type="dxa"/>
            <w:vAlign w:val="center"/>
          </w:tcPr>
          <w:p w14:paraId="3B6713BA">
            <w:pPr>
              <w:jc w:val="center"/>
              <w:rPr>
                <w:rFonts w:ascii="Times New Roman" w:hAnsi="Times New Roman" w:cs="Times New Roman"/>
                <w:bCs/>
                <w:szCs w:val="21"/>
              </w:rPr>
            </w:pPr>
            <w:r>
              <w:rPr>
                <w:rFonts w:hint="eastAsia" w:ascii="Times New Roman" w:hAnsi="Times New Roman" w:cs="Times New Roman"/>
                <w:bCs/>
                <w:szCs w:val="21"/>
              </w:rPr>
              <w:t>/</w:t>
            </w:r>
          </w:p>
        </w:tc>
        <w:tc>
          <w:tcPr>
            <w:tcW w:w="1091" w:type="dxa"/>
            <w:vAlign w:val="center"/>
          </w:tcPr>
          <w:p w14:paraId="7089CBC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间歇产生</w:t>
            </w:r>
          </w:p>
        </w:tc>
        <w:tc>
          <w:tcPr>
            <w:tcW w:w="3518" w:type="dxa"/>
            <w:vAlign w:val="center"/>
          </w:tcPr>
          <w:p w14:paraId="6722AF99">
            <w:pPr>
              <w:jc w:val="center"/>
              <w:rPr>
                <w:rFonts w:ascii="Times New Roman" w:hAnsi="Times New Roman" w:eastAsia="宋体" w:cs="Times New Roman"/>
                <w:szCs w:val="21"/>
              </w:rPr>
            </w:pPr>
            <w:r>
              <w:rPr>
                <w:rFonts w:hint="eastAsia" w:ascii="Times New Roman" w:hAnsi="Times New Roman" w:eastAsia="宋体" w:cs="Times New Roman"/>
                <w:szCs w:val="21"/>
              </w:rPr>
              <w:t>交由环卫部门统一处理</w:t>
            </w:r>
          </w:p>
        </w:tc>
        <w:tc>
          <w:tcPr>
            <w:tcW w:w="2035" w:type="dxa"/>
            <w:vAlign w:val="center"/>
          </w:tcPr>
          <w:p w14:paraId="44901AF5">
            <w:pPr>
              <w:jc w:val="center"/>
              <w:rPr>
                <w:rFonts w:ascii="Times New Roman" w:hAnsi="Times New Roman" w:eastAsia="宋体" w:cs="Times New Roman"/>
                <w:szCs w:val="21"/>
              </w:rPr>
            </w:pPr>
            <w:r>
              <w:rPr>
                <w:rFonts w:ascii="Times New Roman" w:hAnsi="Times New Roman" w:eastAsia="宋体" w:cs="Times New Roman"/>
                <w:szCs w:val="21"/>
              </w:rPr>
              <w:t>不外排</w:t>
            </w:r>
          </w:p>
        </w:tc>
      </w:tr>
    </w:tbl>
    <w:p w14:paraId="2FBACDB2">
      <w:pPr>
        <w:pStyle w:val="37"/>
      </w:pPr>
    </w:p>
    <w:p w14:paraId="78877A76">
      <w:pPr>
        <w:pStyle w:val="15"/>
        <w:spacing w:after="0" w:line="360" w:lineRule="auto"/>
        <w:rPr>
          <w:rFonts w:ascii="Times New Roman" w:hAnsi="Times New Roman" w:eastAsia="宋体" w:cs="Times New Roman"/>
          <w:sz w:val="24"/>
        </w:rPr>
        <w:sectPr>
          <w:headerReference r:id="rId7" w:type="default"/>
          <w:pgSz w:w="16838" w:h="11906" w:orient="landscape"/>
          <w:pgMar w:top="1800" w:right="1440" w:bottom="1800" w:left="1440" w:header="851" w:footer="992" w:gutter="0"/>
          <w:pgNumType w:fmt="decimal"/>
          <w:cols w:space="425" w:num="1"/>
          <w:docGrid w:type="lines" w:linePitch="312" w:charSpace="0"/>
        </w:sectPr>
      </w:pPr>
    </w:p>
    <w:p w14:paraId="29253007">
      <w:pPr>
        <w:pStyle w:val="3"/>
        <w:numPr>
          <w:ilvl w:val="1"/>
          <w:numId w:val="30"/>
        </w:numPr>
      </w:pPr>
      <w:bookmarkStart w:id="54" w:name="_Toc29166"/>
      <w:r>
        <w:rPr>
          <w:rFonts w:hint="eastAsia"/>
        </w:rPr>
        <w:t>水平衡与物料平衡</w:t>
      </w:r>
      <w:bookmarkEnd w:id="54"/>
    </w:p>
    <w:p w14:paraId="0A54E429">
      <w:pPr>
        <w:pStyle w:val="4"/>
        <w:numPr>
          <w:ilvl w:val="2"/>
          <w:numId w:val="38"/>
        </w:numPr>
        <w:tabs>
          <w:tab w:val="clear" w:pos="0"/>
        </w:tabs>
      </w:pPr>
      <w:r>
        <w:rPr>
          <w:rFonts w:hint="eastAsia"/>
        </w:rPr>
        <w:t>水平衡</w:t>
      </w:r>
    </w:p>
    <w:p w14:paraId="4AF2D010">
      <w:pPr>
        <w:pStyle w:val="5"/>
        <w:numPr>
          <w:ilvl w:val="3"/>
          <w:numId w:val="38"/>
        </w:numPr>
      </w:pPr>
      <w:r>
        <w:rPr>
          <w:rFonts w:hint="eastAsia"/>
        </w:rPr>
        <w:t>给水</w:t>
      </w:r>
    </w:p>
    <w:p w14:paraId="590891F4">
      <w:pPr>
        <w:pStyle w:val="39"/>
        <w:spacing w:line="360" w:lineRule="auto"/>
        <w:ind w:firstLine="480" w:firstLineChars="200"/>
        <w:rPr>
          <w:rFonts w:ascii="Times New Roman" w:hAnsi="Times New Roman" w:cs="Times New Roman"/>
          <w:bCs/>
          <w:color w:val="auto"/>
        </w:rPr>
      </w:pPr>
      <w:r>
        <w:rPr>
          <w:rFonts w:hint="eastAsia" w:ascii="Times New Roman" w:hAnsi="Times New Roman" w:cs="Times New Roman"/>
          <w:color w:val="auto"/>
        </w:rPr>
        <w:t>1、</w:t>
      </w:r>
      <w:r>
        <w:rPr>
          <w:rFonts w:ascii="Times New Roman" w:hAnsi="Times New Roman" w:cs="Times New Roman"/>
          <w:color w:val="auto"/>
        </w:rPr>
        <w:t>生活用水：本项目劳动定员共</w:t>
      </w:r>
      <w:r>
        <w:rPr>
          <w:rFonts w:hint="eastAsia" w:ascii="Times New Roman" w:hAnsi="Times New Roman" w:cs="Times New Roman"/>
          <w:color w:val="auto"/>
        </w:rPr>
        <w:t>60</w:t>
      </w:r>
      <w:r>
        <w:rPr>
          <w:rFonts w:ascii="Times New Roman" w:hAnsi="Times New Roman" w:cs="Times New Roman"/>
          <w:color w:val="auto"/>
        </w:rPr>
        <w:t>人，</w:t>
      </w:r>
      <w:r>
        <w:rPr>
          <w:rFonts w:hint="eastAsia" w:ascii="Times New Roman" w:hAnsi="Times New Roman" w:cs="Times New Roman"/>
          <w:color w:val="auto"/>
        </w:rPr>
        <w:t>均不在厂区</w:t>
      </w:r>
      <w:r>
        <w:rPr>
          <w:rFonts w:ascii="Times New Roman" w:hAnsi="Times New Roman" w:cs="Times New Roman"/>
          <w:color w:val="auto"/>
        </w:rPr>
        <w:t>就餐。参照河南省地方标准《工业与城镇生活用水定额》（DB41/T 385-2020）</w:t>
      </w:r>
      <w:r>
        <w:rPr>
          <w:rFonts w:ascii="Times New Roman" w:hAnsi="Times New Roman" w:cs="Times New Roman"/>
          <w:bCs/>
          <w:color w:val="auto"/>
        </w:rPr>
        <w:t>：</w:t>
      </w:r>
      <w:r>
        <w:rPr>
          <w:rFonts w:ascii="Times New Roman" w:hAnsi="Times New Roman" w:cs="Times New Roman"/>
          <w:color w:val="auto"/>
        </w:rPr>
        <w:t>“机关单位（无食堂）生活用水定额通用值为22m</w:t>
      </w:r>
      <w:r>
        <w:rPr>
          <w:rFonts w:ascii="Times New Roman" w:hAnsi="Times New Roman" w:cs="Times New Roman"/>
          <w:color w:val="auto"/>
          <w:vertAlign w:val="superscript"/>
        </w:rPr>
        <w:t>3</w:t>
      </w:r>
      <w:r>
        <w:rPr>
          <w:rFonts w:ascii="Times New Roman" w:hAnsi="Times New Roman" w:cs="Times New Roman"/>
          <w:color w:val="auto"/>
        </w:rPr>
        <w:t>/（人·a），则本项目生活用水量为</w:t>
      </w:r>
      <w:r>
        <w:rPr>
          <w:rFonts w:hint="eastAsia" w:ascii="Times New Roman" w:hAnsi="Times New Roman" w:cs="Times New Roman"/>
          <w:color w:val="auto"/>
        </w:rPr>
        <w:t>1320</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/a</w:t>
      </w:r>
      <w:r>
        <w:rPr>
          <w:rFonts w:ascii="Times New Roman" w:hAnsi="Times New Roman" w:cs="Times New Roman"/>
          <w:bCs/>
          <w:color w:val="auto"/>
        </w:rPr>
        <w:t>（</w:t>
      </w:r>
      <w:r>
        <w:rPr>
          <w:rFonts w:hint="eastAsia" w:ascii="Times New Roman" w:hAnsi="Times New Roman" w:cs="Times New Roman"/>
          <w:bCs/>
          <w:color w:val="auto"/>
        </w:rPr>
        <w:t>4.4</w:t>
      </w:r>
      <w:r>
        <w:rPr>
          <w:rFonts w:ascii="Times New Roman" w:hAnsi="Times New Roman" w:cs="Times New Roman"/>
          <w:bCs/>
          <w:color w:val="auto"/>
        </w:rPr>
        <w:t>m</w:t>
      </w:r>
      <w:r>
        <w:rPr>
          <w:rFonts w:ascii="Times New Roman" w:hAnsi="Times New Roman" w:cs="Times New Roman"/>
          <w:bCs/>
          <w:color w:val="auto"/>
          <w:vertAlign w:val="superscript"/>
        </w:rPr>
        <w:t>3</w:t>
      </w:r>
      <w:r>
        <w:rPr>
          <w:rFonts w:ascii="Times New Roman" w:hAnsi="Times New Roman" w:cs="Times New Roman"/>
          <w:bCs/>
          <w:color w:val="auto"/>
        </w:rPr>
        <w:t>/d）。</w:t>
      </w:r>
    </w:p>
    <w:p w14:paraId="08437E61">
      <w:pPr>
        <w:pStyle w:val="39"/>
        <w:spacing w:line="360" w:lineRule="auto"/>
        <w:ind w:firstLine="480" w:firstLineChars="200"/>
        <w:rPr>
          <w:color w:val="auto"/>
        </w:rPr>
      </w:pPr>
      <w:r>
        <w:rPr>
          <w:rFonts w:hint="eastAsia" w:ascii="Times New Roman" w:hAnsi="Times New Roman" w:cs="Times New Roman"/>
          <w:color w:val="auto"/>
        </w:rPr>
        <w:t>2、水帘</w:t>
      </w:r>
      <w:r>
        <w:rPr>
          <w:rFonts w:ascii="Times New Roman" w:hAnsi="Times New Roman" w:cs="Times New Roman"/>
          <w:color w:val="auto"/>
        </w:rPr>
        <w:t>补充水：</w:t>
      </w:r>
      <w:r>
        <w:rPr>
          <w:rFonts w:hint="eastAsia" w:ascii="Times New Roman" w:hAnsi="Times New Roman" w:cs="Times New Roman"/>
          <w:color w:val="auto"/>
        </w:rPr>
        <w:t>根据工程分析，水帘补水量</w:t>
      </w:r>
      <w:r>
        <w:rPr>
          <w:rFonts w:ascii="Times New Roman" w:hAnsi="Times New Roman" w:cs="Times New Roman"/>
          <w:color w:val="auto"/>
        </w:rPr>
        <w:t>为</w:t>
      </w:r>
      <w:r>
        <w:rPr>
          <w:rFonts w:hint="eastAsia" w:ascii="Times New Roman" w:hAnsi="Times New Roman" w:cs="Times New Roman"/>
          <w:color w:val="auto"/>
        </w:rPr>
        <w:t>3.84</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/d（</w:t>
      </w:r>
      <w:r>
        <w:rPr>
          <w:rFonts w:hint="eastAsia" w:ascii="Times New Roman" w:hAnsi="Times New Roman" w:cs="Times New Roman"/>
          <w:color w:val="auto"/>
        </w:rPr>
        <w:t>1152</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w:t>
      </w:r>
      <w:r>
        <w:rPr>
          <w:rFonts w:hint="eastAsia" w:ascii="Times New Roman" w:hAnsi="Times New Roman" w:cs="Times New Roman"/>
          <w:color w:val="auto"/>
        </w:rPr>
        <w:t>a</w:t>
      </w:r>
      <w:r>
        <w:rPr>
          <w:rFonts w:ascii="Times New Roman" w:hAnsi="Times New Roman" w:cs="Times New Roman"/>
          <w:color w:val="auto"/>
        </w:rPr>
        <w:t>）</w:t>
      </w:r>
      <w:r>
        <w:rPr>
          <w:color w:val="auto"/>
        </w:rPr>
        <w:t>。</w:t>
      </w:r>
    </w:p>
    <w:p w14:paraId="69F9B1DE">
      <w:pPr>
        <w:pStyle w:val="39"/>
        <w:spacing w:line="360" w:lineRule="auto"/>
        <w:ind w:firstLine="482" w:firstLineChars="200"/>
        <w:rPr>
          <w:rFonts w:hint="default" w:ascii="Times New Roman" w:hAnsi="Times New Roman" w:eastAsia="宋体" w:cs="Times New Roman"/>
          <w:b/>
          <w:bCs/>
          <w:color w:val="auto"/>
          <w:u w:val="single"/>
          <w:lang w:val="en-US" w:eastAsia="zh-CN"/>
        </w:rPr>
      </w:pPr>
      <w:r>
        <w:rPr>
          <w:rFonts w:hint="default" w:ascii="Times New Roman" w:hAnsi="Times New Roman" w:cs="Times New Roman"/>
          <w:b/>
          <w:bCs/>
          <w:color w:val="auto"/>
          <w:u w:val="single"/>
          <w:lang w:val="en-US" w:eastAsia="zh-CN"/>
        </w:rPr>
        <w:t>3、</w:t>
      </w:r>
      <w:r>
        <w:rPr>
          <w:rFonts w:hint="eastAsia" w:ascii="Times New Roman" w:hAnsi="Times New Roman" w:cs="Times New Roman"/>
          <w:b/>
          <w:bCs/>
          <w:color w:val="auto"/>
          <w:u w:val="single"/>
          <w:lang w:val="en-US" w:eastAsia="zh-CN"/>
        </w:rPr>
        <w:t>水性漆采用纯净水为稀释剂，年用量为1.91t，合计0.0064m</w:t>
      </w:r>
      <w:r>
        <w:rPr>
          <w:rFonts w:hint="eastAsia" w:ascii="Times New Roman" w:hAnsi="Times New Roman" w:cs="Times New Roman"/>
          <w:b/>
          <w:bCs/>
          <w:color w:val="auto"/>
          <w:u w:val="single"/>
          <w:vertAlign w:val="superscript"/>
          <w:lang w:val="en-US" w:eastAsia="zh-CN"/>
        </w:rPr>
        <w:t>3</w:t>
      </w:r>
      <w:r>
        <w:rPr>
          <w:rFonts w:hint="eastAsia" w:ascii="Times New Roman" w:hAnsi="Times New Roman" w:cs="Times New Roman"/>
          <w:b/>
          <w:bCs/>
          <w:color w:val="auto"/>
          <w:u w:val="single"/>
          <w:lang w:val="en-US" w:eastAsia="zh-CN"/>
        </w:rPr>
        <w:t>/d。</w:t>
      </w:r>
    </w:p>
    <w:p w14:paraId="38D94D73">
      <w:pPr>
        <w:pStyle w:val="5"/>
        <w:numPr>
          <w:ilvl w:val="3"/>
          <w:numId w:val="38"/>
        </w:numPr>
      </w:pPr>
      <w:r>
        <w:rPr>
          <w:rFonts w:hint="eastAsia"/>
        </w:rPr>
        <w:t>排水</w:t>
      </w:r>
    </w:p>
    <w:p w14:paraId="63E13CE8">
      <w:pPr>
        <w:pStyle w:val="39"/>
        <w:spacing w:line="360" w:lineRule="auto"/>
        <w:ind w:firstLine="480" w:firstLineChars="200"/>
        <w:rPr>
          <w:rFonts w:ascii="Times New Roman" w:hAnsi="Times New Roman" w:cs="Times New Roman"/>
          <w:bCs/>
          <w:color w:val="auto"/>
        </w:rPr>
      </w:pPr>
      <w:r>
        <w:rPr>
          <w:rFonts w:hint="eastAsia" w:ascii="Times New Roman" w:hAnsi="Times New Roman" w:cs="Times New Roman"/>
          <w:bCs/>
          <w:color w:val="auto"/>
        </w:rPr>
        <w:t>1、</w:t>
      </w:r>
      <w:r>
        <w:rPr>
          <w:rFonts w:ascii="Times New Roman" w:hAnsi="Times New Roman" w:cs="Times New Roman"/>
          <w:bCs/>
          <w:color w:val="auto"/>
        </w:rPr>
        <w:t>生活污水：本项目生活用水量为</w:t>
      </w:r>
      <w:r>
        <w:rPr>
          <w:rFonts w:hint="eastAsia" w:ascii="Times New Roman" w:hAnsi="Times New Roman" w:cs="Times New Roman"/>
          <w:color w:val="auto"/>
        </w:rPr>
        <w:t>1320</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/a</w:t>
      </w:r>
      <w:r>
        <w:rPr>
          <w:rFonts w:ascii="Times New Roman" w:hAnsi="Times New Roman" w:cs="Times New Roman"/>
          <w:bCs/>
          <w:color w:val="auto"/>
        </w:rPr>
        <w:t>（</w:t>
      </w:r>
      <w:r>
        <w:rPr>
          <w:rFonts w:hint="eastAsia" w:ascii="Times New Roman" w:hAnsi="Times New Roman" w:cs="Times New Roman"/>
          <w:bCs/>
          <w:color w:val="auto"/>
        </w:rPr>
        <w:t>4.4</w:t>
      </w:r>
      <w:r>
        <w:rPr>
          <w:rFonts w:ascii="Times New Roman" w:hAnsi="Times New Roman" w:cs="Times New Roman"/>
          <w:bCs/>
          <w:color w:val="auto"/>
        </w:rPr>
        <w:t>m</w:t>
      </w:r>
      <w:r>
        <w:rPr>
          <w:rFonts w:ascii="Times New Roman" w:hAnsi="Times New Roman" w:cs="Times New Roman"/>
          <w:bCs/>
          <w:color w:val="auto"/>
          <w:vertAlign w:val="superscript"/>
        </w:rPr>
        <w:t>3</w:t>
      </w:r>
      <w:r>
        <w:rPr>
          <w:rFonts w:ascii="Times New Roman" w:hAnsi="Times New Roman" w:cs="Times New Roman"/>
          <w:bCs/>
          <w:color w:val="auto"/>
        </w:rPr>
        <w:t>/d），</w:t>
      </w:r>
      <w:r>
        <w:rPr>
          <w:rFonts w:ascii="Times New Roman" w:hAnsi="Times New Roman" w:cs="Times New Roman"/>
          <w:bCs/>
          <w:szCs w:val="32"/>
        </w:rPr>
        <w:t>污水排放系数取0.8</w:t>
      </w:r>
      <w:r>
        <w:rPr>
          <w:rFonts w:hint="eastAsia" w:ascii="Times New Roman" w:hAnsi="Times New Roman" w:cs="Times New Roman"/>
          <w:bCs/>
          <w:szCs w:val="32"/>
        </w:rPr>
        <w:t>5</w:t>
      </w:r>
      <w:r>
        <w:rPr>
          <w:rFonts w:ascii="Times New Roman" w:hAnsi="Times New Roman" w:cs="Times New Roman"/>
          <w:bCs/>
          <w:szCs w:val="32"/>
        </w:rPr>
        <w:t>，生活污水排放量为</w:t>
      </w:r>
      <w:r>
        <w:rPr>
          <w:rFonts w:hint="eastAsia" w:ascii="Times New Roman" w:hAnsi="Times New Roman" w:cs="Times New Roman"/>
          <w:bCs/>
          <w:szCs w:val="32"/>
        </w:rPr>
        <w:t>1122</w:t>
      </w:r>
      <w:r>
        <w:rPr>
          <w:rFonts w:ascii="Times New Roman" w:hAnsi="Times New Roman" w:cs="Times New Roman"/>
          <w:bCs/>
          <w:szCs w:val="32"/>
        </w:rPr>
        <w:t>m</w:t>
      </w:r>
      <w:r>
        <w:rPr>
          <w:rFonts w:ascii="Times New Roman" w:hAnsi="Times New Roman" w:cs="Times New Roman"/>
          <w:bCs/>
          <w:szCs w:val="32"/>
          <w:vertAlign w:val="superscript"/>
        </w:rPr>
        <w:t>3</w:t>
      </w:r>
      <w:r>
        <w:rPr>
          <w:rFonts w:ascii="Times New Roman" w:hAnsi="Times New Roman" w:cs="Times New Roman"/>
          <w:bCs/>
          <w:szCs w:val="32"/>
        </w:rPr>
        <w:t>/a，</w:t>
      </w:r>
      <w:r>
        <w:rPr>
          <w:rFonts w:hint="eastAsia" w:ascii="Times New Roman" w:hAnsi="Times New Roman" w:cs="Times New Roman"/>
          <w:bCs/>
          <w:szCs w:val="32"/>
        </w:rPr>
        <w:t>3.74</w:t>
      </w:r>
      <w:r>
        <w:rPr>
          <w:rFonts w:ascii="Times New Roman" w:hAnsi="Times New Roman" w:cs="Times New Roman"/>
          <w:bCs/>
          <w:szCs w:val="32"/>
        </w:rPr>
        <w:t>m</w:t>
      </w:r>
      <w:r>
        <w:rPr>
          <w:rFonts w:ascii="Times New Roman" w:hAnsi="Times New Roman" w:cs="Times New Roman"/>
          <w:bCs/>
          <w:szCs w:val="32"/>
          <w:vertAlign w:val="superscript"/>
        </w:rPr>
        <w:t>3</w:t>
      </w:r>
      <w:r>
        <w:rPr>
          <w:rFonts w:ascii="Times New Roman" w:hAnsi="Times New Roman" w:cs="Times New Roman"/>
          <w:bCs/>
          <w:szCs w:val="32"/>
        </w:rPr>
        <w:t>/d。</w:t>
      </w:r>
    </w:p>
    <w:p w14:paraId="3543A038">
      <w:pPr>
        <w:pStyle w:val="41"/>
        <w:ind w:firstLine="480"/>
      </w:pPr>
      <w:r>
        <w:rPr>
          <w:rFonts w:hint="eastAsia"/>
        </w:rPr>
        <w:t>2、水帘废水：根</w:t>
      </w:r>
      <w:r>
        <w:rPr>
          <w:rFonts w:hint="eastAsia"/>
          <w:highlight w:val="none"/>
        </w:rPr>
        <w:t>据工程分析，水帘废水排放量为1.4</w:t>
      </w:r>
      <w:r>
        <w:rPr>
          <w:highlight w:val="none"/>
        </w:rPr>
        <w:t>m</w:t>
      </w:r>
      <w:r>
        <w:rPr>
          <w:highlight w:val="none"/>
          <w:vertAlign w:val="superscript"/>
        </w:rPr>
        <w:t>3</w:t>
      </w:r>
      <w:r>
        <w:rPr>
          <w:highlight w:val="none"/>
        </w:rPr>
        <w:t>/d（</w:t>
      </w:r>
      <w:r>
        <w:rPr>
          <w:rFonts w:hint="eastAsia"/>
          <w:highlight w:val="none"/>
        </w:rPr>
        <w:t>420</w:t>
      </w:r>
      <w:r>
        <w:rPr>
          <w:highlight w:val="none"/>
        </w:rPr>
        <w:t>m</w:t>
      </w:r>
      <w:r>
        <w:rPr>
          <w:highlight w:val="none"/>
          <w:vertAlign w:val="superscript"/>
        </w:rPr>
        <w:t>3</w:t>
      </w:r>
      <w:r>
        <w:rPr>
          <w:highlight w:val="none"/>
        </w:rPr>
        <w:t>/</w:t>
      </w:r>
      <w:r>
        <w:rPr>
          <w:rFonts w:hint="eastAsia"/>
          <w:highlight w:val="none"/>
        </w:rPr>
        <w:t>a</w:t>
      </w:r>
      <w:r>
        <w:rPr>
          <w:highlight w:val="none"/>
        </w:rPr>
        <w:t>）</w:t>
      </w:r>
      <w:r>
        <w:rPr>
          <w:rFonts w:hint="eastAsia"/>
          <w:highlight w:val="none"/>
        </w:rPr>
        <w:t>。</w:t>
      </w:r>
    </w:p>
    <w:p w14:paraId="19A0CA50">
      <w:pPr>
        <w:pStyle w:val="5"/>
        <w:numPr>
          <w:ilvl w:val="3"/>
          <w:numId w:val="38"/>
        </w:numPr>
      </w:pPr>
      <w:r>
        <w:rPr>
          <w:rFonts w:hint="eastAsia"/>
        </w:rPr>
        <w:t>水平衡</w:t>
      </w:r>
    </w:p>
    <w:p w14:paraId="4907852F">
      <w:pPr>
        <w:spacing w:line="360" w:lineRule="auto"/>
        <w:ind w:right="-147" w:rightChars="-70" w:firstLine="516" w:firstLineChars="215"/>
        <w:rPr>
          <w:rFonts w:ascii="Times New Roman" w:hAnsi="Times New Roman" w:eastAsia="宋体" w:cs="Times New Roman"/>
          <w:bCs/>
          <w:kern w:val="0"/>
          <w:sz w:val="24"/>
        </w:rPr>
      </w:pPr>
      <w:r>
        <w:rPr>
          <w:rFonts w:hint="eastAsia" w:ascii="Times New Roman" w:hAnsi="Times New Roman" w:eastAsia="宋体" w:cs="Times New Roman"/>
          <w:bCs/>
          <w:kern w:val="0"/>
          <w:sz w:val="24"/>
        </w:rPr>
        <w:t>本项目</w:t>
      </w:r>
      <w:r>
        <w:rPr>
          <w:rFonts w:ascii="Times New Roman" w:hAnsi="Times New Roman" w:eastAsia="宋体" w:cs="Times New Roman"/>
          <w:bCs/>
          <w:kern w:val="0"/>
          <w:sz w:val="24"/>
        </w:rPr>
        <w:t>水平衡见</w:t>
      </w:r>
      <w:r>
        <w:rPr>
          <w:rFonts w:hint="eastAsia" w:ascii="Times New Roman" w:hAnsi="Times New Roman" w:eastAsia="宋体" w:cs="Times New Roman"/>
          <w:bCs/>
          <w:kern w:val="0"/>
          <w:sz w:val="24"/>
        </w:rPr>
        <w:t>下</w:t>
      </w:r>
      <w:r>
        <w:rPr>
          <w:rFonts w:ascii="Times New Roman" w:hAnsi="Times New Roman" w:eastAsia="宋体" w:cs="Times New Roman"/>
          <w:bCs/>
          <w:kern w:val="0"/>
          <w:sz w:val="24"/>
        </w:rPr>
        <w:t>图。</w:t>
      </w:r>
    </w:p>
    <w:p w14:paraId="68E75C0F">
      <w:pPr>
        <w:pStyle w:val="39"/>
        <w:spacing w:line="360" w:lineRule="auto"/>
        <w:jc w:val="center"/>
        <w:rPr>
          <w:rFonts w:ascii="Times New Roman" w:hAnsi="Times New Roman" w:cs="Times New Roman"/>
          <w:b/>
          <w:bCs/>
          <w:color w:val="0000FF"/>
          <w:sz w:val="21"/>
          <w:szCs w:val="21"/>
        </w:rPr>
      </w:pPr>
      <w:r>
        <w:rPr>
          <w:rFonts w:hint="eastAsia" w:ascii="Times New Roman" w:hAnsi="Times New Roman" w:cs="Times New Roman"/>
          <w:b/>
          <w:bCs/>
          <w:color w:val="0000FF"/>
          <w:sz w:val="21"/>
          <w:szCs w:val="21"/>
        </w:rPr>
        <w:object>
          <v:shape id="_x0000_i1028" o:spt="75" type="#_x0000_t75" style="height:180.95pt;width:328.8pt;" o:ole="t" filled="f" o:preferrelative="t" stroked="f" coordsize="21600,21600">
            <v:path/>
            <v:fill on="f" focussize="0,0"/>
            <v:stroke on="f"/>
            <v:imagedata r:id="rId42" o:title=""/>
            <o:lock v:ext="edit" aspectratio="f"/>
            <w10:wrap type="none"/>
            <w10:anchorlock/>
          </v:shape>
          <o:OLEObject Type="Embed" ProgID="Visio.Drawing.11" ShapeID="_x0000_i1028" DrawAspect="Content" ObjectID="_1468075728" r:id="rId41">
            <o:LockedField>false</o:LockedField>
          </o:OLEObject>
        </w:object>
      </w:r>
    </w:p>
    <w:p w14:paraId="3A6F7BC2">
      <w:pPr>
        <w:pStyle w:val="39"/>
        <w:spacing w:line="360" w:lineRule="auto"/>
        <w:jc w:val="center"/>
        <w:rPr>
          <w:rFonts w:ascii="Times New Roman" w:hAnsi="Times New Roman" w:cs="Times New Roman"/>
          <w:b/>
          <w:bCs/>
          <w:color w:val="auto"/>
          <w:sz w:val="21"/>
          <w:szCs w:val="21"/>
          <w:highlight w:val="none"/>
          <w:u w:val="single"/>
        </w:rPr>
      </w:pPr>
      <w:r>
        <w:rPr>
          <w:rFonts w:hint="eastAsia" w:ascii="Times New Roman" w:hAnsi="Times New Roman" w:cs="Times New Roman"/>
          <w:b/>
          <w:bCs/>
          <w:color w:val="auto"/>
          <w:sz w:val="21"/>
          <w:szCs w:val="21"/>
          <w:highlight w:val="none"/>
          <w:u w:val="single"/>
        </w:rPr>
        <w:t>图3.5-1  本项目水平衡图（m</w:t>
      </w:r>
      <w:r>
        <w:rPr>
          <w:rFonts w:hint="eastAsia" w:ascii="Times New Roman" w:hAnsi="Times New Roman" w:cs="Times New Roman"/>
          <w:b/>
          <w:bCs/>
          <w:color w:val="auto"/>
          <w:sz w:val="21"/>
          <w:szCs w:val="21"/>
          <w:highlight w:val="none"/>
          <w:u w:val="single"/>
          <w:vertAlign w:val="superscript"/>
        </w:rPr>
        <w:t>3</w:t>
      </w:r>
      <w:r>
        <w:rPr>
          <w:rFonts w:hint="eastAsia" w:ascii="Times New Roman" w:hAnsi="Times New Roman" w:cs="Times New Roman"/>
          <w:b/>
          <w:bCs/>
          <w:color w:val="auto"/>
          <w:sz w:val="21"/>
          <w:szCs w:val="21"/>
          <w:highlight w:val="none"/>
          <w:u w:val="single"/>
        </w:rPr>
        <w:t>/d）</w:t>
      </w:r>
    </w:p>
    <w:p w14:paraId="576ED6BE">
      <w:pPr>
        <w:pStyle w:val="4"/>
        <w:numPr>
          <w:ilvl w:val="2"/>
          <w:numId w:val="38"/>
        </w:numPr>
        <w:tabs>
          <w:tab w:val="clear" w:pos="0"/>
        </w:tabs>
      </w:pPr>
      <w:r>
        <w:rPr>
          <w:rFonts w:hint="eastAsia"/>
        </w:rPr>
        <w:t>物料平衡</w:t>
      </w:r>
    </w:p>
    <w:p w14:paraId="26F56399">
      <w:pPr>
        <w:pStyle w:val="39"/>
        <w:spacing w:line="360" w:lineRule="auto"/>
        <w:jc w:val="center"/>
        <w:rPr>
          <w:rFonts w:hint="eastAsia" w:ascii="Times New Roman" w:hAnsi="Times New Roman" w:cs="Times New Roman"/>
          <w:b/>
          <w:bCs/>
          <w:color w:val="auto"/>
          <w:sz w:val="21"/>
          <w:szCs w:val="21"/>
          <w:highlight w:val="yellow"/>
        </w:rPr>
      </w:pPr>
      <w:r>
        <w:object>
          <v:shape id="_x0000_i1029" o:spt="75" type="#_x0000_t75" style="height:383.45pt;width:477.75pt;" o:ole="t" filled="f" o:preferrelative="t" stroked="f" coordsize="21600,21600">
            <v:path/>
            <v:fill on="f" focussize="0,0"/>
            <v:stroke on="f"/>
            <v:imagedata r:id="rId44" o:title=""/>
            <o:lock v:ext="edit" aspectratio="f"/>
            <w10:wrap type="none"/>
            <w10:anchorlock/>
          </v:shape>
          <o:OLEObject Type="Embed" ProgID="Visio.Drawing.11" ShapeID="_x0000_i1029" DrawAspect="Content" ObjectID="_1468075729" r:id="rId43">
            <o:LockedField>false</o:LockedField>
          </o:OLEObject>
        </w:object>
      </w:r>
      <w:r>
        <w:rPr>
          <w:rFonts w:hint="eastAsia" w:ascii="Times New Roman" w:hAnsi="Times New Roman" w:cs="Times New Roman"/>
          <w:b/>
          <w:bCs/>
          <w:color w:val="auto"/>
          <w:sz w:val="21"/>
          <w:szCs w:val="21"/>
          <w:u w:val="single"/>
        </w:rPr>
        <w:t>图3.5-2  本项目</w:t>
      </w:r>
      <w:r>
        <w:rPr>
          <w:rFonts w:hint="eastAsia" w:ascii="Times New Roman" w:hAnsi="Times New Roman" w:cs="Times New Roman"/>
          <w:b/>
          <w:bCs/>
          <w:color w:val="auto"/>
          <w:sz w:val="21"/>
          <w:szCs w:val="21"/>
          <w:u w:val="single"/>
          <w:lang w:val="en-US" w:eastAsia="zh-CN"/>
        </w:rPr>
        <w:t>油性漆</w:t>
      </w:r>
      <w:r>
        <w:rPr>
          <w:rFonts w:hint="eastAsia" w:ascii="Times New Roman" w:hAnsi="Times New Roman" w:cs="Times New Roman"/>
          <w:b/>
          <w:bCs/>
          <w:color w:val="auto"/>
          <w:sz w:val="21"/>
          <w:szCs w:val="21"/>
          <w:u w:val="single"/>
        </w:rPr>
        <w:t>物料平衡图</w:t>
      </w:r>
      <w:r>
        <w:rPr>
          <w:rFonts w:hint="eastAsia" w:ascii="Times New Roman" w:hAnsi="Times New Roman" w:cs="Times New Roman"/>
          <w:b/>
          <w:bCs/>
          <w:color w:val="auto"/>
          <w:sz w:val="21"/>
          <w:szCs w:val="21"/>
          <w:highlight w:val="none"/>
          <w:u w:val="single"/>
        </w:rPr>
        <w:t>（</w:t>
      </w:r>
      <w:r>
        <w:rPr>
          <w:rFonts w:hint="eastAsia" w:ascii="Times New Roman" w:hAnsi="Times New Roman" w:cs="Times New Roman"/>
          <w:b/>
          <w:bCs/>
          <w:color w:val="auto"/>
          <w:sz w:val="21"/>
          <w:szCs w:val="21"/>
          <w:highlight w:val="none"/>
          <w:u w:val="single"/>
          <w:lang w:val="en-US" w:eastAsia="zh-CN"/>
        </w:rPr>
        <w:t>t/a</w:t>
      </w:r>
      <w:r>
        <w:rPr>
          <w:rFonts w:hint="eastAsia" w:ascii="Times New Roman" w:hAnsi="Times New Roman" w:cs="Times New Roman"/>
          <w:b/>
          <w:bCs/>
          <w:color w:val="auto"/>
          <w:sz w:val="21"/>
          <w:szCs w:val="21"/>
          <w:highlight w:val="none"/>
          <w:u w:val="single"/>
        </w:rPr>
        <w:t>）</w:t>
      </w:r>
    </w:p>
    <w:p w14:paraId="5A479DEC">
      <w:pPr>
        <w:pStyle w:val="39"/>
        <w:spacing w:line="360" w:lineRule="auto"/>
        <w:jc w:val="center"/>
        <w:rPr>
          <w:rFonts w:ascii="Times New Roman" w:hAnsi="Times New Roman" w:cs="Times New Roman"/>
          <w:b/>
          <w:bCs/>
          <w:color w:val="0000FF"/>
          <w:sz w:val="21"/>
          <w:szCs w:val="21"/>
        </w:rPr>
      </w:pPr>
      <w:r>
        <w:object>
          <v:shape id="_x0000_i1030" o:spt="75" type="#_x0000_t75" style="height:383.45pt;width:483.75pt;" o:ole="t" filled="f" o:preferrelative="t" stroked="f" coordsize="21600,21600">
            <v:path/>
            <v:fill on="f" focussize="0,0"/>
            <v:stroke on="f"/>
            <v:imagedata r:id="rId46" o:title=""/>
            <o:lock v:ext="edit" aspectratio="f"/>
            <w10:wrap type="none"/>
            <w10:anchorlock/>
          </v:shape>
          <o:OLEObject Type="Embed" ProgID="Visio.Drawing.11" ShapeID="_x0000_i1030" DrawAspect="Content" ObjectID="_1468075730" r:id="rId45">
            <o:LockedField>false</o:LockedField>
          </o:OLEObject>
        </w:object>
      </w:r>
      <w:r>
        <w:rPr>
          <w:rFonts w:hint="eastAsia" w:ascii="Times New Roman" w:hAnsi="Times New Roman" w:cs="Times New Roman"/>
          <w:b/>
          <w:bCs/>
          <w:color w:val="auto"/>
          <w:sz w:val="21"/>
          <w:szCs w:val="21"/>
          <w:u w:val="single"/>
        </w:rPr>
        <w:t>图3.5-2  本项目</w:t>
      </w:r>
      <w:r>
        <w:rPr>
          <w:rFonts w:hint="eastAsia" w:ascii="Times New Roman" w:hAnsi="Times New Roman" w:cs="Times New Roman"/>
          <w:b/>
          <w:bCs/>
          <w:color w:val="auto"/>
          <w:sz w:val="21"/>
          <w:szCs w:val="21"/>
          <w:u w:val="single"/>
          <w:lang w:val="en-US" w:eastAsia="zh-CN"/>
        </w:rPr>
        <w:t>水性漆</w:t>
      </w:r>
      <w:r>
        <w:rPr>
          <w:rFonts w:hint="eastAsia" w:ascii="Times New Roman" w:hAnsi="Times New Roman" w:cs="Times New Roman"/>
          <w:b/>
          <w:bCs/>
          <w:color w:val="auto"/>
          <w:sz w:val="21"/>
          <w:szCs w:val="21"/>
          <w:u w:val="single"/>
        </w:rPr>
        <w:t>物料平衡图</w:t>
      </w:r>
      <w:r>
        <w:rPr>
          <w:rFonts w:hint="eastAsia" w:ascii="Times New Roman" w:hAnsi="Times New Roman" w:cs="Times New Roman"/>
          <w:b/>
          <w:bCs/>
          <w:color w:val="auto"/>
          <w:sz w:val="21"/>
          <w:szCs w:val="21"/>
          <w:highlight w:val="none"/>
          <w:u w:val="single"/>
        </w:rPr>
        <w:t>（</w:t>
      </w:r>
      <w:r>
        <w:rPr>
          <w:rFonts w:hint="eastAsia" w:ascii="Times New Roman" w:hAnsi="Times New Roman" w:cs="Times New Roman"/>
          <w:b/>
          <w:bCs/>
          <w:color w:val="auto"/>
          <w:sz w:val="21"/>
          <w:szCs w:val="21"/>
          <w:highlight w:val="none"/>
          <w:u w:val="single"/>
          <w:lang w:val="en-US" w:eastAsia="zh-CN"/>
        </w:rPr>
        <w:t>t/a</w:t>
      </w:r>
      <w:r>
        <w:rPr>
          <w:rFonts w:hint="eastAsia" w:ascii="Times New Roman" w:hAnsi="Times New Roman" w:cs="Times New Roman"/>
          <w:b/>
          <w:bCs/>
          <w:color w:val="auto"/>
          <w:sz w:val="21"/>
          <w:szCs w:val="21"/>
          <w:highlight w:val="none"/>
          <w:u w:val="single"/>
        </w:rPr>
        <w:t>）</w:t>
      </w:r>
    </w:p>
    <w:p w14:paraId="2CA6FF0B">
      <w:pPr>
        <w:pStyle w:val="3"/>
        <w:numPr>
          <w:ilvl w:val="1"/>
          <w:numId w:val="30"/>
        </w:numPr>
      </w:pPr>
      <w:bookmarkStart w:id="55" w:name="_Toc4143"/>
      <w:r>
        <w:rPr>
          <w:rFonts w:hint="eastAsia"/>
        </w:rPr>
        <w:t>源强核算</w:t>
      </w:r>
      <w:bookmarkEnd w:id="55"/>
    </w:p>
    <w:p w14:paraId="2C9ACF75">
      <w:pPr>
        <w:pStyle w:val="4"/>
        <w:numPr>
          <w:ilvl w:val="2"/>
          <w:numId w:val="39"/>
        </w:numPr>
        <w:tabs>
          <w:tab w:val="clear" w:pos="0"/>
        </w:tabs>
      </w:pPr>
      <w:r>
        <w:rPr>
          <w:rFonts w:hint="eastAsia"/>
        </w:rPr>
        <w:t>施工期源强</w:t>
      </w:r>
    </w:p>
    <w:p w14:paraId="2A43A799">
      <w:pPr>
        <w:pStyle w:val="41"/>
        <w:ind w:firstLine="520" w:firstLineChars="217"/>
      </w:pPr>
      <w:bookmarkStart w:id="56" w:name="_Toc6967"/>
      <w:bookmarkStart w:id="57" w:name="_Toc32352"/>
      <w:bookmarkStart w:id="58" w:name="_Toc270407931"/>
      <w:bookmarkStart w:id="59" w:name="_Toc368100464"/>
      <w:bookmarkStart w:id="60" w:name="_Toc357788240"/>
      <w:bookmarkStart w:id="61" w:name="_Toc3312"/>
      <w:r>
        <w:rPr>
          <w:rFonts w:hint="eastAsia"/>
        </w:rPr>
        <w:t>本项目租赁伯艺精木（清丰）家居有限公司已建成空厂房，工程内容主要为购置生产设备、安装、调试。施工期较短，且主要在厂房内施工，不会对周围环境产生影响。因此本次评价施工期不再进行分析。</w:t>
      </w:r>
    </w:p>
    <w:bookmarkEnd w:id="56"/>
    <w:bookmarkEnd w:id="57"/>
    <w:bookmarkEnd w:id="58"/>
    <w:bookmarkEnd w:id="59"/>
    <w:bookmarkEnd w:id="60"/>
    <w:bookmarkEnd w:id="61"/>
    <w:p w14:paraId="1BAEF968">
      <w:pPr>
        <w:pStyle w:val="4"/>
        <w:numPr>
          <w:ilvl w:val="2"/>
          <w:numId w:val="39"/>
        </w:numPr>
        <w:tabs>
          <w:tab w:val="clear" w:pos="0"/>
        </w:tabs>
      </w:pPr>
      <w:r>
        <w:rPr>
          <w:rFonts w:hint="eastAsia"/>
        </w:rPr>
        <w:t>营运期废气源强</w:t>
      </w:r>
    </w:p>
    <w:p w14:paraId="50F95E6A">
      <w:pPr>
        <w:pStyle w:val="5"/>
        <w:numPr>
          <w:ilvl w:val="3"/>
          <w:numId w:val="39"/>
        </w:numPr>
      </w:pPr>
      <w:r>
        <w:rPr>
          <w:rFonts w:hint="eastAsia"/>
        </w:rPr>
        <w:t>项目木材加工工序废气源强核算</w:t>
      </w:r>
    </w:p>
    <w:p w14:paraId="4B36EBC1">
      <w:pPr>
        <w:pStyle w:val="17"/>
        <w:spacing w:line="360" w:lineRule="auto"/>
        <w:ind w:left="420" w:leftChars="200" w:firstLine="0"/>
        <w:rPr>
          <w:rFonts w:ascii="Times New Roman" w:hAnsi="Times New Roman" w:eastAsia="宋体" w:cs="Times New Roman"/>
          <w:sz w:val="24"/>
          <w:szCs w:val="24"/>
        </w:rPr>
      </w:pPr>
      <w:r>
        <w:rPr>
          <w:rFonts w:hint="eastAsia" w:ascii="Times New Roman" w:hAnsi="Times New Roman" w:eastAsia="宋体" w:cs="Times New Roman"/>
          <w:sz w:val="24"/>
          <w:szCs w:val="24"/>
        </w:rPr>
        <w:t>1、污染物产生量</w:t>
      </w:r>
    </w:p>
    <w:p w14:paraId="76F08C31">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sz w:val="24"/>
          <w:szCs w:val="24"/>
          <w:u w:val="none" w:color="auto"/>
          <w:lang w:val="en-US" w:eastAsia="zh-CN"/>
        </w:rPr>
      </w:pPr>
      <w:r>
        <w:rPr>
          <w:rFonts w:hint="eastAsia" w:ascii="Times New Roman" w:hAnsi="Times New Roman" w:eastAsia="宋体" w:cs="Times New Roman"/>
          <w:sz w:val="24"/>
          <w:szCs w:val="24"/>
        </w:rPr>
        <w:t>本项目下料、雕刻、锯切、钻孔、砂光等工序均属木加工，木加工过程会产生木屑粉尘，参照《排放源统计调查产排污核算方法和系数手册》（部令公告2021年第24号）“211木质家具制造行业系数手册”中“木质家具制造下料工序颗粒物产污系数”，产污系数为150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-原料，根据项目原辅材料使用情况，经核算，本项目多层板、密度板等原料板材用量共计</w:t>
      </w:r>
      <w:r>
        <w:rPr>
          <w:rFonts w:hint="eastAsia" w:ascii="Times New Roman" w:hAnsi="Times New Roman" w:eastAsia="宋体" w:cs="Times New Roman"/>
          <w:sz w:val="24"/>
          <w:szCs w:val="24"/>
          <w:lang w:val="en-US" w:eastAsia="zh-CN"/>
        </w:rPr>
        <w:t>3150</w:t>
      </w:r>
      <w:r>
        <w:rPr>
          <w:rFonts w:hint="eastAsia" w:ascii="Times New Roman" w:hAnsi="Times New Roman" w:eastAsia="宋体" w:cs="Times New Roman"/>
          <w:sz w:val="24"/>
          <w:szCs w:val="24"/>
        </w:rPr>
        <w:t>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/a，</w:t>
      </w:r>
      <w:r>
        <w:rPr>
          <w:rFonts w:hint="eastAsia" w:ascii="Times New Roman" w:hAnsi="Times New Roman" w:cs="Times New Roman"/>
          <w:b w:val="0"/>
          <w:bCs/>
          <w:color w:val="auto"/>
          <w:sz w:val="24"/>
          <w:szCs w:val="24"/>
          <w:u w:val="none" w:color="auto"/>
          <w:lang w:val="en-US" w:eastAsia="zh-CN"/>
        </w:rPr>
        <w:t>项目涉及锯切、截料、打磨、镂铣、钻孔、雕刻等主要工序，因此，木加工综合产尘系数为0.9</w:t>
      </w:r>
      <w:r>
        <w:rPr>
          <w:rFonts w:hint="default" w:ascii="Times New Roman" w:hAnsi="Times New Roman" w:cs="Times New Roman"/>
          <w:b w:val="0"/>
          <w:bCs/>
          <w:color w:val="auto"/>
          <w:sz w:val="24"/>
          <w:szCs w:val="24"/>
          <w:u w:val="none" w:color="auto"/>
          <w:lang w:val="en-US" w:eastAsia="zh-CN"/>
        </w:rPr>
        <w:t>kg/m</w:t>
      </w:r>
      <w:r>
        <w:rPr>
          <w:rFonts w:hint="default" w:ascii="Times New Roman" w:hAnsi="Times New Roman" w:cs="Times New Roman"/>
          <w:b w:val="0"/>
          <w:bCs/>
          <w:color w:val="auto"/>
          <w:sz w:val="24"/>
          <w:szCs w:val="24"/>
          <w:u w:val="none" w:color="auto"/>
          <w:vertAlign w:val="superscript"/>
          <w:lang w:val="en-US" w:eastAsia="zh-CN"/>
        </w:rPr>
        <w:t>3</w:t>
      </w:r>
      <w:r>
        <w:rPr>
          <w:rFonts w:hint="default" w:ascii="Times New Roman" w:hAnsi="Times New Roman" w:cs="Times New Roman"/>
          <w:b w:val="0"/>
          <w:bCs/>
          <w:color w:val="auto"/>
          <w:sz w:val="24"/>
          <w:szCs w:val="24"/>
          <w:u w:val="none" w:color="auto"/>
          <w:lang w:val="en-US" w:eastAsia="zh-CN"/>
        </w:rPr>
        <w:t>原料</w:t>
      </w:r>
      <w:r>
        <w:rPr>
          <w:rFonts w:hint="eastAsia" w:ascii="Times New Roman" w:hAnsi="Times New Roman" w:cs="Times New Roman"/>
          <w:b w:val="0"/>
          <w:bCs/>
          <w:color w:val="auto"/>
          <w:sz w:val="24"/>
          <w:szCs w:val="24"/>
          <w:u w:val="none" w:color="auto"/>
          <w:lang w:val="en-US" w:eastAsia="zh-CN"/>
        </w:rPr>
        <w:t>（按六道工序计算）</w:t>
      </w:r>
      <w:r>
        <w:rPr>
          <w:rFonts w:hint="default" w:ascii="Times New Roman" w:hAnsi="Times New Roman" w:cs="Times New Roman"/>
          <w:b w:val="0"/>
          <w:bCs/>
          <w:color w:val="auto"/>
          <w:sz w:val="24"/>
          <w:szCs w:val="24"/>
          <w:highlight w:val="none"/>
          <w:u w:val="none" w:color="auto"/>
          <w:lang w:val="en-US" w:eastAsia="zh-CN"/>
        </w:rPr>
        <w:t>，产</w:t>
      </w:r>
      <w:r>
        <w:rPr>
          <w:rFonts w:hint="default" w:ascii="Times New Roman" w:hAnsi="Times New Roman" w:cs="Times New Roman"/>
          <w:b w:val="0"/>
          <w:bCs/>
          <w:color w:val="auto"/>
          <w:sz w:val="24"/>
          <w:szCs w:val="24"/>
          <w:u w:val="none" w:color="auto"/>
          <w:lang w:val="en-US" w:eastAsia="zh-CN"/>
        </w:rPr>
        <w:t>生粉尘量</w:t>
      </w:r>
      <w:r>
        <w:rPr>
          <w:rFonts w:hint="default" w:ascii="Times New Roman" w:hAnsi="Times New Roman" w:cs="Times New Roman"/>
          <w:b w:val="0"/>
          <w:bCs/>
          <w:color w:val="auto"/>
          <w:sz w:val="24"/>
          <w:szCs w:val="24"/>
          <w:highlight w:val="none"/>
          <w:u w:val="none" w:color="auto"/>
          <w:lang w:val="en-US" w:eastAsia="zh-CN"/>
        </w:rPr>
        <w:t>约为</w:t>
      </w:r>
      <w:r>
        <w:rPr>
          <w:rFonts w:hint="eastAsia" w:ascii="Times New Roman" w:hAnsi="Times New Roman" w:cs="Times New Roman"/>
          <w:b w:val="0"/>
          <w:bCs/>
          <w:color w:val="auto"/>
          <w:sz w:val="24"/>
          <w:szCs w:val="24"/>
          <w:highlight w:val="none"/>
          <w:u w:val="none" w:color="auto"/>
          <w:lang w:val="en-US" w:eastAsia="zh-CN"/>
        </w:rPr>
        <w:t>2.835</w:t>
      </w:r>
      <w:r>
        <w:rPr>
          <w:rFonts w:hint="default" w:ascii="Times New Roman" w:hAnsi="Times New Roman" w:cs="Times New Roman"/>
          <w:b w:val="0"/>
          <w:bCs/>
          <w:color w:val="auto"/>
          <w:sz w:val="24"/>
          <w:szCs w:val="24"/>
          <w:highlight w:val="none"/>
          <w:u w:val="none" w:color="auto"/>
          <w:lang w:val="en-US" w:eastAsia="zh-CN"/>
        </w:rPr>
        <w:t>t/a。</w:t>
      </w:r>
    </w:p>
    <w:p w14:paraId="3F7600E0">
      <w:pPr>
        <w:pStyle w:val="17"/>
        <w:spacing w:line="360" w:lineRule="auto"/>
        <w:ind w:left="420" w:leftChars="200" w:firstLine="0"/>
        <w:rPr>
          <w:rFonts w:ascii="Times New Roman" w:hAnsi="Times New Roman" w:eastAsia="宋体" w:cs="Times New Roman"/>
          <w:sz w:val="24"/>
          <w:szCs w:val="24"/>
        </w:rPr>
      </w:pPr>
      <w:r>
        <w:rPr>
          <w:rFonts w:hint="eastAsia" w:ascii="Times New Roman" w:hAnsi="Times New Roman" w:eastAsia="宋体" w:cs="Times New Roman"/>
          <w:sz w:val="24"/>
          <w:szCs w:val="24"/>
        </w:rPr>
        <w:t>2、废气收集方式及废气量</w:t>
      </w:r>
    </w:p>
    <w:p w14:paraId="74BD3C42">
      <w:pPr>
        <w:pStyle w:val="17"/>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sz w:val="24"/>
          <w:szCs w:val="24"/>
        </w:rPr>
        <w:t>本项目木材加工各工序产生的粉尘经集气罩收集引至中央除尘系统。每个产尘点上方均设置集气罩，约有20个产尘点，</w:t>
      </w:r>
      <w:r>
        <w:rPr>
          <w:rFonts w:ascii="Times New Roman" w:hAnsi="Times New Roman" w:eastAsia="宋体" w:cs="Times New Roman"/>
          <w:color w:val="000000" w:themeColor="text1"/>
          <w:sz w:val="24"/>
          <w:szCs w:val="24"/>
          <w14:textFill>
            <w14:solidFill>
              <w14:schemeClr w14:val="tx1"/>
            </w14:solidFill>
          </w14:textFill>
        </w:rPr>
        <w:t>罩口尺寸</w:t>
      </w:r>
      <w:r>
        <w:rPr>
          <w:rFonts w:hint="eastAsia" w:ascii="Times New Roman" w:hAnsi="Times New Roman" w:eastAsia="宋体" w:cs="Times New Roman"/>
          <w:color w:val="000000" w:themeColor="text1"/>
          <w:sz w:val="24"/>
          <w:szCs w:val="24"/>
          <w14:textFill>
            <w14:solidFill>
              <w14:schemeClr w14:val="tx1"/>
            </w14:solidFill>
          </w14:textFill>
        </w:rPr>
        <w:t>平均</w:t>
      </w:r>
      <w:r>
        <w:rPr>
          <w:rFonts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color w:val="000000" w:themeColor="text1"/>
          <w:sz w:val="24"/>
          <w:szCs w:val="24"/>
          <w14:textFill>
            <w14:solidFill>
              <w14:schemeClr w14:val="tx1"/>
            </w14:solidFill>
          </w14:textFill>
        </w:rPr>
        <w:t>0.5</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0.5</w:t>
      </w:r>
      <w:r>
        <w:rPr>
          <w:rFonts w:ascii="Times New Roman" w:hAnsi="Times New Roman" w:eastAsia="宋体" w:cs="Times New Roman"/>
          <w:color w:val="000000" w:themeColor="text1"/>
          <w:sz w:val="24"/>
          <w:szCs w:val="24"/>
          <w14:textFill>
            <w14:solidFill>
              <w14:schemeClr w14:val="tx1"/>
            </w14:solidFill>
          </w14:textFill>
        </w:rPr>
        <w:t>m，距离产尘点</w:t>
      </w:r>
      <w:r>
        <w:rPr>
          <w:rFonts w:hint="eastAsia" w:ascii="Times New Roman" w:hAnsi="Times New Roman" w:eastAsia="宋体" w:cs="Times New Roman"/>
          <w:color w:val="000000" w:themeColor="text1"/>
          <w:sz w:val="24"/>
          <w:szCs w:val="24"/>
          <w14:textFill>
            <w14:solidFill>
              <w14:schemeClr w14:val="tx1"/>
            </w14:solidFill>
          </w14:textFill>
        </w:rPr>
        <w:t>约0.3</w:t>
      </w:r>
      <w:r>
        <w:rPr>
          <w:rFonts w:ascii="Times New Roman" w:hAnsi="Times New Roman" w:eastAsia="宋体" w:cs="Times New Roman"/>
          <w:color w:val="000000" w:themeColor="text1"/>
          <w:sz w:val="24"/>
          <w:szCs w:val="24"/>
          <w14:textFill>
            <w14:solidFill>
              <w14:schemeClr w14:val="tx1"/>
            </w14:solidFill>
          </w14:textFill>
        </w:rPr>
        <w:t>m，收集效率按</w:t>
      </w:r>
      <w:r>
        <w:rPr>
          <w:rFonts w:hint="eastAsia" w:ascii="Times New Roman" w:hAnsi="Times New Roman" w:eastAsia="宋体" w:cs="Times New Roman"/>
          <w:color w:val="000000" w:themeColor="text1"/>
          <w:sz w:val="24"/>
          <w:szCs w:val="24"/>
          <w14:textFill>
            <w14:solidFill>
              <w14:schemeClr w14:val="tx1"/>
            </w14:solidFill>
          </w14:textFill>
        </w:rPr>
        <w:t>90</w:t>
      </w:r>
      <w:r>
        <w:rPr>
          <w:rFonts w:ascii="Times New Roman" w:hAnsi="Times New Roman" w:eastAsia="宋体" w:cs="Times New Roman"/>
          <w:color w:val="000000" w:themeColor="text1"/>
          <w:sz w:val="24"/>
          <w:szCs w:val="24"/>
          <w14:textFill>
            <w14:solidFill>
              <w14:schemeClr w14:val="tx1"/>
            </w14:solidFill>
          </w14:textFill>
        </w:rPr>
        <w:t>%计</w:t>
      </w:r>
      <w:r>
        <w:rPr>
          <w:rFonts w:hint="eastAsia" w:ascii="Times New Roman" w:hAnsi="Times New Roman" w:eastAsia="宋体" w:cs="Times New Roman"/>
          <w:color w:val="000000" w:themeColor="text1"/>
          <w:sz w:val="24"/>
          <w:szCs w:val="24"/>
          <w14:textFill>
            <w14:solidFill>
              <w14:schemeClr w14:val="tx1"/>
            </w14:solidFill>
          </w14:textFill>
        </w:rPr>
        <w:t>。根据《环境工程技术手册  废气处理工程技术手册》（王纯、张殿印编，化学工业出版社）中表17-8，上吸罩侧面无围挡的风量计算公式如下：</w:t>
      </w:r>
    </w:p>
    <w:p w14:paraId="2BC35C5D">
      <w:pPr>
        <w:spacing w:line="36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position w:val="-12"/>
          <w14:textFill>
            <w14:solidFill>
              <w14:schemeClr w14:val="tx1"/>
            </w14:solidFill>
          </w14:textFill>
        </w:rPr>
        <w:object>
          <v:shape id="_x0000_i1031" o:spt="75" type="#_x0000_t75" style="height:18pt;width:63pt;" o:ole="t" filled="f" o:preferrelative="t" stroked="f" coordsize="21600,21600">
            <v:path/>
            <v:fill on="f" focussize="0,0"/>
            <v:stroke on="f" joinstyle="miter"/>
            <v:imagedata r:id="rId48" o:title=""/>
            <o:lock v:ext="edit" aspectratio="t"/>
            <w10:wrap type="none"/>
            <w10:anchorlock/>
          </v:shape>
          <o:OLEObject Type="Embed" ProgID="Equation.KSEE3" ShapeID="_x0000_i1031" DrawAspect="Content" ObjectID="_1468075731" r:id="rId47">
            <o:LockedField>false</o:LockedField>
          </o:OLEObject>
        </w:object>
      </w:r>
    </w:p>
    <w:p w14:paraId="4C7A546A">
      <w:pPr>
        <w:pStyle w:val="17"/>
        <w:spacing w:line="360" w:lineRule="auto"/>
        <w:ind w:firstLine="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式中：</w:t>
      </w:r>
      <w:r>
        <w:rPr>
          <w:rFonts w:ascii="Times New Roman" w:hAnsi="Times New Roman" w:eastAsia="宋体" w:cs="Times New Roman"/>
          <w:color w:val="000000" w:themeColor="text1"/>
          <w:sz w:val="24"/>
          <w:szCs w:val="24"/>
          <w14:textFill>
            <w14:solidFill>
              <w14:schemeClr w14:val="tx1"/>
            </w14:solidFill>
          </w14:textFill>
        </w:rPr>
        <w:t>p-罩口周长，m；</w:t>
      </w:r>
    </w:p>
    <w:p w14:paraId="72F653B5">
      <w:pPr>
        <w:spacing w:line="360" w:lineRule="auto"/>
        <w:ind w:firstLine="720" w:firstLineChars="3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H-污染源至罩口距离，m；</w:t>
      </w:r>
    </w:p>
    <w:p w14:paraId="285370B3">
      <w:pPr>
        <w:pStyle w:val="17"/>
        <w:spacing w:line="360" w:lineRule="auto"/>
        <w:ind w:firstLine="720" w:firstLineChars="3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V</w:t>
      </w:r>
      <w:r>
        <w:rPr>
          <w:rFonts w:ascii="Times New Roman" w:hAnsi="Times New Roman" w:eastAsia="宋体" w:cs="Times New Roman"/>
          <w:color w:val="000000" w:themeColor="text1"/>
          <w:sz w:val="24"/>
          <w:szCs w:val="24"/>
          <w:vertAlign w:val="subscript"/>
          <w14:textFill>
            <w14:solidFill>
              <w14:schemeClr w14:val="tx1"/>
            </w14:solidFill>
          </w14:textFill>
        </w:rPr>
        <w:t>x</w:t>
      </w:r>
      <w:r>
        <w:rPr>
          <w:rFonts w:ascii="Times New Roman" w:hAnsi="Times New Roman" w:eastAsia="宋体" w:cs="Times New Roman"/>
          <w:color w:val="000000" w:themeColor="text1"/>
          <w:sz w:val="24"/>
          <w:szCs w:val="24"/>
          <w14:textFill>
            <w14:solidFill>
              <w14:schemeClr w14:val="tx1"/>
            </w14:solidFill>
          </w14:textFill>
        </w:rPr>
        <w:t>-控制点风速，m/s，取值范围0.5~</w:t>
      </w:r>
      <w:r>
        <w:rPr>
          <w:rFonts w:hint="eastAsia" w:ascii="Times New Roman" w:hAnsi="Times New Roman" w:eastAsia="宋体" w:cs="Times New Roman"/>
          <w:color w:val="000000" w:themeColor="text1"/>
          <w:sz w:val="24"/>
          <w:szCs w:val="24"/>
          <w14:textFill>
            <w14:solidFill>
              <w14:schemeClr w14:val="tx1"/>
            </w14:solidFill>
          </w14:textFill>
        </w:rPr>
        <w:t>1.5</w:t>
      </w:r>
      <w:r>
        <w:rPr>
          <w:rFonts w:ascii="Times New Roman" w:hAnsi="Times New Roman" w:eastAsia="宋体" w:cs="Times New Roman"/>
          <w:color w:val="000000" w:themeColor="text1"/>
          <w:sz w:val="24"/>
          <w:szCs w:val="24"/>
          <w14:textFill>
            <w14:solidFill>
              <w14:schemeClr w14:val="tx1"/>
            </w14:solidFill>
          </w14:textFill>
        </w:rPr>
        <w:t>m/s。</w:t>
      </w:r>
    </w:p>
    <w:p w14:paraId="2A47DEBA">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rFonts w:ascii="Times New Roman" w:hAnsi="Times New Roman" w:eastAsia="宋体" w:cs="Times New Roman"/>
          <w:color w:val="000000" w:themeColor="text1"/>
          <w:sz w:val="24"/>
          <w14:textFill>
            <w14:solidFill>
              <w14:schemeClr w14:val="tx1"/>
            </w14:solidFill>
          </w14:textFill>
        </w:rPr>
        <w:t>罩口尺寸</w:t>
      </w:r>
      <w:r>
        <w:rPr>
          <w:rFonts w:hint="eastAsia" w:ascii="Times New Roman" w:hAnsi="Times New Roman" w:eastAsia="宋体" w:cs="Times New Roman"/>
          <w:color w:val="000000" w:themeColor="text1"/>
          <w:sz w:val="24"/>
          <w14:textFill>
            <w14:solidFill>
              <w14:schemeClr w14:val="tx1"/>
            </w14:solidFill>
          </w14:textFill>
        </w:rPr>
        <w:t>平均约</w:t>
      </w:r>
      <w:r>
        <w:rPr>
          <w:rFonts w:ascii="Times New Roman" w:hAnsi="Times New Roman" w:eastAsia="宋体" w:cs="Times New Roman"/>
          <w:color w:val="000000" w:themeColor="text1"/>
          <w:sz w:val="24"/>
          <w14:textFill>
            <w14:solidFill>
              <w14:schemeClr w14:val="tx1"/>
            </w14:solidFill>
          </w14:textFill>
        </w:rPr>
        <w:t>为</w:t>
      </w:r>
      <w:r>
        <w:rPr>
          <w:rFonts w:hint="eastAsia" w:ascii="Times New Roman" w:hAnsi="Times New Roman" w:eastAsia="宋体" w:cs="Times New Roman"/>
          <w:color w:val="000000" w:themeColor="text1"/>
          <w:sz w:val="24"/>
          <w14:textFill>
            <w14:solidFill>
              <w14:schemeClr w14:val="tx1"/>
            </w14:solidFill>
          </w14:textFill>
        </w:rPr>
        <w:t>0.5</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0.5</w:t>
      </w:r>
      <w:r>
        <w:rPr>
          <w:rFonts w:ascii="Times New Roman" w:hAnsi="Times New Roman" w:eastAsia="宋体" w:cs="Times New Roman"/>
          <w:color w:val="000000" w:themeColor="text1"/>
          <w:sz w:val="24"/>
          <w14:textFill>
            <w14:solidFill>
              <w14:schemeClr w14:val="tx1"/>
            </w14:solidFill>
          </w14:textFill>
        </w:rPr>
        <w:t>m</w:t>
      </w:r>
      <w:r>
        <w:rPr>
          <w:rFonts w:hint="eastAsia" w:ascii="Times New Roman" w:hAnsi="Times New Roman" w:eastAsia="宋体" w:cs="Times New Roman"/>
          <w:color w:val="000000" w:themeColor="text1"/>
          <w:sz w:val="24"/>
          <w14:textFill>
            <w14:solidFill>
              <w14:schemeClr w14:val="tx1"/>
            </w14:solidFill>
          </w14:textFill>
        </w:rPr>
        <w:t>，因此罩口周长p=2m，</w:t>
      </w:r>
      <w:r>
        <w:rPr>
          <w:rFonts w:ascii="Times New Roman" w:hAnsi="Times New Roman" w:eastAsia="宋体" w:cs="Times New Roman"/>
          <w:color w:val="000000" w:themeColor="text1"/>
          <w:sz w:val="24"/>
          <w14:textFill>
            <w14:solidFill>
              <w14:schemeClr w14:val="tx1"/>
            </w14:solidFill>
          </w14:textFill>
        </w:rPr>
        <w:t>污染源至罩口距离</w:t>
      </w:r>
      <w:r>
        <w:rPr>
          <w:rFonts w:hint="eastAsia" w:ascii="Times New Roman" w:hAnsi="Times New Roman" w:eastAsia="宋体" w:cs="Times New Roman"/>
          <w:color w:val="000000" w:themeColor="text1"/>
          <w:sz w:val="24"/>
          <w14:textFill>
            <w14:solidFill>
              <w14:schemeClr w14:val="tx1"/>
            </w14:solidFill>
          </w14:textFill>
        </w:rPr>
        <w:t>H=0.</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14:textFill>
            <w14:solidFill>
              <w14:schemeClr w14:val="tx1"/>
            </w14:solidFill>
          </w14:textFill>
        </w:rPr>
        <w:t>m。根据《局部排风设施控制风速检测与评估技术规范》（AQ/T4274-2016），采用上吸罩收集粉尘时控制风速为0.5m/s，符合取值范围限值要求。经计算，20个产尘点的风量Q=</w:t>
      </w:r>
      <w:r>
        <w:rPr>
          <w:rFonts w:hint="eastAsia" w:ascii="Times New Roman" w:hAnsi="Times New Roman" w:eastAsia="宋体" w:cs="Times New Roman"/>
          <w:color w:val="000000" w:themeColor="text1"/>
          <w:sz w:val="24"/>
          <w:lang w:val="en-US" w:eastAsia="zh-CN"/>
          <w14:textFill>
            <w14:solidFill>
              <w14:schemeClr w14:val="tx1"/>
            </w14:solidFill>
          </w14:textFill>
        </w:rPr>
        <w:t>5.6</w:t>
      </w:r>
      <w:r>
        <w:rPr>
          <w:rFonts w:hint="eastAsia" w:ascii="Times New Roman" w:hAnsi="Times New Roman" w:eastAsia="宋体" w:cs="Times New Roman"/>
          <w:color w:val="000000" w:themeColor="text1"/>
          <w:sz w:val="24"/>
          <w14:textFill>
            <w14:solidFill>
              <w14:schemeClr w14:val="tx1"/>
            </w14:solidFill>
          </w14:textFill>
        </w:rPr>
        <w:t>m</w:t>
      </w:r>
      <w:r>
        <w:rPr>
          <w:rFonts w:hint="eastAsia"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/s，约为</w:t>
      </w:r>
      <w:r>
        <w:rPr>
          <w:rFonts w:hint="eastAsia" w:ascii="Times New Roman" w:hAnsi="Times New Roman" w:eastAsia="宋体" w:cs="Times New Roman"/>
          <w:color w:val="000000" w:themeColor="text1"/>
          <w:sz w:val="24"/>
          <w:lang w:val="en-US" w:eastAsia="zh-CN"/>
          <w14:textFill>
            <w14:solidFill>
              <w14:schemeClr w14:val="tx1"/>
            </w14:solidFill>
          </w14:textFill>
        </w:rPr>
        <w:t>20160</w:t>
      </w:r>
      <w:r>
        <w:rPr>
          <w:rFonts w:hint="eastAsia" w:ascii="Times New Roman" w:hAnsi="Times New Roman" w:eastAsia="宋体" w:cs="Times New Roman"/>
          <w:color w:val="000000" w:themeColor="text1"/>
          <w:sz w:val="24"/>
          <w14:textFill>
            <w14:solidFill>
              <w14:schemeClr w14:val="tx1"/>
            </w14:solidFill>
          </w14:textFill>
        </w:rPr>
        <w:t>m</w:t>
      </w:r>
      <w:r>
        <w:rPr>
          <w:rFonts w:hint="eastAsia"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/h，</w:t>
      </w:r>
      <w:r>
        <w:rPr>
          <w:rFonts w:hint="eastAsia" w:ascii="Times New Roman" w:hAnsi="Times New Roman" w:eastAsia="宋体" w:cs="Times New Roman"/>
          <w:color w:val="000000" w:themeColor="text1"/>
          <w:sz w:val="24"/>
          <w:lang w:eastAsia="zh-CN"/>
          <w14:textFill>
            <w14:solidFill>
              <w14:schemeClr w14:val="tx1"/>
            </w14:solidFill>
          </w14:textFill>
        </w:rPr>
        <w:t>同时考虑管道损失，</w:t>
      </w:r>
      <w:r>
        <w:rPr>
          <w:rFonts w:hint="eastAsia" w:ascii="Times New Roman" w:hAnsi="Times New Roman" w:eastAsia="宋体" w:cs="Times New Roman"/>
          <w:color w:val="000000" w:themeColor="text1"/>
          <w:sz w:val="24"/>
          <w14:textFill>
            <w14:solidFill>
              <w14:schemeClr w14:val="tx1"/>
            </w14:solidFill>
          </w14:textFill>
        </w:rPr>
        <w:t>取整按</w:t>
      </w:r>
      <w:r>
        <w:rPr>
          <w:rFonts w:hint="eastAsia" w:ascii="Times New Roman" w:hAnsi="Times New Roman" w:eastAsia="宋体" w:cs="Times New Roman"/>
          <w:color w:val="000000" w:themeColor="text1"/>
          <w:sz w:val="24"/>
          <w:lang w:val="en-US" w:eastAsia="zh-CN"/>
          <w14:textFill>
            <w14:solidFill>
              <w14:schemeClr w14:val="tx1"/>
            </w14:solidFill>
          </w14:textFill>
        </w:rPr>
        <w:t>21000</w:t>
      </w:r>
      <w:r>
        <w:rPr>
          <w:rFonts w:hint="eastAsia" w:ascii="Times New Roman" w:hAnsi="Times New Roman" w:eastAsia="宋体" w:cs="Times New Roman"/>
          <w:color w:val="000000" w:themeColor="text1"/>
          <w:sz w:val="24"/>
          <w14:textFill>
            <w14:solidFill>
              <w14:schemeClr w14:val="tx1"/>
            </w14:solidFill>
          </w14:textFill>
        </w:rPr>
        <w:t>m</w:t>
      </w:r>
      <w:r>
        <w:rPr>
          <w:rFonts w:hint="eastAsia"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/h考虑。</w:t>
      </w:r>
    </w:p>
    <w:p w14:paraId="70BBE3F0">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cs="Times New Roman"/>
          <w:sz w:val="24"/>
        </w:rPr>
        <w:t>根据企业中央除尘设计资料，风机总风量为</w:t>
      </w:r>
      <w:r>
        <w:rPr>
          <w:rFonts w:hint="eastAsia" w:ascii="Times New Roman" w:hAnsi="Times New Roman" w:cs="Times New Roman"/>
          <w:sz w:val="24"/>
          <w:lang w:val="en-US" w:eastAsia="zh-CN"/>
        </w:rPr>
        <w:t>21</w:t>
      </w:r>
      <w:r>
        <w:rPr>
          <w:rFonts w:hint="eastAsia" w:ascii="Times New Roman" w:hAnsi="Times New Roman" w:cs="Times New Roman"/>
          <w:sz w:val="24"/>
        </w:rPr>
        <w:t>000m</w:t>
      </w:r>
      <w:r>
        <w:rPr>
          <w:rFonts w:hint="eastAsia" w:ascii="Times New Roman" w:hAnsi="Times New Roman" w:cs="Times New Roman"/>
          <w:sz w:val="24"/>
          <w:vertAlign w:val="superscript"/>
        </w:rPr>
        <w:t>3</w:t>
      </w:r>
      <w:r>
        <w:rPr>
          <w:rFonts w:hint="eastAsia" w:ascii="Times New Roman" w:hAnsi="Times New Roman" w:cs="Times New Roman"/>
          <w:sz w:val="24"/>
        </w:rPr>
        <w:t>/h。</w:t>
      </w:r>
    </w:p>
    <w:p w14:paraId="5F58C0BF">
      <w:pPr>
        <w:pStyle w:val="17"/>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治理措施</w:t>
      </w:r>
    </w:p>
    <w:p w14:paraId="555D8FC8">
      <w:pPr>
        <w:pStyle w:val="17"/>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本项目采用中央除尘系统处理木材加工过</w:t>
      </w:r>
      <w:r>
        <w:rPr>
          <w:rFonts w:ascii="Times New Roman" w:hAnsi="Times New Roman" w:cs="Times New Roman"/>
          <w:color w:val="000000" w:themeColor="text1"/>
          <w:sz w:val="24"/>
          <w:szCs w:val="24"/>
          <w:highlight w:val="none"/>
          <w14:textFill>
            <w14:solidFill>
              <w14:schemeClr w14:val="tx1"/>
            </w14:solidFill>
          </w14:textFill>
        </w:rPr>
        <w:t>程产生的粉尘，处理后经15m高排气筒（DA001）排放。</w:t>
      </w:r>
      <w:r>
        <w:rPr>
          <w:rFonts w:ascii="Times New Roman" w:hAnsi="Times New Roman" w:eastAsia="宋体" w:cs="Times New Roman"/>
          <w:color w:val="000000" w:themeColor="text1"/>
          <w:sz w:val="24"/>
          <w:szCs w:val="24"/>
          <w:highlight w:val="none"/>
          <w14:textFill>
            <w14:solidFill>
              <w14:schemeClr w14:val="tx1"/>
            </w14:solidFill>
          </w14:textFill>
        </w:rPr>
        <w:t>粉尘去除效率为9</w:t>
      </w:r>
      <w:r>
        <w:rPr>
          <w:rFonts w:hint="eastAsia" w:ascii="Times New Roman" w:hAnsi="Times New Roman" w:eastAsia="宋体" w:cs="Times New Roman"/>
          <w:color w:val="000000" w:themeColor="text1"/>
          <w:sz w:val="24"/>
          <w:szCs w:val="24"/>
          <w:highlight w:val="none"/>
          <w14:textFill>
            <w14:solidFill>
              <w14:schemeClr w14:val="tx1"/>
            </w14:solidFill>
          </w14:textFill>
        </w:rPr>
        <w:t>9</w:t>
      </w:r>
      <w:r>
        <w:rPr>
          <w:rFonts w:ascii="Times New Roman" w:hAnsi="Times New Roman" w:eastAsia="宋体" w:cs="Times New Roman"/>
          <w:color w:val="000000" w:themeColor="text1"/>
          <w:sz w:val="24"/>
          <w:szCs w:val="24"/>
          <w:highlight w:val="none"/>
          <w14:textFill>
            <w14:solidFill>
              <w14:schemeClr w14:val="tx1"/>
            </w14:solidFill>
          </w14:textFill>
        </w:rPr>
        <w:t>%。则粉尘有组织排放量为0.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026</w:t>
      </w:r>
      <w:r>
        <w:rPr>
          <w:rFonts w:ascii="Times New Roman" w:hAnsi="Times New Roman" w:eastAsia="宋体" w:cs="Times New Roman"/>
          <w:color w:val="000000" w:themeColor="text1"/>
          <w:sz w:val="24"/>
          <w:szCs w:val="24"/>
          <w:highlight w:val="none"/>
          <w14:textFill>
            <w14:solidFill>
              <w14:schemeClr w14:val="tx1"/>
            </w14:solidFill>
          </w14:textFill>
        </w:rPr>
        <w:t>t/a，排放速率为</w:t>
      </w:r>
      <w:r>
        <w:rPr>
          <w:rFonts w:hint="eastAsia" w:ascii="Times New Roman" w:hAnsi="Times New Roman" w:eastAsia="宋体" w:cs="Times New Roman"/>
          <w:color w:val="000000" w:themeColor="text1"/>
          <w:sz w:val="24"/>
          <w:szCs w:val="24"/>
          <w:highlight w:val="none"/>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011</w:t>
      </w:r>
      <w:r>
        <w:rPr>
          <w:rFonts w:ascii="Times New Roman" w:hAnsi="Times New Roman" w:eastAsia="宋体" w:cs="Times New Roman"/>
          <w:color w:val="000000" w:themeColor="text1"/>
          <w:sz w:val="24"/>
          <w:szCs w:val="24"/>
          <w:highlight w:val="none"/>
          <w14:textFill>
            <w14:solidFill>
              <w14:schemeClr w14:val="tx1"/>
            </w14:solidFill>
          </w14:textFill>
        </w:rPr>
        <w:t>kg/h，排放浓度为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0.52</w:t>
      </w:r>
      <w:r>
        <w:rPr>
          <w:rFonts w:ascii="Times New Roman" w:hAnsi="Times New Roman" w:eastAsia="宋体" w:cs="Times New Roman"/>
          <w:color w:val="000000" w:themeColor="text1"/>
          <w:sz w:val="24"/>
          <w:szCs w:val="24"/>
          <w:highlight w:val="none"/>
          <w14:textFill>
            <w14:solidFill>
              <w14:schemeClr w14:val="tx1"/>
            </w14:solidFill>
          </w14:textFill>
        </w:rPr>
        <w:t>mg/m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w:t>
      </w:r>
    </w:p>
    <w:p w14:paraId="19B5F571">
      <w:pPr>
        <w:pStyle w:val="38"/>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cs="Times New Roman"/>
          <w:sz w:val="24"/>
          <w:szCs w:val="24"/>
          <w:highlight w:val="yellow"/>
        </w:rPr>
      </w:pPr>
      <w:r>
        <w:rPr>
          <w:rFonts w:ascii="Times New Roman" w:hAnsi="Times New Roman" w:eastAsia="宋体" w:cs="Times New Roman"/>
          <w:color w:val="000000" w:themeColor="text1"/>
          <w:sz w:val="24"/>
          <w:szCs w:val="24"/>
          <w:highlight w:val="none"/>
          <w14:textFill>
            <w14:solidFill>
              <w14:schemeClr w14:val="tx1"/>
            </w14:solidFill>
          </w14:textFill>
        </w:rPr>
        <w:t>粉尘无组织排放量为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0.284</w:t>
      </w:r>
      <w:r>
        <w:rPr>
          <w:rFonts w:ascii="Times New Roman" w:hAnsi="Times New Roman" w:eastAsia="宋体" w:cs="Times New Roman"/>
          <w:color w:val="000000" w:themeColor="text1"/>
          <w:sz w:val="24"/>
          <w:szCs w:val="24"/>
          <w:highlight w:val="none"/>
          <w14:textFill>
            <w14:solidFill>
              <w14:schemeClr w14:val="tx1"/>
            </w14:solidFill>
          </w14:textFill>
        </w:rPr>
        <w:t>t/a（0.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12</w:t>
      </w:r>
      <w:r>
        <w:rPr>
          <w:rFonts w:ascii="Times New Roman" w:hAnsi="Times New Roman" w:eastAsia="宋体" w:cs="Times New Roman"/>
          <w:color w:val="000000" w:themeColor="text1"/>
          <w:sz w:val="24"/>
          <w:szCs w:val="24"/>
          <w:highlight w:val="none"/>
          <w14:textFill>
            <w14:solidFill>
              <w14:schemeClr w14:val="tx1"/>
            </w14:solidFill>
          </w14:textFill>
        </w:rPr>
        <w:t>kg/h）</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sz w:val="24"/>
          <w:szCs w:val="24"/>
          <w:highlight w:val="none"/>
        </w:rPr>
        <w:t>车间</w:t>
      </w:r>
      <w:r>
        <w:rPr>
          <w:rFonts w:hint="eastAsia" w:ascii="Times New Roman" w:hAnsi="Times New Roman" w:cs="Times New Roman"/>
          <w:sz w:val="24"/>
          <w:szCs w:val="24"/>
        </w:rPr>
        <w:t>采用定期洒水抑尘，即时清理、车间抑尘等措施。</w:t>
      </w:r>
    </w:p>
    <w:p w14:paraId="5969E453">
      <w:pPr>
        <w:pStyle w:val="5"/>
        <w:numPr>
          <w:ilvl w:val="3"/>
          <w:numId w:val="39"/>
        </w:numPr>
      </w:pPr>
      <w:r>
        <w:rPr>
          <w:rFonts w:hint="eastAsia"/>
        </w:rPr>
        <w:t>项目修正、油磨废气源强核算</w:t>
      </w:r>
    </w:p>
    <w:p w14:paraId="4C6F3278">
      <w:pPr>
        <w:pStyle w:val="17"/>
        <w:spacing w:line="360" w:lineRule="auto"/>
        <w:ind w:left="420" w:leftChars="200" w:firstLine="0"/>
        <w:rPr>
          <w:rFonts w:ascii="Times New Roman" w:hAnsi="Times New Roman" w:eastAsia="宋体" w:cs="Times New Roman"/>
          <w:sz w:val="24"/>
          <w:szCs w:val="24"/>
        </w:rPr>
      </w:pPr>
      <w:r>
        <w:rPr>
          <w:rFonts w:ascii="Times New Roman" w:hAnsi="Times New Roman" w:eastAsia="宋体" w:cs="Times New Roman"/>
          <w:sz w:val="24"/>
          <w:szCs w:val="24"/>
        </w:rPr>
        <w:t>1、污染物产生量</w:t>
      </w:r>
    </w:p>
    <w:p w14:paraId="5806B2AA">
      <w:pPr>
        <w:pStyle w:val="17"/>
        <w:spacing w:line="360" w:lineRule="auto"/>
        <w:ind w:firstLine="482" w:firstLineChars="200"/>
        <w:rPr>
          <w:rFonts w:ascii="Times New Roman" w:hAnsi="Times New Roman" w:eastAsia="宋体" w:cs="Times New Roman"/>
          <w:b/>
          <w:bCs/>
          <w:sz w:val="24"/>
          <w:szCs w:val="24"/>
          <w:highlight w:val="yellow"/>
          <w:u w:val="single"/>
        </w:rPr>
      </w:pPr>
      <w:r>
        <w:rPr>
          <w:rFonts w:ascii="Times New Roman" w:hAnsi="Times New Roman" w:eastAsia="宋体" w:cs="Times New Roman"/>
          <w:b/>
          <w:bCs/>
          <w:sz w:val="24"/>
          <w:szCs w:val="24"/>
          <w:u w:val="single"/>
        </w:rPr>
        <w:t>本项目</w:t>
      </w:r>
      <w:r>
        <w:rPr>
          <w:rFonts w:hint="eastAsia" w:ascii="Times New Roman" w:hAnsi="Times New Roman" w:eastAsia="宋体" w:cs="Times New Roman"/>
          <w:b/>
          <w:bCs/>
          <w:sz w:val="24"/>
          <w:szCs w:val="24"/>
          <w:u w:val="single"/>
        </w:rPr>
        <w:t>修正（打磨）、</w:t>
      </w:r>
      <w:r>
        <w:rPr>
          <w:rFonts w:ascii="Times New Roman" w:hAnsi="Times New Roman" w:eastAsia="宋体" w:cs="Times New Roman"/>
          <w:b/>
          <w:bCs/>
          <w:sz w:val="24"/>
          <w:szCs w:val="24"/>
          <w:u w:val="single"/>
        </w:rPr>
        <w:t>面漆喷涂前</w:t>
      </w:r>
      <w:r>
        <w:rPr>
          <w:rFonts w:hint="eastAsia" w:ascii="Times New Roman" w:hAnsi="Times New Roman" w:eastAsia="宋体" w:cs="Times New Roman"/>
          <w:b/>
          <w:bCs/>
          <w:sz w:val="24"/>
          <w:szCs w:val="24"/>
          <w:u w:val="single"/>
          <w:lang w:eastAsia="zh-CN"/>
        </w:rPr>
        <w:t>（油磨）</w:t>
      </w:r>
      <w:r>
        <w:rPr>
          <w:rFonts w:ascii="Times New Roman" w:hAnsi="Times New Roman" w:eastAsia="宋体" w:cs="Times New Roman"/>
          <w:b/>
          <w:bCs/>
          <w:sz w:val="24"/>
          <w:szCs w:val="24"/>
          <w:u w:val="single"/>
        </w:rPr>
        <w:t>打磨过程中会产生部分粉尘，</w:t>
      </w:r>
      <w:r>
        <w:rPr>
          <w:rFonts w:hint="eastAsia" w:ascii="Times New Roman" w:hAnsi="Times New Roman" w:eastAsia="宋体" w:cs="Times New Roman"/>
          <w:b/>
          <w:bCs/>
          <w:sz w:val="24"/>
          <w:szCs w:val="24"/>
          <w:u w:val="single"/>
        </w:rPr>
        <w:t>参照《排放源统计调查产排污核算方法和系数手册》（部令公告2021年第24号）“211木质家具制造行业系数手册”中“木质家具制造表面光滑处理工序颗粒物产污系数”，产污系数为23.5g/平方米产品，根据项目原辅材料使用情况，经核算，本项目</w:t>
      </w:r>
      <w:r>
        <w:rPr>
          <w:rFonts w:hint="eastAsia" w:ascii="Times New Roman" w:hAnsi="Times New Roman" w:eastAsia="宋体" w:cs="Times New Roman"/>
          <w:b/>
          <w:bCs/>
          <w:sz w:val="24"/>
          <w:szCs w:val="24"/>
          <w:u w:val="single"/>
          <w:lang w:eastAsia="zh-CN"/>
        </w:rPr>
        <w:t>需喷</w:t>
      </w:r>
      <w:r>
        <w:rPr>
          <w:rFonts w:hint="eastAsia" w:ascii="Times New Roman" w:hAnsi="Times New Roman" w:eastAsia="宋体" w:cs="Times New Roman"/>
          <w:b/>
          <w:bCs/>
          <w:color w:val="auto"/>
          <w:sz w:val="24"/>
          <w:szCs w:val="24"/>
          <w:u w:val="single"/>
          <w:lang w:eastAsia="zh-CN"/>
        </w:rPr>
        <w:t>漆</w:t>
      </w:r>
      <w:r>
        <w:rPr>
          <w:rFonts w:hint="eastAsia" w:ascii="Times New Roman" w:hAnsi="Times New Roman" w:eastAsia="宋体" w:cs="Times New Roman"/>
          <w:b/>
          <w:bCs/>
          <w:color w:val="auto"/>
          <w:sz w:val="24"/>
          <w:szCs w:val="24"/>
          <w:highlight w:val="none"/>
          <w:u w:val="single"/>
        </w:rPr>
        <w:t>产品约</w:t>
      </w:r>
      <w:r>
        <w:rPr>
          <w:rFonts w:hint="eastAsia" w:ascii="Times New Roman" w:hAnsi="Times New Roman" w:eastAsia="宋体" w:cs="Times New Roman"/>
          <w:b/>
          <w:bCs/>
          <w:color w:val="auto"/>
          <w:sz w:val="24"/>
          <w:szCs w:val="24"/>
          <w:highlight w:val="none"/>
          <w:u w:val="single"/>
          <w:lang w:val="en-US" w:eastAsia="zh-CN"/>
        </w:rPr>
        <w:t>38</w:t>
      </w:r>
      <w:r>
        <w:rPr>
          <w:rFonts w:hint="eastAsia" w:ascii="Times New Roman" w:hAnsi="Times New Roman" w:eastAsia="宋体" w:cs="Times New Roman"/>
          <w:b/>
          <w:bCs/>
          <w:color w:val="auto"/>
          <w:sz w:val="24"/>
          <w:szCs w:val="24"/>
          <w:highlight w:val="none"/>
          <w:u w:val="single"/>
        </w:rPr>
        <w:t>000m</w:t>
      </w:r>
      <w:r>
        <w:rPr>
          <w:rFonts w:hint="eastAsia" w:ascii="Times New Roman" w:hAnsi="Times New Roman" w:eastAsia="宋体" w:cs="Times New Roman"/>
          <w:b/>
          <w:bCs/>
          <w:color w:val="auto"/>
          <w:sz w:val="24"/>
          <w:szCs w:val="24"/>
          <w:highlight w:val="none"/>
          <w:u w:val="single"/>
          <w:vertAlign w:val="superscript"/>
        </w:rPr>
        <w:t>2</w:t>
      </w:r>
      <w:r>
        <w:rPr>
          <w:rFonts w:hint="eastAsia" w:ascii="Times New Roman" w:hAnsi="Times New Roman" w:eastAsia="宋体" w:cs="Times New Roman"/>
          <w:b/>
          <w:bCs/>
          <w:color w:val="auto"/>
          <w:sz w:val="24"/>
          <w:szCs w:val="24"/>
          <w:highlight w:val="none"/>
          <w:u w:val="single"/>
        </w:rPr>
        <w:t>/a，则本项</w:t>
      </w:r>
      <w:r>
        <w:rPr>
          <w:rFonts w:hint="eastAsia" w:ascii="Times New Roman" w:hAnsi="Times New Roman" w:eastAsia="宋体" w:cs="Times New Roman"/>
          <w:b/>
          <w:bCs/>
          <w:sz w:val="24"/>
          <w:szCs w:val="24"/>
          <w:highlight w:val="none"/>
          <w:u w:val="single"/>
        </w:rPr>
        <w:t>目生产车间木加工工序颗粒物产生量约</w:t>
      </w:r>
      <w:r>
        <w:rPr>
          <w:rFonts w:hint="eastAsia" w:ascii="Times New Roman" w:hAnsi="Times New Roman" w:eastAsia="宋体" w:cs="Times New Roman"/>
          <w:b/>
          <w:bCs/>
          <w:sz w:val="24"/>
          <w:szCs w:val="24"/>
          <w:highlight w:val="none"/>
          <w:u w:val="single"/>
          <w:lang w:val="en-US" w:eastAsia="zh-CN"/>
        </w:rPr>
        <w:t>0.893</w:t>
      </w:r>
      <w:r>
        <w:rPr>
          <w:rFonts w:hint="eastAsia" w:ascii="Times New Roman" w:hAnsi="Times New Roman" w:eastAsia="宋体" w:cs="Times New Roman"/>
          <w:b/>
          <w:bCs/>
          <w:sz w:val="24"/>
          <w:szCs w:val="24"/>
          <w:highlight w:val="none"/>
          <w:u w:val="single"/>
        </w:rPr>
        <w:t>t/a。</w:t>
      </w:r>
    </w:p>
    <w:p w14:paraId="7BC6C76A">
      <w:pPr>
        <w:pStyle w:val="17"/>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2、废气收集方式及废气量</w:t>
      </w:r>
    </w:p>
    <w:p w14:paraId="359527A5">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w:t>
      </w:r>
      <w:r>
        <w:rPr>
          <w:rFonts w:hint="eastAsia" w:ascii="Times New Roman" w:hAnsi="Times New Roman" w:eastAsia="宋体" w:cs="Times New Roman"/>
          <w:sz w:val="24"/>
        </w:rPr>
        <w:t>设置专门的脉冲布袋除尘打磨柜，具体如下图：</w:t>
      </w:r>
    </w:p>
    <w:p w14:paraId="122B63C3">
      <w:pPr>
        <w:pStyle w:val="18"/>
        <w:spacing w:line="240" w:lineRule="auto"/>
      </w:pPr>
      <w:r>
        <w:drawing>
          <wp:inline distT="0" distB="0" distL="114300" distR="114300">
            <wp:extent cx="5266690" cy="1867535"/>
            <wp:effectExtent l="0" t="0" r="10160" b="18415"/>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pic:cNvPicPr>
                  </pic:nvPicPr>
                  <pic:blipFill>
                    <a:blip r:embed="rId49"/>
                    <a:stretch>
                      <a:fillRect/>
                    </a:stretch>
                  </pic:blipFill>
                  <pic:spPr>
                    <a:xfrm>
                      <a:off x="0" y="0"/>
                      <a:ext cx="5266690" cy="1867535"/>
                    </a:xfrm>
                    <a:prstGeom prst="rect">
                      <a:avLst/>
                    </a:prstGeom>
                    <a:noFill/>
                    <a:ln>
                      <a:noFill/>
                    </a:ln>
                  </pic:spPr>
                </pic:pic>
              </a:graphicData>
            </a:graphic>
          </wp:inline>
        </w:drawing>
      </w:r>
    </w:p>
    <w:p w14:paraId="106437B6">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yellow"/>
          <w:lang w:val="en-US" w:eastAsia="zh-CN"/>
          <w14:textFill>
            <w14:solidFill>
              <w14:schemeClr w14:val="tx1"/>
            </w14:solidFill>
          </w14:textFill>
        </w:rPr>
      </w:pPr>
      <w:r>
        <w:rPr>
          <w:rFonts w:hint="eastAsia" w:ascii="Times New Roman" w:hAnsi="Times New Roman" w:eastAsia="宋体" w:cs="Times New Roman"/>
          <w:sz w:val="24"/>
        </w:rPr>
        <w:t>打磨工序产生的粉尘经负压收集后引入脉冲布袋除尘器，去</w:t>
      </w:r>
      <w:r>
        <w:rPr>
          <w:rFonts w:hint="eastAsia" w:ascii="Times New Roman" w:hAnsi="Times New Roman" w:eastAsia="宋体" w:cs="Times New Roman"/>
          <w:sz w:val="24"/>
          <w:highlight w:val="none"/>
        </w:rPr>
        <w:t>除效率为9</w:t>
      </w:r>
      <w:r>
        <w:rPr>
          <w:rFonts w:hint="eastAsia" w:ascii="Times New Roman" w:hAnsi="Times New Roman" w:eastAsia="宋体" w:cs="Times New Roman"/>
          <w:sz w:val="24"/>
          <w:highlight w:val="none"/>
          <w:lang w:val="en-US" w:eastAsia="zh-CN"/>
        </w:rPr>
        <w:t>9</w:t>
      </w:r>
      <w:r>
        <w:rPr>
          <w:rFonts w:hint="eastAsia"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处理后无组织排放，排放量为0.009</w:t>
      </w:r>
      <w:r>
        <w:rPr>
          <w:rFonts w:hint="eastAsia" w:ascii="Times New Roman" w:hAnsi="Times New Roman" w:eastAsia="宋体" w:cs="Times New Roman"/>
          <w:color w:val="000000" w:themeColor="text1"/>
          <w:sz w:val="24"/>
          <w:szCs w:val="24"/>
          <w:highlight w:val="none"/>
          <w14:textFill>
            <w14:solidFill>
              <w14:schemeClr w14:val="tx1"/>
            </w14:solidFill>
          </w14:textFill>
        </w:rPr>
        <w:t>t/a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0CC52D14">
      <w:pPr>
        <w:pStyle w:val="5"/>
        <w:numPr>
          <w:ilvl w:val="3"/>
          <w:numId w:val="39"/>
        </w:numPr>
        <w:adjustRightInd w:val="0"/>
        <w:snapToGrid w:val="0"/>
      </w:pPr>
      <w:r>
        <w:rPr>
          <w:rFonts w:hint="eastAsia"/>
        </w:rPr>
        <w:t>项目有机废气源强核算</w:t>
      </w:r>
    </w:p>
    <w:p w14:paraId="5BFF5745">
      <w:pPr>
        <w:adjustRightInd w:val="0"/>
        <w:snapToGrid w:val="0"/>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1、</w:t>
      </w:r>
      <w:r>
        <w:rPr>
          <w:rFonts w:hint="eastAsia" w:ascii="Times New Roman" w:hAnsi="Times New Roman" w:eastAsia="宋体" w:cs="Times New Roman"/>
          <w:sz w:val="24"/>
        </w:rPr>
        <w:t>污染物产生量</w:t>
      </w:r>
    </w:p>
    <w:p w14:paraId="71E0ED13">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fldChar w:fldCharType="begin"/>
      </w:r>
      <w:r>
        <w:rPr>
          <w:rFonts w:ascii="Times New Roman" w:hAnsi="Times New Roman" w:eastAsia="宋体" w:cs="Times New Roman"/>
          <w:color w:val="000000" w:themeColor="text1"/>
          <w:kern w:val="0"/>
          <w:sz w:val="24"/>
          <w14:textFill>
            <w14:solidFill>
              <w14:schemeClr w14:val="tx1"/>
            </w14:solidFill>
          </w14:textFill>
        </w:rPr>
        <w:instrText xml:space="preserve"> = 1 \* GB3 \* MERGEFORMAT </w:instrText>
      </w:r>
      <w:r>
        <w:rPr>
          <w:rFonts w:ascii="Times New Roman" w:hAnsi="Times New Roman" w:eastAsia="宋体" w:cs="Times New Roman"/>
          <w:color w:val="000000" w:themeColor="text1"/>
          <w:kern w:val="0"/>
          <w:sz w:val="24"/>
          <w14:textFill>
            <w14:solidFill>
              <w14:schemeClr w14:val="tx1"/>
            </w14:solidFill>
          </w14:textFill>
        </w:rPr>
        <w:fldChar w:fldCharType="separate"/>
      </w:r>
      <w:r>
        <w:rPr>
          <w:rFonts w:ascii="Times New Roman" w:hAnsi="Times New Roman" w:cs="Times New Roman"/>
          <w:color w:val="000000" w:themeColor="text1"/>
          <w:sz w:val="24"/>
          <w14:textFill>
            <w14:solidFill>
              <w14:schemeClr w14:val="tx1"/>
            </w14:solidFill>
          </w14:textFill>
        </w:rPr>
        <w:t>①</w:t>
      </w:r>
      <w:r>
        <w:rPr>
          <w:rFonts w:ascii="Times New Roman" w:hAnsi="Times New Roman" w:eastAsia="宋体" w:cs="Times New Roman"/>
          <w:color w:val="000000" w:themeColor="text1"/>
          <w:kern w:val="0"/>
          <w:sz w:val="24"/>
          <w14:textFill>
            <w14:solidFill>
              <w14:schemeClr w14:val="tx1"/>
            </w14:solidFill>
          </w14:textFill>
        </w:rPr>
        <w:fldChar w:fldCharType="end"/>
      </w:r>
      <w:r>
        <w:rPr>
          <w:rFonts w:ascii="Times New Roman" w:hAnsi="Times New Roman" w:cs="Times New Roman"/>
          <w:color w:val="000000" w:themeColor="text1"/>
          <w:sz w:val="24"/>
          <w14:textFill>
            <w14:solidFill>
              <w14:schemeClr w14:val="tx1"/>
            </w14:solidFill>
          </w14:textFill>
        </w:rPr>
        <w:t>拼板</w:t>
      </w:r>
      <w:r>
        <w:rPr>
          <w:rFonts w:hint="eastAsia" w:ascii="Times New Roman" w:hAnsi="Times New Roman" w:cs="Times New Roman"/>
          <w:color w:val="000000" w:themeColor="text1"/>
          <w:sz w:val="24"/>
          <w14:textFill>
            <w14:solidFill>
              <w14:schemeClr w14:val="tx1"/>
            </w14:solidFill>
          </w14:textFill>
        </w:rPr>
        <w:t>冷压、封边、热压</w:t>
      </w:r>
      <w:r>
        <w:rPr>
          <w:rFonts w:ascii="Times New Roman" w:hAnsi="Times New Roman" w:cs="Times New Roman"/>
          <w:color w:val="000000" w:themeColor="text1"/>
          <w:sz w:val="24"/>
          <w14:textFill>
            <w14:solidFill>
              <w14:schemeClr w14:val="tx1"/>
            </w14:solidFill>
          </w14:textFill>
        </w:rPr>
        <w:t>废气</w:t>
      </w:r>
    </w:p>
    <w:p w14:paraId="7DB0581D">
      <w:pPr>
        <w:widowControl/>
        <w:adjustRightInd w:val="0"/>
        <w:snapToGrid w:val="0"/>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拼板冷压：</w:t>
      </w:r>
      <w:r>
        <w:rPr>
          <w:sz w:val="24"/>
        </w:rPr>
        <w:t>本项目</w:t>
      </w:r>
      <w:r>
        <w:rPr>
          <w:rFonts w:hint="eastAsia"/>
          <w:sz w:val="24"/>
        </w:rPr>
        <w:t>冷压</w:t>
      </w:r>
      <w:r>
        <w:rPr>
          <w:sz w:val="24"/>
        </w:rPr>
        <w:t>工序采用</w:t>
      </w:r>
      <w:r>
        <w:rPr>
          <w:bCs/>
          <w:sz w:val="24"/>
        </w:rPr>
        <w:t>的胶黏剂为白乳胶</w:t>
      </w:r>
      <w:r>
        <w:rPr>
          <w:rFonts w:hint="eastAsia"/>
          <w:sz w:val="24"/>
        </w:rPr>
        <w:t>，</w:t>
      </w:r>
      <w:r>
        <w:rPr>
          <w:bCs/>
          <w:sz w:val="24"/>
        </w:rPr>
        <w:t>为浅棕色半透明体或</w:t>
      </w:r>
      <w:r>
        <w:rPr>
          <w:rFonts w:hint="eastAsia"/>
          <w:bCs/>
          <w:sz w:val="24"/>
        </w:rPr>
        <w:t>乳</w:t>
      </w:r>
      <w:r>
        <w:rPr>
          <w:bCs/>
          <w:sz w:val="24"/>
        </w:rPr>
        <w:t>白色</w:t>
      </w:r>
      <w:r>
        <w:rPr>
          <w:rFonts w:hint="eastAsia" w:ascii="Times New Roman" w:hAnsi="Times New Roman" w:cs="Times New Roman"/>
          <w:color w:val="000000" w:themeColor="text1"/>
          <w:sz w:val="24"/>
          <w14:textFill>
            <w14:solidFill>
              <w14:schemeClr w14:val="tx1"/>
            </w14:solidFill>
          </w14:textFill>
        </w:rPr>
        <w:t>。根据《第二次全国污染源普查产排污量核算系数手册（河南省第二次全国污染源普查领导小组办公室2019年4月9日）》“</w:t>
      </w:r>
      <w:r>
        <w:rPr>
          <w:rFonts w:hint="eastAsia" w:ascii="宋体" w:hAnsi="宋体" w:eastAsia="宋体" w:cs="宋体"/>
          <w:color w:val="000000"/>
          <w:kern w:val="0"/>
          <w:sz w:val="24"/>
          <w:lang w:bidi="ar"/>
        </w:rPr>
        <w:t>木质家具制造涂胶工序使用胶黏剂（水性）挥发性有机物（以非甲烷总烃计）产污系数</w:t>
      </w:r>
      <w:r>
        <w:rPr>
          <w:rFonts w:hint="eastAsia" w:ascii="Times New Roman" w:hAnsi="Times New Roman" w:cs="Times New Roman"/>
          <w:color w:val="000000" w:themeColor="text1"/>
          <w:sz w:val="24"/>
          <w14:textFill>
            <w14:solidFill>
              <w14:schemeClr w14:val="tx1"/>
            </w14:solidFill>
          </w14:textFill>
        </w:rPr>
        <w:t>”，</w:t>
      </w:r>
      <w:r>
        <w:rPr>
          <w:rFonts w:hint="eastAsia" w:ascii="Times New Roman" w:hAnsi="Times New Roman" w:eastAsia="宋体" w:cs="Times New Roman"/>
          <w:sz w:val="24"/>
        </w:rPr>
        <w:t>产污系数为52.4</w:t>
      </w:r>
      <w:r>
        <w:rPr>
          <w:rFonts w:hint="eastAsia" w:ascii="宋体" w:hAnsi="宋体" w:eastAsia="宋体" w:cs="宋体"/>
          <w:color w:val="000000"/>
          <w:kern w:val="0"/>
          <w:sz w:val="24"/>
          <w:lang w:bidi="ar"/>
        </w:rPr>
        <w:t>克</w:t>
      </w:r>
      <w:r>
        <w:rPr>
          <w:rFonts w:ascii="Times New Roman" w:hAnsi="Times New Roman" w:eastAsia="宋体" w:cs="Times New Roman"/>
          <w:color w:val="000000"/>
          <w:kern w:val="0"/>
          <w:sz w:val="24"/>
          <w:lang w:bidi="ar"/>
        </w:rPr>
        <w:t>/</w:t>
      </w:r>
      <w:r>
        <w:rPr>
          <w:rFonts w:hint="eastAsia" w:ascii="宋体" w:hAnsi="宋体" w:eastAsia="宋体" w:cs="宋体"/>
          <w:color w:val="000000"/>
          <w:kern w:val="0"/>
          <w:sz w:val="24"/>
          <w:lang w:bidi="ar"/>
        </w:rPr>
        <w:t>公斤</w:t>
      </w:r>
      <w:r>
        <w:rPr>
          <w:rFonts w:ascii="Times New Roman" w:hAnsi="Times New Roman" w:eastAsia="宋体" w:cs="Times New Roman"/>
          <w:color w:val="000000"/>
          <w:kern w:val="0"/>
          <w:sz w:val="24"/>
          <w:lang w:bidi="ar"/>
        </w:rPr>
        <w:t>-</w:t>
      </w:r>
      <w:r>
        <w:rPr>
          <w:rFonts w:hint="eastAsia" w:ascii="宋体" w:hAnsi="宋体" w:eastAsia="宋体" w:cs="宋体"/>
          <w:color w:val="000000"/>
          <w:kern w:val="0"/>
          <w:sz w:val="24"/>
          <w:lang w:bidi="ar"/>
        </w:rPr>
        <w:t>胶粘剂</w:t>
      </w:r>
      <w:r>
        <w:rPr>
          <w:rFonts w:hint="eastAsia" w:ascii="Times New Roman" w:hAnsi="Times New Roman" w:eastAsia="宋体" w:cs="Times New Roman"/>
          <w:sz w:val="24"/>
        </w:rPr>
        <w:t>，</w:t>
      </w:r>
      <w:r>
        <w:rPr>
          <w:rFonts w:ascii="Times New Roman" w:hAnsi="Times New Roman" w:cs="Times New Roman"/>
          <w:color w:val="000000" w:themeColor="text1"/>
          <w:sz w:val="24"/>
          <w14:textFill>
            <w14:solidFill>
              <w14:schemeClr w14:val="tx1"/>
            </w14:solidFill>
          </w14:textFill>
        </w:rPr>
        <w:t>本项目白乳胶使用量为</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t/a，则</w:t>
      </w:r>
      <w:r>
        <w:rPr>
          <w:rFonts w:hint="eastAsia" w:ascii="Times New Roman" w:hAnsi="Times New Roman" w:cs="Times New Roman"/>
          <w:color w:val="000000" w:themeColor="text1"/>
          <w:sz w:val="24"/>
          <w14:textFill>
            <w14:solidFill>
              <w14:schemeClr w14:val="tx1"/>
            </w14:solidFill>
          </w14:textFill>
        </w:rPr>
        <w:t>非甲烷总烃产生量为0.105t/a，产生速率为0.044kg/h。</w:t>
      </w:r>
    </w:p>
    <w:p w14:paraId="6C17A018">
      <w:pPr>
        <w:widowControl/>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封边、</w:t>
      </w:r>
      <w:r>
        <w:rPr>
          <w:rFonts w:ascii="Times New Roman" w:hAnsi="Times New Roman" w:eastAsia="宋体" w:cs="Times New Roman"/>
          <w:color w:val="000000" w:themeColor="text1"/>
          <w:sz w:val="24"/>
          <w14:textFill>
            <w14:solidFill>
              <w14:schemeClr w14:val="tx1"/>
            </w14:solidFill>
          </w14:textFill>
        </w:rPr>
        <w:t>热压：</w:t>
      </w:r>
      <w:r>
        <w:rPr>
          <w:rFonts w:ascii="Times New Roman" w:hAnsi="Times New Roman" w:eastAsia="宋体" w:cs="Times New Roman"/>
          <w:sz w:val="24"/>
        </w:rPr>
        <w:t>本项目</w:t>
      </w:r>
      <w:r>
        <w:rPr>
          <w:rFonts w:hint="eastAsia" w:ascii="Times New Roman" w:hAnsi="Times New Roman" w:eastAsia="宋体" w:cs="Times New Roman"/>
          <w:sz w:val="24"/>
        </w:rPr>
        <w:t>封边、</w:t>
      </w:r>
      <w:r>
        <w:rPr>
          <w:rFonts w:ascii="Times New Roman" w:hAnsi="Times New Roman" w:eastAsia="宋体" w:cs="Times New Roman"/>
          <w:sz w:val="24"/>
        </w:rPr>
        <w:t>热压工序采用</w:t>
      </w:r>
      <w:r>
        <w:rPr>
          <w:rFonts w:ascii="Times New Roman" w:hAnsi="Times New Roman" w:eastAsia="宋体" w:cs="Times New Roman"/>
          <w:bCs/>
          <w:sz w:val="24"/>
        </w:rPr>
        <w:t>的胶黏剂为热熔胶</w:t>
      </w:r>
      <w:r>
        <w:rPr>
          <w:rFonts w:ascii="Times New Roman" w:hAnsi="Times New Roman" w:eastAsia="宋体" w:cs="Times New Roman"/>
          <w:sz w:val="24"/>
        </w:rPr>
        <w:t>，为</w:t>
      </w:r>
      <w:r>
        <w:rPr>
          <w:rFonts w:hint="eastAsia" w:ascii="Times New Roman" w:hAnsi="Times New Roman" w:eastAsia="宋体" w:cs="Times New Roman"/>
          <w:sz w:val="24"/>
        </w:rPr>
        <w:t>颗粒状</w:t>
      </w:r>
      <w:r>
        <w:rPr>
          <w:rFonts w:ascii="Times New Roman" w:hAnsi="Times New Roman" w:eastAsia="宋体" w:cs="Times New Roman"/>
          <w:sz w:val="24"/>
        </w:rPr>
        <w:t>，加热熔融到一定程度变为能流动且有一定</w:t>
      </w:r>
      <w:r>
        <w:rPr>
          <w:rFonts w:ascii="Times New Roman" w:hAnsi="Times New Roman" w:eastAsia="宋体" w:cs="Times New Roman"/>
          <w:bCs/>
          <w:sz w:val="24"/>
        </w:rPr>
        <w:t>粘性的液体粘合剂</w:t>
      </w:r>
      <w:r>
        <w:rPr>
          <w:rFonts w:ascii="Times New Roman" w:hAnsi="Times New Roman" w:eastAsia="宋体" w:cs="Times New Roman"/>
          <w:color w:val="000000" w:themeColor="text1"/>
          <w:sz w:val="24"/>
          <w14:textFill>
            <w14:solidFill>
              <w14:schemeClr w14:val="tx1"/>
            </w14:solidFill>
          </w14:textFill>
        </w:rPr>
        <w:t>。根据《第二次全国污染源普查产排污</w:t>
      </w:r>
      <w:r>
        <w:rPr>
          <w:rFonts w:hint="eastAsia" w:ascii="Times New Roman" w:hAnsi="Times New Roman" w:cs="Times New Roman"/>
          <w:color w:val="000000" w:themeColor="text1"/>
          <w:sz w:val="24"/>
          <w14:textFill>
            <w14:solidFill>
              <w14:schemeClr w14:val="tx1"/>
            </w14:solidFill>
          </w14:textFill>
        </w:rPr>
        <w:t>量</w:t>
      </w:r>
      <w:r>
        <w:rPr>
          <w:rFonts w:ascii="Times New Roman" w:hAnsi="Times New Roman" w:eastAsia="宋体" w:cs="Times New Roman"/>
          <w:color w:val="000000" w:themeColor="text1"/>
          <w:sz w:val="24"/>
          <w14:textFill>
            <w14:solidFill>
              <w14:schemeClr w14:val="tx1"/>
            </w14:solidFill>
          </w14:textFill>
        </w:rPr>
        <w:t>核算系数手册</w:t>
      </w:r>
      <w:r>
        <w:rPr>
          <w:rFonts w:hint="eastAsia" w:ascii="Times New Roman" w:hAnsi="Times New Roman" w:cs="Times New Roman"/>
          <w:color w:val="000000" w:themeColor="text1"/>
          <w:sz w:val="24"/>
          <w14:textFill>
            <w14:solidFill>
              <w14:schemeClr w14:val="tx1"/>
            </w14:solidFill>
          </w14:textFill>
        </w:rPr>
        <w:t>（河南省第二次全国污染源普查领导小组办公室2019年4月9日）</w:t>
      </w: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kern w:val="0"/>
          <w:sz w:val="24"/>
          <w:lang w:bidi="ar"/>
        </w:rPr>
        <w:t>“木质家具制造热压/胶压工序使用胶黏剂（固体热熔）挥发性有机物（以非甲烷总烃计）产污系数”，产污系数为1.5g/公斤-原料，</w:t>
      </w:r>
      <w:r>
        <w:rPr>
          <w:rFonts w:ascii="Times New Roman" w:hAnsi="Times New Roman" w:eastAsia="宋体" w:cs="Times New Roman"/>
          <w:color w:val="000000" w:themeColor="text1"/>
          <w:sz w:val="24"/>
          <w14:textFill>
            <w14:solidFill>
              <w14:schemeClr w14:val="tx1"/>
            </w14:solidFill>
          </w14:textFill>
        </w:rPr>
        <w:t>本项目</w:t>
      </w:r>
      <w:r>
        <w:rPr>
          <w:rFonts w:hint="eastAsia" w:ascii="Times New Roman" w:hAnsi="Times New Roman" w:eastAsia="宋体" w:cs="Times New Roman"/>
          <w:color w:val="000000" w:themeColor="text1"/>
          <w:sz w:val="24"/>
          <w14:textFill>
            <w14:solidFill>
              <w14:schemeClr w14:val="tx1"/>
            </w14:solidFill>
          </w14:textFill>
        </w:rPr>
        <w:t>热熔胶</w:t>
      </w:r>
      <w:r>
        <w:rPr>
          <w:rFonts w:ascii="Times New Roman" w:hAnsi="Times New Roman" w:eastAsia="宋体" w:cs="Times New Roman"/>
          <w:color w:val="000000" w:themeColor="text1"/>
          <w:sz w:val="24"/>
          <w14:textFill>
            <w14:solidFill>
              <w14:schemeClr w14:val="tx1"/>
            </w14:solidFill>
          </w14:textFill>
        </w:rPr>
        <w:t>使用量为</w:t>
      </w:r>
      <w:r>
        <w:rPr>
          <w:rFonts w:hint="eastAsia" w:ascii="Times New Roman" w:hAnsi="Times New Roman" w:eastAsia="宋体" w:cs="Times New Roman"/>
          <w:color w:val="000000" w:themeColor="text1"/>
          <w:sz w:val="24"/>
          <w14:textFill>
            <w14:solidFill>
              <w14:schemeClr w14:val="tx1"/>
            </w14:solidFill>
          </w14:textFill>
        </w:rPr>
        <w:t>1.5</w:t>
      </w:r>
      <w:r>
        <w:rPr>
          <w:rFonts w:ascii="Times New Roman" w:hAnsi="Times New Roman" w:eastAsia="宋体" w:cs="Times New Roman"/>
          <w:color w:val="000000" w:themeColor="text1"/>
          <w:sz w:val="24"/>
          <w14:textFill>
            <w14:solidFill>
              <w14:schemeClr w14:val="tx1"/>
            </w14:solidFill>
          </w14:textFill>
        </w:rPr>
        <w:t>t/a，则非甲烷总烃产生量为</w:t>
      </w:r>
      <w:r>
        <w:rPr>
          <w:rFonts w:hint="eastAsia" w:ascii="Times New Roman" w:hAnsi="Times New Roman" w:eastAsia="宋体" w:cs="Times New Roman"/>
          <w:color w:val="000000" w:themeColor="text1"/>
          <w:sz w:val="24"/>
          <w14:textFill>
            <w14:solidFill>
              <w14:schemeClr w14:val="tx1"/>
            </w14:solidFill>
          </w14:textFill>
        </w:rPr>
        <w:t>0.0023</w:t>
      </w:r>
      <w:r>
        <w:rPr>
          <w:rFonts w:ascii="Times New Roman" w:hAnsi="Times New Roman" w:eastAsia="宋体" w:cs="Times New Roman"/>
          <w:color w:val="000000" w:themeColor="text1"/>
          <w:sz w:val="24"/>
          <w14:textFill>
            <w14:solidFill>
              <w14:schemeClr w14:val="tx1"/>
            </w14:solidFill>
          </w14:textFill>
        </w:rPr>
        <w:t>t/a</w:t>
      </w:r>
      <w:r>
        <w:rPr>
          <w:rFonts w:hint="eastAsia" w:ascii="Times New Roman" w:hAnsi="Times New Roman" w:eastAsia="宋体" w:cs="Times New Roman"/>
          <w:color w:val="000000" w:themeColor="text1"/>
          <w:sz w:val="24"/>
          <w14:textFill>
            <w14:solidFill>
              <w14:schemeClr w14:val="tx1"/>
            </w14:solidFill>
          </w14:textFill>
        </w:rPr>
        <w:t>，产生速率0.001kg/h</w:t>
      </w:r>
      <w:r>
        <w:rPr>
          <w:rFonts w:ascii="Times New Roman" w:hAnsi="Times New Roman" w:eastAsia="宋体" w:cs="Times New Roman"/>
          <w:color w:val="000000" w:themeColor="text1"/>
          <w:sz w:val="24"/>
          <w14:textFill>
            <w14:solidFill>
              <w14:schemeClr w14:val="tx1"/>
            </w14:solidFill>
          </w14:textFill>
        </w:rPr>
        <w:t>。</w:t>
      </w:r>
    </w:p>
    <w:p w14:paraId="14D2D95A">
      <w:pPr>
        <w:adjustRightInd w:val="0"/>
        <w:snapToGrid w:val="0"/>
        <w:spacing w:line="360" w:lineRule="auto"/>
        <w:ind w:firstLine="482" w:firstLineChars="200"/>
        <w:rPr>
          <w:rFonts w:ascii="Times New Roman" w:hAnsi="Times New Roman" w:eastAsia="宋体" w:cs="Times New Roman"/>
          <w:b/>
          <w:bCs/>
          <w:color w:val="000000" w:themeColor="text1"/>
          <w:kern w:val="0"/>
          <w:sz w:val="24"/>
          <w:u w:val="single"/>
          <w14:textFill>
            <w14:solidFill>
              <w14:schemeClr w14:val="tx1"/>
            </w14:solidFill>
          </w14:textFill>
        </w:rPr>
      </w:pPr>
      <w:r>
        <w:rPr>
          <w:rFonts w:ascii="Times New Roman" w:hAnsi="Times New Roman" w:eastAsia="宋体" w:cs="Times New Roman"/>
          <w:b/>
          <w:bCs/>
          <w:color w:val="000000" w:themeColor="text1"/>
          <w:sz w:val="24"/>
          <w:u w:val="single"/>
          <w14:textFill>
            <w14:solidFill>
              <w14:schemeClr w14:val="tx1"/>
            </w14:solidFill>
          </w14:textFill>
        </w:rPr>
        <w:fldChar w:fldCharType="begin"/>
      </w:r>
      <w:r>
        <w:rPr>
          <w:rFonts w:ascii="Times New Roman" w:hAnsi="Times New Roman" w:eastAsia="宋体" w:cs="Times New Roman"/>
          <w:b/>
          <w:bCs/>
          <w:color w:val="000000" w:themeColor="text1"/>
          <w:sz w:val="24"/>
          <w:u w:val="single"/>
          <w14:textFill>
            <w14:solidFill>
              <w14:schemeClr w14:val="tx1"/>
            </w14:solidFill>
          </w14:textFill>
        </w:rPr>
        <w:instrText xml:space="preserve"> = 2 \* GB3 \* MERGEFORMAT </w:instrText>
      </w:r>
      <w:r>
        <w:rPr>
          <w:rFonts w:ascii="Times New Roman" w:hAnsi="Times New Roman" w:eastAsia="宋体" w:cs="Times New Roman"/>
          <w:b/>
          <w:bCs/>
          <w:color w:val="000000" w:themeColor="text1"/>
          <w:sz w:val="24"/>
          <w:u w:val="single"/>
          <w14:textFill>
            <w14:solidFill>
              <w14:schemeClr w14:val="tx1"/>
            </w14:solidFill>
          </w14:textFill>
        </w:rPr>
        <w:fldChar w:fldCharType="separate"/>
      </w:r>
      <w:r>
        <w:rPr>
          <w:rFonts w:ascii="Times New Roman" w:hAnsi="Times New Roman" w:eastAsia="宋体" w:cs="Times New Roman"/>
          <w:b/>
          <w:bCs/>
          <w:sz w:val="24"/>
          <w:u w:val="single"/>
        </w:rPr>
        <w:t>②</w:t>
      </w:r>
      <w:r>
        <w:rPr>
          <w:rFonts w:ascii="Times New Roman" w:hAnsi="Times New Roman" w:eastAsia="宋体" w:cs="Times New Roman"/>
          <w:b/>
          <w:bCs/>
          <w:color w:val="000000" w:themeColor="text1"/>
          <w:sz w:val="24"/>
          <w:u w:val="single"/>
          <w14:textFill>
            <w14:solidFill>
              <w14:schemeClr w14:val="tx1"/>
            </w14:solidFill>
          </w14:textFill>
        </w:rPr>
        <w:fldChar w:fldCharType="end"/>
      </w:r>
      <w:r>
        <w:rPr>
          <w:rFonts w:ascii="Times New Roman" w:hAnsi="Times New Roman" w:eastAsia="宋体" w:cs="Times New Roman"/>
          <w:b/>
          <w:bCs/>
          <w:color w:val="000000" w:themeColor="text1"/>
          <w:sz w:val="24"/>
          <w:u w:val="single"/>
          <w14:textFill>
            <w14:solidFill>
              <w14:schemeClr w14:val="tx1"/>
            </w14:solidFill>
          </w14:textFill>
        </w:rPr>
        <w:t>擦色废气</w:t>
      </w:r>
    </w:p>
    <w:p w14:paraId="3B073A9F">
      <w:pPr>
        <w:adjustRightInd w:val="0"/>
        <w:snapToGrid w:val="0"/>
        <w:spacing w:line="360" w:lineRule="auto"/>
        <w:ind w:firstLine="482"/>
        <w:rPr>
          <w:rFonts w:ascii="Times New Roman" w:hAnsi="Times New Roman" w:eastAsia="宋体" w:cs="Times New Roman"/>
          <w:b/>
          <w:bCs/>
          <w:color w:val="FF0000"/>
          <w:sz w:val="24"/>
          <w:u w:val="single"/>
        </w:rPr>
      </w:pPr>
      <w:r>
        <w:rPr>
          <w:rFonts w:ascii="Times New Roman" w:hAnsi="Times New Roman" w:eastAsia="宋体" w:cs="Times New Roman"/>
          <w:b/>
          <w:bCs/>
          <w:color w:val="000000" w:themeColor="text1"/>
          <w:sz w:val="24"/>
          <w:u w:val="single"/>
          <w14:textFill>
            <w14:solidFill>
              <w14:schemeClr w14:val="tx1"/>
            </w14:solidFill>
          </w14:textFill>
        </w:rPr>
        <w:t>打磨后的家具进行擦色处理，擦色采用棉布手工擦一层</w:t>
      </w:r>
      <w:r>
        <w:rPr>
          <w:rFonts w:hint="eastAsia" w:ascii="Times New Roman" w:hAnsi="Times New Roman" w:eastAsia="宋体" w:cs="Times New Roman"/>
          <w:b/>
          <w:bCs/>
          <w:color w:val="000000" w:themeColor="text1"/>
          <w:sz w:val="24"/>
          <w:u w:val="single"/>
          <w14:textFill>
            <w14:solidFill>
              <w14:schemeClr w14:val="tx1"/>
            </w14:solidFill>
          </w14:textFill>
        </w:rPr>
        <w:t>木蜡油</w:t>
      </w:r>
      <w:r>
        <w:rPr>
          <w:rFonts w:ascii="Times New Roman" w:hAnsi="Times New Roman" w:eastAsia="宋体" w:cs="Times New Roman"/>
          <w:b/>
          <w:bCs/>
          <w:color w:val="000000" w:themeColor="text1"/>
          <w:sz w:val="24"/>
          <w:u w:val="single"/>
          <w14:textFill>
            <w14:solidFill>
              <w14:schemeClr w14:val="tx1"/>
            </w14:solidFill>
          </w14:textFill>
        </w:rPr>
        <w:t>（是一种木器的着色剂），着色剂能迅速的渗入木材孔纹里，增加木材纹理的鲜明度，具有柔和的透明色调。着色剂为干性植物油型树脂，浅红棕色透明黏液，有植物油香，主要成分为天然植物油、醇类、酸类，不含甲醛、苯、甲苯、二甲苯，不含重金属，</w:t>
      </w:r>
      <w:r>
        <w:rPr>
          <w:rFonts w:hint="eastAsia" w:ascii="Times New Roman" w:hAnsi="Times New Roman" w:eastAsia="宋体" w:cs="Times New Roman"/>
          <w:b/>
          <w:bCs/>
          <w:color w:val="000000" w:themeColor="text1"/>
          <w:sz w:val="24"/>
          <w:u w:val="single"/>
          <w14:textFill>
            <w14:solidFill>
              <w14:schemeClr w14:val="tx1"/>
            </w14:solidFill>
          </w14:textFill>
        </w:rPr>
        <w:t>挥发性有机化合物含量为</w:t>
      </w:r>
      <w:r>
        <w:rPr>
          <w:rFonts w:hint="eastAsia" w:ascii="Times New Roman" w:hAnsi="Times New Roman" w:eastAsia="宋体" w:cs="Times New Roman"/>
          <w:b/>
          <w:bCs/>
          <w:color w:val="auto"/>
          <w:sz w:val="24"/>
          <w:u w:val="single"/>
        </w:rPr>
        <w:t>50g/L，密度按0.9kg/L计</w:t>
      </w:r>
      <w:r>
        <w:rPr>
          <w:rFonts w:ascii="Times New Roman" w:hAnsi="Times New Roman" w:eastAsia="宋体" w:cs="Times New Roman"/>
          <w:b/>
          <w:bCs/>
          <w:color w:val="auto"/>
          <w:sz w:val="24"/>
          <w:u w:val="single"/>
        </w:rPr>
        <w:t>，本项目着色剂格丽斯年用量为</w:t>
      </w:r>
      <w:r>
        <w:rPr>
          <w:rFonts w:hint="eastAsia" w:ascii="Times New Roman" w:hAnsi="Times New Roman" w:eastAsia="宋体" w:cs="Times New Roman"/>
          <w:b/>
          <w:bCs/>
          <w:color w:val="auto"/>
          <w:sz w:val="24"/>
          <w:u w:val="single"/>
        </w:rPr>
        <w:t>1.0</w:t>
      </w:r>
      <w:r>
        <w:rPr>
          <w:rFonts w:ascii="Times New Roman" w:hAnsi="Times New Roman" w:eastAsia="宋体" w:cs="Times New Roman"/>
          <w:b/>
          <w:bCs/>
          <w:color w:val="auto"/>
          <w:sz w:val="24"/>
          <w:u w:val="single"/>
        </w:rPr>
        <w:t>t/a，则非甲烷总烃产生量为</w:t>
      </w:r>
      <w:r>
        <w:rPr>
          <w:rFonts w:hint="eastAsia" w:ascii="Times New Roman" w:hAnsi="Times New Roman" w:eastAsia="宋体" w:cs="Times New Roman"/>
          <w:b/>
          <w:bCs/>
          <w:color w:val="auto"/>
          <w:sz w:val="24"/>
          <w:u w:val="single"/>
        </w:rPr>
        <w:t>0.056</w:t>
      </w:r>
      <w:r>
        <w:rPr>
          <w:rFonts w:ascii="Times New Roman" w:hAnsi="Times New Roman" w:eastAsia="宋体" w:cs="Times New Roman"/>
          <w:b/>
          <w:bCs/>
          <w:color w:val="auto"/>
          <w:sz w:val="24"/>
          <w:u w:val="single"/>
        </w:rPr>
        <w:t>t/a，</w:t>
      </w:r>
      <w:r>
        <w:rPr>
          <w:rFonts w:hint="eastAsia" w:ascii="Times New Roman" w:hAnsi="Times New Roman" w:eastAsia="宋体" w:cs="Times New Roman"/>
          <w:b/>
          <w:bCs/>
          <w:color w:val="auto"/>
          <w:sz w:val="24"/>
          <w:u w:val="single"/>
        </w:rPr>
        <w:t>产生</w:t>
      </w:r>
      <w:r>
        <w:rPr>
          <w:rFonts w:ascii="Times New Roman" w:hAnsi="Times New Roman" w:eastAsia="宋体" w:cs="Times New Roman"/>
          <w:b/>
          <w:bCs/>
          <w:color w:val="auto"/>
          <w:sz w:val="24"/>
          <w:u w:val="single"/>
        </w:rPr>
        <w:t>速率为0.0</w:t>
      </w:r>
      <w:r>
        <w:rPr>
          <w:rFonts w:hint="eastAsia" w:ascii="Times New Roman" w:hAnsi="Times New Roman" w:eastAsia="宋体" w:cs="Times New Roman"/>
          <w:b/>
          <w:bCs/>
          <w:color w:val="auto"/>
          <w:sz w:val="24"/>
          <w:u w:val="single"/>
        </w:rPr>
        <w:t>23</w:t>
      </w:r>
      <w:r>
        <w:rPr>
          <w:rFonts w:ascii="Times New Roman" w:hAnsi="Times New Roman" w:eastAsia="宋体" w:cs="Times New Roman"/>
          <w:b/>
          <w:bCs/>
          <w:color w:val="auto"/>
          <w:sz w:val="24"/>
          <w:u w:val="single"/>
        </w:rPr>
        <w:t>kg/h。</w:t>
      </w:r>
    </w:p>
    <w:p w14:paraId="409CFD37">
      <w:pPr>
        <w:adjustRightInd w:val="0"/>
        <w:snapToGrid w:val="0"/>
        <w:spacing w:line="360" w:lineRule="auto"/>
        <w:ind w:firstLine="482"/>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kern w:val="0"/>
          <w:sz w:val="24"/>
          <w:highlight w:val="yellow"/>
          <w14:textFill>
            <w14:solidFill>
              <w14:schemeClr w14:val="tx1"/>
            </w14:solidFill>
          </w14:textFill>
        </w:rPr>
        <w:fldChar w:fldCharType="begin"/>
      </w:r>
      <w:r>
        <w:rPr>
          <w:rFonts w:ascii="Times New Roman" w:hAnsi="Times New Roman" w:eastAsia="宋体" w:cs="Times New Roman"/>
          <w:color w:val="000000" w:themeColor="text1"/>
          <w:kern w:val="0"/>
          <w:sz w:val="24"/>
          <w:highlight w:val="yellow"/>
          <w14:textFill>
            <w14:solidFill>
              <w14:schemeClr w14:val="tx1"/>
            </w14:solidFill>
          </w14:textFill>
        </w:rPr>
        <w:instrText xml:space="preserve"> = 3 \* GB3 \* MERGEFORMAT </w:instrText>
      </w:r>
      <w:r>
        <w:rPr>
          <w:rFonts w:ascii="Times New Roman" w:hAnsi="Times New Roman" w:eastAsia="宋体" w:cs="Times New Roman"/>
          <w:color w:val="000000" w:themeColor="text1"/>
          <w:kern w:val="0"/>
          <w:sz w:val="24"/>
          <w:highlight w:val="yellow"/>
          <w14:textFill>
            <w14:solidFill>
              <w14:schemeClr w14:val="tx1"/>
            </w14:solidFill>
          </w14:textFill>
        </w:rPr>
        <w:fldChar w:fldCharType="separate"/>
      </w:r>
      <w:r>
        <w:rPr>
          <w:rFonts w:ascii="Times New Roman" w:hAnsi="Times New Roman" w:eastAsia="宋体" w:cs="Times New Roman"/>
          <w:sz w:val="24"/>
        </w:rPr>
        <w:t>③</w:t>
      </w:r>
      <w:r>
        <w:rPr>
          <w:rFonts w:ascii="Times New Roman" w:hAnsi="Times New Roman" w:eastAsia="宋体" w:cs="Times New Roman"/>
          <w:color w:val="000000" w:themeColor="text1"/>
          <w:kern w:val="0"/>
          <w:sz w:val="24"/>
          <w:highlight w:val="yellow"/>
          <w14:textFill>
            <w14:solidFill>
              <w14:schemeClr w14:val="tx1"/>
            </w14:solidFill>
          </w14:textFill>
        </w:rPr>
        <w:fldChar w:fldCharType="end"/>
      </w:r>
      <w:r>
        <w:rPr>
          <w:rFonts w:ascii="Times New Roman" w:hAnsi="Times New Roman" w:eastAsia="宋体" w:cs="Times New Roman"/>
          <w:color w:val="000000"/>
          <w:sz w:val="24"/>
        </w:rPr>
        <w:t>调漆+喷漆+晾干废气</w:t>
      </w:r>
    </w:p>
    <w:p w14:paraId="18E29E29">
      <w:pPr>
        <w:pStyle w:val="99"/>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u w:val="single"/>
          <w14:textFill>
            <w14:solidFill>
              <w14:schemeClr w14:val="tx1"/>
            </w14:solidFill>
          </w14:textFill>
        </w:rPr>
        <w:t>本项目实木家具均采用手工喷漆的方式。调漆、喷漆、晾干</w:t>
      </w:r>
      <w:r>
        <w:rPr>
          <w:rFonts w:hint="eastAsia" w:ascii="Times New Roman" w:hAnsi="Times New Roman" w:eastAsia="宋体" w:cs="Times New Roman"/>
          <w:b/>
          <w:bCs/>
          <w:color w:val="000000" w:themeColor="text1"/>
          <w:sz w:val="24"/>
          <w:u w:val="single"/>
          <w:lang w:eastAsia="zh-CN"/>
          <w14:textFill>
            <w14:solidFill>
              <w14:schemeClr w14:val="tx1"/>
            </w14:solidFill>
          </w14:textFill>
        </w:rPr>
        <w:t>、</w:t>
      </w:r>
      <w:r>
        <w:rPr>
          <w:rFonts w:hint="eastAsia" w:ascii="Times New Roman" w:hAnsi="Times New Roman" w:eastAsia="宋体" w:cs="Times New Roman"/>
          <w:b/>
          <w:bCs/>
          <w:color w:val="000000" w:themeColor="text1"/>
          <w:sz w:val="24"/>
          <w:u w:val="single"/>
          <w:lang w:val="en-US" w:eastAsia="zh-CN"/>
          <w14:textFill>
            <w14:solidFill>
              <w14:schemeClr w14:val="tx1"/>
            </w14:solidFill>
          </w14:textFill>
        </w:rPr>
        <w:t>转运</w:t>
      </w:r>
      <w:r>
        <w:rPr>
          <w:rFonts w:ascii="Times New Roman" w:hAnsi="Times New Roman" w:eastAsia="宋体" w:cs="Times New Roman"/>
          <w:b/>
          <w:bCs/>
          <w:color w:val="000000" w:themeColor="text1"/>
          <w:sz w:val="24"/>
          <w:u w:val="single"/>
          <w14:textFill>
            <w14:solidFill>
              <w14:schemeClr w14:val="tx1"/>
            </w14:solidFill>
          </w14:textFill>
        </w:rPr>
        <w:t>均在喷漆房中进行，</w:t>
      </w:r>
      <w:r>
        <w:rPr>
          <w:rFonts w:ascii="Times New Roman" w:hAnsi="Times New Roman" w:eastAsia="宋体" w:cs="Times New Roman"/>
          <w:b/>
          <w:bCs/>
          <w:sz w:val="24"/>
          <w:u w:val="single"/>
        </w:rPr>
        <w:t>不单独设调漆房</w:t>
      </w:r>
      <w:r>
        <w:rPr>
          <w:rFonts w:hint="default" w:ascii="Times New Roman" w:hAnsi="Times New Roman" w:cs="Times New Roman"/>
          <w:color w:val="auto"/>
          <w:sz w:val="24"/>
          <w:szCs w:val="24"/>
          <w:highlight w:val="none"/>
        </w:rPr>
        <w:t>，</w:t>
      </w:r>
      <w:r>
        <w:rPr>
          <w:rFonts w:hint="eastAsia" w:ascii="Times New Roman" w:hAnsi="Times New Roman" w:cs="Times New Roman"/>
          <w:b/>
          <w:bCs/>
          <w:color w:val="auto"/>
          <w:sz w:val="24"/>
          <w:szCs w:val="24"/>
          <w:highlight w:val="none"/>
          <w:u w:val="single"/>
          <w:lang w:val="en-US" w:eastAsia="zh-CN"/>
        </w:rPr>
        <w:t>喷漆房</w:t>
      </w:r>
      <w:r>
        <w:rPr>
          <w:rFonts w:hint="default" w:ascii="Times New Roman" w:hAnsi="Times New Roman" w:cs="Times New Roman"/>
          <w:b/>
          <w:bCs/>
          <w:color w:val="auto"/>
          <w:sz w:val="24"/>
          <w:szCs w:val="24"/>
          <w:highlight w:val="none"/>
          <w:u w:val="single"/>
          <w:lang w:val="en-US" w:eastAsia="zh-CN"/>
        </w:rPr>
        <w:t>为密闭车间</w:t>
      </w:r>
      <w:r>
        <w:rPr>
          <w:rFonts w:hint="default" w:ascii="Times New Roman" w:hAnsi="Times New Roman" w:cs="Times New Roman"/>
          <w:b/>
          <w:bCs/>
          <w:color w:val="auto"/>
          <w:sz w:val="24"/>
          <w:szCs w:val="24"/>
          <w:highlight w:val="none"/>
          <w:u w:val="single"/>
          <w:lang w:eastAsia="zh-CN"/>
        </w:rPr>
        <w:t>。喷漆时漆雾净化效率高，可达到9</w:t>
      </w:r>
      <w:r>
        <w:rPr>
          <w:rFonts w:hint="default" w:ascii="Times New Roman" w:hAnsi="Times New Roman" w:cs="Times New Roman"/>
          <w:b/>
          <w:bCs/>
          <w:color w:val="auto"/>
          <w:sz w:val="24"/>
          <w:szCs w:val="24"/>
          <w:highlight w:val="none"/>
          <w:u w:val="single"/>
          <w:lang w:val="en-US" w:eastAsia="zh-CN"/>
        </w:rPr>
        <w:t>5</w:t>
      </w:r>
      <w:r>
        <w:rPr>
          <w:rFonts w:hint="default" w:ascii="Times New Roman" w:hAnsi="Times New Roman" w:cs="Times New Roman"/>
          <w:b/>
          <w:bCs/>
          <w:color w:val="auto"/>
          <w:sz w:val="24"/>
          <w:szCs w:val="24"/>
          <w:highlight w:val="none"/>
          <w:u w:val="single"/>
          <w:lang w:eastAsia="zh-CN"/>
        </w:rPr>
        <w:t>%以上，设计有上送风下排风系统，送风采用空调机组，将室外的新鲜空气送至喷漆室内，喷漆室室顶设有</w:t>
      </w:r>
      <w:r>
        <w:rPr>
          <w:rFonts w:hint="default" w:ascii="Times New Roman" w:hAnsi="Times New Roman" w:cs="Times New Roman"/>
          <w:b/>
          <w:bCs/>
          <w:color w:val="auto"/>
          <w:sz w:val="24"/>
          <w:szCs w:val="24"/>
          <w:highlight w:val="none"/>
          <w:u w:val="single"/>
          <w:lang w:val="en-US" w:eastAsia="zh-CN"/>
        </w:rPr>
        <w:t>静压室</w:t>
      </w:r>
      <w:r>
        <w:rPr>
          <w:rFonts w:hint="default" w:ascii="Times New Roman" w:hAnsi="Times New Roman" w:cs="Times New Roman"/>
          <w:b/>
          <w:bCs/>
          <w:color w:val="auto"/>
          <w:sz w:val="24"/>
          <w:szCs w:val="24"/>
          <w:highlight w:val="none"/>
          <w:u w:val="single"/>
          <w:lang w:eastAsia="zh-CN"/>
        </w:rPr>
        <w:t>，使喷漆室内形成均匀向下的层压气流，可防止漆雾飞散</w:t>
      </w:r>
      <w:r>
        <w:rPr>
          <w:rFonts w:hint="eastAsia" w:ascii="Times New Roman" w:hAnsi="Times New Roman" w:cs="Times New Roman"/>
          <w:b/>
          <w:bCs/>
          <w:color w:val="auto"/>
          <w:sz w:val="24"/>
          <w:szCs w:val="24"/>
          <w:highlight w:val="none"/>
          <w:u w:val="single"/>
          <w:lang w:eastAsia="zh-CN"/>
        </w:rPr>
        <w:t>。</w:t>
      </w:r>
      <w:r>
        <w:rPr>
          <w:rFonts w:ascii="Times New Roman" w:hAnsi="Times New Roman" w:eastAsia="宋体" w:cs="Times New Roman"/>
          <w:color w:val="000000" w:themeColor="text1"/>
          <w:sz w:val="24"/>
          <w14:textFill>
            <w14:solidFill>
              <w14:schemeClr w14:val="tx1"/>
            </w14:solidFill>
          </w14:textFill>
        </w:rPr>
        <w:t>根据《喷漆废气废漆渣的估算及处理措施》（张禾，中国汽车技术研究中心，约有60%的有机废气在喷涂过程中挥发（其中2%的有机废气在调漆过程中挥发），10%的有机废气在流平过程中挥发，30%的有机废气在晾干过程中挥发</w:t>
      </w:r>
      <w:r>
        <w:rPr>
          <w:rFonts w:ascii="Times New Roman" w:hAnsi="Times New Roman" w:eastAsia="宋体" w:cs="Times New Roman"/>
          <w:bCs/>
          <w:sz w:val="24"/>
        </w:rPr>
        <w:t>。根据原辅材料的理化性质，本项目油性漆中各物料成分见</w:t>
      </w:r>
      <w:r>
        <w:rPr>
          <w:rFonts w:hint="eastAsia" w:ascii="Times New Roman" w:hAnsi="Times New Roman" w:eastAsia="宋体" w:cs="Times New Roman"/>
          <w:bCs/>
          <w:sz w:val="24"/>
        </w:rPr>
        <w:t>下</w:t>
      </w:r>
      <w:r>
        <w:rPr>
          <w:rFonts w:ascii="Times New Roman" w:hAnsi="Times New Roman" w:eastAsia="宋体" w:cs="Times New Roman"/>
          <w:bCs/>
          <w:sz w:val="24"/>
        </w:rPr>
        <w:t>表。</w:t>
      </w:r>
    </w:p>
    <w:p w14:paraId="106D9865">
      <w:pPr>
        <w:pStyle w:val="17"/>
        <w:numPr>
          <w:ilvl w:val="0"/>
          <w:numId w:val="40"/>
        </w:numPr>
        <w:adjustRightInd w:val="0"/>
        <w:snapToGrid w:val="0"/>
        <w:jc w:val="center"/>
        <w:rPr>
          <w:rFonts w:ascii="Times New Roman" w:hAnsi="Times New Roman" w:eastAsia="黑体" w:cs="Times New Roman"/>
          <w:b/>
          <w:bCs/>
          <w:sz w:val="22"/>
          <w:szCs w:val="22"/>
          <w:u w:val="single"/>
        </w:rPr>
      </w:pPr>
      <w:r>
        <w:rPr>
          <w:rFonts w:hint="eastAsia" w:ascii="Times New Roman" w:hAnsi="Times New Roman" w:cs="Times New Roman"/>
          <w:b/>
          <w:bCs/>
        </w:rPr>
        <w:t xml:space="preserve"> </w:t>
      </w:r>
      <w:r>
        <w:rPr>
          <w:rFonts w:hint="eastAsia" w:ascii="Times New Roman" w:hAnsi="Times New Roman" w:cs="Times New Roman"/>
          <w:b/>
          <w:bCs/>
          <w:u w:val="single"/>
        </w:rPr>
        <w:t xml:space="preserve"> </w:t>
      </w:r>
      <w:r>
        <w:rPr>
          <w:rFonts w:ascii="Times New Roman" w:hAnsi="Times New Roman" w:eastAsia="宋体" w:cs="Times New Roman"/>
          <w:b/>
          <w:bCs/>
          <w:szCs w:val="21"/>
          <w:u w:val="single"/>
        </w:rPr>
        <w:t>本项目油性漆料中各物料成分一览表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600"/>
        <w:gridCol w:w="633"/>
        <w:gridCol w:w="1020"/>
        <w:gridCol w:w="570"/>
        <w:gridCol w:w="750"/>
        <w:gridCol w:w="735"/>
        <w:gridCol w:w="705"/>
        <w:gridCol w:w="666"/>
        <w:gridCol w:w="633"/>
        <w:gridCol w:w="657"/>
        <w:gridCol w:w="689"/>
      </w:tblGrid>
      <w:tr w14:paraId="19B7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04" w:type="pct"/>
            <w:vMerge w:val="restart"/>
            <w:tcBorders>
              <w:left w:val="single" w:color="000000" w:sz="4" w:space="0"/>
              <w:tl2br w:val="nil"/>
              <w:tr2bl w:val="nil"/>
            </w:tcBorders>
            <w:vAlign w:val="center"/>
          </w:tcPr>
          <w:p w14:paraId="10282A9A">
            <w:pPr>
              <w:jc w:val="center"/>
              <w:rPr>
                <w:rFonts w:ascii="Times New Roman" w:hAnsi="Times New Roman" w:cs="Times New Roman"/>
                <w:b/>
                <w:bCs/>
                <w:szCs w:val="21"/>
                <w:u w:val="single"/>
              </w:rPr>
            </w:pPr>
            <w:bookmarkStart w:id="62" w:name="_Toc7956"/>
            <w:bookmarkStart w:id="63" w:name="_Toc6739"/>
            <w:bookmarkStart w:id="64" w:name="_Toc19672"/>
            <w:bookmarkStart w:id="65" w:name="_Toc9562"/>
            <w:r>
              <w:rPr>
                <w:rFonts w:ascii="Times New Roman" w:hAnsi="Times New Roman" w:cs="Times New Roman"/>
                <w:b/>
                <w:bCs/>
                <w:szCs w:val="21"/>
                <w:u w:val="single"/>
              </w:rPr>
              <w:t>物料</w:t>
            </w:r>
            <w:bookmarkEnd w:id="62"/>
            <w:bookmarkEnd w:id="63"/>
          </w:p>
        </w:tc>
        <w:tc>
          <w:tcPr>
            <w:tcW w:w="352" w:type="pct"/>
            <w:vMerge w:val="restart"/>
            <w:tcBorders>
              <w:tl2br w:val="nil"/>
              <w:tr2bl w:val="nil"/>
            </w:tcBorders>
            <w:vAlign w:val="center"/>
          </w:tcPr>
          <w:p w14:paraId="334F6FC3">
            <w:pPr>
              <w:jc w:val="center"/>
              <w:rPr>
                <w:rFonts w:ascii="Times New Roman" w:hAnsi="Times New Roman" w:cs="Times New Roman"/>
                <w:b/>
                <w:bCs/>
                <w:szCs w:val="21"/>
                <w:u w:val="single"/>
              </w:rPr>
            </w:pPr>
            <w:r>
              <w:rPr>
                <w:rFonts w:ascii="Times New Roman" w:hAnsi="Times New Roman" w:cs="Times New Roman"/>
                <w:b/>
                <w:bCs/>
                <w:szCs w:val="21"/>
                <w:u w:val="single"/>
              </w:rPr>
              <w:t>用量t/a</w:t>
            </w:r>
            <w:bookmarkEnd w:id="64"/>
            <w:bookmarkEnd w:id="65"/>
          </w:p>
        </w:tc>
        <w:tc>
          <w:tcPr>
            <w:tcW w:w="970" w:type="pct"/>
            <w:gridSpan w:val="2"/>
            <w:tcBorders>
              <w:tl2br w:val="nil"/>
              <w:tr2bl w:val="nil"/>
            </w:tcBorders>
            <w:vAlign w:val="center"/>
          </w:tcPr>
          <w:p w14:paraId="2240AAEF">
            <w:pPr>
              <w:jc w:val="center"/>
              <w:rPr>
                <w:rFonts w:ascii="Times New Roman" w:hAnsi="Times New Roman" w:cs="Times New Roman"/>
                <w:b/>
                <w:bCs/>
                <w:szCs w:val="21"/>
                <w:u w:val="single"/>
              </w:rPr>
            </w:pPr>
            <w:bookmarkStart w:id="66" w:name="_Toc32000"/>
            <w:bookmarkStart w:id="67" w:name="_Toc5860"/>
            <w:r>
              <w:rPr>
                <w:rFonts w:ascii="Times New Roman" w:hAnsi="Times New Roman" w:cs="Times New Roman"/>
                <w:b/>
                <w:bCs/>
                <w:szCs w:val="21"/>
                <w:u w:val="single"/>
              </w:rPr>
              <w:t>固体分含量</w:t>
            </w:r>
            <w:bookmarkEnd w:id="66"/>
            <w:bookmarkEnd w:id="67"/>
          </w:p>
        </w:tc>
        <w:tc>
          <w:tcPr>
            <w:tcW w:w="774" w:type="pct"/>
            <w:gridSpan w:val="2"/>
            <w:tcBorders>
              <w:tl2br w:val="nil"/>
              <w:tr2bl w:val="nil"/>
            </w:tcBorders>
            <w:vAlign w:val="center"/>
          </w:tcPr>
          <w:p w14:paraId="347C78A0">
            <w:pPr>
              <w:jc w:val="center"/>
              <w:rPr>
                <w:rFonts w:ascii="Times New Roman" w:hAnsi="Times New Roman" w:cs="Times New Roman"/>
                <w:b/>
                <w:bCs/>
                <w:szCs w:val="21"/>
                <w:u w:val="single"/>
              </w:rPr>
            </w:pPr>
            <w:bookmarkStart w:id="68" w:name="_Toc27722"/>
            <w:bookmarkStart w:id="69" w:name="_Toc14322"/>
            <w:r>
              <w:rPr>
                <w:rFonts w:hint="eastAsia" w:ascii="Times New Roman" w:hAnsi="Times New Roman" w:cs="Times New Roman"/>
                <w:b/>
                <w:bCs/>
                <w:szCs w:val="21"/>
                <w:u w:val="single"/>
                <w:lang w:val="en-US" w:eastAsia="zh-CN"/>
              </w:rPr>
              <w:t>苯</w:t>
            </w:r>
          </w:p>
        </w:tc>
        <w:tc>
          <w:tcPr>
            <w:tcW w:w="845" w:type="pct"/>
            <w:gridSpan w:val="2"/>
            <w:tcBorders>
              <w:tl2br w:val="nil"/>
              <w:tr2bl w:val="nil"/>
            </w:tcBorders>
            <w:vAlign w:val="center"/>
          </w:tcPr>
          <w:p w14:paraId="20EDD34E">
            <w:pPr>
              <w:jc w:val="center"/>
              <w:rPr>
                <w:rFonts w:ascii="Times New Roman" w:hAnsi="Times New Roman" w:cs="Times New Roman"/>
                <w:b/>
                <w:bCs/>
                <w:szCs w:val="21"/>
                <w:u w:val="single"/>
              </w:rPr>
            </w:pPr>
            <w:r>
              <w:rPr>
                <w:rFonts w:ascii="Times New Roman" w:hAnsi="Times New Roman" w:cs="Times New Roman"/>
                <w:b/>
                <w:bCs/>
                <w:szCs w:val="21"/>
                <w:u w:val="single"/>
              </w:rPr>
              <w:t>甲苯</w:t>
            </w:r>
            <w:bookmarkEnd w:id="68"/>
            <w:bookmarkEnd w:id="69"/>
          </w:p>
        </w:tc>
        <w:tc>
          <w:tcPr>
            <w:tcW w:w="762" w:type="pct"/>
            <w:gridSpan w:val="2"/>
            <w:tcBorders>
              <w:tl2br w:val="nil"/>
              <w:tr2bl w:val="nil"/>
            </w:tcBorders>
            <w:vAlign w:val="center"/>
          </w:tcPr>
          <w:p w14:paraId="033D2F03">
            <w:pPr>
              <w:jc w:val="center"/>
              <w:rPr>
                <w:rFonts w:ascii="Times New Roman" w:hAnsi="Times New Roman" w:cs="Times New Roman"/>
                <w:b/>
                <w:bCs/>
                <w:szCs w:val="21"/>
                <w:u w:val="single"/>
              </w:rPr>
            </w:pPr>
            <w:bookmarkStart w:id="70" w:name="_Toc6416"/>
            <w:bookmarkStart w:id="71" w:name="_Toc18512"/>
            <w:r>
              <w:rPr>
                <w:rFonts w:ascii="Times New Roman" w:hAnsi="Times New Roman" w:cs="Times New Roman"/>
                <w:b/>
                <w:bCs/>
                <w:szCs w:val="21"/>
                <w:u w:val="single"/>
              </w:rPr>
              <w:t>二甲苯</w:t>
            </w:r>
            <w:bookmarkEnd w:id="70"/>
            <w:bookmarkEnd w:id="71"/>
          </w:p>
        </w:tc>
        <w:tc>
          <w:tcPr>
            <w:tcW w:w="790" w:type="pct"/>
            <w:gridSpan w:val="2"/>
            <w:tcBorders>
              <w:tl2br w:val="nil"/>
              <w:tr2bl w:val="nil"/>
            </w:tcBorders>
            <w:vAlign w:val="center"/>
          </w:tcPr>
          <w:p w14:paraId="37E2E533">
            <w:pPr>
              <w:jc w:val="center"/>
              <w:rPr>
                <w:rFonts w:ascii="Times New Roman" w:hAnsi="Times New Roman" w:cs="Times New Roman"/>
                <w:b/>
                <w:bCs/>
                <w:szCs w:val="21"/>
                <w:u w:val="single"/>
              </w:rPr>
            </w:pPr>
            <w:bookmarkStart w:id="72" w:name="_Toc2376"/>
            <w:bookmarkStart w:id="73" w:name="_Toc30846"/>
            <w:r>
              <w:rPr>
                <w:rFonts w:ascii="Times New Roman" w:hAnsi="Times New Roman" w:cs="Times New Roman"/>
                <w:b/>
                <w:bCs/>
                <w:szCs w:val="21"/>
                <w:u w:val="single"/>
              </w:rPr>
              <w:t>非甲烷总烃</w:t>
            </w:r>
            <w:bookmarkEnd w:id="72"/>
            <w:bookmarkEnd w:id="73"/>
          </w:p>
        </w:tc>
      </w:tr>
      <w:tr w14:paraId="230F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4" w:type="pct"/>
            <w:vMerge w:val="continue"/>
            <w:tcBorders>
              <w:left w:val="single" w:color="000000" w:sz="4" w:space="0"/>
              <w:tl2br w:val="nil"/>
              <w:tr2bl w:val="nil"/>
            </w:tcBorders>
            <w:vAlign w:val="center"/>
          </w:tcPr>
          <w:p w14:paraId="6C1F6DD1">
            <w:pPr>
              <w:jc w:val="center"/>
              <w:rPr>
                <w:rFonts w:ascii="Times New Roman" w:hAnsi="Times New Roman" w:cs="Times New Roman"/>
                <w:b/>
                <w:bCs/>
                <w:szCs w:val="21"/>
                <w:u w:val="single"/>
              </w:rPr>
            </w:pPr>
          </w:p>
        </w:tc>
        <w:tc>
          <w:tcPr>
            <w:tcW w:w="352" w:type="pct"/>
            <w:vMerge w:val="continue"/>
            <w:tcBorders>
              <w:tl2br w:val="nil"/>
              <w:tr2bl w:val="nil"/>
            </w:tcBorders>
            <w:vAlign w:val="center"/>
          </w:tcPr>
          <w:p w14:paraId="3724740A">
            <w:pPr>
              <w:jc w:val="center"/>
              <w:rPr>
                <w:rFonts w:ascii="Times New Roman" w:hAnsi="Times New Roman" w:cs="Times New Roman"/>
                <w:b/>
                <w:bCs/>
                <w:szCs w:val="21"/>
                <w:u w:val="single"/>
              </w:rPr>
            </w:pPr>
          </w:p>
        </w:tc>
        <w:tc>
          <w:tcPr>
            <w:tcW w:w="371" w:type="pct"/>
            <w:tcBorders>
              <w:tl2br w:val="nil"/>
              <w:tr2bl w:val="nil"/>
            </w:tcBorders>
            <w:vAlign w:val="center"/>
          </w:tcPr>
          <w:p w14:paraId="0E270E70">
            <w:pPr>
              <w:jc w:val="center"/>
              <w:rPr>
                <w:rFonts w:ascii="Times New Roman" w:hAnsi="Times New Roman" w:cs="Times New Roman"/>
                <w:b/>
                <w:bCs/>
                <w:szCs w:val="21"/>
                <w:u w:val="single"/>
              </w:rPr>
            </w:pPr>
            <w:bookmarkStart w:id="74" w:name="_Toc8909"/>
            <w:bookmarkStart w:id="75" w:name="_Toc565"/>
            <w:r>
              <w:rPr>
                <w:rFonts w:ascii="Times New Roman" w:hAnsi="Times New Roman" w:cs="Times New Roman"/>
                <w:b/>
                <w:bCs/>
                <w:szCs w:val="21"/>
                <w:u w:val="single"/>
              </w:rPr>
              <w:t>成分%</w:t>
            </w:r>
            <w:bookmarkEnd w:id="74"/>
            <w:bookmarkEnd w:id="75"/>
          </w:p>
        </w:tc>
        <w:tc>
          <w:tcPr>
            <w:tcW w:w="598" w:type="pct"/>
            <w:tcBorders>
              <w:tl2br w:val="nil"/>
              <w:tr2bl w:val="nil"/>
            </w:tcBorders>
            <w:vAlign w:val="center"/>
          </w:tcPr>
          <w:p w14:paraId="78B0532D">
            <w:pPr>
              <w:jc w:val="center"/>
              <w:rPr>
                <w:rFonts w:ascii="Times New Roman" w:hAnsi="Times New Roman" w:cs="Times New Roman"/>
                <w:b/>
                <w:bCs/>
                <w:szCs w:val="21"/>
                <w:u w:val="single"/>
              </w:rPr>
            </w:pPr>
            <w:bookmarkStart w:id="76" w:name="_Toc29474"/>
            <w:bookmarkStart w:id="77" w:name="_Toc5961"/>
            <w:r>
              <w:rPr>
                <w:rFonts w:ascii="Times New Roman" w:hAnsi="Times New Roman" w:cs="Times New Roman"/>
                <w:b/>
                <w:bCs/>
                <w:szCs w:val="21"/>
                <w:u w:val="single"/>
              </w:rPr>
              <w:t>含量t/a</w:t>
            </w:r>
            <w:bookmarkEnd w:id="76"/>
            <w:bookmarkEnd w:id="77"/>
          </w:p>
        </w:tc>
        <w:tc>
          <w:tcPr>
            <w:tcW w:w="334" w:type="pct"/>
            <w:tcBorders>
              <w:tl2br w:val="nil"/>
              <w:tr2bl w:val="nil"/>
            </w:tcBorders>
            <w:vAlign w:val="center"/>
          </w:tcPr>
          <w:p w14:paraId="231E9BB8">
            <w:pPr>
              <w:rPr>
                <w:rFonts w:hint="eastAsia" w:ascii="Times New Roman" w:hAnsi="Times New Roman" w:cs="Times New Roman"/>
                <w:b/>
                <w:bCs/>
                <w:szCs w:val="21"/>
                <w:u w:val="single"/>
              </w:rPr>
            </w:pPr>
            <w:bookmarkStart w:id="78" w:name="_Toc13250"/>
            <w:bookmarkStart w:id="79" w:name="_Toc727"/>
            <w:r>
              <w:rPr>
                <w:rFonts w:hint="eastAsia" w:ascii="Times New Roman" w:hAnsi="Times New Roman" w:cs="Times New Roman"/>
                <w:b/>
                <w:bCs/>
                <w:szCs w:val="21"/>
                <w:u w:val="single"/>
              </w:rPr>
              <w:t>成</w:t>
            </w:r>
            <w:r>
              <w:rPr>
                <w:rFonts w:ascii="Times New Roman" w:hAnsi="Times New Roman" w:cs="Times New Roman"/>
                <w:b/>
                <w:bCs/>
                <w:szCs w:val="21"/>
                <w:u w:val="single"/>
              </w:rPr>
              <w:t>分%</w:t>
            </w:r>
          </w:p>
        </w:tc>
        <w:tc>
          <w:tcPr>
            <w:tcW w:w="440" w:type="pct"/>
            <w:tcBorders>
              <w:tl2br w:val="nil"/>
              <w:tr2bl w:val="nil"/>
            </w:tcBorders>
            <w:vAlign w:val="center"/>
          </w:tcPr>
          <w:p w14:paraId="505B61F9">
            <w:pPr>
              <w:jc w:val="center"/>
              <w:rPr>
                <w:rFonts w:hint="eastAsia" w:ascii="Times New Roman" w:hAnsi="Times New Roman" w:cs="Times New Roman"/>
                <w:b/>
                <w:bCs/>
                <w:szCs w:val="21"/>
                <w:u w:val="single"/>
              </w:rPr>
            </w:pPr>
            <w:r>
              <w:rPr>
                <w:rFonts w:ascii="Times New Roman" w:hAnsi="Times New Roman" w:cs="Times New Roman"/>
                <w:b/>
                <w:bCs/>
                <w:szCs w:val="21"/>
                <w:u w:val="single"/>
              </w:rPr>
              <w:t>含量t/a</w:t>
            </w:r>
          </w:p>
        </w:tc>
        <w:tc>
          <w:tcPr>
            <w:tcW w:w="431" w:type="pct"/>
            <w:tcBorders>
              <w:tl2br w:val="nil"/>
              <w:tr2bl w:val="nil"/>
            </w:tcBorders>
            <w:vAlign w:val="center"/>
          </w:tcPr>
          <w:p w14:paraId="28846BC8">
            <w:pPr>
              <w:rPr>
                <w:rFonts w:ascii="Times New Roman" w:hAnsi="Times New Roman" w:cs="Times New Roman"/>
                <w:b/>
                <w:bCs/>
                <w:szCs w:val="21"/>
                <w:u w:val="single"/>
              </w:rPr>
            </w:pPr>
            <w:r>
              <w:rPr>
                <w:rFonts w:hint="eastAsia" w:ascii="Times New Roman" w:hAnsi="Times New Roman" w:cs="Times New Roman"/>
                <w:b/>
                <w:bCs/>
                <w:szCs w:val="21"/>
                <w:u w:val="single"/>
              </w:rPr>
              <w:t>成</w:t>
            </w:r>
            <w:r>
              <w:rPr>
                <w:rFonts w:ascii="Times New Roman" w:hAnsi="Times New Roman" w:cs="Times New Roman"/>
                <w:b/>
                <w:bCs/>
                <w:szCs w:val="21"/>
                <w:u w:val="single"/>
              </w:rPr>
              <w:t>分%</w:t>
            </w:r>
            <w:bookmarkEnd w:id="78"/>
            <w:bookmarkEnd w:id="79"/>
          </w:p>
        </w:tc>
        <w:tc>
          <w:tcPr>
            <w:tcW w:w="413" w:type="pct"/>
            <w:tcBorders>
              <w:tl2br w:val="nil"/>
              <w:tr2bl w:val="nil"/>
            </w:tcBorders>
            <w:vAlign w:val="center"/>
          </w:tcPr>
          <w:p w14:paraId="54E2528C">
            <w:pPr>
              <w:jc w:val="center"/>
              <w:rPr>
                <w:rFonts w:ascii="Times New Roman" w:hAnsi="Times New Roman" w:cs="Times New Roman"/>
                <w:b/>
                <w:bCs/>
                <w:szCs w:val="21"/>
                <w:u w:val="single"/>
              </w:rPr>
            </w:pPr>
            <w:bookmarkStart w:id="80" w:name="_Toc24176"/>
            <w:bookmarkStart w:id="81" w:name="_Toc10511"/>
            <w:r>
              <w:rPr>
                <w:rFonts w:ascii="Times New Roman" w:hAnsi="Times New Roman" w:cs="Times New Roman"/>
                <w:b/>
                <w:bCs/>
                <w:szCs w:val="21"/>
                <w:u w:val="single"/>
              </w:rPr>
              <w:t>含量t/a</w:t>
            </w:r>
            <w:bookmarkEnd w:id="80"/>
            <w:bookmarkEnd w:id="81"/>
          </w:p>
        </w:tc>
        <w:tc>
          <w:tcPr>
            <w:tcW w:w="390" w:type="pct"/>
            <w:tcBorders>
              <w:tl2br w:val="nil"/>
              <w:tr2bl w:val="nil"/>
            </w:tcBorders>
            <w:vAlign w:val="center"/>
          </w:tcPr>
          <w:p w14:paraId="1C945DB3">
            <w:pPr>
              <w:jc w:val="center"/>
              <w:rPr>
                <w:rFonts w:ascii="Times New Roman" w:hAnsi="Times New Roman" w:cs="Times New Roman"/>
                <w:b/>
                <w:bCs/>
                <w:szCs w:val="21"/>
                <w:u w:val="single"/>
              </w:rPr>
            </w:pPr>
            <w:bookmarkStart w:id="82" w:name="_Toc18585"/>
            <w:bookmarkStart w:id="83" w:name="_Toc15861"/>
            <w:r>
              <w:rPr>
                <w:rFonts w:ascii="Times New Roman" w:hAnsi="Times New Roman" w:cs="Times New Roman"/>
                <w:b/>
                <w:bCs/>
                <w:szCs w:val="21"/>
                <w:u w:val="single"/>
              </w:rPr>
              <w:t>成分%</w:t>
            </w:r>
            <w:bookmarkEnd w:id="82"/>
            <w:bookmarkEnd w:id="83"/>
          </w:p>
        </w:tc>
        <w:tc>
          <w:tcPr>
            <w:tcW w:w="371" w:type="pct"/>
            <w:tcBorders>
              <w:tl2br w:val="nil"/>
              <w:tr2bl w:val="nil"/>
            </w:tcBorders>
            <w:vAlign w:val="center"/>
          </w:tcPr>
          <w:p w14:paraId="6869284B">
            <w:pPr>
              <w:jc w:val="center"/>
              <w:rPr>
                <w:rFonts w:ascii="Times New Roman" w:hAnsi="Times New Roman" w:cs="Times New Roman"/>
                <w:b/>
                <w:bCs/>
                <w:szCs w:val="21"/>
                <w:u w:val="single"/>
              </w:rPr>
            </w:pPr>
            <w:bookmarkStart w:id="84" w:name="_Toc9180"/>
            <w:bookmarkStart w:id="85" w:name="_Toc30248"/>
            <w:r>
              <w:rPr>
                <w:rFonts w:ascii="Times New Roman" w:hAnsi="Times New Roman" w:cs="Times New Roman"/>
                <w:b/>
                <w:bCs/>
                <w:szCs w:val="21"/>
                <w:u w:val="single"/>
              </w:rPr>
              <w:t>含量t/a</w:t>
            </w:r>
            <w:bookmarkEnd w:id="84"/>
            <w:bookmarkEnd w:id="85"/>
          </w:p>
        </w:tc>
        <w:tc>
          <w:tcPr>
            <w:tcW w:w="385" w:type="pct"/>
            <w:tcBorders>
              <w:tl2br w:val="nil"/>
              <w:tr2bl w:val="nil"/>
            </w:tcBorders>
            <w:vAlign w:val="center"/>
          </w:tcPr>
          <w:p w14:paraId="24E9BF41">
            <w:pPr>
              <w:jc w:val="center"/>
              <w:rPr>
                <w:rFonts w:ascii="Times New Roman" w:hAnsi="Times New Roman" w:cs="Times New Roman"/>
                <w:b/>
                <w:bCs/>
                <w:szCs w:val="21"/>
                <w:u w:val="single"/>
              </w:rPr>
            </w:pPr>
            <w:bookmarkStart w:id="86" w:name="_Toc58"/>
            <w:bookmarkStart w:id="87" w:name="_Toc27190"/>
            <w:r>
              <w:rPr>
                <w:rFonts w:ascii="Times New Roman" w:hAnsi="Times New Roman" w:cs="Times New Roman"/>
                <w:b/>
                <w:bCs/>
                <w:szCs w:val="21"/>
                <w:u w:val="single"/>
              </w:rPr>
              <w:t>成分%</w:t>
            </w:r>
            <w:bookmarkEnd w:id="86"/>
            <w:bookmarkEnd w:id="87"/>
          </w:p>
        </w:tc>
        <w:tc>
          <w:tcPr>
            <w:tcW w:w="404" w:type="pct"/>
            <w:tcBorders>
              <w:tl2br w:val="nil"/>
              <w:tr2bl w:val="nil"/>
            </w:tcBorders>
            <w:vAlign w:val="center"/>
          </w:tcPr>
          <w:p w14:paraId="59A7DAC9">
            <w:pPr>
              <w:jc w:val="center"/>
              <w:rPr>
                <w:rFonts w:ascii="Times New Roman" w:hAnsi="Times New Roman" w:cs="Times New Roman"/>
                <w:b/>
                <w:bCs/>
                <w:szCs w:val="21"/>
                <w:u w:val="single"/>
              </w:rPr>
            </w:pPr>
            <w:bookmarkStart w:id="88" w:name="_Toc4361"/>
            <w:bookmarkStart w:id="89" w:name="_Toc25902"/>
            <w:r>
              <w:rPr>
                <w:rFonts w:ascii="Times New Roman" w:hAnsi="Times New Roman" w:cs="Times New Roman"/>
                <w:b/>
                <w:bCs/>
                <w:szCs w:val="21"/>
                <w:u w:val="single"/>
              </w:rPr>
              <w:t>含量t/a</w:t>
            </w:r>
            <w:bookmarkEnd w:id="88"/>
            <w:bookmarkEnd w:id="89"/>
          </w:p>
        </w:tc>
      </w:tr>
      <w:tr w14:paraId="3477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4" w:type="pct"/>
            <w:tcBorders>
              <w:left w:val="single" w:color="000000" w:sz="4" w:space="0"/>
              <w:tl2br w:val="nil"/>
              <w:tr2bl w:val="nil"/>
            </w:tcBorders>
            <w:vAlign w:val="center"/>
          </w:tcPr>
          <w:p w14:paraId="6DC3B3E0">
            <w:pPr>
              <w:jc w:val="center"/>
              <w:rPr>
                <w:rFonts w:ascii="Times New Roman" w:hAnsi="Times New Roman" w:cs="Times New Roman"/>
                <w:b/>
                <w:bCs/>
                <w:szCs w:val="21"/>
                <w:u w:val="single"/>
              </w:rPr>
            </w:pPr>
            <w:r>
              <w:rPr>
                <w:rFonts w:hint="eastAsia" w:ascii="Times New Roman" w:hAnsi="Times New Roman" w:cs="Times New Roman"/>
                <w:b/>
                <w:bCs/>
                <w:szCs w:val="21"/>
                <w:u w:val="single"/>
              </w:rPr>
              <w:t>底漆</w:t>
            </w:r>
          </w:p>
        </w:tc>
        <w:tc>
          <w:tcPr>
            <w:tcW w:w="352" w:type="pct"/>
            <w:tcBorders>
              <w:tl2br w:val="nil"/>
              <w:tr2bl w:val="nil"/>
            </w:tcBorders>
            <w:vAlign w:val="center"/>
          </w:tcPr>
          <w:p w14:paraId="60BEC7F0">
            <w:pPr>
              <w:jc w:val="center"/>
              <w:rPr>
                <w:rFonts w:ascii="Times New Roman" w:hAnsi="Times New Roman" w:cs="Times New Roman"/>
                <w:b/>
                <w:bCs/>
                <w:szCs w:val="21"/>
                <w:u w:val="single"/>
              </w:rPr>
            </w:pPr>
            <w:bookmarkStart w:id="90" w:name="_Toc25793"/>
            <w:bookmarkStart w:id="91" w:name="_Toc23012"/>
            <w:r>
              <w:rPr>
                <w:rFonts w:ascii="Times New Roman" w:hAnsi="Times New Roman" w:cs="Times New Roman"/>
                <w:b/>
                <w:bCs/>
                <w:szCs w:val="21"/>
                <w:u w:val="single"/>
              </w:rPr>
              <w:t>4</w:t>
            </w:r>
            <w:bookmarkEnd w:id="90"/>
            <w:bookmarkEnd w:id="91"/>
          </w:p>
        </w:tc>
        <w:tc>
          <w:tcPr>
            <w:tcW w:w="371" w:type="pct"/>
            <w:tcBorders>
              <w:tl2br w:val="nil"/>
              <w:tr2bl w:val="nil"/>
            </w:tcBorders>
            <w:vAlign w:val="center"/>
          </w:tcPr>
          <w:p w14:paraId="1A612AD3">
            <w:pPr>
              <w:jc w:val="center"/>
              <w:rPr>
                <w:rFonts w:ascii="Times New Roman" w:hAnsi="Times New Roman" w:cs="Times New Roman"/>
                <w:b/>
                <w:bCs/>
                <w:szCs w:val="21"/>
                <w:u w:val="single"/>
              </w:rPr>
            </w:pPr>
            <w:r>
              <w:rPr>
                <w:rFonts w:hint="eastAsia" w:ascii="Times New Roman" w:hAnsi="Times New Roman" w:cs="Times New Roman"/>
                <w:b/>
                <w:bCs/>
                <w:szCs w:val="21"/>
                <w:u w:val="single"/>
              </w:rPr>
              <w:t>47.5</w:t>
            </w:r>
          </w:p>
        </w:tc>
        <w:tc>
          <w:tcPr>
            <w:tcW w:w="598" w:type="pct"/>
            <w:tcBorders>
              <w:tl2br w:val="nil"/>
              <w:tr2bl w:val="nil"/>
            </w:tcBorders>
            <w:vAlign w:val="center"/>
          </w:tcPr>
          <w:p w14:paraId="774F928B">
            <w:pPr>
              <w:jc w:val="center"/>
              <w:rPr>
                <w:rFonts w:ascii="Times New Roman" w:hAnsi="Times New Roman" w:cs="Times New Roman"/>
                <w:b/>
                <w:bCs/>
                <w:szCs w:val="21"/>
                <w:u w:val="single"/>
              </w:rPr>
            </w:pPr>
            <w:r>
              <w:rPr>
                <w:rFonts w:hint="eastAsia" w:ascii="Times New Roman" w:hAnsi="Times New Roman" w:cs="Times New Roman"/>
                <w:b/>
                <w:bCs/>
                <w:szCs w:val="21"/>
                <w:u w:val="single"/>
              </w:rPr>
              <w:t>1.9</w:t>
            </w:r>
          </w:p>
        </w:tc>
        <w:tc>
          <w:tcPr>
            <w:tcW w:w="334" w:type="pct"/>
            <w:tcBorders>
              <w:tl2br w:val="nil"/>
              <w:tr2bl w:val="nil"/>
            </w:tcBorders>
            <w:vAlign w:val="center"/>
          </w:tcPr>
          <w:p w14:paraId="5C7052AD">
            <w:pPr>
              <w:jc w:val="center"/>
              <w:rPr>
                <w:rFonts w:hint="eastAsia"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2</w:t>
            </w:r>
          </w:p>
        </w:tc>
        <w:tc>
          <w:tcPr>
            <w:tcW w:w="440" w:type="pct"/>
            <w:tcBorders>
              <w:tl2br w:val="nil"/>
              <w:tr2bl w:val="nil"/>
            </w:tcBorders>
            <w:vAlign w:val="center"/>
          </w:tcPr>
          <w:p w14:paraId="76F40ADC">
            <w:pPr>
              <w:jc w:val="center"/>
              <w:rPr>
                <w:rFonts w:hint="default"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0.08</w:t>
            </w:r>
          </w:p>
        </w:tc>
        <w:tc>
          <w:tcPr>
            <w:tcW w:w="431" w:type="pct"/>
            <w:tcBorders>
              <w:tl2br w:val="nil"/>
              <w:tr2bl w:val="nil"/>
            </w:tcBorders>
            <w:vAlign w:val="center"/>
          </w:tcPr>
          <w:p w14:paraId="2CFDE867">
            <w:pPr>
              <w:jc w:val="center"/>
              <w:rPr>
                <w:rFonts w:hint="eastAsia" w:ascii="Times New Roman" w:hAnsi="Times New Roman" w:cs="Times New Roman" w:eastAsiaTheme="minorEastAsia"/>
                <w:b/>
                <w:bCs/>
                <w:szCs w:val="21"/>
                <w:u w:val="single"/>
                <w:lang w:eastAsia="zh-CN"/>
              </w:rPr>
            </w:pPr>
            <w:r>
              <w:rPr>
                <w:rFonts w:hint="eastAsia" w:ascii="Times New Roman" w:hAnsi="Times New Roman" w:cs="Times New Roman"/>
                <w:b/>
                <w:bCs/>
                <w:szCs w:val="21"/>
                <w:u w:val="single"/>
                <w:lang w:val="en-US" w:eastAsia="zh-CN"/>
              </w:rPr>
              <w:t>2</w:t>
            </w:r>
          </w:p>
        </w:tc>
        <w:tc>
          <w:tcPr>
            <w:tcW w:w="413" w:type="pct"/>
            <w:tcBorders>
              <w:tl2br w:val="nil"/>
              <w:tr2bl w:val="nil"/>
            </w:tcBorders>
            <w:vAlign w:val="center"/>
          </w:tcPr>
          <w:p w14:paraId="219815F5">
            <w:pPr>
              <w:jc w:val="center"/>
              <w:rPr>
                <w:rFonts w:hint="default"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rPr>
              <w:t>0.</w:t>
            </w:r>
            <w:r>
              <w:rPr>
                <w:rFonts w:hint="eastAsia" w:ascii="Times New Roman" w:hAnsi="Times New Roman" w:cs="Times New Roman"/>
                <w:b/>
                <w:bCs/>
                <w:szCs w:val="21"/>
                <w:u w:val="single"/>
                <w:lang w:val="en-US" w:eastAsia="zh-CN"/>
              </w:rPr>
              <w:t>08</w:t>
            </w:r>
          </w:p>
        </w:tc>
        <w:tc>
          <w:tcPr>
            <w:tcW w:w="390" w:type="pct"/>
            <w:tcBorders>
              <w:tl2br w:val="nil"/>
              <w:tr2bl w:val="nil"/>
            </w:tcBorders>
            <w:vAlign w:val="center"/>
          </w:tcPr>
          <w:p w14:paraId="628749D6">
            <w:pPr>
              <w:jc w:val="center"/>
              <w:rPr>
                <w:rFonts w:ascii="Times New Roman" w:hAnsi="Times New Roman" w:cs="Times New Roman"/>
                <w:b/>
                <w:bCs/>
                <w:szCs w:val="21"/>
                <w:u w:val="single"/>
              </w:rPr>
            </w:pPr>
            <w:r>
              <w:rPr>
                <w:rFonts w:hint="eastAsia" w:ascii="Times New Roman" w:hAnsi="Times New Roman" w:cs="Times New Roman"/>
                <w:b/>
                <w:bCs/>
                <w:szCs w:val="21"/>
                <w:u w:val="single"/>
              </w:rPr>
              <w:t>6</w:t>
            </w:r>
          </w:p>
        </w:tc>
        <w:tc>
          <w:tcPr>
            <w:tcW w:w="371" w:type="pct"/>
            <w:tcBorders>
              <w:tl2br w:val="nil"/>
              <w:tr2bl w:val="nil"/>
            </w:tcBorders>
            <w:vAlign w:val="center"/>
          </w:tcPr>
          <w:p w14:paraId="3122F1A5">
            <w:pPr>
              <w:jc w:val="center"/>
              <w:rPr>
                <w:rFonts w:ascii="Times New Roman" w:hAnsi="Times New Roman" w:cs="Times New Roman"/>
                <w:b/>
                <w:bCs/>
                <w:szCs w:val="21"/>
                <w:u w:val="single"/>
              </w:rPr>
            </w:pPr>
            <w:r>
              <w:rPr>
                <w:rFonts w:hint="eastAsia" w:ascii="Times New Roman" w:hAnsi="Times New Roman" w:cs="Times New Roman"/>
                <w:b/>
                <w:bCs/>
                <w:szCs w:val="21"/>
                <w:u w:val="single"/>
              </w:rPr>
              <w:t>0.24</w:t>
            </w:r>
          </w:p>
        </w:tc>
        <w:tc>
          <w:tcPr>
            <w:tcW w:w="385" w:type="pct"/>
            <w:tcBorders>
              <w:tl2br w:val="nil"/>
              <w:tr2bl w:val="nil"/>
            </w:tcBorders>
            <w:vAlign w:val="center"/>
          </w:tcPr>
          <w:p w14:paraId="4CD57702">
            <w:pPr>
              <w:jc w:val="center"/>
              <w:rPr>
                <w:rFonts w:ascii="Times New Roman" w:hAnsi="Times New Roman" w:cs="Times New Roman"/>
                <w:b/>
                <w:bCs/>
                <w:szCs w:val="21"/>
                <w:u w:val="single"/>
              </w:rPr>
            </w:pPr>
            <w:r>
              <w:rPr>
                <w:rFonts w:hint="eastAsia" w:ascii="Times New Roman" w:hAnsi="Times New Roman" w:cs="Times New Roman"/>
                <w:b/>
                <w:bCs/>
                <w:szCs w:val="21"/>
                <w:u w:val="single"/>
              </w:rPr>
              <w:t>42.5</w:t>
            </w:r>
          </w:p>
        </w:tc>
        <w:tc>
          <w:tcPr>
            <w:tcW w:w="404" w:type="pct"/>
            <w:tcBorders>
              <w:tl2br w:val="nil"/>
              <w:tr2bl w:val="nil"/>
            </w:tcBorders>
            <w:vAlign w:val="center"/>
          </w:tcPr>
          <w:p w14:paraId="66E23C35">
            <w:pPr>
              <w:jc w:val="center"/>
              <w:rPr>
                <w:rFonts w:ascii="Times New Roman" w:hAnsi="Times New Roman" w:cs="Times New Roman"/>
                <w:b/>
                <w:bCs/>
                <w:szCs w:val="21"/>
                <w:u w:val="single"/>
              </w:rPr>
            </w:pPr>
            <w:r>
              <w:rPr>
                <w:rFonts w:hint="eastAsia" w:ascii="Times New Roman" w:hAnsi="Times New Roman" w:cs="Times New Roman"/>
                <w:b/>
                <w:bCs/>
                <w:szCs w:val="21"/>
                <w:u w:val="single"/>
              </w:rPr>
              <w:t>1.7</w:t>
            </w:r>
          </w:p>
        </w:tc>
      </w:tr>
      <w:tr w14:paraId="1E71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4" w:type="pct"/>
            <w:tcBorders>
              <w:top w:val="single" w:color="000000" w:sz="4" w:space="0"/>
              <w:tl2br w:val="nil"/>
              <w:tr2bl w:val="nil"/>
            </w:tcBorders>
            <w:vAlign w:val="center"/>
          </w:tcPr>
          <w:p w14:paraId="63D1A5A4">
            <w:pPr>
              <w:jc w:val="center"/>
              <w:rPr>
                <w:rFonts w:ascii="Times New Roman" w:hAnsi="Times New Roman" w:cs="Times New Roman"/>
                <w:b/>
                <w:bCs/>
                <w:szCs w:val="21"/>
                <w:u w:val="single"/>
              </w:rPr>
            </w:pPr>
            <w:bookmarkStart w:id="92" w:name="_Toc2165"/>
            <w:bookmarkStart w:id="93" w:name="_Toc7457"/>
            <w:r>
              <w:rPr>
                <w:rFonts w:hint="eastAsia" w:ascii="Times New Roman" w:hAnsi="Times New Roman" w:cs="Times New Roman"/>
                <w:b/>
                <w:bCs/>
                <w:szCs w:val="21"/>
                <w:u w:val="single"/>
              </w:rPr>
              <w:t>底漆</w:t>
            </w:r>
            <w:r>
              <w:rPr>
                <w:rFonts w:ascii="Times New Roman" w:hAnsi="Times New Roman" w:cs="Times New Roman"/>
                <w:b/>
                <w:bCs/>
                <w:szCs w:val="21"/>
                <w:u w:val="single"/>
              </w:rPr>
              <w:t>稀释剂</w:t>
            </w:r>
            <w:bookmarkEnd w:id="92"/>
            <w:bookmarkEnd w:id="93"/>
          </w:p>
        </w:tc>
        <w:tc>
          <w:tcPr>
            <w:tcW w:w="352" w:type="pct"/>
            <w:tcBorders>
              <w:top w:val="single" w:color="000000" w:sz="4" w:space="0"/>
              <w:tl2br w:val="nil"/>
              <w:tr2bl w:val="nil"/>
            </w:tcBorders>
            <w:vAlign w:val="center"/>
          </w:tcPr>
          <w:p w14:paraId="7AE9A4E2">
            <w:pPr>
              <w:jc w:val="center"/>
              <w:rPr>
                <w:rFonts w:ascii="Times New Roman" w:hAnsi="Times New Roman" w:cs="Times New Roman"/>
                <w:b/>
                <w:bCs/>
                <w:szCs w:val="21"/>
                <w:u w:val="single"/>
              </w:rPr>
            </w:pPr>
            <w:r>
              <w:rPr>
                <w:rFonts w:hint="eastAsia" w:ascii="Times New Roman" w:hAnsi="Times New Roman" w:cs="Times New Roman"/>
                <w:b/>
                <w:bCs/>
                <w:szCs w:val="21"/>
                <w:u w:val="single"/>
              </w:rPr>
              <w:t>2</w:t>
            </w:r>
          </w:p>
        </w:tc>
        <w:tc>
          <w:tcPr>
            <w:tcW w:w="371" w:type="pct"/>
            <w:tcBorders>
              <w:top w:val="single" w:color="000000" w:sz="4" w:space="0"/>
              <w:tl2br w:val="nil"/>
              <w:tr2bl w:val="nil"/>
            </w:tcBorders>
            <w:vAlign w:val="center"/>
          </w:tcPr>
          <w:p w14:paraId="691AC24F">
            <w:pPr>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598" w:type="pct"/>
            <w:tcBorders>
              <w:top w:val="single" w:color="000000" w:sz="4" w:space="0"/>
              <w:tl2br w:val="nil"/>
              <w:tr2bl w:val="nil"/>
            </w:tcBorders>
            <w:vAlign w:val="center"/>
          </w:tcPr>
          <w:p w14:paraId="0FFC0BF7">
            <w:pPr>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334" w:type="pct"/>
            <w:tcBorders>
              <w:top w:val="single" w:color="000000" w:sz="4" w:space="0"/>
              <w:tl2br w:val="nil"/>
              <w:tr2bl w:val="nil"/>
            </w:tcBorders>
            <w:vAlign w:val="center"/>
          </w:tcPr>
          <w:p w14:paraId="2C647E18">
            <w:pPr>
              <w:jc w:val="center"/>
              <w:rPr>
                <w:rFonts w:hint="eastAsia"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0</w:t>
            </w:r>
          </w:p>
        </w:tc>
        <w:tc>
          <w:tcPr>
            <w:tcW w:w="440" w:type="pct"/>
            <w:tcBorders>
              <w:top w:val="single" w:color="000000" w:sz="4" w:space="0"/>
              <w:tl2br w:val="nil"/>
              <w:tr2bl w:val="nil"/>
            </w:tcBorders>
            <w:vAlign w:val="center"/>
          </w:tcPr>
          <w:p w14:paraId="538BDF69">
            <w:pPr>
              <w:jc w:val="center"/>
              <w:rPr>
                <w:rFonts w:hint="eastAsia" w:ascii="Times New Roman" w:hAnsi="Times New Roman" w:cs="Times New Roman"/>
                <w:b/>
                <w:bCs/>
                <w:szCs w:val="21"/>
                <w:u w:val="single"/>
              </w:rPr>
            </w:pPr>
            <w:r>
              <w:rPr>
                <w:rFonts w:hint="eastAsia" w:ascii="Times New Roman" w:hAnsi="Times New Roman" w:cs="Times New Roman"/>
                <w:b/>
                <w:bCs/>
                <w:szCs w:val="21"/>
                <w:u w:val="single"/>
              </w:rPr>
              <w:t>/</w:t>
            </w:r>
          </w:p>
        </w:tc>
        <w:tc>
          <w:tcPr>
            <w:tcW w:w="431" w:type="pct"/>
            <w:tcBorders>
              <w:top w:val="single" w:color="000000" w:sz="4" w:space="0"/>
              <w:tl2br w:val="nil"/>
              <w:tr2bl w:val="nil"/>
            </w:tcBorders>
            <w:vAlign w:val="center"/>
          </w:tcPr>
          <w:p w14:paraId="1B69802A">
            <w:pPr>
              <w:jc w:val="center"/>
              <w:rPr>
                <w:rFonts w:ascii="Times New Roman" w:hAnsi="Times New Roman" w:cs="Times New Roman"/>
                <w:b/>
                <w:bCs/>
                <w:szCs w:val="21"/>
                <w:u w:val="single"/>
              </w:rPr>
            </w:pPr>
            <w:r>
              <w:rPr>
                <w:rFonts w:hint="eastAsia" w:ascii="Times New Roman" w:hAnsi="Times New Roman" w:cs="Times New Roman"/>
                <w:b/>
                <w:bCs/>
                <w:szCs w:val="21"/>
                <w:u w:val="single"/>
              </w:rPr>
              <w:t>10</w:t>
            </w:r>
          </w:p>
        </w:tc>
        <w:tc>
          <w:tcPr>
            <w:tcW w:w="413" w:type="pct"/>
            <w:tcBorders>
              <w:top w:val="single" w:color="000000" w:sz="4" w:space="0"/>
              <w:tl2br w:val="nil"/>
              <w:tr2bl w:val="nil"/>
            </w:tcBorders>
            <w:vAlign w:val="center"/>
          </w:tcPr>
          <w:p w14:paraId="4EA79912">
            <w:pPr>
              <w:jc w:val="center"/>
              <w:rPr>
                <w:rFonts w:ascii="Times New Roman" w:hAnsi="Times New Roman" w:cs="Times New Roman"/>
                <w:b/>
                <w:bCs/>
                <w:szCs w:val="21"/>
                <w:u w:val="single"/>
              </w:rPr>
            </w:pPr>
            <w:r>
              <w:rPr>
                <w:rFonts w:hint="eastAsia" w:ascii="Times New Roman" w:hAnsi="Times New Roman" w:cs="Times New Roman"/>
                <w:b/>
                <w:bCs/>
                <w:szCs w:val="21"/>
                <w:u w:val="single"/>
              </w:rPr>
              <w:t>0.2</w:t>
            </w:r>
          </w:p>
        </w:tc>
        <w:tc>
          <w:tcPr>
            <w:tcW w:w="390" w:type="pct"/>
            <w:tcBorders>
              <w:top w:val="single" w:color="000000" w:sz="4" w:space="0"/>
              <w:tl2br w:val="nil"/>
              <w:tr2bl w:val="nil"/>
            </w:tcBorders>
            <w:vAlign w:val="center"/>
          </w:tcPr>
          <w:p w14:paraId="4241516A">
            <w:pPr>
              <w:jc w:val="center"/>
              <w:rPr>
                <w:rFonts w:ascii="Times New Roman" w:hAnsi="Times New Roman" w:cs="Times New Roman"/>
                <w:b/>
                <w:bCs/>
                <w:szCs w:val="21"/>
                <w:u w:val="single"/>
              </w:rPr>
            </w:pPr>
            <w:r>
              <w:rPr>
                <w:rFonts w:hint="eastAsia" w:ascii="Times New Roman" w:hAnsi="Times New Roman" w:cs="Times New Roman"/>
                <w:b/>
                <w:bCs/>
                <w:szCs w:val="21"/>
                <w:u w:val="single"/>
              </w:rPr>
              <w:t>20</w:t>
            </w:r>
          </w:p>
        </w:tc>
        <w:tc>
          <w:tcPr>
            <w:tcW w:w="371" w:type="pct"/>
            <w:tcBorders>
              <w:top w:val="single" w:color="000000" w:sz="4" w:space="0"/>
              <w:tl2br w:val="nil"/>
              <w:tr2bl w:val="nil"/>
            </w:tcBorders>
            <w:vAlign w:val="center"/>
          </w:tcPr>
          <w:p w14:paraId="67EA0909">
            <w:pPr>
              <w:jc w:val="center"/>
              <w:rPr>
                <w:rFonts w:ascii="Times New Roman" w:hAnsi="Times New Roman" w:cs="Times New Roman"/>
                <w:b/>
                <w:bCs/>
                <w:szCs w:val="21"/>
                <w:u w:val="single"/>
              </w:rPr>
            </w:pPr>
            <w:r>
              <w:rPr>
                <w:rFonts w:hint="eastAsia" w:ascii="Times New Roman" w:hAnsi="Times New Roman" w:cs="Times New Roman"/>
                <w:b/>
                <w:bCs/>
                <w:szCs w:val="21"/>
                <w:u w:val="single"/>
              </w:rPr>
              <w:t>0.4</w:t>
            </w:r>
          </w:p>
        </w:tc>
        <w:tc>
          <w:tcPr>
            <w:tcW w:w="385" w:type="pct"/>
            <w:tcBorders>
              <w:top w:val="single" w:color="000000" w:sz="4" w:space="0"/>
              <w:tl2br w:val="nil"/>
              <w:tr2bl w:val="nil"/>
            </w:tcBorders>
            <w:vAlign w:val="center"/>
          </w:tcPr>
          <w:p w14:paraId="2E9885D5">
            <w:pPr>
              <w:jc w:val="center"/>
              <w:rPr>
                <w:rFonts w:ascii="Times New Roman" w:hAnsi="Times New Roman" w:cs="Times New Roman"/>
                <w:b/>
                <w:bCs/>
                <w:szCs w:val="21"/>
                <w:u w:val="single"/>
              </w:rPr>
            </w:pPr>
            <w:r>
              <w:rPr>
                <w:rFonts w:hint="eastAsia" w:ascii="Times New Roman" w:hAnsi="Times New Roman" w:cs="Times New Roman"/>
                <w:b/>
                <w:bCs/>
                <w:szCs w:val="21"/>
                <w:u w:val="single"/>
              </w:rPr>
              <w:t>70</w:t>
            </w:r>
          </w:p>
        </w:tc>
        <w:tc>
          <w:tcPr>
            <w:tcW w:w="404" w:type="pct"/>
            <w:tcBorders>
              <w:top w:val="single" w:color="000000" w:sz="4" w:space="0"/>
              <w:tl2br w:val="nil"/>
              <w:tr2bl w:val="nil"/>
            </w:tcBorders>
            <w:vAlign w:val="center"/>
          </w:tcPr>
          <w:p w14:paraId="0EFF3C2C">
            <w:pPr>
              <w:jc w:val="center"/>
              <w:rPr>
                <w:rFonts w:ascii="Times New Roman" w:hAnsi="Times New Roman" w:cs="Times New Roman"/>
                <w:b/>
                <w:bCs/>
                <w:szCs w:val="21"/>
                <w:u w:val="single"/>
              </w:rPr>
            </w:pPr>
            <w:r>
              <w:rPr>
                <w:rFonts w:hint="eastAsia" w:ascii="Times New Roman" w:hAnsi="Times New Roman" w:cs="Times New Roman"/>
                <w:b/>
                <w:bCs/>
                <w:szCs w:val="21"/>
                <w:u w:val="single"/>
              </w:rPr>
              <w:t>1.4</w:t>
            </w:r>
          </w:p>
        </w:tc>
      </w:tr>
      <w:tr w14:paraId="1605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tcBorders>
              <w:bottom w:val="single" w:color="000000" w:sz="4" w:space="0"/>
              <w:tl2br w:val="nil"/>
              <w:tr2bl w:val="nil"/>
            </w:tcBorders>
            <w:vAlign w:val="center"/>
          </w:tcPr>
          <w:p w14:paraId="5AE917ED">
            <w:pPr>
              <w:jc w:val="center"/>
              <w:rPr>
                <w:rFonts w:ascii="Times New Roman" w:hAnsi="Times New Roman" w:cs="Times New Roman"/>
                <w:b/>
                <w:bCs/>
                <w:szCs w:val="21"/>
                <w:u w:val="single"/>
              </w:rPr>
            </w:pPr>
            <w:bookmarkStart w:id="94" w:name="_Toc28553"/>
            <w:bookmarkStart w:id="95" w:name="_Toc30756"/>
            <w:r>
              <w:rPr>
                <w:rFonts w:hint="eastAsia" w:ascii="Times New Roman" w:hAnsi="Times New Roman" w:cs="Times New Roman"/>
                <w:b/>
                <w:bCs/>
                <w:szCs w:val="21"/>
                <w:u w:val="single"/>
              </w:rPr>
              <w:t>底漆</w:t>
            </w:r>
            <w:r>
              <w:rPr>
                <w:rFonts w:ascii="Times New Roman" w:hAnsi="Times New Roman" w:cs="Times New Roman"/>
                <w:b/>
                <w:bCs/>
                <w:szCs w:val="21"/>
                <w:u w:val="single"/>
              </w:rPr>
              <w:t>固化剂</w:t>
            </w:r>
            <w:bookmarkEnd w:id="94"/>
            <w:bookmarkEnd w:id="95"/>
          </w:p>
        </w:tc>
        <w:tc>
          <w:tcPr>
            <w:tcW w:w="352" w:type="pct"/>
            <w:tcBorders>
              <w:bottom w:val="single" w:color="000000" w:sz="4" w:space="0"/>
              <w:tl2br w:val="nil"/>
              <w:tr2bl w:val="nil"/>
            </w:tcBorders>
            <w:vAlign w:val="center"/>
          </w:tcPr>
          <w:p w14:paraId="7075FBA7">
            <w:pPr>
              <w:jc w:val="center"/>
              <w:rPr>
                <w:rFonts w:ascii="Times New Roman" w:hAnsi="Times New Roman" w:cs="Times New Roman"/>
                <w:b/>
                <w:bCs/>
                <w:szCs w:val="21"/>
                <w:u w:val="single"/>
              </w:rPr>
            </w:pPr>
            <w:r>
              <w:rPr>
                <w:rFonts w:hint="eastAsia" w:ascii="Times New Roman" w:hAnsi="Times New Roman" w:cs="Times New Roman"/>
                <w:b/>
                <w:bCs/>
                <w:szCs w:val="21"/>
                <w:u w:val="single"/>
              </w:rPr>
              <w:t>2</w:t>
            </w:r>
          </w:p>
        </w:tc>
        <w:tc>
          <w:tcPr>
            <w:tcW w:w="371" w:type="pct"/>
            <w:tcBorders>
              <w:bottom w:val="single" w:color="000000" w:sz="4" w:space="0"/>
              <w:tl2br w:val="nil"/>
              <w:tr2bl w:val="nil"/>
            </w:tcBorders>
            <w:vAlign w:val="center"/>
          </w:tcPr>
          <w:p w14:paraId="0A30B687">
            <w:pPr>
              <w:jc w:val="center"/>
              <w:rPr>
                <w:rFonts w:ascii="Times New Roman" w:hAnsi="Times New Roman" w:cs="Times New Roman"/>
                <w:b/>
                <w:bCs/>
                <w:szCs w:val="21"/>
                <w:u w:val="single"/>
              </w:rPr>
            </w:pPr>
            <w:r>
              <w:rPr>
                <w:rFonts w:hint="eastAsia" w:ascii="Times New Roman" w:hAnsi="Times New Roman" w:cs="Times New Roman"/>
                <w:b/>
                <w:bCs/>
                <w:szCs w:val="21"/>
                <w:u w:val="single"/>
              </w:rPr>
              <w:t>70</w:t>
            </w:r>
          </w:p>
        </w:tc>
        <w:tc>
          <w:tcPr>
            <w:tcW w:w="598" w:type="pct"/>
            <w:tcBorders>
              <w:bottom w:val="single" w:color="000000" w:sz="4" w:space="0"/>
              <w:tl2br w:val="nil"/>
              <w:tr2bl w:val="nil"/>
            </w:tcBorders>
            <w:vAlign w:val="center"/>
          </w:tcPr>
          <w:p w14:paraId="182C7AEE">
            <w:pPr>
              <w:jc w:val="center"/>
              <w:rPr>
                <w:rFonts w:ascii="Times New Roman" w:hAnsi="Times New Roman" w:cs="Times New Roman"/>
                <w:b/>
                <w:bCs/>
                <w:szCs w:val="21"/>
                <w:u w:val="single"/>
              </w:rPr>
            </w:pPr>
            <w:r>
              <w:rPr>
                <w:rFonts w:hint="eastAsia" w:ascii="Times New Roman" w:hAnsi="Times New Roman" w:cs="Times New Roman"/>
                <w:b/>
                <w:bCs/>
                <w:szCs w:val="21"/>
                <w:u w:val="single"/>
              </w:rPr>
              <w:t>1.4</w:t>
            </w:r>
          </w:p>
        </w:tc>
        <w:tc>
          <w:tcPr>
            <w:tcW w:w="334" w:type="pct"/>
            <w:tcBorders>
              <w:bottom w:val="single" w:color="000000" w:sz="4" w:space="0"/>
              <w:tl2br w:val="nil"/>
              <w:tr2bl w:val="nil"/>
            </w:tcBorders>
            <w:vAlign w:val="center"/>
          </w:tcPr>
          <w:p w14:paraId="15D43AE9">
            <w:pPr>
              <w:jc w:val="center"/>
              <w:rPr>
                <w:rFonts w:hint="eastAsia" w:ascii="Times New Roman" w:hAnsi="Times New Roman" w:cs="Times New Roman"/>
                <w:b/>
                <w:bCs/>
                <w:szCs w:val="21"/>
                <w:u w:val="single"/>
              </w:rPr>
            </w:pPr>
            <w:r>
              <w:rPr>
                <w:rFonts w:hint="eastAsia" w:ascii="Times New Roman" w:hAnsi="Times New Roman" w:cs="Times New Roman"/>
                <w:b/>
                <w:bCs/>
                <w:szCs w:val="21"/>
                <w:u w:val="single"/>
                <w:lang w:val="en-US" w:eastAsia="zh-CN"/>
              </w:rPr>
              <w:t>0</w:t>
            </w:r>
          </w:p>
        </w:tc>
        <w:tc>
          <w:tcPr>
            <w:tcW w:w="440" w:type="pct"/>
            <w:tcBorders>
              <w:bottom w:val="single" w:color="000000" w:sz="4" w:space="0"/>
              <w:tl2br w:val="nil"/>
              <w:tr2bl w:val="nil"/>
            </w:tcBorders>
            <w:vAlign w:val="center"/>
          </w:tcPr>
          <w:p w14:paraId="41DB0432">
            <w:pPr>
              <w:jc w:val="center"/>
              <w:rPr>
                <w:rFonts w:hint="eastAsia" w:ascii="Times New Roman" w:hAnsi="Times New Roman" w:cs="Times New Roman"/>
                <w:b/>
                <w:bCs/>
                <w:szCs w:val="21"/>
                <w:u w:val="single"/>
              </w:rPr>
            </w:pPr>
            <w:r>
              <w:rPr>
                <w:rFonts w:hint="eastAsia" w:ascii="Times New Roman" w:hAnsi="Times New Roman" w:cs="Times New Roman"/>
                <w:b/>
                <w:bCs/>
                <w:szCs w:val="21"/>
                <w:u w:val="single"/>
              </w:rPr>
              <w:t>/</w:t>
            </w:r>
          </w:p>
        </w:tc>
        <w:tc>
          <w:tcPr>
            <w:tcW w:w="431" w:type="pct"/>
            <w:tcBorders>
              <w:bottom w:val="single" w:color="000000" w:sz="4" w:space="0"/>
              <w:tl2br w:val="nil"/>
              <w:tr2bl w:val="nil"/>
            </w:tcBorders>
            <w:vAlign w:val="center"/>
          </w:tcPr>
          <w:p w14:paraId="77DF359A">
            <w:pPr>
              <w:jc w:val="center"/>
              <w:rPr>
                <w:rFonts w:ascii="Times New Roman" w:hAnsi="Times New Roman" w:cs="Times New Roman"/>
                <w:b/>
                <w:bCs/>
                <w:szCs w:val="21"/>
                <w:u w:val="single"/>
              </w:rPr>
            </w:pPr>
            <w:r>
              <w:rPr>
                <w:rFonts w:hint="eastAsia" w:ascii="Times New Roman" w:hAnsi="Times New Roman" w:cs="Times New Roman"/>
                <w:b/>
                <w:bCs/>
                <w:szCs w:val="21"/>
                <w:u w:val="single"/>
              </w:rPr>
              <w:t>/</w:t>
            </w:r>
          </w:p>
        </w:tc>
        <w:tc>
          <w:tcPr>
            <w:tcW w:w="413" w:type="pct"/>
            <w:tcBorders>
              <w:bottom w:val="single" w:color="000000" w:sz="4" w:space="0"/>
              <w:tl2br w:val="nil"/>
              <w:tr2bl w:val="nil"/>
            </w:tcBorders>
            <w:vAlign w:val="center"/>
          </w:tcPr>
          <w:p w14:paraId="152A8E27">
            <w:pPr>
              <w:jc w:val="center"/>
              <w:rPr>
                <w:rFonts w:ascii="Times New Roman" w:hAnsi="Times New Roman" w:cs="Times New Roman"/>
                <w:b/>
                <w:bCs/>
                <w:szCs w:val="21"/>
                <w:u w:val="single"/>
              </w:rPr>
            </w:pPr>
            <w:bookmarkStart w:id="96" w:name="_Toc22009"/>
            <w:bookmarkStart w:id="97" w:name="_Toc16529"/>
            <w:r>
              <w:rPr>
                <w:rFonts w:ascii="Times New Roman" w:hAnsi="Times New Roman" w:cs="Times New Roman"/>
                <w:b/>
                <w:bCs/>
                <w:szCs w:val="21"/>
                <w:u w:val="single"/>
              </w:rPr>
              <w:t>/</w:t>
            </w:r>
            <w:bookmarkEnd w:id="96"/>
            <w:bookmarkEnd w:id="97"/>
          </w:p>
        </w:tc>
        <w:tc>
          <w:tcPr>
            <w:tcW w:w="390" w:type="pct"/>
            <w:tcBorders>
              <w:bottom w:val="single" w:color="000000" w:sz="4" w:space="0"/>
              <w:tl2br w:val="nil"/>
              <w:tr2bl w:val="nil"/>
            </w:tcBorders>
            <w:vAlign w:val="center"/>
          </w:tcPr>
          <w:p w14:paraId="2125869E">
            <w:pPr>
              <w:jc w:val="center"/>
              <w:rPr>
                <w:rFonts w:ascii="Times New Roman" w:hAnsi="Times New Roman" w:cs="Times New Roman"/>
                <w:b/>
                <w:bCs/>
                <w:szCs w:val="21"/>
                <w:u w:val="single"/>
              </w:rPr>
            </w:pPr>
            <w:bookmarkStart w:id="98" w:name="_Toc31559"/>
            <w:bookmarkStart w:id="99" w:name="_Toc525"/>
            <w:r>
              <w:rPr>
                <w:rFonts w:ascii="Times New Roman" w:hAnsi="Times New Roman" w:cs="Times New Roman"/>
                <w:b/>
                <w:bCs/>
                <w:szCs w:val="21"/>
                <w:u w:val="single"/>
              </w:rPr>
              <w:t>/</w:t>
            </w:r>
            <w:bookmarkEnd w:id="98"/>
            <w:bookmarkEnd w:id="99"/>
          </w:p>
        </w:tc>
        <w:tc>
          <w:tcPr>
            <w:tcW w:w="371" w:type="pct"/>
            <w:tcBorders>
              <w:bottom w:val="single" w:color="000000" w:sz="4" w:space="0"/>
              <w:tl2br w:val="nil"/>
              <w:tr2bl w:val="nil"/>
            </w:tcBorders>
            <w:vAlign w:val="center"/>
          </w:tcPr>
          <w:p w14:paraId="7A4180E2">
            <w:pPr>
              <w:jc w:val="center"/>
              <w:rPr>
                <w:rFonts w:ascii="Times New Roman" w:hAnsi="Times New Roman" w:cs="Times New Roman"/>
                <w:b/>
                <w:bCs/>
                <w:szCs w:val="21"/>
                <w:u w:val="single"/>
              </w:rPr>
            </w:pPr>
            <w:bookmarkStart w:id="100" w:name="_Toc12689"/>
            <w:bookmarkStart w:id="101" w:name="_Toc6408"/>
            <w:r>
              <w:rPr>
                <w:rFonts w:ascii="Times New Roman" w:hAnsi="Times New Roman" w:cs="Times New Roman"/>
                <w:b/>
                <w:bCs/>
                <w:szCs w:val="21"/>
                <w:u w:val="single"/>
              </w:rPr>
              <w:t>/</w:t>
            </w:r>
            <w:bookmarkEnd w:id="100"/>
            <w:bookmarkEnd w:id="101"/>
          </w:p>
        </w:tc>
        <w:tc>
          <w:tcPr>
            <w:tcW w:w="385" w:type="pct"/>
            <w:tcBorders>
              <w:bottom w:val="single" w:color="000000" w:sz="4" w:space="0"/>
              <w:tl2br w:val="nil"/>
              <w:tr2bl w:val="nil"/>
            </w:tcBorders>
            <w:vAlign w:val="center"/>
          </w:tcPr>
          <w:p w14:paraId="408ED643">
            <w:pPr>
              <w:jc w:val="center"/>
              <w:rPr>
                <w:rFonts w:ascii="Times New Roman" w:hAnsi="Times New Roman" w:cs="Times New Roman"/>
                <w:b/>
                <w:bCs/>
                <w:szCs w:val="21"/>
                <w:u w:val="single"/>
              </w:rPr>
            </w:pPr>
            <w:r>
              <w:rPr>
                <w:rFonts w:hint="eastAsia" w:ascii="Times New Roman" w:hAnsi="Times New Roman" w:cs="Times New Roman"/>
                <w:b/>
                <w:bCs/>
                <w:szCs w:val="21"/>
                <w:u w:val="single"/>
              </w:rPr>
              <w:t>30</w:t>
            </w:r>
          </w:p>
        </w:tc>
        <w:tc>
          <w:tcPr>
            <w:tcW w:w="404" w:type="pct"/>
            <w:tcBorders>
              <w:bottom w:val="single" w:color="000000" w:sz="4" w:space="0"/>
              <w:tl2br w:val="nil"/>
              <w:tr2bl w:val="nil"/>
            </w:tcBorders>
            <w:vAlign w:val="center"/>
          </w:tcPr>
          <w:p w14:paraId="2DE83C97">
            <w:pPr>
              <w:jc w:val="center"/>
              <w:rPr>
                <w:rFonts w:ascii="Times New Roman" w:hAnsi="Times New Roman" w:cs="Times New Roman"/>
                <w:b/>
                <w:bCs/>
                <w:szCs w:val="21"/>
                <w:u w:val="single"/>
              </w:rPr>
            </w:pPr>
            <w:r>
              <w:rPr>
                <w:rFonts w:hint="eastAsia" w:ascii="Times New Roman" w:hAnsi="Times New Roman" w:cs="Times New Roman"/>
                <w:b/>
                <w:bCs/>
                <w:szCs w:val="21"/>
                <w:u w:val="single"/>
              </w:rPr>
              <w:t>0.6</w:t>
            </w:r>
          </w:p>
        </w:tc>
      </w:tr>
      <w:tr w14:paraId="656F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04" w:type="pct"/>
            <w:tcBorders>
              <w:top w:val="single" w:color="000000" w:sz="4" w:space="0"/>
              <w:bottom w:val="single" w:color="000000" w:sz="4" w:space="0"/>
              <w:tl2br w:val="nil"/>
              <w:tr2bl w:val="nil"/>
            </w:tcBorders>
            <w:vAlign w:val="center"/>
          </w:tcPr>
          <w:p w14:paraId="7671C164">
            <w:pPr>
              <w:jc w:val="center"/>
              <w:rPr>
                <w:rFonts w:ascii="Times New Roman" w:hAnsi="Times New Roman" w:cs="Times New Roman"/>
                <w:b/>
                <w:bCs/>
                <w:szCs w:val="21"/>
                <w:u w:val="single"/>
              </w:rPr>
            </w:pPr>
            <w:r>
              <w:rPr>
                <w:rFonts w:hint="eastAsia" w:ascii="Times New Roman" w:hAnsi="Times New Roman" w:cs="Times New Roman"/>
                <w:b/>
                <w:bCs/>
                <w:szCs w:val="21"/>
                <w:u w:val="single"/>
              </w:rPr>
              <w:t>面漆</w:t>
            </w:r>
          </w:p>
        </w:tc>
        <w:tc>
          <w:tcPr>
            <w:tcW w:w="352" w:type="pct"/>
            <w:tcBorders>
              <w:top w:val="single" w:color="000000" w:sz="4" w:space="0"/>
              <w:bottom w:val="single" w:color="000000" w:sz="4" w:space="0"/>
              <w:tl2br w:val="nil"/>
              <w:tr2bl w:val="nil"/>
            </w:tcBorders>
            <w:vAlign w:val="center"/>
          </w:tcPr>
          <w:p w14:paraId="0CB76360">
            <w:pPr>
              <w:jc w:val="center"/>
              <w:rPr>
                <w:rFonts w:ascii="Times New Roman" w:hAnsi="Times New Roman" w:cs="Times New Roman"/>
                <w:b/>
                <w:bCs/>
                <w:szCs w:val="21"/>
                <w:u w:val="single"/>
              </w:rPr>
            </w:pPr>
            <w:r>
              <w:rPr>
                <w:rFonts w:hint="eastAsia" w:ascii="Times New Roman" w:hAnsi="Times New Roman" w:cs="Times New Roman"/>
                <w:b/>
                <w:bCs/>
                <w:szCs w:val="21"/>
                <w:u w:val="single"/>
              </w:rPr>
              <w:t>3.2</w:t>
            </w:r>
          </w:p>
        </w:tc>
        <w:tc>
          <w:tcPr>
            <w:tcW w:w="371" w:type="pct"/>
            <w:tcBorders>
              <w:top w:val="single" w:color="000000" w:sz="4" w:space="0"/>
              <w:bottom w:val="single" w:color="000000" w:sz="4" w:space="0"/>
              <w:tl2br w:val="nil"/>
              <w:tr2bl w:val="nil"/>
            </w:tcBorders>
            <w:vAlign w:val="center"/>
          </w:tcPr>
          <w:p w14:paraId="3E9BE94A">
            <w:pPr>
              <w:jc w:val="center"/>
              <w:rPr>
                <w:rFonts w:ascii="Times New Roman" w:hAnsi="Times New Roman" w:cs="Times New Roman"/>
                <w:b/>
                <w:bCs/>
                <w:szCs w:val="21"/>
                <w:u w:val="single"/>
              </w:rPr>
            </w:pPr>
            <w:r>
              <w:rPr>
                <w:rFonts w:hint="eastAsia" w:ascii="Times New Roman" w:hAnsi="Times New Roman" w:cs="Times New Roman"/>
                <w:b/>
                <w:bCs/>
                <w:szCs w:val="21"/>
                <w:u w:val="single"/>
              </w:rPr>
              <w:t>58.1</w:t>
            </w:r>
          </w:p>
        </w:tc>
        <w:tc>
          <w:tcPr>
            <w:tcW w:w="598" w:type="pct"/>
            <w:tcBorders>
              <w:top w:val="single" w:color="000000" w:sz="4" w:space="0"/>
              <w:bottom w:val="single" w:color="000000" w:sz="4" w:space="0"/>
              <w:tl2br w:val="nil"/>
              <w:tr2bl w:val="nil"/>
            </w:tcBorders>
            <w:vAlign w:val="center"/>
          </w:tcPr>
          <w:p w14:paraId="7AF8B0CD">
            <w:pPr>
              <w:jc w:val="center"/>
              <w:rPr>
                <w:rFonts w:ascii="Times New Roman" w:hAnsi="Times New Roman" w:cs="Times New Roman"/>
                <w:b/>
                <w:bCs/>
                <w:szCs w:val="21"/>
                <w:u w:val="single"/>
              </w:rPr>
            </w:pPr>
            <w:r>
              <w:rPr>
                <w:rFonts w:hint="eastAsia" w:ascii="Times New Roman" w:hAnsi="Times New Roman" w:cs="Times New Roman"/>
                <w:b/>
                <w:bCs/>
                <w:szCs w:val="21"/>
                <w:u w:val="single"/>
              </w:rPr>
              <w:t>1.859</w:t>
            </w:r>
          </w:p>
        </w:tc>
        <w:tc>
          <w:tcPr>
            <w:tcW w:w="334" w:type="pct"/>
            <w:tcBorders>
              <w:top w:val="single" w:color="000000" w:sz="4" w:space="0"/>
              <w:bottom w:val="single" w:color="000000" w:sz="4" w:space="0"/>
              <w:tl2br w:val="nil"/>
              <w:tr2bl w:val="nil"/>
            </w:tcBorders>
            <w:vAlign w:val="center"/>
          </w:tcPr>
          <w:p w14:paraId="05B952F4">
            <w:pPr>
              <w:jc w:val="center"/>
              <w:rPr>
                <w:rFonts w:hint="eastAsia"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1</w:t>
            </w:r>
          </w:p>
        </w:tc>
        <w:tc>
          <w:tcPr>
            <w:tcW w:w="440" w:type="pct"/>
            <w:tcBorders>
              <w:top w:val="single" w:color="000000" w:sz="4" w:space="0"/>
              <w:bottom w:val="single" w:color="000000" w:sz="4" w:space="0"/>
              <w:tl2br w:val="nil"/>
              <w:tr2bl w:val="nil"/>
            </w:tcBorders>
            <w:vAlign w:val="center"/>
          </w:tcPr>
          <w:p w14:paraId="1286ABA3">
            <w:pPr>
              <w:jc w:val="center"/>
              <w:rPr>
                <w:rFonts w:hint="default"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0.032</w:t>
            </w:r>
          </w:p>
        </w:tc>
        <w:tc>
          <w:tcPr>
            <w:tcW w:w="431" w:type="pct"/>
            <w:tcBorders>
              <w:top w:val="single" w:color="000000" w:sz="4" w:space="0"/>
              <w:bottom w:val="single" w:color="000000" w:sz="4" w:space="0"/>
              <w:tl2br w:val="nil"/>
              <w:tr2bl w:val="nil"/>
            </w:tcBorders>
            <w:vAlign w:val="center"/>
          </w:tcPr>
          <w:p w14:paraId="48DE66E3">
            <w:pPr>
              <w:jc w:val="center"/>
              <w:rPr>
                <w:rFonts w:hint="eastAsia" w:ascii="Times New Roman" w:hAnsi="Times New Roman" w:cs="Times New Roman" w:eastAsiaTheme="minorEastAsia"/>
                <w:b/>
                <w:bCs/>
                <w:szCs w:val="21"/>
                <w:u w:val="single"/>
                <w:lang w:eastAsia="zh-CN"/>
              </w:rPr>
            </w:pPr>
            <w:r>
              <w:rPr>
                <w:rFonts w:hint="eastAsia" w:ascii="Times New Roman" w:hAnsi="Times New Roman" w:cs="Times New Roman"/>
                <w:b/>
                <w:bCs/>
                <w:szCs w:val="21"/>
                <w:u w:val="single"/>
                <w:lang w:val="en-US" w:eastAsia="zh-CN"/>
              </w:rPr>
              <w:t>2</w:t>
            </w:r>
          </w:p>
        </w:tc>
        <w:tc>
          <w:tcPr>
            <w:tcW w:w="413" w:type="pct"/>
            <w:tcBorders>
              <w:top w:val="single" w:color="000000" w:sz="4" w:space="0"/>
              <w:bottom w:val="single" w:color="000000" w:sz="4" w:space="0"/>
              <w:tl2br w:val="nil"/>
              <w:tr2bl w:val="nil"/>
            </w:tcBorders>
            <w:vAlign w:val="center"/>
          </w:tcPr>
          <w:p w14:paraId="5C551EEF">
            <w:pPr>
              <w:jc w:val="center"/>
              <w:rPr>
                <w:rFonts w:hint="default"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rPr>
              <w:t>0.0</w:t>
            </w:r>
            <w:r>
              <w:rPr>
                <w:rFonts w:hint="eastAsia" w:ascii="Times New Roman" w:hAnsi="Times New Roman" w:cs="Times New Roman"/>
                <w:b/>
                <w:bCs/>
                <w:szCs w:val="21"/>
                <w:u w:val="single"/>
                <w:lang w:val="en-US" w:eastAsia="zh-CN"/>
              </w:rPr>
              <w:t>64</w:t>
            </w:r>
          </w:p>
        </w:tc>
        <w:tc>
          <w:tcPr>
            <w:tcW w:w="390" w:type="pct"/>
            <w:tcBorders>
              <w:top w:val="single" w:color="000000" w:sz="4" w:space="0"/>
              <w:bottom w:val="single" w:color="000000" w:sz="4" w:space="0"/>
              <w:tl2br w:val="nil"/>
              <w:tr2bl w:val="nil"/>
            </w:tcBorders>
            <w:vAlign w:val="center"/>
          </w:tcPr>
          <w:p w14:paraId="3E515A1C">
            <w:pPr>
              <w:jc w:val="center"/>
              <w:rPr>
                <w:rFonts w:ascii="Times New Roman" w:hAnsi="Times New Roman" w:cs="Times New Roman"/>
                <w:b/>
                <w:bCs/>
                <w:szCs w:val="21"/>
                <w:u w:val="single"/>
              </w:rPr>
            </w:pPr>
            <w:r>
              <w:rPr>
                <w:rFonts w:hint="eastAsia" w:ascii="Times New Roman" w:hAnsi="Times New Roman" w:cs="Times New Roman"/>
                <w:b/>
                <w:bCs/>
                <w:szCs w:val="21"/>
                <w:u w:val="single"/>
              </w:rPr>
              <w:t>5</w:t>
            </w:r>
          </w:p>
        </w:tc>
        <w:tc>
          <w:tcPr>
            <w:tcW w:w="371" w:type="pct"/>
            <w:tcBorders>
              <w:top w:val="single" w:color="000000" w:sz="4" w:space="0"/>
              <w:bottom w:val="single" w:color="000000" w:sz="4" w:space="0"/>
              <w:tl2br w:val="nil"/>
              <w:tr2bl w:val="nil"/>
            </w:tcBorders>
            <w:vAlign w:val="center"/>
          </w:tcPr>
          <w:p w14:paraId="3FB6541F">
            <w:pPr>
              <w:jc w:val="center"/>
              <w:rPr>
                <w:rFonts w:ascii="Times New Roman" w:hAnsi="Times New Roman" w:cs="Times New Roman"/>
                <w:b/>
                <w:bCs/>
                <w:szCs w:val="21"/>
                <w:u w:val="single"/>
              </w:rPr>
            </w:pPr>
            <w:r>
              <w:rPr>
                <w:rFonts w:hint="eastAsia" w:ascii="Times New Roman" w:hAnsi="Times New Roman" w:cs="Times New Roman"/>
                <w:b/>
                <w:bCs/>
                <w:szCs w:val="21"/>
                <w:u w:val="single"/>
              </w:rPr>
              <w:t>0.16</w:t>
            </w:r>
          </w:p>
        </w:tc>
        <w:tc>
          <w:tcPr>
            <w:tcW w:w="385" w:type="pct"/>
            <w:tcBorders>
              <w:top w:val="single" w:color="000000" w:sz="4" w:space="0"/>
              <w:bottom w:val="single" w:color="000000" w:sz="4" w:space="0"/>
              <w:tl2br w:val="nil"/>
              <w:tr2bl w:val="nil"/>
            </w:tcBorders>
            <w:vAlign w:val="center"/>
          </w:tcPr>
          <w:p w14:paraId="6E3960F2">
            <w:pPr>
              <w:jc w:val="center"/>
              <w:rPr>
                <w:rFonts w:ascii="Times New Roman" w:hAnsi="Times New Roman" w:cs="Times New Roman"/>
                <w:b/>
                <w:bCs/>
                <w:szCs w:val="21"/>
                <w:u w:val="single"/>
              </w:rPr>
            </w:pPr>
            <w:r>
              <w:rPr>
                <w:rFonts w:hint="eastAsia" w:ascii="Times New Roman" w:hAnsi="Times New Roman" w:cs="Times New Roman"/>
                <w:b/>
                <w:bCs/>
                <w:szCs w:val="21"/>
                <w:u w:val="single"/>
              </w:rPr>
              <w:t>33.9</w:t>
            </w:r>
          </w:p>
        </w:tc>
        <w:tc>
          <w:tcPr>
            <w:tcW w:w="404" w:type="pct"/>
            <w:tcBorders>
              <w:top w:val="single" w:color="000000" w:sz="4" w:space="0"/>
              <w:bottom w:val="single" w:color="000000" w:sz="4" w:space="0"/>
              <w:tl2br w:val="nil"/>
              <w:tr2bl w:val="nil"/>
            </w:tcBorders>
            <w:vAlign w:val="center"/>
          </w:tcPr>
          <w:p w14:paraId="7431219D">
            <w:pPr>
              <w:jc w:val="center"/>
              <w:rPr>
                <w:rFonts w:ascii="Times New Roman" w:hAnsi="Times New Roman" w:cs="Times New Roman"/>
                <w:b/>
                <w:bCs/>
                <w:szCs w:val="21"/>
                <w:u w:val="single"/>
              </w:rPr>
            </w:pPr>
            <w:r>
              <w:rPr>
                <w:rFonts w:hint="eastAsia" w:ascii="Times New Roman" w:hAnsi="Times New Roman" w:cs="Times New Roman"/>
                <w:b/>
                <w:bCs/>
                <w:szCs w:val="21"/>
                <w:u w:val="single"/>
              </w:rPr>
              <w:t>1.085</w:t>
            </w:r>
          </w:p>
        </w:tc>
      </w:tr>
      <w:tr w14:paraId="41CA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04" w:type="pct"/>
            <w:tcBorders>
              <w:top w:val="single" w:color="000000" w:sz="4" w:space="0"/>
              <w:bottom w:val="single" w:color="000000" w:sz="4" w:space="0"/>
              <w:tl2br w:val="nil"/>
              <w:tr2bl w:val="nil"/>
            </w:tcBorders>
            <w:vAlign w:val="center"/>
          </w:tcPr>
          <w:p w14:paraId="6F75F1DE">
            <w:pPr>
              <w:jc w:val="center"/>
              <w:rPr>
                <w:rFonts w:ascii="Times New Roman" w:hAnsi="Times New Roman" w:cs="Times New Roman"/>
                <w:b/>
                <w:bCs/>
                <w:szCs w:val="21"/>
                <w:u w:val="single"/>
              </w:rPr>
            </w:pPr>
            <w:r>
              <w:rPr>
                <w:rFonts w:hint="eastAsia" w:ascii="Times New Roman" w:hAnsi="Times New Roman" w:cs="Times New Roman"/>
                <w:b/>
                <w:bCs/>
                <w:szCs w:val="21"/>
                <w:u w:val="single"/>
              </w:rPr>
              <w:t>面漆</w:t>
            </w:r>
            <w:r>
              <w:rPr>
                <w:rFonts w:ascii="Times New Roman" w:hAnsi="Times New Roman" w:cs="Times New Roman"/>
                <w:b/>
                <w:bCs/>
                <w:szCs w:val="21"/>
                <w:u w:val="single"/>
              </w:rPr>
              <w:t>稀释剂</w:t>
            </w:r>
          </w:p>
        </w:tc>
        <w:tc>
          <w:tcPr>
            <w:tcW w:w="352" w:type="pct"/>
            <w:tcBorders>
              <w:top w:val="single" w:color="000000" w:sz="4" w:space="0"/>
              <w:bottom w:val="single" w:color="000000" w:sz="4" w:space="0"/>
              <w:tl2br w:val="nil"/>
              <w:tr2bl w:val="nil"/>
            </w:tcBorders>
            <w:vAlign w:val="center"/>
          </w:tcPr>
          <w:p w14:paraId="67F864C8">
            <w:pPr>
              <w:jc w:val="center"/>
              <w:rPr>
                <w:rFonts w:ascii="Times New Roman" w:hAnsi="Times New Roman" w:cs="Times New Roman"/>
                <w:b/>
                <w:bCs/>
                <w:szCs w:val="21"/>
                <w:u w:val="single"/>
              </w:rPr>
            </w:pPr>
            <w:r>
              <w:rPr>
                <w:rFonts w:hint="eastAsia" w:ascii="Times New Roman" w:hAnsi="Times New Roman" w:cs="Times New Roman"/>
                <w:b/>
                <w:bCs/>
                <w:szCs w:val="21"/>
                <w:u w:val="single"/>
              </w:rPr>
              <w:t>1.6</w:t>
            </w:r>
          </w:p>
        </w:tc>
        <w:tc>
          <w:tcPr>
            <w:tcW w:w="371" w:type="pct"/>
            <w:tcBorders>
              <w:top w:val="single" w:color="000000" w:sz="4" w:space="0"/>
              <w:bottom w:val="single" w:color="000000" w:sz="4" w:space="0"/>
              <w:tl2br w:val="nil"/>
              <w:tr2bl w:val="nil"/>
            </w:tcBorders>
            <w:vAlign w:val="center"/>
          </w:tcPr>
          <w:p w14:paraId="1A36A2BC">
            <w:pPr>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598" w:type="pct"/>
            <w:tcBorders>
              <w:top w:val="single" w:color="000000" w:sz="4" w:space="0"/>
              <w:bottom w:val="single" w:color="000000" w:sz="4" w:space="0"/>
              <w:tl2br w:val="nil"/>
              <w:tr2bl w:val="nil"/>
            </w:tcBorders>
            <w:vAlign w:val="center"/>
          </w:tcPr>
          <w:p w14:paraId="0D44EC14">
            <w:pPr>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334" w:type="pct"/>
            <w:tcBorders>
              <w:top w:val="single" w:color="000000" w:sz="4" w:space="0"/>
              <w:bottom w:val="single" w:color="000000" w:sz="4" w:space="0"/>
              <w:tl2br w:val="nil"/>
              <w:tr2bl w:val="nil"/>
            </w:tcBorders>
            <w:vAlign w:val="center"/>
          </w:tcPr>
          <w:p w14:paraId="3372E381">
            <w:pPr>
              <w:jc w:val="center"/>
              <w:rPr>
                <w:rFonts w:hint="eastAsia" w:ascii="Times New Roman" w:hAnsi="Times New Roman" w:cs="Times New Roman"/>
                <w:b/>
                <w:bCs/>
                <w:szCs w:val="21"/>
                <w:u w:val="single"/>
              </w:rPr>
            </w:pPr>
            <w:r>
              <w:rPr>
                <w:rFonts w:hint="eastAsia" w:ascii="Times New Roman" w:hAnsi="Times New Roman" w:cs="Times New Roman"/>
                <w:b/>
                <w:bCs/>
                <w:szCs w:val="21"/>
                <w:u w:val="single"/>
                <w:lang w:val="en-US" w:eastAsia="zh-CN"/>
              </w:rPr>
              <w:t>0</w:t>
            </w:r>
          </w:p>
        </w:tc>
        <w:tc>
          <w:tcPr>
            <w:tcW w:w="440" w:type="pct"/>
            <w:tcBorders>
              <w:top w:val="single" w:color="000000" w:sz="4" w:space="0"/>
              <w:bottom w:val="single" w:color="000000" w:sz="4" w:space="0"/>
              <w:tl2br w:val="nil"/>
              <w:tr2bl w:val="nil"/>
            </w:tcBorders>
            <w:vAlign w:val="center"/>
          </w:tcPr>
          <w:p w14:paraId="500E6644">
            <w:pPr>
              <w:jc w:val="center"/>
              <w:rPr>
                <w:rFonts w:hint="eastAsia" w:ascii="Times New Roman" w:hAnsi="Times New Roman" w:cs="Times New Roman"/>
                <w:b/>
                <w:bCs/>
                <w:szCs w:val="21"/>
                <w:u w:val="single"/>
              </w:rPr>
            </w:pPr>
            <w:r>
              <w:rPr>
                <w:rFonts w:hint="eastAsia" w:ascii="Times New Roman" w:hAnsi="Times New Roman" w:cs="Times New Roman"/>
                <w:b/>
                <w:bCs/>
                <w:szCs w:val="21"/>
                <w:u w:val="single"/>
              </w:rPr>
              <w:t>/</w:t>
            </w:r>
          </w:p>
        </w:tc>
        <w:tc>
          <w:tcPr>
            <w:tcW w:w="431" w:type="pct"/>
            <w:tcBorders>
              <w:top w:val="single" w:color="000000" w:sz="4" w:space="0"/>
              <w:bottom w:val="single" w:color="000000" w:sz="4" w:space="0"/>
              <w:tl2br w:val="nil"/>
              <w:tr2bl w:val="nil"/>
            </w:tcBorders>
            <w:vAlign w:val="center"/>
          </w:tcPr>
          <w:p w14:paraId="294946DA">
            <w:pPr>
              <w:jc w:val="center"/>
              <w:rPr>
                <w:rFonts w:ascii="Times New Roman" w:hAnsi="Times New Roman" w:cs="Times New Roman"/>
                <w:b/>
                <w:bCs/>
                <w:szCs w:val="21"/>
                <w:u w:val="single"/>
              </w:rPr>
            </w:pPr>
            <w:r>
              <w:rPr>
                <w:rFonts w:hint="eastAsia" w:ascii="Times New Roman" w:hAnsi="Times New Roman" w:cs="Times New Roman"/>
                <w:b/>
                <w:bCs/>
                <w:szCs w:val="21"/>
                <w:u w:val="single"/>
              </w:rPr>
              <w:t>10</w:t>
            </w:r>
          </w:p>
        </w:tc>
        <w:tc>
          <w:tcPr>
            <w:tcW w:w="413" w:type="pct"/>
            <w:tcBorders>
              <w:top w:val="single" w:color="000000" w:sz="4" w:space="0"/>
              <w:bottom w:val="single" w:color="000000" w:sz="4" w:space="0"/>
              <w:tl2br w:val="nil"/>
              <w:tr2bl w:val="nil"/>
            </w:tcBorders>
            <w:vAlign w:val="center"/>
          </w:tcPr>
          <w:p w14:paraId="319CBA9B">
            <w:pPr>
              <w:jc w:val="center"/>
              <w:rPr>
                <w:rFonts w:ascii="Times New Roman" w:hAnsi="Times New Roman" w:cs="Times New Roman"/>
                <w:b/>
                <w:bCs/>
                <w:szCs w:val="21"/>
                <w:u w:val="single"/>
              </w:rPr>
            </w:pPr>
            <w:r>
              <w:rPr>
                <w:rFonts w:hint="eastAsia" w:ascii="Times New Roman" w:hAnsi="Times New Roman" w:cs="Times New Roman"/>
                <w:b/>
                <w:bCs/>
                <w:szCs w:val="21"/>
                <w:u w:val="single"/>
              </w:rPr>
              <w:t>0.16</w:t>
            </w:r>
          </w:p>
        </w:tc>
        <w:tc>
          <w:tcPr>
            <w:tcW w:w="390" w:type="pct"/>
            <w:tcBorders>
              <w:top w:val="single" w:color="000000" w:sz="4" w:space="0"/>
              <w:bottom w:val="single" w:color="000000" w:sz="4" w:space="0"/>
              <w:tl2br w:val="nil"/>
              <w:tr2bl w:val="nil"/>
            </w:tcBorders>
            <w:vAlign w:val="center"/>
          </w:tcPr>
          <w:p w14:paraId="74182F07">
            <w:pPr>
              <w:jc w:val="center"/>
              <w:rPr>
                <w:rFonts w:ascii="Times New Roman" w:hAnsi="Times New Roman" w:cs="Times New Roman"/>
                <w:b/>
                <w:bCs/>
                <w:szCs w:val="21"/>
                <w:u w:val="single"/>
              </w:rPr>
            </w:pPr>
            <w:r>
              <w:rPr>
                <w:rFonts w:hint="eastAsia" w:ascii="Times New Roman" w:hAnsi="Times New Roman" w:cs="Times New Roman"/>
                <w:b/>
                <w:bCs/>
                <w:szCs w:val="21"/>
                <w:u w:val="single"/>
              </w:rPr>
              <w:t>20</w:t>
            </w:r>
          </w:p>
        </w:tc>
        <w:tc>
          <w:tcPr>
            <w:tcW w:w="371" w:type="pct"/>
            <w:tcBorders>
              <w:top w:val="single" w:color="000000" w:sz="4" w:space="0"/>
              <w:bottom w:val="single" w:color="000000" w:sz="4" w:space="0"/>
              <w:tl2br w:val="nil"/>
              <w:tr2bl w:val="nil"/>
            </w:tcBorders>
            <w:vAlign w:val="center"/>
          </w:tcPr>
          <w:p w14:paraId="179571CB">
            <w:pPr>
              <w:jc w:val="center"/>
              <w:rPr>
                <w:rFonts w:ascii="Times New Roman" w:hAnsi="Times New Roman" w:cs="Times New Roman"/>
                <w:b/>
                <w:bCs/>
                <w:szCs w:val="21"/>
                <w:u w:val="single"/>
              </w:rPr>
            </w:pPr>
            <w:r>
              <w:rPr>
                <w:rFonts w:hint="eastAsia" w:ascii="Times New Roman" w:hAnsi="Times New Roman" w:cs="Times New Roman"/>
                <w:b/>
                <w:bCs/>
                <w:szCs w:val="21"/>
                <w:u w:val="single"/>
              </w:rPr>
              <w:t>0.32</w:t>
            </w:r>
          </w:p>
        </w:tc>
        <w:tc>
          <w:tcPr>
            <w:tcW w:w="385" w:type="pct"/>
            <w:tcBorders>
              <w:top w:val="single" w:color="000000" w:sz="4" w:space="0"/>
              <w:bottom w:val="single" w:color="000000" w:sz="4" w:space="0"/>
              <w:tl2br w:val="nil"/>
              <w:tr2bl w:val="nil"/>
            </w:tcBorders>
            <w:vAlign w:val="center"/>
          </w:tcPr>
          <w:p w14:paraId="65A9A28D">
            <w:pPr>
              <w:jc w:val="center"/>
              <w:rPr>
                <w:rFonts w:ascii="Times New Roman" w:hAnsi="Times New Roman" w:cs="Times New Roman"/>
                <w:b/>
                <w:bCs/>
                <w:szCs w:val="21"/>
                <w:u w:val="single"/>
              </w:rPr>
            </w:pPr>
            <w:r>
              <w:rPr>
                <w:rFonts w:hint="eastAsia" w:ascii="Times New Roman" w:hAnsi="Times New Roman" w:cs="Times New Roman"/>
                <w:b/>
                <w:bCs/>
                <w:szCs w:val="21"/>
                <w:u w:val="single"/>
              </w:rPr>
              <w:t>70</w:t>
            </w:r>
          </w:p>
        </w:tc>
        <w:tc>
          <w:tcPr>
            <w:tcW w:w="404" w:type="pct"/>
            <w:tcBorders>
              <w:top w:val="single" w:color="000000" w:sz="4" w:space="0"/>
              <w:bottom w:val="single" w:color="000000" w:sz="4" w:space="0"/>
              <w:tl2br w:val="nil"/>
              <w:tr2bl w:val="nil"/>
            </w:tcBorders>
            <w:vAlign w:val="center"/>
          </w:tcPr>
          <w:p w14:paraId="0D263648">
            <w:pPr>
              <w:jc w:val="center"/>
              <w:rPr>
                <w:rFonts w:ascii="Times New Roman" w:hAnsi="Times New Roman" w:cs="Times New Roman"/>
                <w:b/>
                <w:bCs/>
                <w:szCs w:val="21"/>
                <w:u w:val="single"/>
              </w:rPr>
            </w:pPr>
            <w:r>
              <w:rPr>
                <w:rFonts w:hint="eastAsia" w:ascii="Times New Roman" w:hAnsi="Times New Roman" w:cs="Times New Roman"/>
                <w:b/>
                <w:bCs/>
                <w:szCs w:val="21"/>
                <w:u w:val="single"/>
              </w:rPr>
              <w:t>1.12</w:t>
            </w:r>
          </w:p>
        </w:tc>
      </w:tr>
      <w:tr w14:paraId="0AD5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04" w:type="pct"/>
            <w:tcBorders>
              <w:top w:val="single" w:color="000000" w:sz="4" w:space="0"/>
              <w:tl2br w:val="nil"/>
              <w:tr2bl w:val="nil"/>
            </w:tcBorders>
            <w:vAlign w:val="center"/>
          </w:tcPr>
          <w:p w14:paraId="18BDE205">
            <w:pPr>
              <w:jc w:val="center"/>
              <w:rPr>
                <w:rFonts w:ascii="Times New Roman" w:hAnsi="Times New Roman" w:cs="Times New Roman"/>
                <w:b/>
                <w:bCs/>
                <w:szCs w:val="21"/>
                <w:u w:val="single"/>
              </w:rPr>
            </w:pPr>
            <w:r>
              <w:rPr>
                <w:rFonts w:hint="eastAsia" w:ascii="Times New Roman" w:hAnsi="Times New Roman" w:cs="Times New Roman"/>
                <w:b/>
                <w:bCs/>
                <w:szCs w:val="21"/>
                <w:u w:val="single"/>
              </w:rPr>
              <w:t>面漆</w:t>
            </w:r>
            <w:r>
              <w:rPr>
                <w:rFonts w:ascii="Times New Roman" w:hAnsi="Times New Roman" w:cs="Times New Roman"/>
                <w:b/>
                <w:bCs/>
                <w:szCs w:val="21"/>
                <w:u w:val="single"/>
              </w:rPr>
              <w:t>固化剂</w:t>
            </w:r>
          </w:p>
        </w:tc>
        <w:tc>
          <w:tcPr>
            <w:tcW w:w="352" w:type="pct"/>
            <w:tcBorders>
              <w:top w:val="single" w:color="000000" w:sz="4" w:space="0"/>
              <w:tl2br w:val="nil"/>
              <w:tr2bl w:val="nil"/>
            </w:tcBorders>
            <w:vAlign w:val="center"/>
          </w:tcPr>
          <w:p w14:paraId="757024B8">
            <w:pPr>
              <w:jc w:val="center"/>
              <w:rPr>
                <w:rFonts w:ascii="Times New Roman" w:hAnsi="Times New Roman" w:cs="Times New Roman"/>
                <w:b/>
                <w:bCs/>
                <w:szCs w:val="21"/>
                <w:u w:val="single"/>
              </w:rPr>
            </w:pPr>
            <w:r>
              <w:rPr>
                <w:rFonts w:hint="eastAsia" w:ascii="Times New Roman" w:hAnsi="Times New Roman" w:cs="Times New Roman"/>
                <w:b/>
                <w:bCs/>
                <w:szCs w:val="21"/>
                <w:u w:val="single"/>
              </w:rPr>
              <w:t>1.6</w:t>
            </w:r>
          </w:p>
        </w:tc>
        <w:tc>
          <w:tcPr>
            <w:tcW w:w="371" w:type="pct"/>
            <w:tcBorders>
              <w:top w:val="single" w:color="000000" w:sz="4" w:space="0"/>
              <w:tl2br w:val="nil"/>
              <w:tr2bl w:val="nil"/>
            </w:tcBorders>
            <w:vAlign w:val="center"/>
          </w:tcPr>
          <w:p w14:paraId="248BC042">
            <w:pPr>
              <w:jc w:val="center"/>
              <w:rPr>
                <w:rFonts w:ascii="Times New Roman" w:hAnsi="Times New Roman" w:cs="Times New Roman"/>
                <w:b/>
                <w:bCs/>
                <w:szCs w:val="21"/>
                <w:u w:val="single"/>
              </w:rPr>
            </w:pPr>
            <w:r>
              <w:rPr>
                <w:rFonts w:hint="eastAsia" w:ascii="Times New Roman" w:hAnsi="Times New Roman" w:cs="Times New Roman"/>
                <w:b/>
                <w:bCs/>
                <w:szCs w:val="21"/>
                <w:u w:val="single"/>
              </w:rPr>
              <w:t>70</w:t>
            </w:r>
          </w:p>
        </w:tc>
        <w:tc>
          <w:tcPr>
            <w:tcW w:w="598" w:type="pct"/>
            <w:tcBorders>
              <w:top w:val="single" w:color="000000" w:sz="4" w:space="0"/>
              <w:tl2br w:val="nil"/>
              <w:tr2bl w:val="nil"/>
            </w:tcBorders>
            <w:vAlign w:val="center"/>
          </w:tcPr>
          <w:p w14:paraId="2253E90A">
            <w:pPr>
              <w:jc w:val="center"/>
              <w:rPr>
                <w:rFonts w:ascii="Times New Roman" w:hAnsi="Times New Roman" w:cs="Times New Roman"/>
                <w:b/>
                <w:bCs/>
                <w:szCs w:val="21"/>
                <w:u w:val="single"/>
              </w:rPr>
            </w:pPr>
            <w:r>
              <w:rPr>
                <w:rFonts w:hint="eastAsia" w:ascii="Times New Roman" w:hAnsi="Times New Roman" w:cs="Times New Roman"/>
                <w:b/>
                <w:bCs/>
                <w:szCs w:val="21"/>
                <w:u w:val="single"/>
              </w:rPr>
              <w:t>1.12</w:t>
            </w:r>
          </w:p>
        </w:tc>
        <w:tc>
          <w:tcPr>
            <w:tcW w:w="334" w:type="pct"/>
            <w:tcBorders>
              <w:top w:val="single" w:color="000000" w:sz="4" w:space="0"/>
              <w:tl2br w:val="nil"/>
              <w:tr2bl w:val="nil"/>
            </w:tcBorders>
            <w:vAlign w:val="center"/>
          </w:tcPr>
          <w:p w14:paraId="3EC9814C">
            <w:pPr>
              <w:jc w:val="center"/>
              <w:rPr>
                <w:rFonts w:hint="eastAsia" w:ascii="Times New Roman" w:hAnsi="Times New Roman" w:cs="Times New Roman"/>
                <w:b/>
                <w:bCs/>
                <w:szCs w:val="21"/>
                <w:u w:val="single"/>
              </w:rPr>
            </w:pPr>
            <w:r>
              <w:rPr>
                <w:rFonts w:hint="eastAsia" w:ascii="Times New Roman" w:hAnsi="Times New Roman" w:cs="Times New Roman"/>
                <w:b/>
                <w:bCs/>
                <w:szCs w:val="21"/>
                <w:u w:val="single"/>
                <w:lang w:val="en-US" w:eastAsia="zh-CN"/>
              </w:rPr>
              <w:t>0</w:t>
            </w:r>
          </w:p>
        </w:tc>
        <w:tc>
          <w:tcPr>
            <w:tcW w:w="440" w:type="pct"/>
            <w:tcBorders>
              <w:top w:val="single" w:color="000000" w:sz="4" w:space="0"/>
              <w:tl2br w:val="nil"/>
              <w:tr2bl w:val="nil"/>
            </w:tcBorders>
            <w:vAlign w:val="center"/>
          </w:tcPr>
          <w:p w14:paraId="63C87F9D">
            <w:pPr>
              <w:jc w:val="center"/>
              <w:rPr>
                <w:rFonts w:hint="eastAsia" w:ascii="Times New Roman" w:hAnsi="Times New Roman" w:cs="Times New Roman"/>
                <w:b/>
                <w:bCs/>
                <w:szCs w:val="21"/>
                <w:u w:val="single"/>
              </w:rPr>
            </w:pPr>
            <w:r>
              <w:rPr>
                <w:rFonts w:hint="eastAsia" w:ascii="Times New Roman" w:hAnsi="Times New Roman" w:cs="Times New Roman"/>
                <w:b/>
                <w:bCs/>
                <w:szCs w:val="21"/>
                <w:u w:val="single"/>
              </w:rPr>
              <w:t>/</w:t>
            </w:r>
          </w:p>
        </w:tc>
        <w:tc>
          <w:tcPr>
            <w:tcW w:w="431" w:type="pct"/>
            <w:tcBorders>
              <w:top w:val="single" w:color="000000" w:sz="4" w:space="0"/>
              <w:tl2br w:val="nil"/>
              <w:tr2bl w:val="nil"/>
            </w:tcBorders>
            <w:vAlign w:val="center"/>
          </w:tcPr>
          <w:p w14:paraId="6FF37699">
            <w:pPr>
              <w:jc w:val="center"/>
              <w:rPr>
                <w:rFonts w:ascii="Times New Roman" w:hAnsi="Times New Roman" w:cs="Times New Roman"/>
                <w:b/>
                <w:bCs/>
                <w:szCs w:val="21"/>
                <w:u w:val="single"/>
              </w:rPr>
            </w:pPr>
            <w:r>
              <w:rPr>
                <w:rFonts w:hint="eastAsia" w:ascii="Times New Roman" w:hAnsi="Times New Roman" w:cs="Times New Roman"/>
                <w:b/>
                <w:bCs/>
                <w:szCs w:val="21"/>
                <w:u w:val="single"/>
              </w:rPr>
              <w:t>/</w:t>
            </w:r>
          </w:p>
        </w:tc>
        <w:tc>
          <w:tcPr>
            <w:tcW w:w="413" w:type="pct"/>
            <w:tcBorders>
              <w:top w:val="single" w:color="000000" w:sz="4" w:space="0"/>
              <w:tl2br w:val="nil"/>
              <w:tr2bl w:val="nil"/>
            </w:tcBorders>
            <w:vAlign w:val="center"/>
          </w:tcPr>
          <w:p w14:paraId="4AC67974">
            <w:pPr>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390" w:type="pct"/>
            <w:tcBorders>
              <w:top w:val="single" w:color="000000" w:sz="4" w:space="0"/>
              <w:tl2br w:val="nil"/>
              <w:tr2bl w:val="nil"/>
            </w:tcBorders>
            <w:vAlign w:val="center"/>
          </w:tcPr>
          <w:p w14:paraId="69A5F2E7">
            <w:pPr>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371" w:type="pct"/>
            <w:tcBorders>
              <w:top w:val="single" w:color="000000" w:sz="4" w:space="0"/>
              <w:tl2br w:val="nil"/>
              <w:tr2bl w:val="nil"/>
            </w:tcBorders>
            <w:vAlign w:val="center"/>
          </w:tcPr>
          <w:p w14:paraId="75829D80">
            <w:pPr>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385" w:type="pct"/>
            <w:tcBorders>
              <w:top w:val="single" w:color="000000" w:sz="4" w:space="0"/>
              <w:tl2br w:val="nil"/>
              <w:tr2bl w:val="nil"/>
            </w:tcBorders>
            <w:vAlign w:val="center"/>
          </w:tcPr>
          <w:p w14:paraId="35EAFB13">
            <w:pPr>
              <w:jc w:val="center"/>
              <w:rPr>
                <w:rFonts w:ascii="Times New Roman" w:hAnsi="Times New Roman" w:cs="Times New Roman"/>
                <w:b/>
                <w:bCs/>
                <w:szCs w:val="21"/>
                <w:u w:val="single"/>
              </w:rPr>
            </w:pPr>
            <w:r>
              <w:rPr>
                <w:rFonts w:hint="eastAsia" w:ascii="Times New Roman" w:hAnsi="Times New Roman" w:cs="Times New Roman"/>
                <w:b/>
                <w:bCs/>
                <w:szCs w:val="21"/>
                <w:u w:val="single"/>
              </w:rPr>
              <w:t>30</w:t>
            </w:r>
          </w:p>
        </w:tc>
        <w:tc>
          <w:tcPr>
            <w:tcW w:w="404" w:type="pct"/>
            <w:tcBorders>
              <w:top w:val="single" w:color="000000" w:sz="4" w:space="0"/>
              <w:tl2br w:val="nil"/>
              <w:tr2bl w:val="nil"/>
            </w:tcBorders>
            <w:vAlign w:val="center"/>
          </w:tcPr>
          <w:p w14:paraId="77E77291">
            <w:pPr>
              <w:jc w:val="center"/>
              <w:rPr>
                <w:rFonts w:ascii="Times New Roman" w:hAnsi="Times New Roman" w:cs="Times New Roman"/>
                <w:b/>
                <w:bCs/>
                <w:szCs w:val="21"/>
                <w:u w:val="single"/>
              </w:rPr>
            </w:pPr>
            <w:r>
              <w:rPr>
                <w:rFonts w:hint="eastAsia" w:ascii="Times New Roman" w:hAnsi="Times New Roman" w:cs="Times New Roman"/>
                <w:b/>
                <w:bCs/>
                <w:szCs w:val="21"/>
                <w:u w:val="single"/>
              </w:rPr>
              <w:t>0.48</w:t>
            </w:r>
          </w:p>
        </w:tc>
      </w:tr>
      <w:tr w14:paraId="7054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6" w:type="pct"/>
            <w:gridSpan w:val="2"/>
            <w:tcBorders>
              <w:left w:val="single" w:color="000000" w:sz="4" w:space="0"/>
              <w:tl2br w:val="nil"/>
              <w:tr2bl w:val="nil"/>
            </w:tcBorders>
            <w:vAlign w:val="center"/>
          </w:tcPr>
          <w:p w14:paraId="13B991FD">
            <w:pPr>
              <w:jc w:val="center"/>
              <w:rPr>
                <w:rFonts w:ascii="Times New Roman" w:hAnsi="Times New Roman" w:cs="Times New Roman"/>
                <w:b/>
                <w:bCs/>
                <w:szCs w:val="21"/>
                <w:u w:val="single"/>
              </w:rPr>
            </w:pPr>
            <w:bookmarkStart w:id="102" w:name="_Toc9606"/>
            <w:bookmarkStart w:id="103" w:name="_Toc1498"/>
            <w:r>
              <w:rPr>
                <w:rFonts w:ascii="Times New Roman" w:hAnsi="Times New Roman" w:cs="Times New Roman"/>
                <w:b/>
                <w:bCs/>
                <w:szCs w:val="21"/>
                <w:u w:val="single"/>
              </w:rPr>
              <w:t>合</w:t>
            </w:r>
            <w:bookmarkStart w:id="104" w:name="_Toc8200"/>
            <w:bookmarkStart w:id="105" w:name="_Toc24600"/>
            <w:r>
              <w:rPr>
                <w:rFonts w:ascii="Times New Roman" w:hAnsi="Times New Roman" w:cs="Times New Roman"/>
                <w:b/>
                <w:bCs/>
                <w:szCs w:val="21"/>
                <w:u w:val="single"/>
              </w:rPr>
              <w:t>计</w:t>
            </w:r>
            <w:bookmarkEnd w:id="104"/>
            <w:bookmarkEnd w:id="105"/>
          </w:p>
        </w:tc>
        <w:tc>
          <w:tcPr>
            <w:tcW w:w="371" w:type="pct"/>
            <w:tcBorders>
              <w:tl2br w:val="nil"/>
              <w:tr2bl w:val="nil"/>
            </w:tcBorders>
            <w:vAlign w:val="center"/>
          </w:tcPr>
          <w:p w14:paraId="7567B66A">
            <w:pPr>
              <w:jc w:val="center"/>
              <w:rPr>
                <w:rFonts w:ascii="Times New Roman" w:hAnsi="Times New Roman" w:cs="Times New Roman"/>
                <w:b/>
                <w:bCs/>
                <w:szCs w:val="21"/>
                <w:u w:val="single"/>
              </w:rPr>
            </w:pPr>
            <w:r>
              <w:rPr>
                <w:rFonts w:ascii="Times New Roman" w:hAnsi="Times New Roman" w:cs="Times New Roman"/>
                <w:b/>
                <w:bCs/>
                <w:szCs w:val="21"/>
                <w:u w:val="single"/>
              </w:rPr>
              <w:t>/</w:t>
            </w:r>
            <w:bookmarkEnd w:id="102"/>
            <w:bookmarkEnd w:id="103"/>
          </w:p>
        </w:tc>
        <w:tc>
          <w:tcPr>
            <w:tcW w:w="598" w:type="pct"/>
            <w:tcBorders>
              <w:tl2br w:val="nil"/>
              <w:tr2bl w:val="nil"/>
            </w:tcBorders>
            <w:vAlign w:val="center"/>
          </w:tcPr>
          <w:p w14:paraId="4DDD067E">
            <w:pPr>
              <w:jc w:val="center"/>
              <w:rPr>
                <w:rFonts w:ascii="Times New Roman" w:hAnsi="Times New Roman" w:cs="Times New Roman"/>
                <w:b/>
                <w:bCs/>
                <w:szCs w:val="21"/>
                <w:u w:val="single"/>
              </w:rPr>
            </w:pPr>
            <w:r>
              <w:rPr>
                <w:rFonts w:hint="eastAsia" w:ascii="Times New Roman" w:hAnsi="Times New Roman" w:cs="Times New Roman"/>
                <w:b/>
                <w:bCs/>
                <w:szCs w:val="21"/>
                <w:u w:val="single"/>
              </w:rPr>
              <w:t>6.279</w:t>
            </w:r>
          </w:p>
        </w:tc>
        <w:tc>
          <w:tcPr>
            <w:tcW w:w="334" w:type="pct"/>
            <w:tcBorders>
              <w:tl2br w:val="nil"/>
              <w:tr2bl w:val="nil"/>
            </w:tcBorders>
            <w:vAlign w:val="center"/>
          </w:tcPr>
          <w:p w14:paraId="117E7940">
            <w:pPr>
              <w:jc w:val="center"/>
              <w:rPr>
                <w:rFonts w:ascii="Times New Roman" w:hAnsi="Times New Roman" w:cs="Times New Roman"/>
                <w:b/>
                <w:bCs/>
                <w:szCs w:val="21"/>
                <w:u w:val="single"/>
              </w:rPr>
            </w:pPr>
            <w:bookmarkStart w:id="106" w:name="_Toc31553"/>
            <w:bookmarkStart w:id="107" w:name="_Toc10543"/>
            <w:r>
              <w:rPr>
                <w:rFonts w:ascii="Times New Roman" w:hAnsi="Times New Roman" w:cs="Times New Roman"/>
                <w:b/>
                <w:bCs/>
                <w:szCs w:val="21"/>
                <w:u w:val="single"/>
              </w:rPr>
              <w:t>/</w:t>
            </w:r>
          </w:p>
        </w:tc>
        <w:tc>
          <w:tcPr>
            <w:tcW w:w="440" w:type="pct"/>
            <w:tcBorders>
              <w:tl2br w:val="nil"/>
              <w:tr2bl w:val="nil"/>
            </w:tcBorders>
            <w:vAlign w:val="center"/>
          </w:tcPr>
          <w:p w14:paraId="485D902C">
            <w:pPr>
              <w:jc w:val="center"/>
              <w:rPr>
                <w:rFonts w:hint="default"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0.112</w:t>
            </w:r>
          </w:p>
        </w:tc>
        <w:tc>
          <w:tcPr>
            <w:tcW w:w="431" w:type="pct"/>
            <w:tcBorders>
              <w:tl2br w:val="nil"/>
              <w:tr2bl w:val="nil"/>
            </w:tcBorders>
            <w:vAlign w:val="center"/>
          </w:tcPr>
          <w:p w14:paraId="33FE5C6E">
            <w:pPr>
              <w:jc w:val="center"/>
              <w:rPr>
                <w:rFonts w:ascii="Times New Roman" w:hAnsi="Times New Roman" w:cs="Times New Roman"/>
                <w:b/>
                <w:bCs/>
                <w:szCs w:val="21"/>
                <w:u w:val="single"/>
              </w:rPr>
            </w:pPr>
            <w:r>
              <w:rPr>
                <w:rFonts w:ascii="Times New Roman" w:hAnsi="Times New Roman" w:cs="Times New Roman"/>
                <w:b/>
                <w:bCs/>
                <w:szCs w:val="21"/>
                <w:u w:val="single"/>
              </w:rPr>
              <w:t>/</w:t>
            </w:r>
            <w:bookmarkEnd w:id="106"/>
            <w:bookmarkEnd w:id="107"/>
          </w:p>
        </w:tc>
        <w:tc>
          <w:tcPr>
            <w:tcW w:w="413" w:type="pct"/>
            <w:tcBorders>
              <w:tl2br w:val="nil"/>
              <w:tr2bl w:val="nil"/>
            </w:tcBorders>
            <w:vAlign w:val="center"/>
          </w:tcPr>
          <w:p w14:paraId="5E54E4E5">
            <w:pPr>
              <w:jc w:val="center"/>
              <w:rPr>
                <w:rFonts w:hint="default"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0.504</w:t>
            </w:r>
          </w:p>
        </w:tc>
        <w:tc>
          <w:tcPr>
            <w:tcW w:w="390" w:type="pct"/>
            <w:tcBorders>
              <w:tl2br w:val="nil"/>
              <w:tr2bl w:val="nil"/>
            </w:tcBorders>
            <w:vAlign w:val="center"/>
          </w:tcPr>
          <w:p w14:paraId="70CFD178">
            <w:pPr>
              <w:jc w:val="center"/>
              <w:rPr>
                <w:rFonts w:ascii="Times New Roman" w:hAnsi="Times New Roman" w:cs="Times New Roman"/>
                <w:b/>
                <w:bCs/>
                <w:szCs w:val="21"/>
                <w:u w:val="single"/>
              </w:rPr>
            </w:pPr>
            <w:bookmarkStart w:id="108" w:name="_Toc28439"/>
            <w:bookmarkStart w:id="109" w:name="_Toc14062"/>
            <w:r>
              <w:rPr>
                <w:rFonts w:ascii="Times New Roman" w:hAnsi="Times New Roman" w:cs="Times New Roman"/>
                <w:b/>
                <w:bCs/>
                <w:szCs w:val="21"/>
                <w:u w:val="single"/>
              </w:rPr>
              <w:t>/</w:t>
            </w:r>
            <w:bookmarkEnd w:id="108"/>
            <w:bookmarkEnd w:id="109"/>
          </w:p>
        </w:tc>
        <w:tc>
          <w:tcPr>
            <w:tcW w:w="371" w:type="pct"/>
            <w:tcBorders>
              <w:tl2br w:val="nil"/>
              <w:tr2bl w:val="nil"/>
            </w:tcBorders>
            <w:vAlign w:val="center"/>
          </w:tcPr>
          <w:p w14:paraId="46D802E4">
            <w:pPr>
              <w:jc w:val="center"/>
              <w:rPr>
                <w:rFonts w:ascii="Times New Roman" w:hAnsi="Times New Roman" w:cs="Times New Roman"/>
                <w:b/>
                <w:bCs/>
                <w:szCs w:val="21"/>
                <w:u w:val="single"/>
              </w:rPr>
            </w:pPr>
            <w:r>
              <w:rPr>
                <w:rFonts w:hint="eastAsia" w:ascii="Times New Roman" w:hAnsi="Times New Roman" w:cs="Times New Roman"/>
                <w:b/>
                <w:bCs/>
                <w:szCs w:val="21"/>
                <w:u w:val="single"/>
              </w:rPr>
              <w:t>1.12</w:t>
            </w:r>
          </w:p>
        </w:tc>
        <w:tc>
          <w:tcPr>
            <w:tcW w:w="385" w:type="pct"/>
            <w:tcBorders>
              <w:tl2br w:val="nil"/>
              <w:tr2bl w:val="nil"/>
            </w:tcBorders>
            <w:vAlign w:val="center"/>
          </w:tcPr>
          <w:p w14:paraId="14931104">
            <w:pPr>
              <w:jc w:val="center"/>
              <w:rPr>
                <w:rFonts w:ascii="Times New Roman" w:hAnsi="Times New Roman" w:cs="Times New Roman"/>
                <w:b/>
                <w:bCs/>
                <w:szCs w:val="21"/>
                <w:u w:val="single"/>
              </w:rPr>
            </w:pPr>
            <w:bookmarkStart w:id="110" w:name="_Toc3387"/>
            <w:bookmarkStart w:id="111" w:name="_Toc20020"/>
            <w:r>
              <w:rPr>
                <w:rFonts w:ascii="Times New Roman" w:hAnsi="Times New Roman" w:cs="Times New Roman"/>
                <w:b/>
                <w:bCs/>
                <w:szCs w:val="21"/>
                <w:u w:val="single"/>
              </w:rPr>
              <w:t>/</w:t>
            </w:r>
            <w:bookmarkEnd w:id="110"/>
            <w:bookmarkEnd w:id="111"/>
          </w:p>
        </w:tc>
        <w:tc>
          <w:tcPr>
            <w:tcW w:w="404" w:type="pct"/>
            <w:tcBorders>
              <w:tl2br w:val="nil"/>
              <w:tr2bl w:val="nil"/>
            </w:tcBorders>
            <w:vAlign w:val="center"/>
          </w:tcPr>
          <w:p w14:paraId="45725493">
            <w:pPr>
              <w:jc w:val="center"/>
              <w:rPr>
                <w:rFonts w:ascii="Times New Roman" w:hAnsi="Times New Roman" w:cs="Times New Roman"/>
                <w:b/>
                <w:bCs/>
                <w:szCs w:val="21"/>
                <w:u w:val="single"/>
              </w:rPr>
            </w:pPr>
            <w:r>
              <w:rPr>
                <w:rFonts w:hint="eastAsia" w:ascii="Times New Roman" w:hAnsi="Times New Roman" w:cs="Times New Roman"/>
                <w:b/>
                <w:bCs/>
                <w:szCs w:val="21"/>
                <w:u w:val="single"/>
              </w:rPr>
              <w:t>6.385</w:t>
            </w:r>
          </w:p>
        </w:tc>
      </w:tr>
    </w:tbl>
    <w:p w14:paraId="4896039D">
      <w:pPr>
        <w:widowControl/>
        <w:spacing w:line="360" w:lineRule="auto"/>
        <w:ind w:firstLine="480" w:firstLineChars="200"/>
        <w:rPr>
          <w:rFonts w:ascii="Times New Roman" w:hAnsi="Times New Roman" w:cs="Times New Roman"/>
          <w:color w:val="auto"/>
          <w:sz w:val="24"/>
        </w:rPr>
      </w:pPr>
      <w:r>
        <w:rPr>
          <w:rFonts w:hint="eastAsia" w:ascii="Times New Roman" w:hAnsi="Times New Roman" w:eastAsia="宋体" w:cs="Times New Roman"/>
          <w:bCs/>
          <w:color w:val="000000"/>
          <w:sz w:val="24"/>
        </w:rPr>
        <w:t>涂料喷涂颗粒物产生量计算：本项目喷漆过程会产生颗粒物。根据</w:t>
      </w:r>
      <w:r>
        <w:rPr>
          <w:rFonts w:hint="eastAsia" w:ascii="Times New Roman" w:hAnsi="Times New Roman" w:cs="Times New Roman"/>
          <w:color w:val="000000" w:themeColor="text1"/>
          <w:sz w:val="24"/>
          <w14:textFill>
            <w14:solidFill>
              <w14:schemeClr w14:val="tx1"/>
            </w14:solidFill>
          </w14:textFill>
        </w:rPr>
        <w:t>《第二次全国污染源普查产排污量核算系数手册</w:t>
      </w:r>
      <w:r>
        <w:rPr>
          <w:rFonts w:hint="eastAsia" w:ascii="Times New Roman" w:hAnsi="Times New Roman" w:cs="Times New Roman"/>
          <w:color w:val="auto"/>
          <w:sz w:val="24"/>
        </w:rPr>
        <w:t>》“</w:t>
      </w:r>
      <w:r>
        <w:rPr>
          <w:rFonts w:hint="eastAsia" w:ascii="宋体" w:hAnsi="宋体" w:eastAsia="宋体" w:cs="宋体"/>
          <w:color w:val="auto"/>
          <w:kern w:val="0"/>
          <w:sz w:val="24"/>
          <w:lang w:bidi="ar"/>
        </w:rPr>
        <w:t>木质家具制造喷漆工序油性漆颗粒物产污系数</w:t>
      </w:r>
      <w:r>
        <w:rPr>
          <w:rFonts w:hint="eastAsia" w:ascii="Times New Roman" w:hAnsi="Times New Roman" w:cs="Times New Roman"/>
          <w:color w:val="auto"/>
          <w:sz w:val="24"/>
        </w:rPr>
        <w:t>”，</w:t>
      </w:r>
      <w:r>
        <w:rPr>
          <w:rFonts w:hint="eastAsia" w:ascii="Times New Roman" w:hAnsi="Times New Roman" w:eastAsia="宋体" w:cs="Times New Roman"/>
          <w:color w:val="auto"/>
          <w:sz w:val="24"/>
        </w:rPr>
        <w:t>产污系数为208</w:t>
      </w:r>
      <w:r>
        <w:rPr>
          <w:rFonts w:hint="eastAsia" w:ascii="宋体" w:hAnsi="宋体" w:eastAsia="宋体" w:cs="宋体"/>
          <w:color w:val="auto"/>
          <w:kern w:val="0"/>
          <w:sz w:val="24"/>
          <w:lang w:bidi="ar"/>
        </w:rPr>
        <w:t>克</w:t>
      </w:r>
      <w:r>
        <w:rPr>
          <w:rFonts w:ascii="Times New Roman" w:hAnsi="Times New Roman" w:eastAsia="宋体" w:cs="Times New Roman"/>
          <w:color w:val="auto"/>
          <w:kern w:val="0"/>
          <w:sz w:val="24"/>
          <w:lang w:bidi="ar"/>
        </w:rPr>
        <w:t>/</w:t>
      </w:r>
      <w:r>
        <w:rPr>
          <w:rFonts w:hint="eastAsia" w:ascii="宋体" w:hAnsi="宋体" w:eastAsia="宋体" w:cs="宋体"/>
          <w:color w:val="auto"/>
          <w:kern w:val="0"/>
          <w:sz w:val="24"/>
          <w:lang w:bidi="ar"/>
        </w:rPr>
        <w:t>公斤</w:t>
      </w:r>
      <w:r>
        <w:rPr>
          <w:rFonts w:ascii="Times New Roman" w:hAnsi="Times New Roman" w:eastAsia="宋体" w:cs="Times New Roman"/>
          <w:color w:val="auto"/>
          <w:kern w:val="0"/>
          <w:sz w:val="24"/>
          <w:lang w:bidi="ar"/>
        </w:rPr>
        <w:t>-</w:t>
      </w:r>
      <w:r>
        <w:rPr>
          <w:rFonts w:hint="eastAsia" w:ascii="宋体" w:hAnsi="宋体" w:eastAsia="宋体" w:cs="宋体"/>
          <w:color w:val="auto"/>
          <w:kern w:val="0"/>
          <w:sz w:val="24"/>
          <w:lang w:bidi="ar"/>
        </w:rPr>
        <w:t>涂料（溶剂型）</w:t>
      </w:r>
      <w:r>
        <w:rPr>
          <w:rFonts w:hint="eastAsia" w:ascii="Times New Roman" w:hAnsi="Times New Roman" w:eastAsia="宋体" w:cs="Times New Roman"/>
          <w:color w:val="auto"/>
          <w:sz w:val="24"/>
        </w:rPr>
        <w:t>，</w:t>
      </w:r>
      <w:r>
        <w:rPr>
          <w:rFonts w:ascii="Times New Roman" w:hAnsi="Times New Roman" w:cs="Times New Roman"/>
          <w:color w:val="auto"/>
          <w:sz w:val="24"/>
        </w:rPr>
        <w:t>本项目</w:t>
      </w:r>
      <w:r>
        <w:rPr>
          <w:rFonts w:hint="eastAsia" w:ascii="Times New Roman" w:hAnsi="Times New Roman" w:cs="Times New Roman"/>
          <w:color w:val="auto"/>
          <w:sz w:val="24"/>
        </w:rPr>
        <w:t>油性底漆</w:t>
      </w:r>
      <w:r>
        <w:rPr>
          <w:rFonts w:hint="eastAsia"/>
          <w:color w:val="auto"/>
          <w:sz w:val="24"/>
        </w:rPr>
        <w:t>（含稀释剂、固化剂）</w:t>
      </w:r>
      <w:r>
        <w:rPr>
          <w:rFonts w:ascii="Times New Roman" w:hAnsi="Times New Roman" w:cs="Times New Roman"/>
          <w:color w:val="auto"/>
          <w:sz w:val="24"/>
        </w:rPr>
        <w:t>使用量为</w:t>
      </w:r>
      <w:r>
        <w:rPr>
          <w:rFonts w:hint="eastAsia" w:ascii="Times New Roman" w:hAnsi="Times New Roman" w:cs="Times New Roman"/>
          <w:color w:val="auto"/>
          <w:sz w:val="24"/>
        </w:rPr>
        <w:t>8</w:t>
      </w:r>
      <w:r>
        <w:rPr>
          <w:rFonts w:ascii="Times New Roman" w:hAnsi="Times New Roman" w:cs="Times New Roman"/>
          <w:color w:val="auto"/>
          <w:sz w:val="24"/>
        </w:rPr>
        <w:t>t/a，</w:t>
      </w:r>
      <w:r>
        <w:rPr>
          <w:rFonts w:hint="eastAsia" w:ascii="Times New Roman" w:hAnsi="Times New Roman" w:cs="Times New Roman"/>
          <w:color w:val="auto"/>
          <w:sz w:val="24"/>
        </w:rPr>
        <w:t>面漆使用量为6.4t/a</w:t>
      </w:r>
      <w:r>
        <w:rPr>
          <w:rFonts w:ascii="Times New Roman" w:hAnsi="Times New Roman" w:cs="Times New Roman"/>
          <w:color w:val="auto"/>
          <w:sz w:val="24"/>
        </w:rPr>
        <w:t>，则</w:t>
      </w:r>
      <w:r>
        <w:rPr>
          <w:rFonts w:hint="eastAsia" w:ascii="Times New Roman" w:hAnsi="Times New Roman" w:cs="Times New Roman"/>
          <w:color w:val="auto"/>
          <w:sz w:val="24"/>
        </w:rPr>
        <w:t>油性漆颗粒物产生量为2.995t/a，产生速率为1.25kg/h，水性漆</w:t>
      </w:r>
      <w:r>
        <w:rPr>
          <w:rFonts w:hint="eastAsia" w:ascii="Times New Roman" w:hAnsi="Times New Roman" w:eastAsia="宋体" w:cs="Times New Roman"/>
          <w:color w:val="auto"/>
          <w:sz w:val="24"/>
        </w:rPr>
        <w:t>产污系数为20.8</w:t>
      </w:r>
      <w:r>
        <w:rPr>
          <w:rFonts w:hint="eastAsia" w:ascii="宋体" w:hAnsi="宋体" w:eastAsia="宋体" w:cs="宋体"/>
          <w:color w:val="auto"/>
          <w:kern w:val="0"/>
          <w:sz w:val="24"/>
          <w:lang w:bidi="ar"/>
        </w:rPr>
        <w:t>克</w:t>
      </w:r>
      <w:r>
        <w:rPr>
          <w:rFonts w:ascii="Times New Roman" w:hAnsi="Times New Roman" w:eastAsia="宋体" w:cs="Times New Roman"/>
          <w:color w:val="auto"/>
          <w:kern w:val="0"/>
          <w:sz w:val="24"/>
          <w:lang w:bidi="ar"/>
        </w:rPr>
        <w:t>/</w:t>
      </w:r>
      <w:r>
        <w:rPr>
          <w:rFonts w:hint="eastAsia" w:ascii="宋体" w:hAnsi="宋体" w:eastAsia="宋体" w:cs="宋体"/>
          <w:color w:val="auto"/>
          <w:kern w:val="0"/>
          <w:sz w:val="24"/>
          <w:lang w:bidi="ar"/>
        </w:rPr>
        <w:t>公斤</w:t>
      </w:r>
      <w:r>
        <w:rPr>
          <w:rFonts w:ascii="Times New Roman" w:hAnsi="Times New Roman" w:eastAsia="宋体" w:cs="Times New Roman"/>
          <w:color w:val="auto"/>
          <w:kern w:val="0"/>
          <w:sz w:val="24"/>
          <w:lang w:bidi="ar"/>
        </w:rPr>
        <w:t>-</w:t>
      </w:r>
      <w:r>
        <w:rPr>
          <w:rFonts w:hint="eastAsia" w:ascii="宋体" w:hAnsi="宋体" w:eastAsia="宋体" w:cs="宋体"/>
          <w:color w:val="auto"/>
          <w:kern w:val="0"/>
          <w:sz w:val="24"/>
          <w:lang w:bidi="ar"/>
        </w:rPr>
        <w:t>涂料（水性）</w:t>
      </w:r>
      <w:r>
        <w:rPr>
          <w:rFonts w:hint="eastAsia" w:ascii="Times New Roman" w:hAnsi="Times New Roman" w:eastAsia="宋体" w:cs="Times New Roman"/>
          <w:color w:val="auto"/>
          <w:sz w:val="24"/>
        </w:rPr>
        <w:t>，</w:t>
      </w:r>
      <w:r>
        <w:rPr>
          <w:rFonts w:ascii="Times New Roman" w:hAnsi="Times New Roman" w:cs="Times New Roman"/>
          <w:color w:val="auto"/>
          <w:sz w:val="24"/>
        </w:rPr>
        <w:t>本项目</w:t>
      </w:r>
      <w:r>
        <w:rPr>
          <w:rFonts w:hint="eastAsia" w:ascii="Times New Roman" w:hAnsi="Times New Roman" w:cs="Times New Roman"/>
          <w:color w:val="auto"/>
          <w:sz w:val="24"/>
        </w:rPr>
        <w:t>水性漆</w:t>
      </w:r>
      <w:r>
        <w:rPr>
          <w:rFonts w:ascii="Times New Roman" w:hAnsi="Times New Roman" w:cs="Times New Roman"/>
          <w:color w:val="auto"/>
          <w:sz w:val="24"/>
        </w:rPr>
        <w:t>使用量为</w:t>
      </w:r>
      <w:r>
        <w:rPr>
          <w:rFonts w:hint="eastAsia" w:ascii="Times New Roman" w:hAnsi="Times New Roman" w:cs="Times New Roman"/>
          <w:color w:val="auto"/>
          <w:sz w:val="24"/>
        </w:rPr>
        <w:t>19.1</w:t>
      </w:r>
      <w:r>
        <w:rPr>
          <w:rFonts w:ascii="Times New Roman" w:hAnsi="Times New Roman" w:cs="Times New Roman"/>
          <w:color w:val="auto"/>
          <w:sz w:val="24"/>
        </w:rPr>
        <w:t>t/a，则</w:t>
      </w:r>
      <w:r>
        <w:rPr>
          <w:rFonts w:hint="eastAsia" w:ascii="Times New Roman" w:hAnsi="Times New Roman" w:cs="Times New Roman"/>
          <w:color w:val="auto"/>
          <w:sz w:val="24"/>
        </w:rPr>
        <w:t>水性漆颗粒物产生量为0.397t/a，产生速率为0.165kg/h。</w:t>
      </w:r>
    </w:p>
    <w:p w14:paraId="00D05538">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根据业主提供的漆料检验报告，水性底漆：非甲烷总烃含量为</w:t>
      </w:r>
      <w:r>
        <w:rPr>
          <w:rFonts w:hint="eastAsia" w:ascii="Times New Roman" w:hAnsi="Times New Roman" w:eastAsia="宋体" w:cs="Times New Roman"/>
          <w:color w:val="000000" w:themeColor="text1"/>
          <w:sz w:val="24"/>
          <w14:textFill>
            <w14:solidFill>
              <w14:schemeClr w14:val="tx1"/>
            </w14:solidFill>
          </w14:textFill>
        </w:rPr>
        <w:t>182</w:t>
      </w:r>
      <w:r>
        <w:rPr>
          <w:rFonts w:ascii="Times New Roman" w:hAnsi="Times New Roman" w:eastAsia="宋体" w:cs="Times New Roman"/>
          <w:color w:val="000000" w:themeColor="text1"/>
          <w:sz w:val="24"/>
          <w14:textFill>
            <w14:solidFill>
              <w14:schemeClr w14:val="tx1"/>
            </w14:solidFill>
          </w14:textFill>
        </w:rPr>
        <w:t>g/L。本项目水性底漆用漆量为</w:t>
      </w:r>
      <w:r>
        <w:rPr>
          <w:rFonts w:hint="eastAsia" w:ascii="Times New Roman" w:hAnsi="Times New Roman" w:eastAsia="宋体" w:cs="Times New Roman"/>
          <w:color w:val="000000" w:themeColor="text1"/>
          <w:sz w:val="24"/>
          <w14:textFill>
            <w14:solidFill>
              <w14:schemeClr w14:val="tx1"/>
            </w14:solidFill>
          </w14:textFill>
        </w:rPr>
        <w:t>10.6</w:t>
      </w:r>
      <w:r>
        <w:rPr>
          <w:rFonts w:ascii="Times New Roman" w:hAnsi="Times New Roman" w:eastAsia="宋体" w:cs="Times New Roman"/>
          <w:color w:val="000000" w:themeColor="text1"/>
          <w:sz w:val="24"/>
          <w14:textFill>
            <w14:solidFill>
              <w14:schemeClr w14:val="tx1"/>
            </w14:solidFill>
          </w14:textFill>
        </w:rPr>
        <w:t>t/a</w:t>
      </w:r>
      <w:r>
        <w:rPr>
          <w:rFonts w:hint="eastAsia" w:ascii="Times New Roman" w:hAnsi="Times New Roman" w:eastAsia="宋体" w:cs="Times New Roman"/>
          <w:color w:val="000000" w:themeColor="text1"/>
          <w:sz w:val="24"/>
          <w14:textFill>
            <w14:solidFill>
              <w14:schemeClr w14:val="tx1"/>
            </w14:solidFill>
          </w14:textFill>
        </w:rPr>
        <w:t>（8833.33L/a）</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则</w:t>
      </w:r>
      <w:r>
        <w:rPr>
          <w:rFonts w:ascii="Times New Roman" w:hAnsi="Times New Roman" w:eastAsia="宋体" w:cs="Times New Roman"/>
          <w:color w:val="000000" w:themeColor="text1"/>
          <w:sz w:val="24"/>
          <w14:textFill>
            <w14:solidFill>
              <w14:schemeClr w14:val="tx1"/>
            </w14:solidFill>
          </w14:textFill>
        </w:rPr>
        <w:t>非甲烷总烃产生量</w:t>
      </w:r>
      <w:r>
        <w:rPr>
          <w:rFonts w:hint="eastAsia" w:ascii="Times New Roman" w:hAnsi="Times New Roman" w:eastAsia="宋体" w:cs="Times New Roman"/>
          <w:color w:val="000000" w:themeColor="text1"/>
          <w:sz w:val="24"/>
          <w14:textFill>
            <w14:solidFill>
              <w14:schemeClr w14:val="tx1"/>
            </w14:solidFill>
          </w14:textFill>
        </w:rPr>
        <w:t>1.608</w:t>
      </w:r>
      <w:r>
        <w:rPr>
          <w:rFonts w:ascii="Times New Roman" w:hAnsi="Times New Roman" w:eastAsia="宋体" w:cs="Times New Roman"/>
          <w:color w:val="000000" w:themeColor="text1"/>
          <w:sz w:val="24"/>
          <w14:textFill>
            <w14:solidFill>
              <w14:schemeClr w14:val="tx1"/>
            </w14:solidFill>
          </w14:textFill>
        </w:rPr>
        <w:t>t/a。</w:t>
      </w:r>
    </w:p>
    <w:p w14:paraId="7EA5BF3F">
      <w:pPr>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水性面漆：非甲烷总烃含量为</w:t>
      </w:r>
      <w:r>
        <w:rPr>
          <w:rFonts w:hint="eastAsia" w:ascii="Times New Roman" w:hAnsi="Times New Roman" w:eastAsia="宋体" w:cs="Times New Roman"/>
          <w:color w:val="000000" w:themeColor="text1"/>
          <w:sz w:val="24"/>
          <w14:textFill>
            <w14:solidFill>
              <w14:schemeClr w14:val="tx1"/>
            </w14:solidFill>
          </w14:textFill>
        </w:rPr>
        <w:t>203</w:t>
      </w:r>
      <w:r>
        <w:rPr>
          <w:rFonts w:ascii="Times New Roman" w:hAnsi="Times New Roman" w:eastAsia="宋体" w:cs="Times New Roman"/>
          <w:color w:val="000000" w:themeColor="text1"/>
          <w:sz w:val="24"/>
          <w14:textFill>
            <w14:solidFill>
              <w14:schemeClr w14:val="tx1"/>
            </w14:solidFill>
          </w14:textFill>
        </w:rPr>
        <w:t>g/L</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水性面漆用量为</w:t>
      </w:r>
      <w:r>
        <w:rPr>
          <w:rFonts w:hint="eastAsia" w:ascii="Times New Roman" w:hAnsi="Times New Roman" w:eastAsia="宋体" w:cs="Times New Roman"/>
          <w:color w:val="000000" w:themeColor="text1"/>
          <w:sz w:val="24"/>
          <w14:textFill>
            <w14:solidFill>
              <w14:schemeClr w14:val="tx1"/>
            </w14:solidFill>
          </w14:textFill>
        </w:rPr>
        <w:t>8.5</w:t>
      </w:r>
      <w:r>
        <w:rPr>
          <w:rFonts w:ascii="Times New Roman" w:hAnsi="Times New Roman" w:eastAsia="宋体" w:cs="Times New Roman"/>
          <w:color w:val="000000" w:themeColor="text1"/>
          <w:sz w:val="24"/>
          <w14:textFill>
            <w14:solidFill>
              <w14:schemeClr w14:val="tx1"/>
            </w14:solidFill>
          </w14:textFill>
        </w:rPr>
        <w:t>t/a</w:t>
      </w:r>
      <w:r>
        <w:rPr>
          <w:rFonts w:hint="eastAsia" w:ascii="Times New Roman" w:hAnsi="Times New Roman" w:eastAsia="宋体" w:cs="Times New Roman"/>
          <w:color w:val="000000" w:themeColor="text1"/>
          <w:sz w:val="24"/>
          <w14:textFill>
            <w14:solidFill>
              <w14:schemeClr w14:val="tx1"/>
            </w14:solidFill>
          </w14:textFill>
        </w:rPr>
        <w:t>（6746.03L/a）</w:t>
      </w:r>
      <w:r>
        <w:rPr>
          <w:rFonts w:ascii="Times New Roman" w:hAnsi="Times New Roman" w:eastAsia="宋体" w:cs="Times New Roman"/>
          <w:color w:val="000000" w:themeColor="text1"/>
          <w:sz w:val="24"/>
          <w14:textFill>
            <w14:solidFill>
              <w14:schemeClr w14:val="tx1"/>
            </w14:solidFill>
          </w14:textFill>
        </w:rPr>
        <w:t>，则</w:t>
      </w:r>
      <w:r>
        <w:rPr>
          <w:rFonts w:ascii="Times New Roman" w:hAnsi="Times New Roman" w:eastAsia="宋体" w:cs="Times New Roman"/>
          <w:color w:val="000000" w:themeColor="text1"/>
          <w:kern w:val="0"/>
          <w:sz w:val="24"/>
          <w14:textFill>
            <w14:solidFill>
              <w14:schemeClr w14:val="tx1"/>
            </w14:solidFill>
          </w14:textFill>
        </w:rPr>
        <w:t>水性漆面漆非甲烷总烃的产生量为</w:t>
      </w:r>
      <w:r>
        <w:rPr>
          <w:rFonts w:hint="eastAsia" w:ascii="Times New Roman" w:hAnsi="Times New Roman" w:eastAsia="宋体" w:cs="Times New Roman"/>
          <w:color w:val="000000" w:themeColor="text1"/>
          <w:kern w:val="0"/>
          <w:sz w:val="24"/>
          <w14:textFill>
            <w14:solidFill>
              <w14:schemeClr w14:val="tx1"/>
            </w14:solidFill>
          </w14:textFill>
        </w:rPr>
        <w:t>1.369</w:t>
      </w:r>
      <w:r>
        <w:rPr>
          <w:rFonts w:ascii="Times New Roman" w:hAnsi="Times New Roman" w:eastAsia="宋体" w:cs="Times New Roman"/>
          <w:color w:val="000000" w:themeColor="text1"/>
          <w:kern w:val="0"/>
          <w:sz w:val="24"/>
          <w14:textFill>
            <w14:solidFill>
              <w14:schemeClr w14:val="tx1"/>
            </w14:solidFill>
          </w14:textFill>
        </w:rPr>
        <w:t>t/a。</w:t>
      </w:r>
    </w:p>
    <w:p w14:paraId="7C9F5A37">
      <w:pPr>
        <w:pStyle w:val="17"/>
        <w:numPr>
          <w:ilvl w:val="0"/>
          <w:numId w:val="40"/>
        </w:numPr>
        <w:jc w:val="center"/>
        <w:rPr>
          <w:rFonts w:ascii="Times New Roman" w:hAnsi="Times New Roman" w:eastAsia="宋体" w:cs="Times New Roman"/>
          <w:b/>
          <w:color w:val="000000"/>
          <w:szCs w:val="21"/>
        </w:rPr>
      </w:pPr>
      <w:r>
        <w:rPr>
          <w:rFonts w:hint="eastAsia" w:ascii="Times New Roman" w:hAnsi="Times New Roman" w:cs="Times New Roman"/>
          <w:b/>
          <w:bCs/>
        </w:rPr>
        <w:t xml:space="preserve">  </w:t>
      </w:r>
      <w:r>
        <w:rPr>
          <w:rFonts w:ascii="Times New Roman" w:hAnsi="Times New Roman" w:eastAsia="宋体" w:cs="Times New Roman"/>
          <w:b/>
          <w:color w:val="000000"/>
          <w:szCs w:val="21"/>
        </w:rPr>
        <w:t xml:space="preserve"> 本项目水性漆喷漆工序</w:t>
      </w:r>
      <w:r>
        <w:rPr>
          <w:rFonts w:hint="eastAsia" w:ascii="Times New Roman" w:hAnsi="Times New Roman" w:eastAsia="宋体" w:cs="Times New Roman"/>
          <w:b/>
          <w:color w:val="000000"/>
          <w:szCs w:val="21"/>
        </w:rPr>
        <w:t>废气</w:t>
      </w:r>
      <w:r>
        <w:rPr>
          <w:rFonts w:ascii="Times New Roman" w:hAnsi="Times New Roman" w:eastAsia="宋体" w:cs="Times New Roman"/>
          <w:b/>
          <w:color w:val="000000"/>
          <w:szCs w:val="21"/>
        </w:rPr>
        <w:t>产生情况</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736"/>
        <w:gridCol w:w="2052"/>
        <w:gridCol w:w="3731"/>
      </w:tblGrid>
      <w:tr w14:paraId="2F4CA0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8" w:hRule="atLeast"/>
          <w:tblHeader/>
          <w:jc w:val="center"/>
        </w:trPr>
        <w:tc>
          <w:tcPr>
            <w:tcW w:w="2736" w:type="dxa"/>
            <w:tcBorders>
              <w:tl2br w:val="nil"/>
              <w:tr2bl w:val="nil"/>
            </w:tcBorders>
            <w:vAlign w:val="center"/>
          </w:tcPr>
          <w:p w14:paraId="5C16C94B">
            <w:pPr>
              <w:jc w:val="center"/>
              <w:rPr>
                <w:rFonts w:ascii="Times New Roman" w:hAnsi="Times New Roman" w:cs="Times New Roman"/>
                <w:bCs/>
                <w:color w:val="000000"/>
                <w:szCs w:val="21"/>
              </w:rPr>
            </w:pPr>
            <w:r>
              <w:rPr>
                <w:rFonts w:ascii="Times New Roman" w:hAnsi="Times New Roman" w:cs="Times New Roman"/>
                <w:bCs/>
                <w:color w:val="000000"/>
                <w:szCs w:val="21"/>
              </w:rPr>
              <w:t>项目</w:t>
            </w:r>
          </w:p>
        </w:tc>
        <w:tc>
          <w:tcPr>
            <w:tcW w:w="2052" w:type="dxa"/>
            <w:tcBorders>
              <w:tl2br w:val="nil"/>
              <w:tr2bl w:val="nil"/>
            </w:tcBorders>
            <w:vAlign w:val="center"/>
          </w:tcPr>
          <w:p w14:paraId="5E795901">
            <w:pPr>
              <w:jc w:val="center"/>
              <w:rPr>
                <w:rFonts w:ascii="Times New Roman" w:hAnsi="Times New Roman" w:cs="Times New Roman"/>
                <w:bCs/>
                <w:color w:val="000000"/>
                <w:szCs w:val="21"/>
              </w:rPr>
            </w:pPr>
            <w:r>
              <w:rPr>
                <w:rFonts w:ascii="Times New Roman" w:hAnsi="Times New Roman" w:cs="Times New Roman"/>
                <w:bCs/>
                <w:color w:val="000000"/>
                <w:szCs w:val="21"/>
              </w:rPr>
              <w:t>用量t/a</w:t>
            </w:r>
          </w:p>
        </w:tc>
        <w:tc>
          <w:tcPr>
            <w:tcW w:w="3731" w:type="dxa"/>
            <w:tcBorders>
              <w:tl2br w:val="nil"/>
              <w:tr2bl w:val="nil"/>
            </w:tcBorders>
            <w:vAlign w:val="center"/>
          </w:tcPr>
          <w:p w14:paraId="01953A01">
            <w:pPr>
              <w:jc w:val="center"/>
              <w:rPr>
                <w:rFonts w:ascii="Times New Roman" w:hAnsi="Times New Roman" w:cs="Times New Roman"/>
                <w:bCs/>
                <w:color w:val="000000"/>
                <w:szCs w:val="21"/>
              </w:rPr>
            </w:pPr>
            <w:r>
              <w:rPr>
                <w:rFonts w:ascii="Times New Roman" w:hAnsi="Times New Roman" w:cs="Times New Roman"/>
                <w:bCs/>
                <w:color w:val="000000"/>
                <w:szCs w:val="21"/>
              </w:rPr>
              <w:t>非甲烷总烃产生量t/a</w:t>
            </w:r>
          </w:p>
        </w:tc>
      </w:tr>
      <w:tr w14:paraId="688080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8" w:hRule="atLeast"/>
          <w:jc w:val="center"/>
        </w:trPr>
        <w:tc>
          <w:tcPr>
            <w:tcW w:w="2736" w:type="dxa"/>
            <w:tcBorders>
              <w:tl2br w:val="nil"/>
              <w:tr2bl w:val="nil"/>
            </w:tcBorders>
            <w:vAlign w:val="center"/>
          </w:tcPr>
          <w:p w14:paraId="65C31069">
            <w:pPr>
              <w:jc w:val="center"/>
              <w:rPr>
                <w:rFonts w:ascii="Times New Roman" w:hAnsi="Times New Roman" w:cs="Times New Roman"/>
                <w:color w:val="000000"/>
                <w:szCs w:val="21"/>
              </w:rPr>
            </w:pPr>
            <w:r>
              <w:rPr>
                <w:rFonts w:ascii="Times New Roman" w:hAnsi="Times New Roman" w:cs="Times New Roman"/>
                <w:color w:val="000000"/>
                <w:szCs w:val="21"/>
              </w:rPr>
              <w:t>水性底漆喷涂</w:t>
            </w:r>
          </w:p>
        </w:tc>
        <w:tc>
          <w:tcPr>
            <w:tcW w:w="2052" w:type="dxa"/>
            <w:tcBorders>
              <w:tl2br w:val="nil"/>
              <w:tr2bl w:val="nil"/>
            </w:tcBorders>
            <w:vAlign w:val="center"/>
          </w:tcPr>
          <w:p w14:paraId="2553259C">
            <w:pPr>
              <w:jc w:val="center"/>
              <w:rPr>
                <w:rFonts w:ascii="Times New Roman" w:hAnsi="Times New Roman" w:eastAsia="宋体" w:cs="Times New Roman"/>
                <w:color w:val="000000"/>
                <w:szCs w:val="21"/>
              </w:rPr>
            </w:pPr>
            <w:r>
              <w:rPr>
                <w:rFonts w:hint="eastAsia" w:ascii="Times New Roman" w:hAnsi="Times New Roman" w:cs="Times New Roman"/>
                <w:color w:val="000000"/>
                <w:szCs w:val="21"/>
              </w:rPr>
              <w:t>10.6</w:t>
            </w:r>
          </w:p>
        </w:tc>
        <w:tc>
          <w:tcPr>
            <w:tcW w:w="3731" w:type="dxa"/>
            <w:tcBorders>
              <w:tl2br w:val="nil"/>
              <w:tr2bl w:val="nil"/>
            </w:tcBorders>
            <w:vAlign w:val="center"/>
          </w:tcPr>
          <w:p w14:paraId="13207AF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1.608</w:t>
            </w:r>
          </w:p>
        </w:tc>
      </w:tr>
      <w:tr w14:paraId="007D5C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 w:hRule="atLeast"/>
          <w:jc w:val="center"/>
        </w:trPr>
        <w:tc>
          <w:tcPr>
            <w:tcW w:w="2736" w:type="dxa"/>
            <w:tcBorders>
              <w:tl2br w:val="nil"/>
              <w:tr2bl w:val="nil"/>
            </w:tcBorders>
            <w:vAlign w:val="center"/>
          </w:tcPr>
          <w:p w14:paraId="43DD4E8B">
            <w:pPr>
              <w:jc w:val="center"/>
              <w:rPr>
                <w:rFonts w:ascii="Times New Roman" w:hAnsi="Times New Roman" w:cs="Times New Roman"/>
                <w:color w:val="000000"/>
                <w:szCs w:val="21"/>
              </w:rPr>
            </w:pPr>
            <w:r>
              <w:rPr>
                <w:rFonts w:ascii="Times New Roman" w:hAnsi="Times New Roman" w:cs="Times New Roman"/>
                <w:color w:val="000000"/>
                <w:szCs w:val="21"/>
              </w:rPr>
              <w:t>水性面漆喷涂</w:t>
            </w:r>
          </w:p>
        </w:tc>
        <w:tc>
          <w:tcPr>
            <w:tcW w:w="2052" w:type="dxa"/>
            <w:tcBorders>
              <w:tl2br w:val="nil"/>
              <w:tr2bl w:val="nil"/>
            </w:tcBorders>
            <w:vAlign w:val="center"/>
          </w:tcPr>
          <w:p w14:paraId="568233C8">
            <w:pPr>
              <w:jc w:val="center"/>
              <w:rPr>
                <w:rFonts w:ascii="Times New Roman" w:hAnsi="Times New Roman" w:eastAsia="宋体" w:cs="Times New Roman"/>
                <w:color w:val="000000"/>
                <w:szCs w:val="21"/>
              </w:rPr>
            </w:pPr>
            <w:r>
              <w:rPr>
                <w:rFonts w:hint="eastAsia" w:ascii="Times New Roman" w:hAnsi="Times New Roman" w:cs="Times New Roman"/>
                <w:color w:val="000000"/>
                <w:szCs w:val="21"/>
              </w:rPr>
              <w:t>8.5</w:t>
            </w:r>
          </w:p>
        </w:tc>
        <w:tc>
          <w:tcPr>
            <w:tcW w:w="3731" w:type="dxa"/>
            <w:tcBorders>
              <w:tl2br w:val="nil"/>
              <w:tr2bl w:val="nil"/>
            </w:tcBorders>
            <w:vAlign w:val="center"/>
          </w:tcPr>
          <w:p w14:paraId="491AF7D3">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1.369</w:t>
            </w:r>
          </w:p>
        </w:tc>
      </w:tr>
    </w:tbl>
    <w:p w14:paraId="5509B40A">
      <w:pPr>
        <w:pStyle w:val="17"/>
        <w:spacing w:line="360" w:lineRule="auto"/>
        <w:ind w:firstLine="480" w:firstLineChars="200"/>
        <w:rPr>
          <w:rFonts w:hint="eastAsia" w:ascii="Times New Roman" w:hAnsi="Times New Roman" w:eastAsia="宋体" w:cs="Times New Roman"/>
          <w:sz w:val="24"/>
          <w:szCs w:val="24"/>
          <w:lang w:eastAsia="zh-CN"/>
        </w:rPr>
      </w:pPr>
      <w:r>
        <w:rPr>
          <w:rFonts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治理措施</w:t>
      </w:r>
    </w:p>
    <w:p w14:paraId="53D2C440">
      <w:pPr>
        <w:spacing w:line="360" w:lineRule="auto"/>
        <w:ind w:firstLine="482" w:firstLineChars="200"/>
        <w:rPr>
          <w:rFonts w:ascii="Times New Roman" w:hAnsi="Times New Roman" w:eastAsia="宋体" w:cs="Times New Roman"/>
          <w:b/>
          <w:bCs/>
          <w:kern w:val="0"/>
          <w:sz w:val="24"/>
          <w:u w:val="single"/>
          <w:lang w:bidi="ar"/>
        </w:rPr>
      </w:pPr>
      <w:r>
        <w:rPr>
          <w:rFonts w:hint="eastAsia" w:ascii="Times New Roman" w:hAnsi="Times New Roman" w:cs="Times New Roman"/>
          <w:b/>
          <w:bCs/>
          <w:color w:val="000000" w:themeColor="text1"/>
          <w:sz w:val="24"/>
          <w:u w:val="single"/>
          <w14:textFill>
            <w14:solidFill>
              <w14:schemeClr w14:val="tx1"/>
            </w14:solidFill>
          </w14:textFill>
        </w:rPr>
        <w:t>本</w:t>
      </w:r>
      <w:r>
        <w:rPr>
          <w:rFonts w:ascii="Times New Roman" w:hAnsi="Times New Roman" w:cs="Times New Roman"/>
          <w:b/>
          <w:bCs/>
          <w:color w:val="000000" w:themeColor="text1"/>
          <w:sz w:val="24"/>
          <w:u w:val="single"/>
          <w14:textFill>
            <w14:solidFill>
              <w14:schemeClr w14:val="tx1"/>
            </w14:solidFill>
          </w14:textFill>
        </w:rPr>
        <w:t>项目拼板</w:t>
      </w:r>
      <w:r>
        <w:rPr>
          <w:rFonts w:hint="eastAsia" w:ascii="Times New Roman" w:hAnsi="Times New Roman" w:cs="Times New Roman"/>
          <w:b/>
          <w:bCs/>
          <w:color w:val="000000" w:themeColor="text1"/>
          <w:sz w:val="24"/>
          <w:u w:val="single"/>
          <w14:textFill>
            <w14:solidFill>
              <w14:schemeClr w14:val="tx1"/>
            </w14:solidFill>
          </w14:textFill>
        </w:rPr>
        <w:t>冷压、封边、热压</w:t>
      </w:r>
      <w:r>
        <w:rPr>
          <w:rFonts w:ascii="Times New Roman" w:hAnsi="Times New Roman" w:cs="Times New Roman"/>
          <w:b/>
          <w:bCs/>
          <w:color w:val="000000" w:themeColor="text1"/>
          <w:sz w:val="24"/>
          <w:u w:val="single"/>
          <w14:textFill>
            <w14:solidFill>
              <w14:schemeClr w14:val="tx1"/>
            </w14:solidFill>
          </w14:textFill>
        </w:rPr>
        <w:t>、擦色过程产生的废气经</w:t>
      </w:r>
      <w:r>
        <w:rPr>
          <w:rFonts w:hint="eastAsia" w:ascii="Times New Roman" w:hAnsi="Times New Roman" w:cs="Times New Roman"/>
          <w:b/>
          <w:bCs/>
          <w:color w:val="000000" w:themeColor="text1"/>
          <w:sz w:val="24"/>
          <w:u w:val="single"/>
          <w14:textFill>
            <w14:solidFill>
              <w14:schemeClr w14:val="tx1"/>
            </w14:solidFill>
          </w14:textFill>
        </w:rPr>
        <w:t>集气罩</w:t>
      </w:r>
      <w:r>
        <w:rPr>
          <w:rFonts w:ascii="Times New Roman" w:hAnsi="Times New Roman" w:cs="Times New Roman"/>
          <w:b/>
          <w:bCs/>
          <w:color w:val="000000" w:themeColor="text1"/>
          <w:sz w:val="24"/>
          <w:u w:val="single"/>
          <w14:textFill>
            <w14:solidFill>
              <w14:schemeClr w14:val="tx1"/>
            </w14:solidFill>
          </w14:textFill>
        </w:rPr>
        <w:t>装置收集后</w:t>
      </w:r>
      <w:r>
        <w:rPr>
          <w:rFonts w:ascii="Times New Roman" w:hAnsi="Times New Roman" w:cs="Times New Roman"/>
          <w:b/>
          <w:bCs/>
          <w:color w:val="000000"/>
          <w:sz w:val="24"/>
          <w:u w:val="single"/>
        </w:rPr>
        <w:t>一并</w:t>
      </w:r>
      <w:r>
        <w:rPr>
          <w:rFonts w:ascii="Times New Roman" w:hAnsi="Times New Roman" w:eastAsia="宋体" w:cs="Times New Roman"/>
          <w:b/>
          <w:bCs/>
          <w:color w:val="000000"/>
          <w:sz w:val="24"/>
          <w:u w:val="single"/>
        </w:rPr>
        <w:t>经</w:t>
      </w:r>
      <w:r>
        <w:rPr>
          <w:rFonts w:ascii="Times New Roman" w:hAnsi="Times New Roman" w:eastAsia="宋体" w:cs="Times New Roman"/>
          <w:b/>
          <w:bCs/>
          <w:color w:val="000000"/>
          <w:kern w:val="0"/>
          <w:sz w:val="24"/>
          <w:u w:val="single"/>
        </w:rPr>
        <w:t>活性炭吸附—脱附催化燃烧装置</w:t>
      </w:r>
      <w:r>
        <w:rPr>
          <w:rFonts w:ascii="Times New Roman" w:hAnsi="Times New Roman" w:eastAsia="宋体" w:cs="Times New Roman"/>
          <w:b/>
          <w:bCs/>
          <w:color w:val="000000"/>
          <w:sz w:val="24"/>
          <w:u w:val="single"/>
        </w:rPr>
        <w:t>处理（与</w:t>
      </w:r>
      <w:r>
        <w:rPr>
          <w:rFonts w:hint="eastAsia" w:ascii="Times New Roman" w:hAnsi="Times New Roman" w:eastAsia="宋体" w:cs="Times New Roman"/>
          <w:b/>
          <w:bCs/>
          <w:color w:val="000000"/>
          <w:sz w:val="24"/>
          <w:u w:val="single"/>
        </w:rPr>
        <w:t>底</w:t>
      </w:r>
      <w:r>
        <w:rPr>
          <w:rFonts w:ascii="Times New Roman" w:hAnsi="Times New Roman" w:eastAsia="宋体" w:cs="Times New Roman"/>
          <w:b/>
          <w:bCs/>
          <w:color w:val="000000"/>
          <w:sz w:val="24"/>
          <w:u w:val="single"/>
        </w:rPr>
        <w:t>漆房采用同一套废气处理装置），</w:t>
      </w:r>
      <w:r>
        <w:rPr>
          <w:rFonts w:ascii="Times New Roman" w:hAnsi="Times New Roman" w:cs="Times New Roman"/>
          <w:b/>
          <w:bCs/>
          <w:color w:val="000000" w:themeColor="text1"/>
          <w:sz w:val="24"/>
          <w:u w:val="single"/>
          <w14:textFill>
            <w14:solidFill>
              <w14:schemeClr w14:val="tx1"/>
            </w14:solidFill>
          </w14:textFill>
        </w:rPr>
        <w:t>喷漆房废气采用水帘</w:t>
      </w:r>
      <w:r>
        <w:rPr>
          <w:rFonts w:hint="eastAsia" w:ascii="Times New Roman" w:hAnsi="Times New Roman" w:cs="Times New Roman"/>
          <w:b/>
          <w:bCs/>
          <w:color w:val="000000" w:themeColor="text1"/>
          <w:sz w:val="24"/>
          <w:u w:val="single"/>
          <w14:textFill>
            <w14:solidFill>
              <w14:schemeClr w14:val="tx1"/>
            </w14:solidFill>
          </w14:textFill>
        </w:rPr>
        <w:t>+漆雾过滤器</w:t>
      </w:r>
      <w:r>
        <w:rPr>
          <w:rFonts w:ascii="Times New Roman" w:hAnsi="Times New Roman" w:cs="Times New Roman"/>
          <w:b/>
          <w:bCs/>
          <w:color w:val="000000"/>
          <w:sz w:val="24"/>
          <w:u w:val="single"/>
        </w:rPr>
        <w:t>处理后和晾干废气一起</w:t>
      </w:r>
      <w:r>
        <w:rPr>
          <w:rFonts w:ascii="Times New Roman" w:hAnsi="Times New Roman" w:cs="Times New Roman"/>
          <w:b/>
          <w:bCs/>
          <w:color w:val="000000"/>
          <w:kern w:val="0"/>
          <w:sz w:val="24"/>
          <w:u w:val="single"/>
        </w:rPr>
        <w:t>经活性炭吸附—脱附催化燃烧装置处理</w:t>
      </w:r>
      <w:r>
        <w:rPr>
          <w:rFonts w:ascii="Times New Roman" w:hAnsi="Times New Roman" w:cs="Times New Roman"/>
          <w:b/>
          <w:bCs/>
          <w:color w:val="000000"/>
          <w:sz w:val="24"/>
          <w:u w:val="single"/>
        </w:rPr>
        <w:t>。</w:t>
      </w:r>
      <w:r>
        <w:rPr>
          <w:rFonts w:hint="eastAsia" w:ascii="Times New Roman" w:hAnsi="Times New Roman" w:cs="Times New Roman"/>
          <w:b/>
          <w:bCs/>
          <w:color w:val="000000" w:themeColor="text1"/>
          <w:sz w:val="24"/>
          <w:u w:val="single"/>
          <w14:textFill>
            <w14:solidFill>
              <w14:schemeClr w14:val="tx1"/>
            </w14:solidFill>
          </w14:textFill>
        </w:rPr>
        <w:t>冷压、封边、热压</w:t>
      </w:r>
      <w:r>
        <w:rPr>
          <w:rFonts w:ascii="Times New Roman" w:hAnsi="Times New Roman" w:cs="Times New Roman"/>
          <w:b/>
          <w:bCs/>
          <w:color w:val="000000" w:themeColor="text1"/>
          <w:sz w:val="24"/>
          <w:u w:val="single"/>
          <w14:textFill>
            <w14:solidFill>
              <w14:schemeClr w14:val="tx1"/>
            </w14:solidFill>
          </w14:textFill>
        </w:rPr>
        <w:t>、擦色</w:t>
      </w:r>
      <w:r>
        <w:rPr>
          <w:rFonts w:hint="eastAsia" w:ascii="Times New Roman" w:hAnsi="Times New Roman" w:cs="Times New Roman"/>
          <w:b/>
          <w:bCs/>
          <w:color w:val="000000" w:themeColor="text1"/>
          <w:sz w:val="24"/>
          <w:u w:val="single"/>
          <w:lang w:val="en-US" w:eastAsia="zh-CN"/>
          <w14:textFill>
            <w14:solidFill>
              <w14:schemeClr w14:val="tx1"/>
            </w14:solidFill>
          </w14:textFill>
        </w:rPr>
        <w:t>集气罩收集效率按85%计，</w:t>
      </w:r>
      <w:r>
        <w:rPr>
          <w:rFonts w:ascii="Times New Roman" w:hAnsi="Times New Roman" w:cs="Times New Roman"/>
          <w:b/>
          <w:bCs/>
          <w:color w:val="000000" w:themeColor="text1"/>
          <w:sz w:val="24"/>
          <w:u w:val="single"/>
          <w14:textFill>
            <w14:solidFill>
              <w14:schemeClr w14:val="tx1"/>
            </w14:solidFill>
          </w14:textFill>
        </w:rPr>
        <w:t>喷漆房</w:t>
      </w:r>
      <w:r>
        <w:rPr>
          <w:rFonts w:ascii="Times New Roman" w:hAnsi="Times New Roman" w:cs="Times New Roman"/>
          <w:b/>
          <w:bCs/>
          <w:color w:val="auto"/>
          <w:kern w:val="0"/>
          <w:sz w:val="24"/>
          <w:u w:val="single"/>
        </w:rPr>
        <w:t>收集效率按照95%计，</w:t>
      </w:r>
      <w:r>
        <w:rPr>
          <w:rFonts w:hint="eastAsia" w:ascii="Times New Roman" w:hAnsi="Times New Roman" w:cs="Times New Roman"/>
          <w:b/>
          <w:bCs/>
          <w:color w:val="auto"/>
          <w:kern w:val="0"/>
          <w:sz w:val="24"/>
          <w:u w:val="single"/>
        </w:rPr>
        <w:t>水帘+</w:t>
      </w:r>
      <w:r>
        <w:rPr>
          <w:rFonts w:ascii="Times New Roman" w:hAnsi="Times New Roman" w:cs="Times New Roman"/>
          <w:b/>
          <w:bCs/>
          <w:color w:val="auto"/>
          <w:sz w:val="24"/>
          <w:u w:val="single"/>
        </w:rPr>
        <w:t>过滤</w:t>
      </w:r>
      <w:r>
        <w:rPr>
          <w:rFonts w:hint="eastAsia" w:ascii="Times New Roman" w:hAnsi="Times New Roman" w:cs="Times New Roman"/>
          <w:b/>
          <w:bCs/>
          <w:color w:val="auto"/>
          <w:sz w:val="24"/>
          <w:u w:val="single"/>
        </w:rPr>
        <w:t>器</w:t>
      </w:r>
      <w:r>
        <w:rPr>
          <w:rFonts w:ascii="Times New Roman" w:hAnsi="Times New Roman" w:cs="Times New Roman"/>
          <w:b/>
          <w:bCs/>
          <w:color w:val="auto"/>
          <w:sz w:val="24"/>
          <w:u w:val="single"/>
        </w:rPr>
        <w:t>过滤效率</w:t>
      </w:r>
      <w:r>
        <w:rPr>
          <w:rFonts w:hint="eastAsia" w:ascii="Times New Roman" w:hAnsi="Times New Roman" w:cs="Times New Roman"/>
          <w:b/>
          <w:bCs/>
          <w:color w:val="auto"/>
          <w:sz w:val="24"/>
          <w:u w:val="single"/>
        </w:rPr>
        <w:t>对颗粒物的去除效率为</w:t>
      </w:r>
      <w:r>
        <w:rPr>
          <w:rFonts w:ascii="Times New Roman" w:hAnsi="Times New Roman" w:cs="Times New Roman"/>
          <w:b/>
          <w:bCs/>
          <w:color w:val="auto"/>
          <w:sz w:val="24"/>
          <w:u w:val="single"/>
        </w:rPr>
        <w:t>9</w:t>
      </w:r>
      <w:r>
        <w:rPr>
          <w:rFonts w:hint="eastAsia" w:ascii="Times New Roman" w:hAnsi="Times New Roman" w:cs="Times New Roman"/>
          <w:b/>
          <w:bCs/>
          <w:color w:val="auto"/>
          <w:sz w:val="24"/>
          <w:u w:val="single"/>
        </w:rPr>
        <w:t>0</w:t>
      </w:r>
      <w:r>
        <w:rPr>
          <w:rFonts w:ascii="Times New Roman" w:hAnsi="Times New Roman" w:cs="Times New Roman"/>
          <w:b/>
          <w:bCs/>
          <w:color w:val="auto"/>
          <w:sz w:val="24"/>
          <w:u w:val="single"/>
        </w:rPr>
        <w:t>%，活性炭吸附效率9</w:t>
      </w:r>
      <w:r>
        <w:rPr>
          <w:rFonts w:hint="eastAsia" w:ascii="Times New Roman" w:hAnsi="Times New Roman" w:cs="Times New Roman"/>
          <w:b/>
          <w:bCs/>
          <w:color w:val="auto"/>
          <w:sz w:val="24"/>
          <w:u w:val="single"/>
        </w:rPr>
        <w:t>0</w:t>
      </w:r>
      <w:r>
        <w:rPr>
          <w:rFonts w:ascii="Times New Roman" w:hAnsi="Times New Roman" w:cs="Times New Roman"/>
          <w:b/>
          <w:bCs/>
          <w:color w:val="auto"/>
          <w:sz w:val="24"/>
          <w:u w:val="single"/>
        </w:rPr>
        <w:t>%，燃烧脱附净化效率9</w:t>
      </w:r>
      <w:r>
        <w:rPr>
          <w:rFonts w:hint="eastAsia" w:ascii="Times New Roman" w:hAnsi="Times New Roman" w:cs="Times New Roman"/>
          <w:b/>
          <w:bCs/>
          <w:color w:val="auto"/>
          <w:sz w:val="24"/>
          <w:u w:val="single"/>
        </w:rPr>
        <w:t>7</w:t>
      </w:r>
      <w:r>
        <w:rPr>
          <w:rFonts w:ascii="Times New Roman" w:hAnsi="Times New Roman" w:cs="Times New Roman"/>
          <w:b/>
          <w:bCs/>
          <w:color w:val="auto"/>
          <w:sz w:val="24"/>
          <w:u w:val="single"/>
        </w:rPr>
        <w:t>%。</w:t>
      </w:r>
      <w:r>
        <w:rPr>
          <w:rFonts w:ascii="Times New Roman" w:hAnsi="Times New Roman" w:eastAsia="宋体" w:cs="Times New Roman"/>
          <w:b/>
          <w:bCs/>
          <w:color w:val="auto"/>
          <w:sz w:val="24"/>
          <w:u w:val="single"/>
        </w:rPr>
        <w:t>喷漆房年工作时间为2400h，设计吸附风机风量为</w:t>
      </w:r>
      <w:r>
        <w:rPr>
          <w:rFonts w:hint="eastAsia" w:ascii="Times New Roman" w:hAnsi="Times New Roman" w:eastAsia="宋体" w:cs="Times New Roman"/>
          <w:b/>
          <w:bCs/>
          <w:color w:val="auto"/>
          <w:sz w:val="24"/>
          <w:u w:val="single"/>
          <w:lang w:val="en-US" w:eastAsia="zh-CN"/>
        </w:rPr>
        <w:t>65</w:t>
      </w:r>
      <w:r>
        <w:rPr>
          <w:rFonts w:ascii="Times New Roman" w:hAnsi="Times New Roman" w:eastAsia="宋体" w:cs="Times New Roman"/>
          <w:b/>
          <w:bCs/>
          <w:color w:val="auto"/>
          <w:sz w:val="24"/>
          <w:u w:val="single"/>
        </w:rPr>
        <w:t>000m</w:t>
      </w:r>
      <w:r>
        <w:rPr>
          <w:rFonts w:ascii="Times New Roman" w:hAnsi="Times New Roman" w:eastAsia="宋体" w:cs="Times New Roman"/>
          <w:b/>
          <w:bCs/>
          <w:color w:val="auto"/>
          <w:sz w:val="24"/>
          <w:u w:val="single"/>
          <w:vertAlign w:val="superscript"/>
        </w:rPr>
        <w:t>3</w:t>
      </w:r>
      <w:r>
        <w:rPr>
          <w:rFonts w:ascii="Times New Roman" w:hAnsi="Times New Roman" w:eastAsia="宋体" w:cs="Times New Roman"/>
          <w:b/>
          <w:bCs/>
          <w:color w:val="auto"/>
          <w:sz w:val="24"/>
          <w:u w:val="single"/>
        </w:rPr>
        <w:t>/h</w:t>
      </w:r>
      <w:r>
        <w:rPr>
          <w:rFonts w:ascii="Times New Roman" w:hAnsi="Times New Roman" w:eastAsia="宋体" w:cs="Times New Roman"/>
          <w:b/>
          <w:bCs/>
          <w:sz w:val="24"/>
          <w:u w:val="single"/>
        </w:rPr>
        <w:t>，脱附风机风量</w:t>
      </w:r>
      <w:r>
        <w:rPr>
          <w:rFonts w:hint="eastAsia" w:ascii="Times New Roman" w:hAnsi="Times New Roman" w:eastAsia="宋体" w:cs="Times New Roman"/>
          <w:b/>
          <w:bCs/>
          <w:sz w:val="24"/>
          <w:u w:val="single"/>
        </w:rPr>
        <w:t>30</w:t>
      </w:r>
      <w:r>
        <w:rPr>
          <w:rFonts w:ascii="Times New Roman" w:hAnsi="Times New Roman" w:eastAsia="宋体" w:cs="Times New Roman"/>
          <w:b/>
          <w:bCs/>
          <w:sz w:val="24"/>
          <w:u w:val="single"/>
        </w:rPr>
        <w:t>00m</w:t>
      </w:r>
      <w:r>
        <w:rPr>
          <w:rFonts w:ascii="Times New Roman" w:hAnsi="Times New Roman" w:eastAsia="宋体" w:cs="Times New Roman"/>
          <w:b/>
          <w:bCs/>
          <w:sz w:val="24"/>
          <w:u w:val="single"/>
          <w:vertAlign w:val="superscript"/>
        </w:rPr>
        <w:t>3</w:t>
      </w:r>
      <w:r>
        <w:rPr>
          <w:rFonts w:ascii="Times New Roman" w:hAnsi="Times New Roman" w:eastAsia="宋体" w:cs="Times New Roman"/>
          <w:b/>
          <w:bCs/>
          <w:sz w:val="24"/>
          <w:u w:val="single"/>
        </w:rPr>
        <w:t>/h，平均每</w:t>
      </w:r>
      <w:r>
        <w:rPr>
          <w:rFonts w:hint="eastAsia" w:ascii="Times New Roman" w:hAnsi="Times New Roman" w:eastAsia="宋体" w:cs="Times New Roman"/>
          <w:b/>
          <w:bCs/>
          <w:sz w:val="24"/>
          <w:u w:val="single"/>
        </w:rPr>
        <w:t>6</w:t>
      </w:r>
      <w:r>
        <w:rPr>
          <w:rFonts w:ascii="Times New Roman" w:hAnsi="Times New Roman" w:eastAsia="宋体" w:cs="Times New Roman"/>
          <w:b/>
          <w:bCs/>
          <w:sz w:val="24"/>
          <w:u w:val="single"/>
        </w:rPr>
        <w:t>天进行一次燃烧脱附，每次燃烧脱附时间</w:t>
      </w:r>
      <w:r>
        <w:rPr>
          <w:rFonts w:hint="eastAsia" w:ascii="Times New Roman" w:hAnsi="Times New Roman" w:eastAsia="宋体" w:cs="Times New Roman"/>
          <w:b/>
          <w:bCs/>
          <w:sz w:val="24"/>
          <w:u w:val="single"/>
        </w:rPr>
        <w:t>5</w:t>
      </w:r>
      <w:r>
        <w:rPr>
          <w:rFonts w:ascii="Times New Roman" w:hAnsi="Times New Roman" w:eastAsia="宋体" w:cs="Times New Roman"/>
          <w:b/>
          <w:bCs/>
          <w:sz w:val="24"/>
          <w:u w:val="single"/>
        </w:rPr>
        <w:t>h，处理后的废气经一根15m高排气筒</w:t>
      </w:r>
      <w:r>
        <w:rPr>
          <w:rFonts w:hint="eastAsia" w:ascii="Times New Roman" w:hAnsi="Times New Roman" w:eastAsia="宋体" w:cs="Times New Roman"/>
          <w:b/>
          <w:bCs/>
          <w:sz w:val="24"/>
          <w:u w:val="single"/>
        </w:rPr>
        <w:t>（DA00</w:t>
      </w:r>
      <w:r>
        <w:rPr>
          <w:rFonts w:hint="eastAsia" w:ascii="Times New Roman" w:hAnsi="Times New Roman" w:eastAsia="宋体" w:cs="Times New Roman"/>
          <w:b/>
          <w:bCs/>
          <w:sz w:val="24"/>
          <w:u w:val="single"/>
          <w:lang w:val="en-US" w:eastAsia="zh-CN"/>
        </w:rPr>
        <w:t>2</w:t>
      </w:r>
      <w:r>
        <w:rPr>
          <w:rFonts w:hint="eastAsia" w:ascii="Times New Roman" w:hAnsi="Times New Roman" w:eastAsia="宋体" w:cs="Times New Roman"/>
          <w:b/>
          <w:bCs/>
          <w:sz w:val="24"/>
          <w:u w:val="single"/>
        </w:rPr>
        <w:t>）</w:t>
      </w:r>
      <w:r>
        <w:rPr>
          <w:rFonts w:ascii="Times New Roman" w:hAnsi="Times New Roman" w:eastAsia="宋体" w:cs="Times New Roman"/>
          <w:b/>
          <w:bCs/>
          <w:sz w:val="24"/>
          <w:u w:val="single"/>
        </w:rPr>
        <w:t>排放。</w:t>
      </w:r>
    </w:p>
    <w:p w14:paraId="0F58414F">
      <w:pPr>
        <w:spacing w:line="360" w:lineRule="auto"/>
        <w:ind w:firstLine="480" w:firstLineChars="200"/>
        <w:rPr>
          <w:rFonts w:ascii="Times New Roman" w:hAnsi="Times New Roman" w:eastAsia="宋体" w:cs="Times New Roman"/>
          <w:kern w:val="0"/>
          <w:sz w:val="24"/>
          <w:lang w:bidi="ar"/>
        </w:rPr>
        <w:sectPr>
          <w:headerReference r:id="rId8" w:type="default"/>
          <w:pgSz w:w="11906" w:h="16838"/>
          <w:pgMar w:top="1440" w:right="1800" w:bottom="1440" w:left="1800" w:header="851" w:footer="992" w:gutter="0"/>
          <w:pgNumType w:fmt="decimal"/>
          <w:cols w:space="425" w:num="1"/>
          <w:docGrid w:type="lines" w:linePitch="312" w:charSpace="0"/>
        </w:sectPr>
      </w:pPr>
      <w:r>
        <w:rPr>
          <w:rFonts w:ascii="Times New Roman" w:hAnsi="Times New Roman" w:eastAsia="宋体" w:cs="Times New Roman"/>
          <w:kern w:val="0"/>
          <w:sz w:val="24"/>
          <w:lang w:bidi="ar"/>
        </w:rPr>
        <w:t>根据以上数据计算，项目有机废气污染物产生及排放量见</w:t>
      </w:r>
      <w:r>
        <w:rPr>
          <w:rFonts w:hint="eastAsia" w:ascii="Times New Roman" w:hAnsi="Times New Roman" w:eastAsia="宋体" w:cs="Times New Roman"/>
          <w:kern w:val="0"/>
          <w:sz w:val="24"/>
          <w:lang w:bidi="ar"/>
        </w:rPr>
        <w:t>下</w:t>
      </w:r>
      <w:r>
        <w:rPr>
          <w:rFonts w:ascii="Times New Roman" w:hAnsi="Times New Roman" w:eastAsia="宋体" w:cs="Times New Roman"/>
          <w:kern w:val="0"/>
          <w:sz w:val="24"/>
          <w:lang w:bidi="ar"/>
        </w:rPr>
        <w:t>表。</w:t>
      </w:r>
    </w:p>
    <w:p w14:paraId="402B1D99">
      <w:pPr>
        <w:pStyle w:val="17"/>
        <w:numPr>
          <w:ilvl w:val="0"/>
          <w:numId w:val="40"/>
        </w:numPr>
        <w:jc w:val="center"/>
        <w:rPr>
          <w:rFonts w:ascii="Times New Roman" w:hAnsi="Times New Roman" w:eastAsia="宋体" w:cs="Times New Roman"/>
          <w:b/>
          <w:bCs/>
        </w:rPr>
      </w:pPr>
      <w:r>
        <w:rPr>
          <w:rFonts w:hint="eastAsia" w:ascii="Times New Roman" w:hAnsi="Times New Roman" w:eastAsia="宋体" w:cs="Times New Roman"/>
          <w:b/>
          <w:bCs/>
        </w:rPr>
        <w:t xml:space="preserve"> </w:t>
      </w:r>
      <w:r>
        <w:rPr>
          <w:rFonts w:ascii="Times New Roman" w:hAnsi="Times New Roman" w:eastAsia="宋体" w:cs="Times New Roman"/>
          <w:b/>
          <w:bCs/>
        </w:rPr>
        <w:t xml:space="preserve"> 拼板冷压、封边、热压、擦色、</w:t>
      </w:r>
      <w:r>
        <w:rPr>
          <w:rFonts w:hint="eastAsia" w:ascii="Times New Roman" w:hAnsi="Times New Roman" w:eastAsia="宋体" w:cs="Times New Roman"/>
          <w:b/>
          <w:bCs/>
          <w:lang w:val="en-US" w:eastAsia="zh-CN"/>
        </w:rPr>
        <w:t>喷漆房</w:t>
      </w:r>
      <w:r>
        <w:rPr>
          <w:rFonts w:ascii="Times New Roman" w:hAnsi="Times New Roman" w:eastAsia="宋体" w:cs="Times New Roman"/>
          <w:b/>
          <w:bCs/>
        </w:rPr>
        <w:t>（含晾干）废气产生</w:t>
      </w:r>
      <w:r>
        <w:rPr>
          <w:rFonts w:hint="eastAsia" w:ascii="Times New Roman" w:hAnsi="Times New Roman" w:eastAsia="宋体" w:cs="Times New Roman"/>
          <w:b/>
          <w:bCs/>
        </w:rPr>
        <w:t>及</w:t>
      </w:r>
      <w:r>
        <w:rPr>
          <w:rFonts w:ascii="Times New Roman" w:hAnsi="Times New Roman" w:eastAsia="宋体" w:cs="Times New Roman"/>
          <w:b/>
          <w:bCs/>
        </w:rPr>
        <w:t>排放情况一览表</w:t>
      </w:r>
    </w:p>
    <w:tbl>
      <w:tblPr>
        <w:tblStyle w:val="30"/>
        <w:tblW w:w="14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65"/>
        <w:gridCol w:w="1082"/>
        <w:gridCol w:w="1519"/>
        <w:gridCol w:w="902"/>
        <w:gridCol w:w="1045"/>
        <w:gridCol w:w="1045"/>
        <w:gridCol w:w="1054"/>
        <w:gridCol w:w="1045"/>
        <w:gridCol w:w="1045"/>
        <w:gridCol w:w="1054"/>
        <w:gridCol w:w="1045"/>
        <w:gridCol w:w="1045"/>
        <w:gridCol w:w="1060"/>
      </w:tblGrid>
      <w:tr w14:paraId="704F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65" w:type="dxa"/>
            <w:vMerge w:val="restart"/>
            <w:tcBorders>
              <w:tl2br w:val="nil"/>
              <w:tr2bl w:val="nil"/>
            </w:tcBorders>
            <w:vAlign w:val="center"/>
          </w:tcPr>
          <w:p w14:paraId="1DEB8966">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污染源</w:t>
            </w:r>
          </w:p>
        </w:tc>
        <w:tc>
          <w:tcPr>
            <w:tcW w:w="1082" w:type="dxa"/>
            <w:vMerge w:val="restart"/>
            <w:tcBorders>
              <w:tl2br w:val="nil"/>
              <w:tr2bl w:val="nil"/>
            </w:tcBorders>
            <w:vAlign w:val="center"/>
          </w:tcPr>
          <w:p w14:paraId="1DC30EC8">
            <w:pPr>
              <w:adjustRightInd w:val="0"/>
              <w:snapToGrid w:val="0"/>
              <w:spacing w:line="280" w:lineRule="exact"/>
              <w:jc w:val="center"/>
              <w:textAlignment w:val="baseline"/>
              <w:rPr>
                <w:rFonts w:ascii="Times New Roman" w:hAnsi="Times New Roman" w:eastAsia="宋体" w:cs="Times New Roman"/>
                <w:kern w:val="0"/>
                <w:szCs w:val="21"/>
              </w:rPr>
            </w:pPr>
            <w:r>
              <w:rPr>
                <w:rFonts w:ascii="Times New Roman" w:hAnsi="Times New Roman" w:cs="Times New Roman"/>
                <w:kern w:val="0"/>
                <w:szCs w:val="21"/>
              </w:rPr>
              <w:t>废气量</w:t>
            </w:r>
          </w:p>
          <w:p w14:paraId="4B362562">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m</w:t>
            </w:r>
            <w:r>
              <w:rPr>
                <w:rFonts w:ascii="Times New Roman" w:hAnsi="Times New Roman" w:cs="Times New Roman"/>
                <w:kern w:val="0"/>
                <w:szCs w:val="21"/>
                <w:vertAlign w:val="superscript"/>
              </w:rPr>
              <w:t>3</w:t>
            </w:r>
            <w:r>
              <w:rPr>
                <w:rFonts w:ascii="Times New Roman" w:hAnsi="Times New Roman" w:cs="Times New Roman"/>
                <w:kern w:val="0"/>
                <w:szCs w:val="21"/>
              </w:rPr>
              <w:t>/h</w:t>
            </w:r>
          </w:p>
        </w:tc>
        <w:tc>
          <w:tcPr>
            <w:tcW w:w="2421" w:type="dxa"/>
            <w:gridSpan w:val="2"/>
            <w:vMerge w:val="restart"/>
            <w:tcBorders>
              <w:tl2br w:val="nil"/>
              <w:tr2bl w:val="nil"/>
            </w:tcBorders>
            <w:vAlign w:val="center"/>
          </w:tcPr>
          <w:p w14:paraId="53B44DDC">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污染物</w:t>
            </w:r>
          </w:p>
        </w:tc>
        <w:tc>
          <w:tcPr>
            <w:tcW w:w="3144" w:type="dxa"/>
            <w:gridSpan w:val="3"/>
            <w:tcBorders>
              <w:tl2br w:val="nil"/>
              <w:tr2bl w:val="nil"/>
            </w:tcBorders>
            <w:vAlign w:val="center"/>
          </w:tcPr>
          <w:p w14:paraId="2515F38D">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产生情况</w:t>
            </w:r>
          </w:p>
        </w:tc>
        <w:tc>
          <w:tcPr>
            <w:tcW w:w="3144" w:type="dxa"/>
            <w:gridSpan w:val="3"/>
            <w:tcBorders>
              <w:tl2br w:val="nil"/>
              <w:tr2bl w:val="nil"/>
            </w:tcBorders>
            <w:vAlign w:val="center"/>
          </w:tcPr>
          <w:p w14:paraId="0191DECC">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吸附后排放情况</w:t>
            </w:r>
          </w:p>
        </w:tc>
        <w:tc>
          <w:tcPr>
            <w:tcW w:w="3150" w:type="dxa"/>
            <w:gridSpan w:val="3"/>
            <w:tcBorders>
              <w:left w:val="single" w:color="000000" w:sz="4" w:space="0"/>
              <w:tl2br w:val="nil"/>
              <w:tr2bl w:val="nil"/>
            </w:tcBorders>
            <w:vAlign w:val="center"/>
          </w:tcPr>
          <w:p w14:paraId="6C7E5404">
            <w:pPr>
              <w:adjustRightInd w:val="0"/>
              <w:snapToGrid w:val="0"/>
              <w:jc w:val="center"/>
              <w:textAlignment w:val="baseline"/>
              <w:rPr>
                <w:rFonts w:ascii="Times New Roman" w:hAnsi="Times New Roman" w:cs="Times New Roman"/>
                <w:kern w:val="0"/>
                <w:szCs w:val="21"/>
              </w:rPr>
            </w:pPr>
            <w:r>
              <w:rPr>
                <w:rFonts w:ascii="Times New Roman" w:hAnsi="Times New Roman" w:cs="Times New Roman"/>
                <w:kern w:val="0"/>
                <w:szCs w:val="21"/>
              </w:rPr>
              <w:t>二者同时工作时排放情况</w:t>
            </w:r>
          </w:p>
        </w:tc>
      </w:tr>
      <w:tr w14:paraId="6704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65" w:type="dxa"/>
            <w:vMerge w:val="continue"/>
            <w:tcBorders>
              <w:tl2br w:val="nil"/>
              <w:tr2bl w:val="nil"/>
            </w:tcBorders>
            <w:vAlign w:val="center"/>
          </w:tcPr>
          <w:p w14:paraId="7C0AC54C">
            <w:pPr>
              <w:adjustRightInd w:val="0"/>
              <w:snapToGrid w:val="0"/>
              <w:spacing w:line="280" w:lineRule="exact"/>
              <w:jc w:val="center"/>
              <w:textAlignment w:val="baseline"/>
              <w:rPr>
                <w:rFonts w:ascii="Times New Roman" w:hAnsi="Times New Roman" w:cs="Times New Roman"/>
                <w:kern w:val="0"/>
                <w:szCs w:val="21"/>
              </w:rPr>
            </w:pPr>
          </w:p>
        </w:tc>
        <w:tc>
          <w:tcPr>
            <w:tcW w:w="1082" w:type="dxa"/>
            <w:vMerge w:val="continue"/>
            <w:tcBorders>
              <w:tl2br w:val="nil"/>
              <w:tr2bl w:val="nil"/>
            </w:tcBorders>
            <w:vAlign w:val="center"/>
          </w:tcPr>
          <w:p w14:paraId="25278984">
            <w:pPr>
              <w:adjustRightInd w:val="0"/>
              <w:snapToGrid w:val="0"/>
              <w:spacing w:line="280" w:lineRule="exact"/>
              <w:jc w:val="center"/>
              <w:textAlignment w:val="baseline"/>
              <w:rPr>
                <w:rFonts w:ascii="Times New Roman" w:hAnsi="Times New Roman" w:cs="Times New Roman"/>
                <w:kern w:val="0"/>
                <w:szCs w:val="21"/>
              </w:rPr>
            </w:pPr>
          </w:p>
        </w:tc>
        <w:tc>
          <w:tcPr>
            <w:tcW w:w="2421" w:type="dxa"/>
            <w:gridSpan w:val="2"/>
            <w:vMerge w:val="continue"/>
            <w:tcBorders>
              <w:tl2br w:val="nil"/>
              <w:tr2bl w:val="nil"/>
            </w:tcBorders>
            <w:vAlign w:val="center"/>
          </w:tcPr>
          <w:p w14:paraId="39731B14">
            <w:pPr>
              <w:adjustRightInd w:val="0"/>
              <w:snapToGrid w:val="0"/>
              <w:spacing w:line="280" w:lineRule="exact"/>
              <w:jc w:val="center"/>
              <w:textAlignment w:val="baseline"/>
              <w:rPr>
                <w:rFonts w:ascii="Times New Roman" w:hAnsi="Times New Roman" w:cs="Times New Roman"/>
                <w:kern w:val="0"/>
                <w:szCs w:val="21"/>
              </w:rPr>
            </w:pPr>
          </w:p>
        </w:tc>
        <w:tc>
          <w:tcPr>
            <w:tcW w:w="1045" w:type="dxa"/>
            <w:tcBorders>
              <w:tl2br w:val="nil"/>
              <w:tr2bl w:val="nil"/>
            </w:tcBorders>
            <w:vAlign w:val="center"/>
          </w:tcPr>
          <w:p w14:paraId="2C26C6C7">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mg/m</w:t>
            </w:r>
            <w:r>
              <w:rPr>
                <w:rFonts w:ascii="Times New Roman" w:hAnsi="Times New Roman" w:cs="Times New Roman"/>
                <w:kern w:val="0"/>
                <w:szCs w:val="21"/>
                <w:vertAlign w:val="superscript"/>
              </w:rPr>
              <w:t>3</w:t>
            </w:r>
          </w:p>
        </w:tc>
        <w:tc>
          <w:tcPr>
            <w:tcW w:w="1045" w:type="dxa"/>
            <w:tcBorders>
              <w:tl2br w:val="nil"/>
              <w:tr2bl w:val="nil"/>
            </w:tcBorders>
            <w:vAlign w:val="center"/>
          </w:tcPr>
          <w:p w14:paraId="07306396">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kg/h</w:t>
            </w:r>
          </w:p>
        </w:tc>
        <w:tc>
          <w:tcPr>
            <w:tcW w:w="1054" w:type="dxa"/>
            <w:tcBorders>
              <w:tl2br w:val="nil"/>
              <w:tr2bl w:val="nil"/>
            </w:tcBorders>
            <w:vAlign w:val="center"/>
          </w:tcPr>
          <w:p w14:paraId="4E610CBB">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t/a</w:t>
            </w:r>
          </w:p>
        </w:tc>
        <w:tc>
          <w:tcPr>
            <w:tcW w:w="1045" w:type="dxa"/>
            <w:tcBorders>
              <w:tl2br w:val="nil"/>
              <w:tr2bl w:val="nil"/>
            </w:tcBorders>
            <w:vAlign w:val="center"/>
          </w:tcPr>
          <w:p w14:paraId="7474FA7C">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mg/m</w:t>
            </w:r>
            <w:r>
              <w:rPr>
                <w:rFonts w:ascii="Times New Roman" w:hAnsi="Times New Roman" w:cs="Times New Roman"/>
                <w:kern w:val="0"/>
                <w:szCs w:val="21"/>
                <w:vertAlign w:val="superscript"/>
              </w:rPr>
              <w:t>3</w:t>
            </w:r>
          </w:p>
        </w:tc>
        <w:tc>
          <w:tcPr>
            <w:tcW w:w="1045" w:type="dxa"/>
            <w:tcBorders>
              <w:tl2br w:val="nil"/>
              <w:tr2bl w:val="nil"/>
            </w:tcBorders>
            <w:vAlign w:val="center"/>
          </w:tcPr>
          <w:p w14:paraId="1DB9C6CC">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kg/h</w:t>
            </w:r>
          </w:p>
        </w:tc>
        <w:tc>
          <w:tcPr>
            <w:tcW w:w="1054" w:type="dxa"/>
            <w:tcBorders>
              <w:tl2br w:val="nil"/>
              <w:tr2bl w:val="nil"/>
            </w:tcBorders>
            <w:vAlign w:val="center"/>
          </w:tcPr>
          <w:p w14:paraId="5B1D0CDD">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t/a</w:t>
            </w:r>
          </w:p>
        </w:tc>
        <w:tc>
          <w:tcPr>
            <w:tcW w:w="1045" w:type="dxa"/>
            <w:tcBorders>
              <w:left w:val="single" w:color="000000" w:sz="4" w:space="0"/>
              <w:right w:val="single" w:color="000000" w:sz="4" w:space="0"/>
              <w:tl2br w:val="nil"/>
              <w:tr2bl w:val="nil"/>
            </w:tcBorders>
            <w:vAlign w:val="center"/>
          </w:tcPr>
          <w:p w14:paraId="7B04A581">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mg/m</w:t>
            </w:r>
            <w:r>
              <w:rPr>
                <w:rFonts w:ascii="Times New Roman" w:hAnsi="Times New Roman" w:cs="Times New Roman"/>
                <w:kern w:val="0"/>
                <w:szCs w:val="21"/>
                <w:vertAlign w:val="superscript"/>
              </w:rPr>
              <w:t>3</w:t>
            </w:r>
          </w:p>
        </w:tc>
        <w:tc>
          <w:tcPr>
            <w:tcW w:w="1045" w:type="dxa"/>
            <w:tcBorders>
              <w:left w:val="single" w:color="000000" w:sz="4" w:space="0"/>
              <w:right w:val="single" w:color="000000" w:sz="4" w:space="0"/>
              <w:tl2br w:val="nil"/>
              <w:tr2bl w:val="nil"/>
            </w:tcBorders>
            <w:vAlign w:val="center"/>
          </w:tcPr>
          <w:p w14:paraId="6C369200">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kg/h</w:t>
            </w:r>
          </w:p>
        </w:tc>
        <w:tc>
          <w:tcPr>
            <w:tcW w:w="1060" w:type="dxa"/>
            <w:tcBorders>
              <w:left w:val="single" w:color="000000" w:sz="4" w:space="0"/>
              <w:tl2br w:val="nil"/>
              <w:tr2bl w:val="nil"/>
            </w:tcBorders>
            <w:vAlign w:val="center"/>
          </w:tcPr>
          <w:p w14:paraId="79DF365D">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t/a</w:t>
            </w:r>
          </w:p>
        </w:tc>
      </w:tr>
      <w:tr w14:paraId="5F89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65" w:type="dxa"/>
            <w:vMerge w:val="restart"/>
            <w:tcBorders>
              <w:tl2br w:val="nil"/>
              <w:tr2bl w:val="nil"/>
            </w:tcBorders>
            <w:vAlign w:val="center"/>
          </w:tcPr>
          <w:p w14:paraId="1474C5E7">
            <w:pPr>
              <w:adjustRightInd w:val="0"/>
              <w:snapToGrid w:val="0"/>
              <w:jc w:val="center"/>
              <w:textAlignment w:val="baseline"/>
              <w:rPr>
                <w:rFonts w:ascii="Times New Roman" w:hAnsi="Times New Roman" w:cs="Times New Roman"/>
                <w:kern w:val="0"/>
                <w:szCs w:val="21"/>
              </w:rPr>
            </w:pPr>
            <w:r>
              <w:rPr>
                <w:rFonts w:ascii="Times New Roman" w:hAnsi="Times New Roman" w:cs="Times New Roman"/>
                <w:kern w:val="0"/>
                <w:szCs w:val="21"/>
              </w:rPr>
              <w:t>拼板冷压、封边、热压、擦色、</w:t>
            </w:r>
            <w:r>
              <w:rPr>
                <w:rFonts w:hint="eastAsia" w:ascii="Times New Roman" w:hAnsi="Times New Roman" w:cs="Times New Roman"/>
                <w:kern w:val="0"/>
                <w:szCs w:val="21"/>
                <w:lang w:val="en-US" w:eastAsia="zh-CN"/>
              </w:rPr>
              <w:t>喷漆房</w:t>
            </w:r>
            <w:r>
              <w:rPr>
                <w:rFonts w:ascii="Times New Roman" w:hAnsi="Times New Roman" w:cs="Times New Roman"/>
                <w:kern w:val="0"/>
                <w:szCs w:val="21"/>
              </w:rPr>
              <w:t>（含晾干）</w:t>
            </w:r>
          </w:p>
        </w:tc>
        <w:tc>
          <w:tcPr>
            <w:tcW w:w="1082" w:type="dxa"/>
            <w:vMerge w:val="restart"/>
            <w:tcBorders>
              <w:tl2br w:val="nil"/>
              <w:tr2bl w:val="nil"/>
            </w:tcBorders>
            <w:vAlign w:val="center"/>
          </w:tcPr>
          <w:p w14:paraId="65808985">
            <w:pPr>
              <w:adjustRightInd w:val="0"/>
              <w:snapToGrid w:val="0"/>
              <w:jc w:val="center"/>
              <w:textAlignment w:val="baseline"/>
              <w:rPr>
                <w:rFonts w:ascii="Times New Roman" w:hAnsi="Times New Roman" w:cs="Times New Roman"/>
                <w:kern w:val="0"/>
                <w:szCs w:val="21"/>
              </w:rPr>
            </w:pPr>
            <w:r>
              <w:rPr>
                <w:rFonts w:ascii="Times New Roman" w:hAnsi="Times New Roman" w:eastAsia="宋体" w:cs="Times New Roman"/>
                <w:kern w:val="0"/>
                <w:szCs w:val="21"/>
              </w:rPr>
              <w:t>吸附：</w:t>
            </w:r>
            <w:r>
              <w:rPr>
                <w:rFonts w:hint="eastAsia" w:ascii="Times New Roman" w:hAnsi="Times New Roman" w:eastAsia="宋体" w:cs="Times New Roman"/>
                <w:kern w:val="0"/>
                <w:szCs w:val="21"/>
                <w:lang w:val="en-US" w:eastAsia="zh-CN"/>
              </w:rPr>
              <w:t>65</w:t>
            </w:r>
            <w:r>
              <w:rPr>
                <w:rFonts w:ascii="Times New Roman" w:hAnsi="Times New Roman" w:eastAsia="宋体" w:cs="Times New Roman"/>
                <w:kern w:val="0"/>
                <w:szCs w:val="21"/>
              </w:rPr>
              <w:t>0</w:t>
            </w:r>
            <w:r>
              <w:rPr>
                <w:rFonts w:ascii="Times New Roman" w:hAnsi="Times New Roman" w:cs="Times New Roman"/>
                <w:kern w:val="0"/>
                <w:szCs w:val="21"/>
              </w:rPr>
              <w:t>00</w:t>
            </w:r>
          </w:p>
          <w:p w14:paraId="49BE9763">
            <w:pPr>
              <w:pStyle w:val="18"/>
              <w:spacing w:line="240" w:lineRule="auto"/>
              <w:rPr>
                <w:sz w:val="21"/>
                <w:szCs w:val="21"/>
              </w:rPr>
            </w:pPr>
            <w:r>
              <w:rPr>
                <w:rFonts w:hint="eastAsia" w:ascii="Times New Roman" w:hAnsi="Times New Roman" w:cs="Times New Roman"/>
                <w:sz w:val="21"/>
                <w:szCs w:val="21"/>
              </w:rPr>
              <w:t>脱附：3000</w:t>
            </w:r>
          </w:p>
        </w:tc>
        <w:tc>
          <w:tcPr>
            <w:tcW w:w="1519" w:type="dxa"/>
            <w:vMerge w:val="restart"/>
            <w:tcBorders>
              <w:tl2br w:val="nil"/>
              <w:tr2bl w:val="nil"/>
            </w:tcBorders>
            <w:vAlign w:val="center"/>
          </w:tcPr>
          <w:p w14:paraId="3218DC1E">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漆雾</w:t>
            </w:r>
            <w:r>
              <w:rPr>
                <w:rFonts w:hint="eastAsia" w:ascii="Times New Roman" w:hAnsi="Times New Roman" w:cs="Times New Roman"/>
                <w:kern w:val="0"/>
                <w:szCs w:val="21"/>
              </w:rPr>
              <w:t>（颗粒物）</w:t>
            </w:r>
          </w:p>
        </w:tc>
        <w:tc>
          <w:tcPr>
            <w:tcW w:w="902" w:type="dxa"/>
            <w:tcBorders>
              <w:tl2br w:val="nil"/>
              <w:tr2bl w:val="nil"/>
            </w:tcBorders>
            <w:vAlign w:val="center"/>
          </w:tcPr>
          <w:p w14:paraId="17EB8E21">
            <w:pPr>
              <w:adjustRightInd w:val="0"/>
              <w:snapToGrid w:val="0"/>
              <w:spacing w:line="280" w:lineRule="exact"/>
              <w:jc w:val="center"/>
              <w:textAlignment w:val="baseline"/>
              <w:rPr>
                <w:rFonts w:ascii="Times New Roman" w:hAnsi="Times New Roman" w:eastAsia="宋体" w:cs="Times New Roman"/>
                <w:kern w:val="0"/>
                <w:szCs w:val="21"/>
              </w:rPr>
            </w:pPr>
            <w:r>
              <w:rPr>
                <w:rFonts w:hint="eastAsia" w:ascii="Times New Roman" w:hAnsi="Times New Roman" w:cs="Times New Roman"/>
                <w:kern w:val="0"/>
                <w:szCs w:val="21"/>
              </w:rPr>
              <w:t>有组织</w:t>
            </w:r>
          </w:p>
        </w:tc>
        <w:tc>
          <w:tcPr>
            <w:tcW w:w="1045" w:type="dxa"/>
            <w:tcBorders>
              <w:tl2br w:val="nil"/>
              <w:tr2bl w:val="nil"/>
            </w:tcBorders>
            <w:vAlign w:val="center"/>
          </w:tcPr>
          <w:p w14:paraId="43D86829">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20.66 </w:t>
            </w:r>
          </w:p>
        </w:tc>
        <w:tc>
          <w:tcPr>
            <w:tcW w:w="1045" w:type="dxa"/>
            <w:tcBorders>
              <w:tl2br w:val="nil"/>
              <w:tr2bl w:val="nil"/>
            </w:tcBorders>
            <w:vAlign w:val="center"/>
          </w:tcPr>
          <w:p w14:paraId="17118345">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1.343 </w:t>
            </w:r>
          </w:p>
        </w:tc>
        <w:tc>
          <w:tcPr>
            <w:tcW w:w="1054" w:type="dxa"/>
            <w:tcBorders>
              <w:tl2br w:val="nil"/>
              <w:tr2bl w:val="nil"/>
            </w:tcBorders>
            <w:vAlign w:val="center"/>
          </w:tcPr>
          <w:p w14:paraId="4B9D193C">
            <w:pPr>
              <w:adjustRightInd w:val="0"/>
              <w:snapToGrid w:val="0"/>
              <w:spacing w:line="280" w:lineRule="exact"/>
              <w:jc w:val="center"/>
              <w:textAlignment w:val="baseline"/>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3.222</w:t>
            </w:r>
          </w:p>
        </w:tc>
        <w:tc>
          <w:tcPr>
            <w:tcW w:w="1045" w:type="dxa"/>
            <w:tcBorders>
              <w:tl2br w:val="nil"/>
              <w:tr2bl w:val="nil"/>
            </w:tcBorders>
            <w:vAlign w:val="center"/>
          </w:tcPr>
          <w:p w14:paraId="23DDA6E6">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2.06 </w:t>
            </w:r>
          </w:p>
        </w:tc>
        <w:tc>
          <w:tcPr>
            <w:tcW w:w="1045" w:type="dxa"/>
            <w:tcBorders>
              <w:tl2br w:val="nil"/>
              <w:tr2bl w:val="nil"/>
            </w:tcBorders>
            <w:vAlign w:val="center"/>
          </w:tcPr>
          <w:p w14:paraId="75C75037">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0.134 </w:t>
            </w:r>
          </w:p>
        </w:tc>
        <w:tc>
          <w:tcPr>
            <w:tcW w:w="1054" w:type="dxa"/>
            <w:tcBorders>
              <w:tl2br w:val="nil"/>
              <w:tr2bl w:val="nil"/>
            </w:tcBorders>
            <w:vAlign w:val="center"/>
          </w:tcPr>
          <w:p w14:paraId="0F2DF343">
            <w:pPr>
              <w:adjustRightInd w:val="0"/>
              <w:snapToGrid w:val="0"/>
              <w:spacing w:line="280" w:lineRule="exact"/>
              <w:jc w:val="center"/>
              <w:textAlignment w:val="baseline"/>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0.3222</w:t>
            </w:r>
          </w:p>
        </w:tc>
        <w:tc>
          <w:tcPr>
            <w:tcW w:w="1045" w:type="dxa"/>
            <w:tcBorders>
              <w:left w:val="single" w:color="000000" w:sz="4" w:space="0"/>
              <w:right w:val="single" w:color="000000" w:sz="4" w:space="0"/>
              <w:tl2br w:val="nil"/>
              <w:tr2bl w:val="nil"/>
            </w:tcBorders>
            <w:vAlign w:val="center"/>
          </w:tcPr>
          <w:p w14:paraId="5657D1D5">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1.97 </w:t>
            </w:r>
          </w:p>
        </w:tc>
        <w:tc>
          <w:tcPr>
            <w:tcW w:w="1045" w:type="dxa"/>
            <w:tcBorders>
              <w:left w:val="single" w:color="000000" w:sz="4" w:space="0"/>
              <w:right w:val="single" w:color="000000" w:sz="4" w:space="0"/>
              <w:tl2br w:val="nil"/>
              <w:tr2bl w:val="nil"/>
            </w:tcBorders>
            <w:vAlign w:val="center"/>
          </w:tcPr>
          <w:p w14:paraId="4464BB1B">
            <w:pPr>
              <w:adjustRightInd w:val="0"/>
              <w:snapToGrid w:val="0"/>
              <w:spacing w:line="280" w:lineRule="exact"/>
              <w:jc w:val="center"/>
              <w:textAlignment w:val="baseline"/>
              <w:rPr>
                <w:rFonts w:ascii="Times New Roman" w:hAnsi="Times New Roman" w:cs="Times New Roman"/>
                <w:kern w:val="0"/>
                <w:szCs w:val="21"/>
              </w:rPr>
            </w:pPr>
            <w:r>
              <w:rPr>
                <w:rFonts w:hint="eastAsia" w:ascii="Times New Roman" w:hAnsi="Times New Roman" w:cs="Times New Roman"/>
                <w:kern w:val="0"/>
                <w:szCs w:val="21"/>
                <w:lang w:val="en-US" w:eastAsia="zh-CN"/>
              </w:rPr>
              <w:t xml:space="preserve">0.134 </w:t>
            </w:r>
          </w:p>
        </w:tc>
        <w:tc>
          <w:tcPr>
            <w:tcW w:w="1060" w:type="dxa"/>
            <w:tcBorders>
              <w:left w:val="single" w:color="000000" w:sz="4" w:space="0"/>
              <w:tl2br w:val="nil"/>
              <w:tr2bl w:val="nil"/>
            </w:tcBorders>
            <w:vAlign w:val="center"/>
          </w:tcPr>
          <w:p w14:paraId="6FA71309">
            <w:pPr>
              <w:adjustRightInd w:val="0"/>
              <w:snapToGrid w:val="0"/>
              <w:spacing w:line="280" w:lineRule="exact"/>
              <w:jc w:val="center"/>
              <w:textAlignment w:val="baseline"/>
              <w:rPr>
                <w:rFonts w:ascii="Times New Roman" w:hAnsi="Times New Roman" w:cs="Times New Roman"/>
                <w:kern w:val="0"/>
                <w:szCs w:val="21"/>
              </w:rPr>
            </w:pPr>
            <w:r>
              <w:rPr>
                <w:rFonts w:hint="eastAsia" w:ascii="Times New Roman" w:hAnsi="Times New Roman" w:eastAsia="宋体" w:cs="Times New Roman"/>
                <w:kern w:val="0"/>
                <w:szCs w:val="21"/>
                <w:lang w:val="en-US" w:eastAsia="zh-CN"/>
              </w:rPr>
              <w:t>0.3222</w:t>
            </w:r>
          </w:p>
        </w:tc>
      </w:tr>
      <w:tr w14:paraId="4CDD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3" w:hRule="atLeast"/>
          <w:jc w:val="center"/>
        </w:trPr>
        <w:tc>
          <w:tcPr>
            <w:tcW w:w="1065" w:type="dxa"/>
            <w:vMerge w:val="continue"/>
            <w:tcBorders>
              <w:tl2br w:val="nil"/>
              <w:tr2bl w:val="nil"/>
            </w:tcBorders>
            <w:vAlign w:val="center"/>
          </w:tcPr>
          <w:p w14:paraId="1AA6E2AF">
            <w:pPr>
              <w:adjustRightInd w:val="0"/>
              <w:snapToGrid w:val="0"/>
              <w:spacing w:line="280" w:lineRule="exact"/>
              <w:jc w:val="center"/>
              <w:textAlignment w:val="baseline"/>
              <w:rPr>
                <w:rFonts w:ascii="Times New Roman" w:hAnsi="Times New Roman" w:eastAsia="宋体" w:cs="Times New Roman"/>
                <w:kern w:val="0"/>
                <w:szCs w:val="21"/>
              </w:rPr>
            </w:pPr>
          </w:p>
        </w:tc>
        <w:tc>
          <w:tcPr>
            <w:tcW w:w="1082" w:type="dxa"/>
            <w:vMerge w:val="continue"/>
            <w:tcBorders>
              <w:tl2br w:val="nil"/>
              <w:tr2bl w:val="nil"/>
            </w:tcBorders>
            <w:vAlign w:val="center"/>
          </w:tcPr>
          <w:p w14:paraId="5E090AA3">
            <w:pPr>
              <w:adjustRightInd w:val="0"/>
              <w:snapToGrid w:val="0"/>
              <w:spacing w:line="280" w:lineRule="exact"/>
              <w:jc w:val="center"/>
              <w:textAlignment w:val="baseline"/>
              <w:rPr>
                <w:rFonts w:ascii="Times New Roman" w:hAnsi="Times New Roman" w:eastAsia="宋体" w:cs="Times New Roman"/>
                <w:kern w:val="0"/>
                <w:szCs w:val="21"/>
              </w:rPr>
            </w:pPr>
          </w:p>
        </w:tc>
        <w:tc>
          <w:tcPr>
            <w:tcW w:w="1519" w:type="dxa"/>
            <w:vMerge w:val="continue"/>
            <w:tcBorders>
              <w:tl2br w:val="nil"/>
              <w:tr2bl w:val="nil"/>
            </w:tcBorders>
            <w:vAlign w:val="center"/>
          </w:tcPr>
          <w:p w14:paraId="3E0C7739">
            <w:pPr>
              <w:adjustRightInd w:val="0"/>
              <w:snapToGrid w:val="0"/>
              <w:spacing w:line="280" w:lineRule="exact"/>
              <w:jc w:val="center"/>
              <w:textAlignment w:val="baseline"/>
              <w:rPr>
                <w:rFonts w:ascii="Times New Roman" w:hAnsi="Times New Roman" w:cs="Times New Roman"/>
                <w:kern w:val="0"/>
                <w:szCs w:val="21"/>
              </w:rPr>
            </w:pPr>
          </w:p>
        </w:tc>
        <w:tc>
          <w:tcPr>
            <w:tcW w:w="902" w:type="dxa"/>
            <w:tcBorders>
              <w:tl2br w:val="nil"/>
              <w:tr2bl w:val="nil"/>
            </w:tcBorders>
            <w:vAlign w:val="center"/>
          </w:tcPr>
          <w:p w14:paraId="7976095E">
            <w:pPr>
              <w:adjustRightInd w:val="0"/>
              <w:snapToGrid w:val="0"/>
              <w:spacing w:line="280" w:lineRule="exact"/>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无组织</w:t>
            </w:r>
          </w:p>
        </w:tc>
        <w:tc>
          <w:tcPr>
            <w:tcW w:w="1045" w:type="dxa"/>
            <w:tcBorders>
              <w:tl2br w:val="nil"/>
              <w:tr2bl w:val="nil"/>
            </w:tcBorders>
            <w:vAlign w:val="center"/>
          </w:tcPr>
          <w:p w14:paraId="40F2AA0D">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tl2br w:val="nil"/>
              <w:tr2bl w:val="nil"/>
            </w:tcBorders>
            <w:vAlign w:val="center"/>
          </w:tcPr>
          <w:p w14:paraId="43F09688">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 xml:space="preserve">0.071 </w:t>
            </w:r>
          </w:p>
        </w:tc>
        <w:tc>
          <w:tcPr>
            <w:tcW w:w="1054" w:type="dxa"/>
            <w:tcBorders>
              <w:tl2br w:val="nil"/>
              <w:tr2bl w:val="nil"/>
            </w:tcBorders>
            <w:vAlign w:val="center"/>
          </w:tcPr>
          <w:p w14:paraId="6DE71394">
            <w:pPr>
              <w:adjustRightInd w:val="0"/>
              <w:snapToGrid w:val="0"/>
              <w:spacing w:line="280" w:lineRule="exact"/>
              <w:jc w:val="center"/>
              <w:textAlignment w:val="baseline"/>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rPr>
              <w:t>0.</w:t>
            </w:r>
            <w:r>
              <w:rPr>
                <w:rFonts w:hint="eastAsia" w:ascii="Times New Roman" w:hAnsi="Times New Roman" w:cs="Times New Roman"/>
                <w:kern w:val="0"/>
                <w:szCs w:val="21"/>
                <w:lang w:val="en-US" w:eastAsia="zh-CN"/>
              </w:rPr>
              <w:t>17</w:t>
            </w:r>
          </w:p>
        </w:tc>
        <w:tc>
          <w:tcPr>
            <w:tcW w:w="1045" w:type="dxa"/>
            <w:tcBorders>
              <w:tl2br w:val="nil"/>
              <w:tr2bl w:val="nil"/>
            </w:tcBorders>
            <w:vAlign w:val="center"/>
          </w:tcPr>
          <w:p w14:paraId="4049955E">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tl2br w:val="nil"/>
              <w:tr2bl w:val="nil"/>
            </w:tcBorders>
            <w:vAlign w:val="center"/>
          </w:tcPr>
          <w:p w14:paraId="555ABB74">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0.071 </w:t>
            </w:r>
          </w:p>
        </w:tc>
        <w:tc>
          <w:tcPr>
            <w:tcW w:w="1054" w:type="dxa"/>
            <w:tcBorders>
              <w:tl2br w:val="nil"/>
              <w:tr2bl w:val="nil"/>
            </w:tcBorders>
            <w:vAlign w:val="center"/>
          </w:tcPr>
          <w:p w14:paraId="1BAB4F6C">
            <w:pPr>
              <w:adjustRightInd w:val="0"/>
              <w:snapToGrid w:val="0"/>
              <w:spacing w:line="280" w:lineRule="exact"/>
              <w:jc w:val="center"/>
              <w:textAlignment w:val="baseline"/>
              <w:rPr>
                <w:rFonts w:ascii="Times New Roman" w:hAnsi="Times New Roman" w:eastAsia="宋体" w:cs="Times New Roman"/>
                <w:kern w:val="0"/>
                <w:szCs w:val="21"/>
              </w:rPr>
            </w:pPr>
            <w:r>
              <w:rPr>
                <w:rFonts w:hint="eastAsia" w:ascii="Times New Roman" w:hAnsi="Times New Roman" w:cs="Times New Roman"/>
                <w:kern w:val="0"/>
                <w:szCs w:val="21"/>
              </w:rPr>
              <w:t>0.</w:t>
            </w:r>
            <w:r>
              <w:rPr>
                <w:rFonts w:hint="eastAsia" w:ascii="Times New Roman" w:hAnsi="Times New Roman" w:cs="Times New Roman"/>
                <w:kern w:val="0"/>
                <w:szCs w:val="21"/>
                <w:lang w:val="en-US" w:eastAsia="zh-CN"/>
              </w:rPr>
              <w:t>17</w:t>
            </w:r>
          </w:p>
        </w:tc>
        <w:tc>
          <w:tcPr>
            <w:tcW w:w="1045" w:type="dxa"/>
            <w:tcBorders>
              <w:left w:val="single" w:color="000000" w:sz="4" w:space="0"/>
              <w:right w:val="single" w:color="000000" w:sz="4" w:space="0"/>
              <w:tl2br w:val="nil"/>
              <w:tr2bl w:val="nil"/>
            </w:tcBorders>
            <w:vAlign w:val="center"/>
          </w:tcPr>
          <w:p w14:paraId="251EB577">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left w:val="single" w:color="000000" w:sz="4" w:space="0"/>
              <w:right w:val="single" w:color="000000" w:sz="4" w:space="0"/>
              <w:tl2br w:val="nil"/>
              <w:tr2bl w:val="nil"/>
            </w:tcBorders>
            <w:vAlign w:val="center"/>
          </w:tcPr>
          <w:p w14:paraId="20A7DE6E">
            <w:pPr>
              <w:adjustRightInd w:val="0"/>
              <w:snapToGrid w:val="0"/>
              <w:spacing w:line="280" w:lineRule="exact"/>
              <w:jc w:val="center"/>
              <w:textAlignment w:val="baseline"/>
              <w:rPr>
                <w:rFonts w:ascii="Times New Roman" w:hAnsi="Times New Roman" w:cs="Times New Roman"/>
                <w:kern w:val="0"/>
                <w:szCs w:val="21"/>
              </w:rPr>
            </w:pPr>
            <w:r>
              <w:rPr>
                <w:rFonts w:hint="eastAsia" w:ascii="Times New Roman" w:hAnsi="Times New Roman" w:cs="Times New Roman"/>
                <w:kern w:val="0"/>
                <w:szCs w:val="21"/>
                <w:lang w:val="en-US" w:eastAsia="zh-CN"/>
              </w:rPr>
              <w:t xml:space="preserve">0.071 </w:t>
            </w:r>
          </w:p>
        </w:tc>
        <w:tc>
          <w:tcPr>
            <w:tcW w:w="1060" w:type="dxa"/>
            <w:tcBorders>
              <w:left w:val="single" w:color="000000" w:sz="4" w:space="0"/>
              <w:tl2br w:val="nil"/>
              <w:tr2bl w:val="nil"/>
            </w:tcBorders>
            <w:vAlign w:val="center"/>
          </w:tcPr>
          <w:p w14:paraId="4415D915">
            <w:pPr>
              <w:adjustRightInd w:val="0"/>
              <w:snapToGrid w:val="0"/>
              <w:spacing w:line="280" w:lineRule="exact"/>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0.</w:t>
            </w:r>
            <w:r>
              <w:rPr>
                <w:rFonts w:hint="eastAsia" w:ascii="Times New Roman" w:hAnsi="Times New Roman" w:cs="Times New Roman"/>
                <w:kern w:val="0"/>
                <w:szCs w:val="21"/>
                <w:lang w:val="en-US" w:eastAsia="zh-CN"/>
              </w:rPr>
              <w:t>17</w:t>
            </w:r>
          </w:p>
        </w:tc>
      </w:tr>
      <w:tr w14:paraId="3EB4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8" w:hRule="atLeast"/>
          <w:jc w:val="center"/>
        </w:trPr>
        <w:tc>
          <w:tcPr>
            <w:tcW w:w="1065" w:type="dxa"/>
            <w:vMerge w:val="continue"/>
            <w:tcBorders>
              <w:tl2br w:val="nil"/>
              <w:tr2bl w:val="nil"/>
            </w:tcBorders>
            <w:vAlign w:val="center"/>
          </w:tcPr>
          <w:p w14:paraId="3C40A7A9">
            <w:pPr>
              <w:adjustRightInd w:val="0"/>
              <w:snapToGrid w:val="0"/>
              <w:spacing w:line="280" w:lineRule="exact"/>
              <w:jc w:val="center"/>
              <w:textAlignment w:val="baseline"/>
              <w:rPr>
                <w:rFonts w:ascii="Times New Roman" w:hAnsi="Times New Roman" w:eastAsia="宋体" w:cs="Times New Roman"/>
                <w:kern w:val="0"/>
                <w:szCs w:val="21"/>
              </w:rPr>
            </w:pPr>
          </w:p>
        </w:tc>
        <w:tc>
          <w:tcPr>
            <w:tcW w:w="1082" w:type="dxa"/>
            <w:vMerge w:val="continue"/>
            <w:tcBorders>
              <w:tl2br w:val="nil"/>
              <w:tr2bl w:val="nil"/>
            </w:tcBorders>
            <w:vAlign w:val="center"/>
          </w:tcPr>
          <w:p w14:paraId="4808AE66">
            <w:pPr>
              <w:adjustRightInd w:val="0"/>
              <w:snapToGrid w:val="0"/>
              <w:spacing w:line="280" w:lineRule="exact"/>
              <w:jc w:val="center"/>
              <w:textAlignment w:val="baseline"/>
              <w:rPr>
                <w:rFonts w:ascii="Times New Roman" w:hAnsi="Times New Roman" w:eastAsia="宋体" w:cs="Times New Roman"/>
                <w:kern w:val="0"/>
                <w:szCs w:val="21"/>
              </w:rPr>
            </w:pPr>
          </w:p>
        </w:tc>
        <w:tc>
          <w:tcPr>
            <w:tcW w:w="1519" w:type="dxa"/>
            <w:vMerge w:val="restart"/>
            <w:tcBorders>
              <w:tl2br w:val="nil"/>
              <w:tr2bl w:val="nil"/>
            </w:tcBorders>
            <w:vAlign w:val="center"/>
          </w:tcPr>
          <w:p w14:paraId="2CD46E66">
            <w:pPr>
              <w:adjustRightInd w:val="0"/>
              <w:snapToGrid w:val="0"/>
              <w:spacing w:line="280" w:lineRule="exact"/>
              <w:jc w:val="center"/>
              <w:textAlignment w:val="baseline"/>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苯</w:t>
            </w:r>
          </w:p>
        </w:tc>
        <w:tc>
          <w:tcPr>
            <w:tcW w:w="902" w:type="dxa"/>
            <w:tcBorders>
              <w:tl2br w:val="nil"/>
              <w:tr2bl w:val="nil"/>
            </w:tcBorders>
            <w:vAlign w:val="center"/>
          </w:tcPr>
          <w:p w14:paraId="2937B8BC">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rPr>
              <w:t>有组织</w:t>
            </w:r>
          </w:p>
        </w:tc>
        <w:tc>
          <w:tcPr>
            <w:tcW w:w="1045" w:type="dxa"/>
            <w:tcBorders>
              <w:tl2br w:val="nil"/>
              <w:tr2bl w:val="nil"/>
            </w:tcBorders>
            <w:vAlign w:val="center"/>
          </w:tcPr>
          <w:p w14:paraId="103068E4">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0.68 </w:t>
            </w:r>
          </w:p>
        </w:tc>
        <w:tc>
          <w:tcPr>
            <w:tcW w:w="1045" w:type="dxa"/>
            <w:tcBorders>
              <w:tl2br w:val="nil"/>
              <w:tr2bl w:val="nil"/>
            </w:tcBorders>
            <w:vAlign w:val="center"/>
          </w:tcPr>
          <w:p w14:paraId="16E94095">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0.044 </w:t>
            </w:r>
          </w:p>
        </w:tc>
        <w:tc>
          <w:tcPr>
            <w:tcW w:w="1054" w:type="dxa"/>
            <w:tcBorders>
              <w:tl2br w:val="nil"/>
              <w:tr2bl w:val="nil"/>
            </w:tcBorders>
            <w:vAlign w:val="center"/>
          </w:tcPr>
          <w:p w14:paraId="53068F39">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0.1064</w:t>
            </w:r>
          </w:p>
        </w:tc>
        <w:tc>
          <w:tcPr>
            <w:tcW w:w="1045" w:type="dxa"/>
            <w:tcBorders>
              <w:tl2br w:val="nil"/>
              <w:tr2bl w:val="nil"/>
            </w:tcBorders>
            <w:vAlign w:val="center"/>
          </w:tcPr>
          <w:p w14:paraId="0B1A57AF">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0.06 </w:t>
            </w:r>
          </w:p>
        </w:tc>
        <w:tc>
          <w:tcPr>
            <w:tcW w:w="1045" w:type="dxa"/>
            <w:tcBorders>
              <w:tl2br w:val="nil"/>
              <w:tr2bl w:val="nil"/>
            </w:tcBorders>
            <w:vAlign w:val="center"/>
          </w:tcPr>
          <w:p w14:paraId="480856BA">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0.004 </w:t>
            </w:r>
          </w:p>
        </w:tc>
        <w:tc>
          <w:tcPr>
            <w:tcW w:w="1054" w:type="dxa"/>
            <w:tcBorders>
              <w:tl2br w:val="nil"/>
              <w:tr2bl w:val="nil"/>
            </w:tcBorders>
            <w:vAlign w:val="center"/>
          </w:tcPr>
          <w:p w14:paraId="5880F754">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0.0106</w:t>
            </w:r>
          </w:p>
        </w:tc>
        <w:tc>
          <w:tcPr>
            <w:tcW w:w="1045" w:type="dxa"/>
            <w:tcBorders>
              <w:left w:val="single" w:color="000000" w:sz="4" w:space="0"/>
              <w:right w:val="single" w:color="000000" w:sz="4" w:space="0"/>
              <w:tl2br w:val="nil"/>
              <w:tr2bl w:val="nil"/>
            </w:tcBorders>
            <w:vAlign w:val="center"/>
          </w:tcPr>
          <w:p w14:paraId="76F83130">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0.23 </w:t>
            </w:r>
          </w:p>
        </w:tc>
        <w:tc>
          <w:tcPr>
            <w:tcW w:w="1045" w:type="dxa"/>
            <w:tcBorders>
              <w:left w:val="single" w:color="000000" w:sz="4" w:space="0"/>
              <w:right w:val="single" w:color="000000" w:sz="4" w:space="0"/>
              <w:tl2br w:val="nil"/>
              <w:tr2bl w:val="nil"/>
            </w:tcBorders>
            <w:vAlign w:val="center"/>
          </w:tcPr>
          <w:p w14:paraId="77798243">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0.0156</w:t>
            </w:r>
          </w:p>
        </w:tc>
        <w:tc>
          <w:tcPr>
            <w:tcW w:w="1060" w:type="dxa"/>
            <w:tcBorders>
              <w:left w:val="single" w:color="000000" w:sz="4" w:space="0"/>
              <w:tl2br w:val="nil"/>
              <w:tr2bl w:val="nil"/>
            </w:tcBorders>
            <w:vAlign w:val="center"/>
          </w:tcPr>
          <w:p w14:paraId="5128528A">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0.0135</w:t>
            </w:r>
          </w:p>
        </w:tc>
      </w:tr>
      <w:tr w14:paraId="21D5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jc w:val="center"/>
        </w:trPr>
        <w:tc>
          <w:tcPr>
            <w:tcW w:w="1065" w:type="dxa"/>
            <w:vMerge w:val="continue"/>
            <w:tcBorders>
              <w:tl2br w:val="nil"/>
              <w:tr2bl w:val="nil"/>
            </w:tcBorders>
            <w:vAlign w:val="center"/>
          </w:tcPr>
          <w:p w14:paraId="6C5B2663">
            <w:pPr>
              <w:adjustRightInd w:val="0"/>
              <w:snapToGrid w:val="0"/>
              <w:spacing w:line="280" w:lineRule="exact"/>
              <w:jc w:val="center"/>
              <w:textAlignment w:val="baseline"/>
              <w:rPr>
                <w:rFonts w:ascii="Times New Roman" w:hAnsi="Times New Roman" w:eastAsia="宋体" w:cs="Times New Roman"/>
                <w:kern w:val="0"/>
                <w:szCs w:val="21"/>
              </w:rPr>
            </w:pPr>
          </w:p>
        </w:tc>
        <w:tc>
          <w:tcPr>
            <w:tcW w:w="1082" w:type="dxa"/>
            <w:vMerge w:val="continue"/>
            <w:tcBorders>
              <w:tl2br w:val="nil"/>
              <w:tr2bl w:val="nil"/>
            </w:tcBorders>
            <w:vAlign w:val="center"/>
          </w:tcPr>
          <w:p w14:paraId="3E45D738">
            <w:pPr>
              <w:adjustRightInd w:val="0"/>
              <w:snapToGrid w:val="0"/>
              <w:spacing w:line="280" w:lineRule="exact"/>
              <w:jc w:val="center"/>
              <w:textAlignment w:val="baseline"/>
              <w:rPr>
                <w:rFonts w:ascii="Times New Roman" w:hAnsi="Times New Roman" w:eastAsia="宋体" w:cs="Times New Roman"/>
                <w:kern w:val="0"/>
                <w:szCs w:val="21"/>
              </w:rPr>
            </w:pPr>
          </w:p>
        </w:tc>
        <w:tc>
          <w:tcPr>
            <w:tcW w:w="1519" w:type="dxa"/>
            <w:vMerge w:val="continue"/>
            <w:tcBorders>
              <w:tl2br w:val="nil"/>
              <w:tr2bl w:val="nil"/>
            </w:tcBorders>
            <w:vAlign w:val="center"/>
          </w:tcPr>
          <w:p w14:paraId="2725A5B6">
            <w:pPr>
              <w:adjustRightInd w:val="0"/>
              <w:snapToGrid w:val="0"/>
              <w:spacing w:line="280" w:lineRule="exact"/>
              <w:jc w:val="center"/>
              <w:textAlignment w:val="baseline"/>
              <w:rPr>
                <w:rFonts w:ascii="Times New Roman" w:hAnsi="Times New Roman" w:cs="Times New Roman"/>
                <w:kern w:val="0"/>
                <w:szCs w:val="21"/>
              </w:rPr>
            </w:pPr>
          </w:p>
        </w:tc>
        <w:tc>
          <w:tcPr>
            <w:tcW w:w="902" w:type="dxa"/>
            <w:tcBorders>
              <w:tl2br w:val="nil"/>
              <w:tr2bl w:val="nil"/>
            </w:tcBorders>
            <w:vAlign w:val="center"/>
          </w:tcPr>
          <w:p w14:paraId="435BEF66">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rPr>
              <w:t>无组织</w:t>
            </w:r>
          </w:p>
        </w:tc>
        <w:tc>
          <w:tcPr>
            <w:tcW w:w="1045" w:type="dxa"/>
            <w:tcBorders>
              <w:tl2br w:val="nil"/>
              <w:tr2bl w:val="nil"/>
            </w:tcBorders>
            <w:vAlign w:val="center"/>
          </w:tcPr>
          <w:p w14:paraId="0EEC19EF">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tl2br w:val="nil"/>
              <w:tr2bl w:val="nil"/>
            </w:tcBorders>
            <w:vAlign w:val="center"/>
          </w:tcPr>
          <w:p w14:paraId="65F25D04">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0.002 </w:t>
            </w:r>
          </w:p>
        </w:tc>
        <w:tc>
          <w:tcPr>
            <w:tcW w:w="1054" w:type="dxa"/>
            <w:tcBorders>
              <w:tl2br w:val="nil"/>
              <w:tr2bl w:val="nil"/>
            </w:tcBorders>
            <w:vAlign w:val="center"/>
          </w:tcPr>
          <w:p w14:paraId="7676FFCE">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0.0056</w:t>
            </w:r>
          </w:p>
        </w:tc>
        <w:tc>
          <w:tcPr>
            <w:tcW w:w="1045" w:type="dxa"/>
            <w:tcBorders>
              <w:tl2br w:val="nil"/>
              <w:tr2bl w:val="nil"/>
            </w:tcBorders>
            <w:vAlign w:val="center"/>
          </w:tcPr>
          <w:p w14:paraId="050A7FAC">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tl2br w:val="nil"/>
              <w:tr2bl w:val="nil"/>
            </w:tcBorders>
            <w:vAlign w:val="center"/>
          </w:tcPr>
          <w:p w14:paraId="22B60ECE">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0.002 </w:t>
            </w:r>
          </w:p>
        </w:tc>
        <w:tc>
          <w:tcPr>
            <w:tcW w:w="1054" w:type="dxa"/>
            <w:tcBorders>
              <w:tl2br w:val="nil"/>
              <w:tr2bl w:val="nil"/>
            </w:tcBorders>
            <w:vAlign w:val="center"/>
          </w:tcPr>
          <w:p w14:paraId="6A88760C">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0.0056</w:t>
            </w:r>
          </w:p>
        </w:tc>
        <w:tc>
          <w:tcPr>
            <w:tcW w:w="1045" w:type="dxa"/>
            <w:tcBorders>
              <w:left w:val="single" w:color="000000" w:sz="4" w:space="0"/>
              <w:right w:val="single" w:color="000000" w:sz="4" w:space="0"/>
              <w:tl2br w:val="nil"/>
              <w:tr2bl w:val="nil"/>
            </w:tcBorders>
            <w:vAlign w:val="center"/>
          </w:tcPr>
          <w:p w14:paraId="570C9DA6">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left w:val="single" w:color="000000" w:sz="4" w:space="0"/>
              <w:right w:val="single" w:color="000000" w:sz="4" w:space="0"/>
              <w:tl2br w:val="nil"/>
              <w:tr2bl w:val="nil"/>
            </w:tcBorders>
            <w:vAlign w:val="center"/>
          </w:tcPr>
          <w:p w14:paraId="42AEFCFB">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0.002</w:t>
            </w:r>
          </w:p>
        </w:tc>
        <w:tc>
          <w:tcPr>
            <w:tcW w:w="1060" w:type="dxa"/>
            <w:tcBorders>
              <w:left w:val="single" w:color="000000" w:sz="4" w:space="0"/>
              <w:tl2br w:val="nil"/>
              <w:tr2bl w:val="nil"/>
            </w:tcBorders>
            <w:vAlign w:val="center"/>
          </w:tcPr>
          <w:p w14:paraId="3511775F">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0.0056</w:t>
            </w:r>
          </w:p>
        </w:tc>
      </w:tr>
      <w:tr w14:paraId="79E1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jc w:val="center"/>
        </w:trPr>
        <w:tc>
          <w:tcPr>
            <w:tcW w:w="1065" w:type="dxa"/>
            <w:vMerge w:val="continue"/>
            <w:tcBorders>
              <w:tl2br w:val="nil"/>
              <w:tr2bl w:val="nil"/>
            </w:tcBorders>
            <w:vAlign w:val="center"/>
          </w:tcPr>
          <w:p w14:paraId="02FE79E0">
            <w:pPr>
              <w:adjustRightInd w:val="0"/>
              <w:snapToGrid w:val="0"/>
              <w:spacing w:line="280" w:lineRule="exact"/>
              <w:jc w:val="center"/>
              <w:textAlignment w:val="baseline"/>
              <w:rPr>
                <w:rFonts w:ascii="Times New Roman" w:hAnsi="Times New Roman" w:cs="Times New Roman"/>
                <w:color w:val="auto"/>
                <w:kern w:val="0"/>
                <w:szCs w:val="21"/>
              </w:rPr>
            </w:pPr>
          </w:p>
        </w:tc>
        <w:tc>
          <w:tcPr>
            <w:tcW w:w="1082" w:type="dxa"/>
            <w:vMerge w:val="continue"/>
            <w:tcBorders>
              <w:tl2br w:val="nil"/>
              <w:tr2bl w:val="nil"/>
            </w:tcBorders>
            <w:vAlign w:val="center"/>
          </w:tcPr>
          <w:p w14:paraId="5F5C0756">
            <w:pPr>
              <w:adjustRightInd w:val="0"/>
              <w:snapToGrid w:val="0"/>
              <w:spacing w:line="280" w:lineRule="exact"/>
              <w:jc w:val="center"/>
              <w:textAlignment w:val="baseline"/>
              <w:rPr>
                <w:rFonts w:ascii="Times New Roman" w:hAnsi="Times New Roman" w:cs="Times New Roman"/>
                <w:color w:val="auto"/>
                <w:kern w:val="0"/>
                <w:szCs w:val="21"/>
              </w:rPr>
            </w:pPr>
          </w:p>
        </w:tc>
        <w:tc>
          <w:tcPr>
            <w:tcW w:w="1519" w:type="dxa"/>
            <w:vMerge w:val="restart"/>
            <w:tcBorders>
              <w:tl2br w:val="nil"/>
              <w:tr2bl w:val="nil"/>
            </w:tcBorders>
            <w:vAlign w:val="center"/>
          </w:tcPr>
          <w:p w14:paraId="4E3CC320">
            <w:pPr>
              <w:adjustRightInd w:val="0"/>
              <w:snapToGrid w:val="0"/>
              <w:spacing w:line="280" w:lineRule="exact"/>
              <w:jc w:val="center"/>
              <w:textAlignment w:val="baseline"/>
              <w:rPr>
                <w:rFonts w:ascii="Times New Roman" w:hAnsi="Times New Roman" w:cs="Times New Roman"/>
                <w:color w:val="auto"/>
                <w:kern w:val="0"/>
                <w:szCs w:val="21"/>
              </w:rPr>
            </w:pPr>
            <w:r>
              <w:rPr>
                <w:rFonts w:ascii="Times New Roman" w:hAnsi="Times New Roman" w:cs="Times New Roman"/>
                <w:color w:val="auto"/>
                <w:kern w:val="0"/>
                <w:szCs w:val="21"/>
              </w:rPr>
              <w:t>甲苯</w:t>
            </w:r>
          </w:p>
        </w:tc>
        <w:tc>
          <w:tcPr>
            <w:tcW w:w="902" w:type="dxa"/>
            <w:tcBorders>
              <w:tl2br w:val="nil"/>
              <w:tr2bl w:val="nil"/>
            </w:tcBorders>
            <w:vAlign w:val="center"/>
          </w:tcPr>
          <w:p w14:paraId="3DA2A906">
            <w:pPr>
              <w:adjustRightInd w:val="0"/>
              <w:snapToGrid w:val="0"/>
              <w:spacing w:line="280" w:lineRule="exact"/>
              <w:jc w:val="center"/>
              <w:textAlignment w:val="baseline"/>
              <w:rPr>
                <w:rFonts w:ascii="Times New Roman" w:hAnsi="Times New Roman" w:cs="Times New Roman"/>
                <w:color w:val="auto"/>
                <w:kern w:val="0"/>
                <w:szCs w:val="21"/>
              </w:rPr>
            </w:pPr>
            <w:r>
              <w:rPr>
                <w:rFonts w:hint="eastAsia" w:ascii="Times New Roman" w:hAnsi="Times New Roman" w:cs="Times New Roman"/>
                <w:color w:val="auto"/>
                <w:kern w:val="0"/>
                <w:szCs w:val="21"/>
              </w:rPr>
              <w:t>有组织</w:t>
            </w:r>
          </w:p>
        </w:tc>
        <w:tc>
          <w:tcPr>
            <w:tcW w:w="1045" w:type="dxa"/>
            <w:tcBorders>
              <w:tl2br w:val="nil"/>
              <w:tr2bl w:val="nil"/>
            </w:tcBorders>
            <w:vAlign w:val="center"/>
          </w:tcPr>
          <w:p w14:paraId="3983F759">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3.08 </w:t>
            </w:r>
          </w:p>
        </w:tc>
        <w:tc>
          <w:tcPr>
            <w:tcW w:w="1045" w:type="dxa"/>
            <w:tcBorders>
              <w:tl2br w:val="nil"/>
              <w:tr2bl w:val="nil"/>
            </w:tcBorders>
            <w:vAlign w:val="center"/>
          </w:tcPr>
          <w:p w14:paraId="0A71B107">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0.200 </w:t>
            </w:r>
          </w:p>
        </w:tc>
        <w:tc>
          <w:tcPr>
            <w:tcW w:w="1054" w:type="dxa"/>
            <w:tcBorders>
              <w:tl2br w:val="nil"/>
              <w:tr2bl w:val="nil"/>
            </w:tcBorders>
            <w:vAlign w:val="center"/>
          </w:tcPr>
          <w:p w14:paraId="5EA4A4BF">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0.4788</w:t>
            </w:r>
          </w:p>
        </w:tc>
        <w:tc>
          <w:tcPr>
            <w:tcW w:w="1045" w:type="dxa"/>
            <w:tcBorders>
              <w:tl2br w:val="nil"/>
              <w:tr2bl w:val="nil"/>
            </w:tcBorders>
            <w:vAlign w:val="center"/>
          </w:tcPr>
          <w:p w14:paraId="753DF95F">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0.31 </w:t>
            </w:r>
          </w:p>
        </w:tc>
        <w:tc>
          <w:tcPr>
            <w:tcW w:w="1045" w:type="dxa"/>
            <w:tcBorders>
              <w:tl2br w:val="nil"/>
              <w:tr2bl w:val="nil"/>
            </w:tcBorders>
            <w:vAlign w:val="center"/>
          </w:tcPr>
          <w:p w14:paraId="57258A15">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0.020 </w:t>
            </w:r>
          </w:p>
        </w:tc>
        <w:tc>
          <w:tcPr>
            <w:tcW w:w="1054" w:type="dxa"/>
            <w:tcBorders>
              <w:tl2br w:val="nil"/>
              <w:tr2bl w:val="nil"/>
            </w:tcBorders>
            <w:vAlign w:val="center"/>
          </w:tcPr>
          <w:p w14:paraId="036AD04B">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0.0479</w:t>
            </w:r>
          </w:p>
        </w:tc>
        <w:tc>
          <w:tcPr>
            <w:tcW w:w="1045" w:type="dxa"/>
            <w:tcBorders>
              <w:left w:val="single" w:color="000000" w:sz="4" w:space="0"/>
              <w:right w:val="single" w:color="000000" w:sz="4" w:space="0"/>
              <w:tl2br w:val="nil"/>
              <w:tr2bl w:val="nil"/>
            </w:tcBorders>
            <w:vAlign w:val="center"/>
          </w:tcPr>
          <w:p w14:paraId="2172E7BF">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1.05 </w:t>
            </w:r>
          </w:p>
        </w:tc>
        <w:tc>
          <w:tcPr>
            <w:tcW w:w="1045" w:type="dxa"/>
            <w:tcBorders>
              <w:left w:val="single" w:color="000000" w:sz="4" w:space="0"/>
              <w:right w:val="single" w:color="000000" w:sz="4" w:space="0"/>
              <w:tl2br w:val="nil"/>
              <w:tr2bl w:val="nil"/>
            </w:tcBorders>
            <w:vAlign w:val="center"/>
          </w:tcPr>
          <w:p w14:paraId="0A30DC14">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0.0716</w:t>
            </w:r>
          </w:p>
        </w:tc>
        <w:tc>
          <w:tcPr>
            <w:tcW w:w="1060" w:type="dxa"/>
            <w:tcBorders>
              <w:left w:val="single" w:color="000000" w:sz="4" w:space="0"/>
              <w:tl2br w:val="nil"/>
              <w:tr2bl w:val="nil"/>
            </w:tcBorders>
            <w:vAlign w:val="center"/>
          </w:tcPr>
          <w:p w14:paraId="26140A7A">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0.0608</w:t>
            </w:r>
          </w:p>
        </w:tc>
      </w:tr>
      <w:tr w14:paraId="1AAD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65" w:type="dxa"/>
            <w:vMerge w:val="continue"/>
            <w:tcBorders>
              <w:tl2br w:val="nil"/>
              <w:tr2bl w:val="nil"/>
            </w:tcBorders>
            <w:vAlign w:val="center"/>
          </w:tcPr>
          <w:p w14:paraId="165797CE">
            <w:pPr>
              <w:adjustRightInd w:val="0"/>
              <w:snapToGrid w:val="0"/>
              <w:spacing w:line="280" w:lineRule="exact"/>
              <w:jc w:val="center"/>
              <w:textAlignment w:val="baseline"/>
              <w:rPr>
                <w:rFonts w:ascii="Times New Roman" w:hAnsi="Times New Roman" w:cs="Times New Roman"/>
                <w:color w:val="auto"/>
                <w:kern w:val="0"/>
                <w:szCs w:val="21"/>
              </w:rPr>
            </w:pPr>
          </w:p>
        </w:tc>
        <w:tc>
          <w:tcPr>
            <w:tcW w:w="1082" w:type="dxa"/>
            <w:vMerge w:val="continue"/>
            <w:tcBorders>
              <w:tl2br w:val="nil"/>
              <w:tr2bl w:val="nil"/>
            </w:tcBorders>
            <w:vAlign w:val="center"/>
          </w:tcPr>
          <w:p w14:paraId="0A2D39F2">
            <w:pPr>
              <w:adjustRightInd w:val="0"/>
              <w:snapToGrid w:val="0"/>
              <w:spacing w:line="280" w:lineRule="exact"/>
              <w:jc w:val="center"/>
              <w:textAlignment w:val="baseline"/>
              <w:rPr>
                <w:rFonts w:ascii="Times New Roman" w:hAnsi="Times New Roman" w:cs="Times New Roman"/>
                <w:color w:val="auto"/>
                <w:kern w:val="0"/>
                <w:szCs w:val="21"/>
              </w:rPr>
            </w:pPr>
          </w:p>
        </w:tc>
        <w:tc>
          <w:tcPr>
            <w:tcW w:w="1519" w:type="dxa"/>
            <w:vMerge w:val="continue"/>
            <w:tcBorders>
              <w:tl2br w:val="nil"/>
              <w:tr2bl w:val="nil"/>
            </w:tcBorders>
            <w:vAlign w:val="center"/>
          </w:tcPr>
          <w:p w14:paraId="1B1200E5">
            <w:pPr>
              <w:adjustRightInd w:val="0"/>
              <w:snapToGrid w:val="0"/>
              <w:spacing w:line="280" w:lineRule="exact"/>
              <w:jc w:val="center"/>
              <w:textAlignment w:val="baseline"/>
              <w:rPr>
                <w:rFonts w:ascii="Times New Roman" w:hAnsi="Times New Roman" w:cs="Times New Roman"/>
                <w:color w:val="auto"/>
                <w:kern w:val="0"/>
                <w:szCs w:val="21"/>
              </w:rPr>
            </w:pPr>
          </w:p>
        </w:tc>
        <w:tc>
          <w:tcPr>
            <w:tcW w:w="902" w:type="dxa"/>
            <w:tcBorders>
              <w:tl2br w:val="nil"/>
              <w:tr2bl w:val="nil"/>
            </w:tcBorders>
            <w:vAlign w:val="center"/>
          </w:tcPr>
          <w:p w14:paraId="33824258">
            <w:pPr>
              <w:adjustRightInd w:val="0"/>
              <w:snapToGrid w:val="0"/>
              <w:spacing w:line="280" w:lineRule="exact"/>
              <w:jc w:val="center"/>
              <w:textAlignment w:val="baseline"/>
              <w:rPr>
                <w:rFonts w:ascii="Times New Roman" w:hAnsi="Times New Roman" w:cs="Times New Roman"/>
                <w:color w:val="auto"/>
                <w:kern w:val="0"/>
                <w:szCs w:val="21"/>
              </w:rPr>
            </w:pPr>
            <w:r>
              <w:rPr>
                <w:rFonts w:hint="eastAsia" w:ascii="Times New Roman" w:hAnsi="Times New Roman" w:cs="Times New Roman"/>
                <w:color w:val="auto"/>
                <w:kern w:val="0"/>
                <w:szCs w:val="21"/>
              </w:rPr>
              <w:t>无组织</w:t>
            </w:r>
          </w:p>
        </w:tc>
        <w:tc>
          <w:tcPr>
            <w:tcW w:w="1045" w:type="dxa"/>
            <w:tcBorders>
              <w:tl2br w:val="nil"/>
              <w:tr2bl w:val="nil"/>
            </w:tcBorders>
            <w:vAlign w:val="center"/>
          </w:tcPr>
          <w:p w14:paraId="0CE1DE23">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tl2br w:val="nil"/>
              <w:tr2bl w:val="nil"/>
            </w:tcBorders>
            <w:vAlign w:val="center"/>
          </w:tcPr>
          <w:p w14:paraId="754EA31C">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0.011 </w:t>
            </w:r>
          </w:p>
        </w:tc>
        <w:tc>
          <w:tcPr>
            <w:tcW w:w="1054" w:type="dxa"/>
            <w:tcBorders>
              <w:tl2br w:val="nil"/>
              <w:tr2bl w:val="nil"/>
            </w:tcBorders>
            <w:vAlign w:val="center"/>
          </w:tcPr>
          <w:p w14:paraId="28E27E41">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0.0252</w:t>
            </w:r>
          </w:p>
        </w:tc>
        <w:tc>
          <w:tcPr>
            <w:tcW w:w="1045" w:type="dxa"/>
            <w:tcBorders>
              <w:tl2br w:val="nil"/>
              <w:tr2bl w:val="nil"/>
            </w:tcBorders>
            <w:vAlign w:val="center"/>
          </w:tcPr>
          <w:p w14:paraId="2A919521">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r>
              <w:rPr>
                <w:rFonts w:hint="eastAsia" w:ascii="Times New Roman" w:hAnsi="Times New Roman" w:cs="Times New Roman"/>
                <w:kern w:val="0"/>
                <w:szCs w:val="21"/>
                <w:lang w:val="en-US" w:eastAsia="zh-CN"/>
              </w:rPr>
              <w:t xml:space="preserve"> </w:t>
            </w:r>
          </w:p>
        </w:tc>
        <w:tc>
          <w:tcPr>
            <w:tcW w:w="1045" w:type="dxa"/>
            <w:tcBorders>
              <w:tl2br w:val="nil"/>
              <w:tr2bl w:val="nil"/>
            </w:tcBorders>
            <w:vAlign w:val="center"/>
          </w:tcPr>
          <w:p w14:paraId="463EBC9F">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0.011 </w:t>
            </w:r>
          </w:p>
        </w:tc>
        <w:tc>
          <w:tcPr>
            <w:tcW w:w="1054" w:type="dxa"/>
            <w:tcBorders>
              <w:tl2br w:val="nil"/>
              <w:tr2bl w:val="nil"/>
            </w:tcBorders>
            <w:vAlign w:val="center"/>
          </w:tcPr>
          <w:p w14:paraId="1887C98F">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0.0252</w:t>
            </w:r>
          </w:p>
        </w:tc>
        <w:tc>
          <w:tcPr>
            <w:tcW w:w="1045" w:type="dxa"/>
            <w:tcBorders>
              <w:left w:val="single" w:color="000000" w:sz="4" w:space="0"/>
              <w:right w:val="single" w:color="000000" w:sz="4" w:space="0"/>
              <w:tl2br w:val="nil"/>
              <w:tr2bl w:val="nil"/>
            </w:tcBorders>
            <w:vAlign w:val="center"/>
          </w:tcPr>
          <w:p w14:paraId="1E0B55C0">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left w:val="single" w:color="000000" w:sz="4" w:space="0"/>
              <w:right w:val="single" w:color="000000" w:sz="4" w:space="0"/>
              <w:tl2br w:val="nil"/>
              <w:tr2bl w:val="nil"/>
            </w:tcBorders>
            <w:vAlign w:val="center"/>
          </w:tcPr>
          <w:p w14:paraId="54744D15">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0.011</w:t>
            </w:r>
          </w:p>
        </w:tc>
        <w:tc>
          <w:tcPr>
            <w:tcW w:w="1060" w:type="dxa"/>
            <w:tcBorders>
              <w:left w:val="single" w:color="000000" w:sz="4" w:space="0"/>
              <w:tl2br w:val="nil"/>
              <w:tr2bl w:val="nil"/>
            </w:tcBorders>
            <w:vAlign w:val="center"/>
          </w:tcPr>
          <w:p w14:paraId="3798C10A">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0.0252</w:t>
            </w:r>
          </w:p>
        </w:tc>
      </w:tr>
      <w:tr w14:paraId="5465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2" w:hRule="atLeast"/>
          <w:jc w:val="center"/>
        </w:trPr>
        <w:tc>
          <w:tcPr>
            <w:tcW w:w="1065" w:type="dxa"/>
            <w:vMerge w:val="continue"/>
            <w:tcBorders>
              <w:tl2br w:val="nil"/>
              <w:tr2bl w:val="nil"/>
            </w:tcBorders>
            <w:vAlign w:val="center"/>
          </w:tcPr>
          <w:p w14:paraId="5121FF5F">
            <w:pPr>
              <w:adjustRightInd w:val="0"/>
              <w:snapToGrid w:val="0"/>
              <w:spacing w:line="280" w:lineRule="exact"/>
              <w:jc w:val="center"/>
              <w:textAlignment w:val="baseline"/>
              <w:rPr>
                <w:rFonts w:ascii="Times New Roman" w:hAnsi="Times New Roman" w:cs="Times New Roman"/>
                <w:color w:val="auto"/>
                <w:kern w:val="0"/>
                <w:szCs w:val="21"/>
              </w:rPr>
            </w:pPr>
          </w:p>
        </w:tc>
        <w:tc>
          <w:tcPr>
            <w:tcW w:w="1082" w:type="dxa"/>
            <w:vMerge w:val="continue"/>
            <w:tcBorders>
              <w:tl2br w:val="nil"/>
              <w:tr2bl w:val="nil"/>
            </w:tcBorders>
            <w:vAlign w:val="center"/>
          </w:tcPr>
          <w:p w14:paraId="73F581D5">
            <w:pPr>
              <w:adjustRightInd w:val="0"/>
              <w:snapToGrid w:val="0"/>
              <w:spacing w:line="280" w:lineRule="exact"/>
              <w:jc w:val="center"/>
              <w:textAlignment w:val="baseline"/>
              <w:rPr>
                <w:rFonts w:ascii="Times New Roman" w:hAnsi="Times New Roman" w:cs="Times New Roman"/>
                <w:color w:val="auto"/>
                <w:kern w:val="0"/>
                <w:szCs w:val="21"/>
              </w:rPr>
            </w:pPr>
          </w:p>
        </w:tc>
        <w:tc>
          <w:tcPr>
            <w:tcW w:w="1519" w:type="dxa"/>
            <w:vMerge w:val="restart"/>
            <w:tcBorders>
              <w:tl2br w:val="nil"/>
              <w:tr2bl w:val="nil"/>
            </w:tcBorders>
            <w:vAlign w:val="center"/>
          </w:tcPr>
          <w:p w14:paraId="0FCB063C">
            <w:pPr>
              <w:adjustRightInd w:val="0"/>
              <w:snapToGrid w:val="0"/>
              <w:spacing w:line="280" w:lineRule="exact"/>
              <w:jc w:val="center"/>
              <w:textAlignment w:val="baseline"/>
              <w:rPr>
                <w:rFonts w:ascii="Times New Roman" w:hAnsi="Times New Roman" w:cs="Times New Roman"/>
                <w:color w:val="auto"/>
                <w:kern w:val="0"/>
                <w:szCs w:val="21"/>
              </w:rPr>
            </w:pPr>
            <w:r>
              <w:rPr>
                <w:rFonts w:ascii="Times New Roman" w:hAnsi="Times New Roman" w:cs="Times New Roman"/>
                <w:color w:val="auto"/>
                <w:kern w:val="0"/>
                <w:szCs w:val="21"/>
              </w:rPr>
              <w:t>二甲苯</w:t>
            </w:r>
          </w:p>
        </w:tc>
        <w:tc>
          <w:tcPr>
            <w:tcW w:w="902" w:type="dxa"/>
            <w:tcBorders>
              <w:tl2br w:val="nil"/>
              <w:tr2bl w:val="nil"/>
            </w:tcBorders>
            <w:vAlign w:val="center"/>
          </w:tcPr>
          <w:p w14:paraId="2EB3F16B">
            <w:pPr>
              <w:adjustRightInd w:val="0"/>
              <w:snapToGrid w:val="0"/>
              <w:spacing w:line="280" w:lineRule="exact"/>
              <w:jc w:val="center"/>
              <w:textAlignment w:val="baseline"/>
              <w:rPr>
                <w:rFonts w:ascii="Times New Roman" w:hAnsi="Times New Roman" w:cs="Times New Roman"/>
                <w:color w:val="auto"/>
                <w:kern w:val="0"/>
                <w:szCs w:val="21"/>
              </w:rPr>
            </w:pPr>
            <w:r>
              <w:rPr>
                <w:rFonts w:hint="eastAsia" w:ascii="Times New Roman" w:hAnsi="Times New Roman" w:cs="Times New Roman"/>
                <w:color w:val="auto"/>
                <w:kern w:val="0"/>
                <w:szCs w:val="21"/>
              </w:rPr>
              <w:t>有组织</w:t>
            </w:r>
          </w:p>
        </w:tc>
        <w:tc>
          <w:tcPr>
            <w:tcW w:w="1045" w:type="dxa"/>
            <w:tcBorders>
              <w:tl2br w:val="nil"/>
              <w:tr2bl w:val="nil"/>
            </w:tcBorders>
            <w:vAlign w:val="center"/>
          </w:tcPr>
          <w:p w14:paraId="5124982D">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6.82 </w:t>
            </w:r>
          </w:p>
        </w:tc>
        <w:tc>
          <w:tcPr>
            <w:tcW w:w="1045" w:type="dxa"/>
            <w:tcBorders>
              <w:tl2br w:val="nil"/>
              <w:tr2bl w:val="nil"/>
            </w:tcBorders>
            <w:vAlign w:val="center"/>
          </w:tcPr>
          <w:p w14:paraId="121ADD5E">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0.443 </w:t>
            </w:r>
          </w:p>
        </w:tc>
        <w:tc>
          <w:tcPr>
            <w:tcW w:w="1054" w:type="dxa"/>
            <w:tcBorders>
              <w:tl2br w:val="nil"/>
              <w:tr2bl w:val="nil"/>
            </w:tcBorders>
            <w:vAlign w:val="center"/>
          </w:tcPr>
          <w:p w14:paraId="1C5F6C17">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1.064</w:t>
            </w:r>
          </w:p>
        </w:tc>
        <w:tc>
          <w:tcPr>
            <w:tcW w:w="1045" w:type="dxa"/>
            <w:tcBorders>
              <w:tl2br w:val="nil"/>
              <w:tr2bl w:val="nil"/>
            </w:tcBorders>
            <w:vAlign w:val="center"/>
          </w:tcPr>
          <w:p w14:paraId="0B8D8857">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0.68 </w:t>
            </w:r>
          </w:p>
        </w:tc>
        <w:tc>
          <w:tcPr>
            <w:tcW w:w="1045" w:type="dxa"/>
            <w:tcBorders>
              <w:tl2br w:val="nil"/>
              <w:tr2bl w:val="nil"/>
            </w:tcBorders>
            <w:vAlign w:val="center"/>
          </w:tcPr>
          <w:p w14:paraId="2EB33503">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0.044 </w:t>
            </w:r>
          </w:p>
        </w:tc>
        <w:tc>
          <w:tcPr>
            <w:tcW w:w="1054" w:type="dxa"/>
            <w:tcBorders>
              <w:tl2br w:val="nil"/>
              <w:tr2bl w:val="nil"/>
            </w:tcBorders>
            <w:vAlign w:val="center"/>
          </w:tcPr>
          <w:p w14:paraId="2F29E9B9">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0.1064</w:t>
            </w:r>
          </w:p>
        </w:tc>
        <w:tc>
          <w:tcPr>
            <w:tcW w:w="1045" w:type="dxa"/>
            <w:tcBorders>
              <w:left w:val="single" w:color="000000" w:sz="4" w:space="0"/>
              <w:right w:val="single" w:color="000000" w:sz="4" w:space="0"/>
              <w:tl2br w:val="nil"/>
              <w:tr2bl w:val="nil"/>
            </w:tcBorders>
            <w:vAlign w:val="center"/>
          </w:tcPr>
          <w:p w14:paraId="281E4985">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2.34 </w:t>
            </w:r>
          </w:p>
        </w:tc>
        <w:tc>
          <w:tcPr>
            <w:tcW w:w="1045" w:type="dxa"/>
            <w:tcBorders>
              <w:left w:val="single" w:color="000000" w:sz="4" w:space="0"/>
              <w:right w:val="single" w:color="000000" w:sz="4" w:space="0"/>
              <w:tl2br w:val="nil"/>
              <w:tr2bl w:val="nil"/>
            </w:tcBorders>
            <w:vAlign w:val="center"/>
          </w:tcPr>
          <w:p w14:paraId="75107D4E">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0.1588</w:t>
            </w:r>
          </w:p>
        </w:tc>
        <w:tc>
          <w:tcPr>
            <w:tcW w:w="1060" w:type="dxa"/>
            <w:tcBorders>
              <w:left w:val="single" w:color="000000" w:sz="4" w:space="0"/>
              <w:tl2br w:val="nil"/>
              <w:tr2bl w:val="nil"/>
            </w:tcBorders>
            <w:vAlign w:val="center"/>
          </w:tcPr>
          <w:p w14:paraId="57FEABD7">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0.1351</w:t>
            </w:r>
          </w:p>
        </w:tc>
      </w:tr>
      <w:tr w14:paraId="270C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65" w:type="dxa"/>
            <w:vMerge w:val="continue"/>
            <w:tcBorders>
              <w:tl2br w:val="nil"/>
              <w:tr2bl w:val="nil"/>
            </w:tcBorders>
            <w:vAlign w:val="center"/>
          </w:tcPr>
          <w:p w14:paraId="055ADE50">
            <w:pPr>
              <w:adjustRightInd w:val="0"/>
              <w:snapToGrid w:val="0"/>
              <w:spacing w:line="280" w:lineRule="exact"/>
              <w:jc w:val="center"/>
              <w:textAlignment w:val="baseline"/>
              <w:rPr>
                <w:rFonts w:ascii="Times New Roman" w:hAnsi="Times New Roman" w:cs="Times New Roman"/>
                <w:color w:val="auto"/>
                <w:kern w:val="0"/>
                <w:szCs w:val="21"/>
              </w:rPr>
            </w:pPr>
          </w:p>
        </w:tc>
        <w:tc>
          <w:tcPr>
            <w:tcW w:w="1082" w:type="dxa"/>
            <w:vMerge w:val="continue"/>
            <w:tcBorders>
              <w:tl2br w:val="nil"/>
              <w:tr2bl w:val="nil"/>
            </w:tcBorders>
            <w:vAlign w:val="center"/>
          </w:tcPr>
          <w:p w14:paraId="2FE7957F">
            <w:pPr>
              <w:adjustRightInd w:val="0"/>
              <w:snapToGrid w:val="0"/>
              <w:spacing w:line="280" w:lineRule="exact"/>
              <w:jc w:val="center"/>
              <w:textAlignment w:val="baseline"/>
              <w:rPr>
                <w:rFonts w:ascii="Times New Roman" w:hAnsi="Times New Roman" w:cs="Times New Roman"/>
                <w:color w:val="auto"/>
                <w:kern w:val="0"/>
                <w:szCs w:val="21"/>
              </w:rPr>
            </w:pPr>
          </w:p>
        </w:tc>
        <w:tc>
          <w:tcPr>
            <w:tcW w:w="1519" w:type="dxa"/>
            <w:vMerge w:val="continue"/>
            <w:tcBorders>
              <w:tl2br w:val="nil"/>
              <w:tr2bl w:val="nil"/>
            </w:tcBorders>
            <w:vAlign w:val="center"/>
          </w:tcPr>
          <w:p w14:paraId="48BCE09D">
            <w:pPr>
              <w:adjustRightInd w:val="0"/>
              <w:snapToGrid w:val="0"/>
              <w:spacing w:line="280" w:lineRule="exact"/>
              <w:jc w:val="center"/>
              <w:textAlignment w:val="baseline"/>
              <w:rPr>
                <w:rFonts w:ascii="Times New Roman" w:hAnsi="Times New Roman" w:cs="Times New Roman"/>
                <w:color w:val="auto"/>
                <w:kern w:val="0"/>
                <w:szCs w:val="21"/>
              </w:rPr>
            </w:pPr>
          </w:p>
        </w:tc>
        <w:tc>
          <w:tcPr>
            <w:tcW w:w="902" w:type="dxa"/>
            <w:tcBorders>
              <w:tl2br w:val="nil"/>
              <w:tr2bl w:val="nil"/>
            </w:tcBorders>
            <w:vAlign w:val="center"/>
          </w:tcPr>
          <w:p w14:paraId="5C5C6289">
            <w:pPr>
              <w:adjustRightInd w:val="0"/>
              <w:snapToGrid w:val="0"/>
              <w:spacing w:line="280" w:lineRule="exact"/>
              <w:jc w:val="center"/>
              <w:textAlignment w:val="baseline"/>
              <w:rPr>
                <w:rFonts w:ascii="Times New Roman" w:hAnsi="Times New Roman" w:cs="Times New Roman"/>
                <w:color w:val="auto"/>
                <w:kern w:val="0"/>
                <w:szCs w:val="21"/>
              </w:rPr>
            </w:pPr>
            <w:r>
              <w:rPr>
                <w:rFonts w:hint="eastAsia" w:ascii="Times New Roman" w:hAnsi="Times New Roman" w:cs="Times New Roman"/>
                <w:color w:val="auto"/>
                <w:kern w:val="0"/>
                <w:szCs w:val="21"/>
              </w:rPr>
              <w:t>无组织</w:t>
            </w:r>
          </w:p>
        </w:tc>
        <w:tc>
          <w:tcPr>
            <w:tcW w:w="1045" w:type="dxa"/>
            <w:tcBorders>
              <w:tl2br w:val="nil"/>
              <w:tr2bl w:val="nil"/>
            </w:tcBorders>
            <w:vAlign w:val="center"/>
          </w:tcPr>
          <w:p w14:paraId="4E929550">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tl2br w:val="nil"/>
              <w:tr2bl w:val="nil"/>
            </w:tcBorders>
            <w:vAlign w:val="center"/>
          </w:tcPr>
          <w:p w14:paraId="16AD0708">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0.023 </w:t>
            </w:r>
          </w:p>
        </w:tc>
        <w:tc>
          <w:tcPr>
            <w:tcW w:w="1054" w:type="dxa"/>
            <w:tcBorders>
              <w:tl2br w:val="nil"/>
              <w:tr2bl w:val="nil"/>
            </w:tcBorders>
            <w:vAlign w:val="center"/>
          </w:tcPr>
          <w:p w14:paraId="1BF3E92E">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0.056</w:t>
            </w:r>
          </w:p>
        </w:tc>
        <w:tc>
          <w:tcPr>
            <w:tcW w:w="1045" w:type="dxa"/>
            <w:tcBorders>
              <w:tl2br w:val="nil"/>
              <w:tr2bl w:val="nil"/>
            </w:tcBorders>
            <w:vAlign w:val="center"/>
          </w:tcPr>
          <w:p w14:paraId="0D8CB3EA">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tl2br w:val="nil"/>
              <w:tr2bl w:val="nil"/>
            </w:tcBorders>
            <w:vAlign w:val="center"/>
          </w:tcPr>
          <w:p w14:paraId="04528EA5">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0.023 </w:t>
            </w:r>
          </w:p>
        </w:tc>
        <w:tc>
          <w:tcPr>
            <w:tcW w:w="1054" w:type="dxa"/>
            <w:tcBorders>
              <w:tl2br w:val="nil"/>
              <w:tr2bl w:val="nil"/>
            </w:tcBorders>
            <w:vAlign w:val="center"/>
          </w:tcPr>
          <w:p w14:paraId="1BCC2882">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0.056</w:t>
            </w:r>
          </w:p>
        </w:tc>
        <w:tc>
          <w:tcPr>
            <w:tcW w:w="1045" w:type="dxa"/>
            <w:tcBorders>
              <w:left w:val="single" w:color="000000" w:sz="4" w:space="0"/>
              <w:right w:val="single" w:color="000000" w:sz="4" w:space="0"/>
              <w:tl2br w:val="nil"/>
              <w:tr2bl w:val="nil"/>
            </w:tcBorders>
            <w:vAlign w:val="center"/>
          </w:tcPr>
          <w:p w14:paraId="782BEB64">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left w:val="single" w:color="000000" w:sz="4" w:space="0"/>
              <w:right w:val="single" w:color="000000" w:sz="4" w:space="0"/>
              <w:tl2br w:val="nil"/>
              <w:tr2bl w:val="nil"/>
            </w:tcBorders>
            <w:vAlign w:val="center"/>
          </w:tcPr>
          <w:p w14:paraId="74EDF33D">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0.023</w:t>
            </w:r>
          </w:p>
        </w:tc>
        <w:tc>
          <w:tcPr>
            <w:tcW w:w="1060" w:type="dxa"/>
            <w:tcBorders>
              <w:left w:val="single" w:color="000000" w:sz="4" w:space="0"/>
              <w:tl2br w:val="nil"/>
              <w:tr2bl w:val="nil"/>
            </w:tcBorders>
            <w:vAlign w:val="center"/>
          </w:tcPr>
          <w:p w14:paraId="5A27ED04">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0.056</w:t>
            </w:r>
          </w:p>
        </w:tc>
      </w:tr>
      <w:tr w14:paraId="2745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1065" w:type="dxa"/>
            <w:vMerge w:val="continue"/>
            <w:tcBorders>
              <w:tl2br w:val="nil"/>
              <w:tr2bl w:val="nil"/>
            </w:tcBorders>
            <w:vAlign w:val="center"/>
          </w:tcPr>
          <w:p w14:paraId="6DFC3F96">
            <w:pPr>
              <w:adjustRightInd w:val="0"/>
              <w:snapToGrid w:val="0"/>
              <w:spacing w:line="280" w:lineRule="exact"/>
              <w:jc w:val="center"/>
              <w:textAlignment w:val="baseline"/>
              <w:rPr>
                <w:rFonts w:ascii="Times New Roman" w:hAnsi="Times New Roman" w:cs="Times New Roman"/>
                <w:color w:val="auto"/>
                <w:kern w:val="0"/>
                <w:szCs w:val="21"/>
              </w:rPr>
            </w:pPr>
          </w:p>
        </w:tc>
        <w:tc>
          <w:tcPr>
            <w:tcW w:w="1082" w:type="dxa"/>
            <w:vMerge w:val="continue"/>
            <w:tcBorders>
              <w:tl2br w:val="nil"/>
              <w:tr2bl w:val="nil"/>
            </w:tcBorders>
            <w:vAlign w:val="center"/>
          </w:tcPr>
          <w:p w14:paraId="5FCD86D5">
            <w:pPr>
              <w:adjustRightInd w:val="0"/>
              <w:snapToGrid w:val="0"/>
              <w:spacing w:line="280" w:lineRule="exact"/>
              <w:jc w:val="center"/>
              <w:textAlignment w:val="baseline"/>
              <w:rPr>
                <w:rFonts w:ascii="Times New Roman" w:hAnsi="Times New Roman" w:cs="Times New Roman"/>
                <w:color w:val="auto"/>
                <w:kern w:val="0"/>
                <w:szCs w:val="21"/>
              </w:rPr>
            </w:pPr>
          </w:p>
        </w:tc>
        <w:tc>
          <w:tcPr>
            <w:tcW w:w="1519" w:type="dxa"/>
            <w:vMerge w:val="restart"/>
            <w:tcBorders>
              <w:tl2br w:val="nil"/>
              <w:tr2bl w:val="nil"/>
            </w:tcBorders>
            <w:vAlign w:val="center"/>
          </w:tcPr>
          <w:p w14:paraId="2185F0B2">
            <w:pPr>
              <w:adjustRightInd w:val="0"/>
              <w:snapToGrid w:val="0"/>
              <w:spacing w:line="280" w:lineRule="exact"/>
              <w:jc w:val="center"/>
              <w:textAlignment w:val="baseline"/>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非甲烷总烃</w:t>
            </w:r>
          </w:p>
        </w:tc>
        <w:tc>
          <w:tcPr>
            <w:tcW w:w="902" w:type="dxa"/>
            <w:tcBorders>
              <w:tl2br w:val="nil"/>
              <w:tr2bl w:val="nil"/>
            </w:tcBorders>
            <w:vAlign w:val="center"/>
          </w:tcPr>
          <w:p w14:paraId="685E035B">
            <w:pPr>
              <w:adjustRightInd w:val="0"/>
              <w:snapToGrid w:val="0"/>
              <w:spacing w:line="280" w:lineRule="exact"/>
              <w:jc w:val="center"/>
              <w:textAlignment w:val="baseline"/>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rPr>
              <w:t>有组织</w:t>
            </w:r>
          </w:p>
        </w:tc>
        <w:tc>
          <w:tcPr>
            <w:tcW w:w="1045" w:type="dxa"/>
            <w:tcBorders>
              <w:tl2br w:val="nil"/>
              <w:tr2bl w:val="nil"/>
            </w:tcBorders>
            <w:vAlign w:val="center"/>
          </w:tcPr>
          <w:p w14:paraId="6A9080C2">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57.91 </w:t>
            </w:r>
          </w:p>
        </w:tc>
        <w:tc>
          <w:tcPr>
            <w:tcW w:w="1045" w:type="dxa"/>
            <w:tcBorders>
              <w:tl2br w:val="nil"/>
              <w:tr2bl w:val="nil"/>
            </w:tcBorders>
            <w:vAlign w:val="center"/>
          </w:tcPr>
          <w:p w14:paraId="7C9A6694">
            <w:pPr>
              <w:adjustRightInd w:val="0"/>
              <w:snapToGrid w:val="0"/>
              <w:spacing w:line="280" w:lineRule="exact"/>
              <w:jc w:val="center"/>
              <w:textAlignment w:val="baseline"/>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3.764</w:t>
            </w:r>
          </w:p>
        </w:tc>
        <w:tc>
          <w:tcPr>
            <w:tcW w:w="1054" w:type="dxa"/>
            <w:tcBorders>
              <w:tl2br w:val="nil"/>
              <w:tr2bl w:val="nil"/>
            </w:tcBorders>
            <w:vAlign w:val="center"/>
          </w:tcPr>
          <w:p w14:paraId="705955AE">
            <w:pPr>
              <w:adjustRightInd w:val="0"/>
              <w:snapToGrid w:val="0"/>
              <w:spacing w:line="280" w:lineRule="exact"/>
              <w:jc w:val="center"/>
              <w:textAlignment w:val="baseline"/>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9.0328</w:t>
            </w:r>
          </w:p>
        </w:tc>
        <w:tc>
          <w:tcPr>
            <w:tcW w:w="1045" w:type="dxa"/>
            <w:tcBorders>
              <w:tl2br w:val="nil"/>
              <w:tr2bl w:val="nil"/>
            </w:tcBorders>
            <w:vAlign w:val="center"/>
          </w:tcPr>
          <w:p w14:paraId="547C419A">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5.78 </w:t>
            </w:r>
          </w:p>
        </w:tc>
        <w:tc>
          <w:tcPr>
            <w:tcW w:w="1045" w:type="dxa"/>
            <w:tcBorders>
              <w:tl2br w:val="nil"/>
              <w:tr2bl w:val="nil"/>
            </w:tcBorders>
            <w:vAlign w:val="center"/>
          </w:tcPr>
          <w:p w14:paraId="47C3190E">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0.376 </w:t>
            </w:r>
          </w:p>
        </w:tc>
        <w:tc>
          <w:tcPr>
            <w:tcW w:w="1054" w:type="dxa"/>
            <w:tcBorders>
              <w:tl2br w:val="nil"/>
              <w:tr2bl w:val="nil"/>
            </w:tcBorders>
            <w:vAlign w:val="center"/>
          </w:tcPr>
          <w:p w14:paraId="701D3E0A">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0.9033</w:t>
            </w:r>
          </w:p>
        </w:tc>
        <w:tc>
          <w:tcPr>
            <w:tcW w:w="1045" w:type="dxa"/>
            <w:tcBorders>
              <w:left w:val="single" w:color="000000" w:sz="4" w:space="0"/>
              <w:right w:val="single" w:color="000000" w:sz="4" w:space="0"/>
              <w:tl2br w:val="nil"/>
              <w:tr2bl w:val="nil"/>
            </w:tcBorders>
            <w:vAlign w:val="center"/>
          </w:tcPr>
          <w:p w14:paraId="5B25A2ED">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 xml:space="preserve">19.88 </w:t>
            </w:r>
          </w:p>
        </w:tc>
        <w:tc>
          <w:tcPr>
            <w:tcW w:w="1045" w:type="dxa"/>
            <w:tcBorders>
              <w:left w:val="single" w:color="000000" w:sz="4" w:space="0"/>
              <w:right w:val="single" w:color="000000" w:sz="4" w:space="0"/>
              <w:tl2br w:val="nil"/>
              <w:tr2bl w:val="nil"/>
            </w:tcBorders>
            <w:vAlign w:val="center"/>
          </w:tcPr>
          <w:p w14:paraId="7BCCE787">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1.352</w:t>
            </w:r>
          </w:p>
        </w:tc>
        <w:tc>
          <w:tcPr>
            <w:tcW w:w="1060" w:type="dxa"/>
            <w:tcBorders>
              <w:left w:val="single" w:color="000000" w:sz="4" w:space="0"/>
              <w:tl2br w:val="nil"/>
              <w:tr2bl w:val="nil"/>
            </w:tcBorders>
            <w:vAlign w:val="center"/>
          </w:tcPr>
          <w:p w14:paraId="1C3D301D">
            <w:pPr>
              <w:adjustRightInd w:val="0"/>
              <w:snapToGrid w:val="0"/>
              <w:spacing w:line="280" w:lineRule="exact"/>
              <w:jc w:val="center"/>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1.1473</w:t>
            </w:r>
          </w:p>
        </w:tc>
      </w:tr>
      <w:tr w14:paraId="2E50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65" w:type="dxa"/>
            <w:vMerge w:val="continue"/>
            <w:tcBorders>
              <w:tl2br w:val="nil"/>
              <w:tr2bl w:val="nil"/>
            </w:tcBorders>
            <w:vAlign w:val="center"/>
          </w:tcPr>
          <w:p w14:paraId="5A9DE772">
            <w:pPr>
              <w:adjustRightInd w:val="0"/>
              <w:snapToGrid w:val="0"/>
              <w:spacing w:line="280" w:lineRule="exact"/>
              <w:jc w:val="center"/>
              <w:textAlignment w:val="baseline"/>
              <w:rPr>
                <w:rFonts w:ascii="Times New Roman" w:hAnsi="Times New Roman" w:cs="Times New Roman"/>
                <w:color w:val="auto"/>
                <w:kern w:val="0"/>
                <w:szCs w:val="21"/>
              </w:rPr>
            </w:pPr>
          </w:p>
        </w:tc>
        <w:tc>
          <w:tcPr>
            <w:tcW w:w="1082" w:type="dxa"/>
            <w:vMerge w:val="continue"/>
            <w:tcBorders>
              <w:tl2br w:val="nil"/>
              <w:tr2bl w:val="nil"/>
            </w:tcBorders>
            <w:vAlign w:val="center"/>
          </w:tcPr>
          <w:p w14:paraId="6D797675">
            <w:pPr>
              <w:adjustRightInd w:val="0"/>
              <w:snapToGrid w:val="0"/>
              <w:spacing w:line="280" w:lineRule="exact"/>
              <w:jc w:val="center"/>
              <w:textAlignment w:val="baseline"/>
              <w:rPr>
                <w:rFonts w:ascii="Times New Roman" w:hAnsi="Times New Roman" w:cs="Times New Roman"/>
                <w:color w:val="auto"/>
                <w:kern w:val="0"/>
                <w:szCs w:val="21"/>
              </w:rPr>
            </w:pPr>
          </w:p>
        </w:tc>
        <w:tc>
          <w:tcPr>
            <w:tcW w:w="1519" w:type="dxa"/>
            <w:vMerge w:val="continue"/>
            <w:tcBorders>
              <w:tl2br w:val="nil"/>
              <w:tr2bl w:val="nil"/>
            </w:tcBorders>
            <w:vAlign w:val="center"/>
          </w:tcPr>
          <w:p w14:paraId="73F584F3">
            <w:pPr>
              <w:adjustRightInd w:val="0"/>
              <w:snapToGrid w:val="0"/>
              <w:spacing w:line="280" w:lineRule="exact"/>
              <w:jc w:val="center"/>
              <w:textAlignment w:val="baseline"/>
              <w:rPr>
                <w:rFonts w:ascii="Times New Roman" w:hAnsi="Times New Roman" w:cs="Times New Roman"/>
                <w:color w:val="auto"/>
                <w:kern w:val="0"/>
                <w:szCs w:val="21"/>
                <w:highlight w:val="none"/>
              </w:rPr>
            </w:pPr>
          </w:p>
        </w:tc>
        <w:tc>
          <w:tcPr>
            <w:tcW w:w="902" w:type="dxa"/>
            <w:tcBorders>
              <w:tl2br w:val="nil"/>
              <w:tr2bl w:val="nil"/>
            </w:tcBorders>
            <w:vAlign w:val="center"/>
          </w:tcPr>
          <w:p w14:paraId="27B1DFE1">
            <w:pPr>
              <w:adjustRightInd w:val="0"/>
              <w:snapToGrid w:val="0"/>
              <w:spacing w:line="280" w:lineRule="exact"/>
              <w:jc w:val="center"/>
              <w:textAlignment w:val="baseline"/>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rPr>
              <w:t>无组织</w:t>
            </w:r>
          </w:p>
        </w:tc>
        <w:tc>
          <w:tcPr>
            <w:tcW w:w="1045" w:type="dxa"/>
            <w:tcBorders>
              <w:tl2br w:val="nil"/>
              <w:tr2bl w:val="nil"/>
            </w:tcBorders>
            <w:vAlign w:val="center"/>
          </w:tcPr>
          <w:p w14:paraId="25C1162A">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tl2br w:val="nil"/>
              <w:tr2bl w:val="nil"/>
            </w:tcBorders>
            <w:vAlign w:val="center"/>
          </w:tcPr>
          <w:p w14:paraId="7FA34ED5">
            <w:pPr>
              <w:adjustRightInd w:val="0"/>
              <w:snapToGrid w:val="0"/>
              <w:spacing w:line="280" w:lineRule="exact"/>
              <w:jc w:val="center"/>
              <w:textAlignment w:val="baseline"/>
              <w:rPr>
                <w:rFonts w:hint="eastAsia"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 xml:space="preserve">0.205 </w:t>
            </w:r>
          </w:p>
        </w:tc>
        <w:tc>
          <w:tcPr>
            <w:tcW w:w="1054" w:type="dxa"/>
            <w:tcBorders>
              <w:tl2br w:val="nil"/>
              <w:tr2bl w:val="nil"/>
            </w:tcBorders>
            <w:vAlign w:val="center"/>
          </w:tcPr>
          <w:p w14:paraId="1A9FE660">
            <w:pPr>
              <w:adjustRightInd w:val="0"/>
              <w:snapToGrid w:val="0"/>
              <w:spacing w:line="280" w:lineRule="exact"/>
              <w:jc w:val="center"/>
              <w:textAlignment w:val="baseline"/>
              <w:rPr>
                <w:rFonts w:hint="default"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0.4925</w:t>
            </w:r>
          </w:p>
        </w:tc>
        <w:tc>
          <w:tcPr>
            <w:tcW w:w="1045" w:type="dxa"/>
            <w:tcBorders>
              <w:tl2br w:val="nil"/>
              <w:tr2bl w:val="nil"/>
            </w:tcBorders>
            <w:vAlign w:val="center"/>
          </w:tcPr>
          <w:p w14:paraId="1E59B7F9">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tl2br w:val="nil"/>
              <w:tr2bl w:val="nil"/>
            </w:tcBorders>
            <w:vAlign w:val="center"/>
          </w:tcPr>
          <w:p w14:paraId="3C495767">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highlight w:val="none"/>
                <w:lang w:val="en-US" w:eastAsia="zh-CN"/>
              </w:rPr>
              <w:t xml:space="preserve">0.205 </w:t>
            </w:r>
          </w:p>
        </w:tc>
        <w:tc>
          <w:tcPr>
            <w:tcW w:w="1054" w:type="dxa"/>
            <w:tcBorders>
              <w:tl2br w:val="nil"/>
              <w:tr2bl w:val="nil"/>
            </w:tcBorders>
            <w:vAlign w:val="center"/>
          </w:tcPr>
          <w:p w14:paraId="7434DA6A">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highlight w:val="none"/>
                <w:lang w:val="en-US" w:eastAsia="zh-CN"/>
              </w:rPr>
              <w:t>0.4925</w:t>
            </w:r>
          </w:p>
        </w:tc>
        <w:tc>
          <w:tcPr>
            <w:tcW w:w="1045" w:type="dxa"/>
            <w:tcBorders>
              <w:left w:val="single" w:color="000000" w:sz="4" w:space="0"/>
              <w:right w:val="single" w:color="000000" w:sz="4" w:space="0"/>
              <w:tl2br w:val="nil"/>
              <w:tr2bl w:val="nil"/>
            </w:tcBorders>
            <w:vAlign w:val="center"/>
          </w:tcPr>
          <w:p w14:paraId="1530B311">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rPr>
              <w:t>/</w:t>
            </w:r>
          </w:p>
        </w:tc>
        <w:tc>
          <w:tcPr>
            <w:tcW w:w="1045" w:type="dxa"/>
            <w:tcBorders>
              <w:left w:val="single" w:color="000000" w:sz="4" w:space="0"/>
              <w:right w:val="single" w:color="000000" w:sz="4" w:space="0"/>
              <w:tl2br w:val="nil"/>
              <w:tr2bl w:val="nil"/>
            </w:tcBorders>
            <w:vAlign w:val="center"/>
          </w:tcPr>
          <w:p w14:paraId="5FF6992F">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highlight w:val="none"/>
                <w:lang w:val="en-US" w:eastAsia="zh-CN"/>
              </w:rPr>
              <w:t xml:space="preserve">0.205 </w:t>
            </w:r>
          </w:p>
        </w:tc>
        <w:tc>
          <w:tcPr>
            <w:tcW w:w="1060" w:type="dxa"/>
            <w:tcBorders>
              <w:left w:val="single" w:color="000000" w:sz="4" w:space="0"/>
              <w:tl2br w:val="nil"/>
              <w:tr2bl w:val="nil"/>
            </w:tcBorders>
            <w:vAlign w:val="center"/>
          </w:tcPr>
          <w:p w14:paraId="724C8829">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highlight w:val="none"/>
                <w:lang w:val="en-US" w:eastAsia="zh-CN"/>
              </w:rPr>
              <w:t>0.4925</w:t>
            </w:r>
          </w:p>
        </w:tc>
      </w:tr>
    </w:tbl>
    <w:p w14:paraId="7DAE97F3">
      <w:pPr>
        <w:pStyle w:val="83"/>
        <w:jc w:val="center"/>
        <w:rPr>
          <w:rFonts w:ascii="Times New Roman" w:hAnsi="Times New Roman" w:eastAsia="宋体" w:cs="Times New Roman"/>
          <w:b/>
          <w:bCs/>
        </w:rPr>
        <w:sectPr>
          <w:headerReference r:id="rId9" w:type="default"/>
          <w:pgSz w:w="16838" w:h="11906" w:orient="landscape"/>
          <w:pgMar w:top="1800" w:right="1440" w:bottom="1800" w:left="1440" w:header="851" w:footer="992" w:gutter="0"/>
          <w:pgNumType w:fmt="decimal"/>
          <w:cols w:space="425" w:num="1"/>
          <w:docGrid w:type="lines" w:linePitch="312" w:charSpace="0"/>
        </w:sectPr>
      </w:pPr>
    </w:p>
    <w:p w14:paraId="65700492">
      <w:pPr>
        <w:adjustRightInd w:val="0"/>
        <w:snapToGrid w:val="0"/>
        <w:spacing w:line="360" w:lineRule="auto"/>
        <w:ind w:firstLine="480"/>
        <w:rPr>
          <w:rFonts w:ascii="Times New Roman" w:hAnsi="Times New Roman"/>
          <w:sz w:val="24"/>
        </w:rPr>
      </w:pPr>
      <w:r>
        <w:rPr>
          <w:rFonts w:ascii="Times New Roman" w:hAnsi="Times New Roman"/>
          <w:sz w:val="24"/>
        </w:rPr>
        <w:t>由上</w:t>
      </w:r>
      <w:r>
        <w:rPr>
          <w:rFonts w:hint="eastAsia" w:ascii="Times New Roman" w:hAnsi="Times New Roman"/>
          <w:sz w:val="24"/>
        </w:rPr>
        <w:t>表</w:t>
      </w:r>
      <w:r>
        <w:rPr>
          <w:rFonts w:ascii="Times New Roman" w:hAnsi="Times New Roman"/>
          <w:sz w:val="24"/>
        </w:rPr>
        <w:t>可知</w:t>
      </w:r>
      <w:r>
        <w:rPr>
          <w:rFonts w:hint="eastAsia" w:ascii="Times New Roman" w:hAnsi="Times New Roman"/>
          <w:sz w:val="24"/>
        </w:rPr>
        <w:t>：</w:t>
      </w:r>
    </w:p>
    <w:p w14:paraId="795494FA">
      <w:pPr>
        <w:adjustRightInd w:val="0"/>
        <w:snapToGrid w:val="0"/>
        <w:spacing w:line="360" w:lineRule="auto"/>
        <w:ind w:firstLine="480"/>
        <w:rPr>
          <w:rFonts w:ascii="Times New Roman" w:hAnsi="Times New Roman"/>
          <w:color w:val="auto"/>
          <w:sz w:val="24"/>
          <w:highlight w:val="yellow"/>
        </w:rPr>
      </w:pPr>
      <w:r>
        <w:rPr>
          <w:rFonts w:hint="eastAsia" w:ascii="Times New Roman" w:hAnsi="Times New Roman"/>
          <w:color w:val="auto"/>
          <w:sz w:val="24"/>
        </w:rPr>
        <w:t>本</w:t>
      </w:r>
      <w:r>
        <w:rPr>
          <w:rFonts w:ascii="Times New Roman" w:hAnsi="Times New Roman"/>
          <w:color w:val="auto"/>
          <w:sz w:val="24"/>
        </w:rPr>
        <w:t>项目拼板</w:t>
      </w:r>
      <w:r>
        <w:rPr>
          <w:rFonts w:hint="eastAsia" w:ascii="Times New Roman" w:hAnsi="Times New Roman"/>
          <w:color w:val="auto"/>
          <w:sz w:val="24"/>
        </w:rPr>
        <w:t>冷压、封边、热压</w:t>
      </w:r>
      <w:r>
        <w:rPr>
          <w:rFonts w:ascii="Times New Roman" w:hAnsi="Times New Roman"/>
          <w:color w:val="auto"/>
          <w:sz w:val="24"/>
        </w:rPr>
        <w:t>、擦色过程产生的废气经</w:t>
      </w:r>
      <w:r>
        <w:rPr>
          <w:rFonts w:hint="eastAsia" w:ascii="Times New Roman" w:hAnsi="Times New Roman"/>
          <w:color w:val="auto"/>
          <w:sz w:val="24"/>
        </w:rPr>
        <w:t>集气罩</w:t>
      </w:r>
      <w:r>
        <w:rPr>
          <w:rFonts w:ascii="Times New Roman" w:hAnsi="Times New Roman"/>
          <w:color w:val="auto"/>
          <w:sz w:val="24"/>
        </w:rPr>
        <w:t>装置收集后一并经活性炭吸附—脱附催化燃烧装置处理（与</w:t>
      </w:r>
      <w:r>
        <w:rPr>
          <w:rFonts w:hint="eastAsia" w:ascii="Times New Roman" w:hAnsi="Times New Roman"/>
          <w:color w:val="auto"/>
          <w:sz w:val="24"/>
        </w:rPr>
        <w:t>底</w:t>
      </w:r>
      <w:r>
        <w:rPr>
          <w:rFonts w:ascii="Times New Roman" w:hAnsi="Times New Roman"/>
          <w:color w:val="auto"/>
          <w:sz w:val="24"/>
        </w:rPr>
        <w:t>漆房采用同一套废气处理装置），喷漆房废气采用水帘</w:t>
      </w:r>
      <w:r>
        <w:rPr>
          <w:rFonts w:hint="eastAsia" w:ascii="Times New Roman" w:hAnsi="Times New Roman"/>
          <w:color w:val="auto"/>
          <w:sz w:val="24"/>
        </w:rPr>
        <w:t>+漆雾过滤器</w:t>
      </w:r>
      <w:r>
        <w:rPr>
          <w:rFonts w:ascii="Times New Roman" w:hAnsi="Times New Roman"/>
          <w:color w:val="auto"/>
          <w:sz w:val="24"/>
        </w:rPr>
        <w:t>处理后和晾干废气一起经活性炭吸附—脱附催化燃烧装置处理后</w:t>
      </w:r>
      <w:r>
        <w:rPr>
          <w:rFonts w:hint="eastAsia" w:ascii="Times New Roman" w:hAnsi="Times New Roman"/>
          <w:color w:val="auto"/>
          <w:sz w:val="24"/>
          <w:lang w:eastAsia="zh-CN"/>
        </w:rPr>
        <w:t>，</w:t>
      </w:r>
      <w:r>
        <w:rPr>
          <w:rFonts w:ascii="Times New Roman" w:hAnsi="Times New Roman"/>
          <w:color w:val="auto"/>
          <w:sz w:val="24"/>
        </w:rPr>
        <w:t>有组织排放的</w:t>
      </w:r>
      <w:r>
        <w:rPr>
          <w:rFonts w:hint="eastAsia" w:ascii="Times New Roman" w:hAnsi="Times New Roman"/>
          <w:color w:val="auto"/>
          <w:sz w:val="24"/>
        </w:rPr>
        <w:t>颗粒物排放量</w:t>
      </w:r>
      <w:r>
        <w:rPr>
          <w:rFonts w:hint="eastAsia" w:ascii="Times New Roman" w:hAnsi="Times New Roman"/>
          <w:color w:val="auto"/>
          <w:sz w:val="24"/>
          <w:lang w:val="en-US" w:eastAsia="zh-CN"/>
        </w:rPr>
        <w:t>0.322t</w:t>
      </w:r>
      <w:r>
        <w:rPr>
          <w:rFonts w:hint="eastAsia" w:ascii="Times New Roman" w:hAnsi="Times New Roman"/>
          <w:color w:val="auto"/>
          <w:sz w:val="24"/>
        </w:rPr>
        <w:t>/a（</w:t>
      </w:r>
      <w:r>
        <w:rPr>
          <w:rFonts w:hint="eastAsia" w:ascii="Times New Roman" w:hAnsi="Times New Roman"/>
          <w:color w:val="auto"/>
          <w:sz w:val="24"/>
          <w:lang w:val="en-US" w:eastAsia="zh-CN"/>
        </w:rPr>
        <w:t>0.134</w:t>
      </w:r>
      <w:r>
        <w:rPr>
          <w:rFonts w:hint="eastAsia" w:ascii="Times New Roman" w:hAnsi="Times New Roman"/>
          <w:color w:val="auto"/>
          <w:sz w:val="24"/>
        </w:rPr>
        <w:t>kg/h），</w:t>
      </w:r>
      <w:r>
        <w:rPr>
          <w:rFonts w:hint="eastAsia" w:ascii="Times New Roman" w:hAnsi="Times New Roman"/>
          <w:color w:val="auto"/>
          <w:sz w:val="24"/>
          <w:highlight w:val="none"/>
        </w:rPr>
        <w:t>排放浓度为</w:t>
      </w:r>
      <w:r>
        <w:rPr>
          <w:rFonts w:hint="eastAsia" w:ascii="Times New Roman" w:hAnsi="Times New Roman"/>
          <w:color w:val="auto"/>
          <w:sz w:val="24"/>
          <w:highlight w:val="none"/>
          <w:lang w:val="en-US" w:eastAsia="zh-CN"/>
        </w:rPr>
        <w:t>1.97</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；苯排放量</w:t>
      </w:r>
      <w:r>
        <w:rPr>
          <w:rFonts w:hint="eastAsia" w:ascii="Times New Roman" w:hAnsi="Times New Roman"/>
          <w:color w:val="auto"/>
          <w:sz w:val="24"/>
          <w:highlight w:val="none"/>
          <w:lang w:val="en-US" w:eastAsia="zh-CN"/>
        </w:rPr>
        <w:t>0.0135</w:t>
      </w:r>
      <w:r>
        <w:rPr>
          <w:rFonts w:hint="eastAsia" w:ascii="Times New Roman" w:hAnsi="Times New Roman"/>
          <w:color w:val="auto"/>
          <w:sz w:val="24"/>
          <w:highlight w:val="none"/>
        </w:rPr>
        <w:t>t/a（0.0</w:t>
      </w:r>
      <w:r>
        <w:rPr>
          <w:rFonts w:hint="eastAsia" w:ascii="Times New Roman" w:hAnsi="Times New Roman"/>
          <w:color w:val="auto"/>
          <w:sz w:val="24"/>
          <w:highlight w:val="none"/>
          <w:lang w:val="en-US" w:eastAsia="zh-CN"/>
        </w:rPr>
        <w:t>156</w:t>
      </w:r>
      <w:r>
        <w:rPr>
          <w:rFonts w:hint="eastAsia" w:ascii="Times New Roman" w:hAnsi="Times New Roman"/>
          <w:color w:val="auto"/>
          <w:sz w:val="24"/>
          <w:highlight w:val="none"/>
        </w:rPr>
        <w:t>kg/h），排放浓度为</w:t>
      </w:r>
      <w:r>
        <w:rPr>
          <w:rFonts w:hint="eastAsia" w:ascii="Times New Roman" w:hAnsi="Times New Roman"/>
          <w:color w:val="auto"/>
          <w:sz w:val="24"/>
          <w:highlight w:val="none"/>
          <w:lang w:val="en-US" w:eastAsia="zh-CN"/>
        </w:rPr>
        <w:t>0.23</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；甲苯排放量</w:t>
      </w:r>
      <w:r>
        <w:rPr>
          <w:rFonts w:hint="eastAsia" w:ascii="Times New Roman" w:hAnsi="Times New Roman"/>
          <w:color w:val="auto"/>
          <w:sz w:val="24"/>
          <w:highlight w:val="none"/>
          <w:lang w:val="en-US" w:eastAsia="zh-CN"/>
        </w:rPr>
        <w:t>0.0608</w:t>
      </w:r>
      <w:r>
        <w:rPr>
          <w:rFonts w:hint="eastAsia" w:ascii="Times New Roman" w:hAnsi="Times New Roman"/>
          <w:color w:val="auto"/>
          <w:sz w:val="24"/>
          <w:highlight w:val="none"/>
        </w:rPr>
        <w:t>t/a（0.0</w:t>
      </w:r>
      <w:r>
        <w:rPr>
          <w:rFonts w:hint="eastAsia" w:ascii="Times New Roman" w:hAnsi="Times New Roman"/>
          <w:color w:val="auto"/>
          <w:sz w:val="24"/>
          <w:highlight w:val="none"/>
          <w:lang w:val="en-US" w:eastAsia="zh-CN"/>
        </w:rPr>
        <w:t>716</w:t>
      </w:r>
      <w:r>
        <w:rPr>
          <w:rFonts w:hint="eastAsia" w:ascii="Times New Roman" w:hAnsi="Times New Roman"/>
          <w:color w:val="auto"/>
          <w:sz w:val="24"/>
          <w:highlight w:val="none"/>
        </w:rPr>
        <w:t>kg/h），排放浓度为1.</w:t>
      </w:r>
      <w:r>
        <w:rPr>
          <w:rFonts w:hint="eastAsia" w:ascii="Times New Roman" w:hAnsi="Times New Roman"/>
          <w:color w:val="auto"/>
          <w:sz w:val="24"/>
          <w:highlight w:val="none"/>
          <w:lang w:val="en-US" w:eastAsia="zh-CN"/>
        </w:rPr>
        <w:t>05</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；二甲苯排放量</w:t>
      </w:r>
      <w:r>
        <w:rPr>
          <w:rFonts w:hint="eastAsia" w:ascii="Times New Roman" w:hAnsi="Times New Roman"/>
          <w:color w:val="auto"/>
          <w:sz w:val="24"/>
          <w:highlight w:val="none"/>
          <w:lang w:val="en-US" w:eastAsia="zh-CN"/>
        </w:rPr>
        <w:t>0.1351</w:t>
      </w:r>
      <w:r>
        <w:rPr>
          <w:rFonts w:hint="eastAsia" w:ascii="Times New Roman" w:hAnsi="Times New Roman"/>
          <w:color w:val="auto"/>
          <w:sz w:val="24"/>
          <w:highlight w:val="none"/>
        </w:rPr>
        <w:t>t/a（0.</w:t>
      </w:r>
      <w:r>
        <w:rPr>
          <w:rFonts w:hint="eastAsia" w:ascii="Times New Roman" w:hAnsi="Times New Roman"/>
          <w:color w:val="auto"/>
          <w:sz w:val="24"/>
          <w:highlight w:val="none"/>
          <w:lang w:val="en-US" w:eastAsia="zh-CN"/>
        </w:rPr>
        <w:t>1588</w:t>
      </w:r>
      <w:r>
        <w:rPr>
          <w:rFonts w:hint="eastAsia" w:ascii="Times New Roman" w:hAnsi="Times New Roman"/>
          <w:color w:val="auto"/>
          <w:sz w:val="24"/>
          <w:highlight w:val="none"/>
        </w:rPr>
        <w:t>kg/h），排放浓度为</w:t>
      </w:r>
      <w:r>
        <w:rPr>
          <w:rFonts w:hint="eastAsia" w:ascii="Times New Roman" w:hAnsi="Times New Roman"/>
          <w:color w:val="auto"/>
          <w:sz w:val="24"/>
          <w:highlight w:val="none"/>
          <w:lang w:val="en-US" w:eastAsia="zh-CN"/>
        </w:rPr>
        <w:t>2.34</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；非甲烷总烃排放量</w:t>
      </w:r>
      <w:r>
        <w:rPr>
          <w:rFonts w:hint="eastAsia" w:ascii="Times New Roman" w:hAnsi="Times New Roman"/>
          <w:color w:val="auto"/>
          <w:sz w:val="24"/>
          <w:highlight w:val="none"/>
          <w:lang w:val="en-US" w:eastAsia="zh-CN"/>
        </w:rPr>
        <w:t>1.1473</w:t>
      </w:r>
      <w:r>
        <w:rPr>
          <w:rFonts w:hint="eastAsia" w:ascii="Times New Roman" w:hAnsi="Times New Roman"/>
          <w:color w:val="auto"/>
          <w:sz w:val="24"/>
          <w:highlight w:val="none"/>
        </w:rPr>
        <w:t>t/a（</w:t>
      </w:r>
      <w:r>
        <w:rPr>
          <w:rFonts w:hint="eastAsia" w:ascii="Times New Roman" w:hAnsi="Times New Roman"/>
          <w:color w:val="auto"/>
          <w:sz w:val="24"/>
          <w:highlight w:val="none"/>
          <w:lang w:val="en-US" w:eastAsia="zh-CN"/>
        </w:rPr>
        <w:t>1.352</w:t>
      </w:r>
      <w:r>
        <w:rPr>
          <w:rFonts w:hint="eastAsia" w:ascii="Times New Roman" w:hAnsi="Times New Roman"/>
          <w:color w:val="auto"/>
          <w:sz w:val="24"/>
          <w:highlight w:val="none"/>
        </w:rPr>
        <w:t>kg/h），排放浓度为</w:t>
      </w:r>
      <w:r>
        <w:rPr>
          <w:rFonts w:hint="eastAsia" w:ascii="Times New Roman" w:hAnsi="Times New Roman"/>
          <w:color w:val="auto"/>
          <w:sz w:val="24"/>
          <w:highlight w:val="none"/>
          <w:lang w:val="en-US" w:eastAsia="zh-CN"/>
        </w:rPr>
        <w:t>19.88</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w:t>
      </w:r>
    </w:p>
    <w:p w14:paraId="4212B756">
      <w:pPr>
        <w:adjustRightInd w:val="0"/>
        <w:snapToGrid w:val="0"/>
        <w:spacing w:line="360" w:lineRule="auto"/>
        <w:ind w:firstLine="480"/>
        <w:rPr>
          <w:rFonts w:ascii="Times New Roman" w:hAnsi="Times New Roman"/>
          <w:color w:val="auto"/>
          <w:sz w:val="24"/>
        </w:rPr>
      </w:pPr>
      <w:r>
        <w:rPr>
          <w:rFonts w:ascii="Times New Roman" w:hAnsi="Times New Roman"/>
          <w:sz w:val="24"/>
        </w:rPr>
        <w:t>项目废气经治理后，</w:t>
      </w:r>
      <w:r>
        <w:rPr>
          <w:rFonts w:hint="eastAsia" w:ascii="Times New Roman" w:hAnsi="Times New Roman"/>
          <w:sz w:val="24"/>
        </w:rPr>
        <w:t>颗粒物</w:t>
      </w:r>
      <w:r>
        <w:rPr>
          <w:rFonts w:ascii="Times New Roman" w:hAnsi="Times New Roman"/>
          <w:sz w:val="24"/>
        </w:rPr>
        <w:t>、</w:t>
      </w:r>
      <w:r>
        <w:rPr>
          <w:rFonts w:hint="eastAsia" w:ascii="Times New Roman" w:hAnsi="Times New Roman"/>
          <w:sz w:val="24"/>
          <w:lang w:val="en-US" w:eastAsia="zh-CN"/>
        </w:rPr>
        <w:t>苯、</w:t>
      </w:r>
      <w:r>
        <w:rPr>
          <w:rFonts w:ascii="Times New Roman" w:hAnsi="Times New Roman"/>
          <w:sz w:val="24"/>
        </w:rPr>
        <w:t>甲苯、二甲苯、非甲烷总烃能够达到《大气污染物综合排放标准》（GB16297-1996）二级标准</w:t>
      </w:r>
      <w:r>
        <w:rPr>
          <w:rFonts w:hint="eastAsia" w:ascii="Times New Roman" w:hAnsi="Times New Roman" w:cs="Times New Roman"/>
          <w:sz w:val="24"/>
        </w:rPr>
        <w:t>（颗粒物：15m排气筒，浓度≤120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3.5</w:t>
      </w:r>
      <w:r>
        <w:rPr>
          <w:rFonts w:ascii="Times New Roman" w:hAnsi="Times New Roman" w:cs="Times New Roman"/>
          <w:sz w:val="24"/>
        </w:rPr>
        <w:t>kg/h</w:t>
      </w:r>
      <w:r>
        <w:rPr>
          <w:rFonts w:hint="eastAsia" w:ascii="Times New Roman" w:hAnsi="Times New Roman" w:cs="Times New Roman"/>
          <w:sz w:val="24"/>
        </w:rPr>
        <w:t>；甲苯：15m排气筒，浓度≤40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3.1</w:t>
      </w:r>
      <w:r>
        <w:rPr>
          <w:rFonts w:ascii="Times New Roman" w:hAnsi="Times New Roman" w:cs="Times New Roman"/>
          <w:sz w:val="24"/>
        </w:rPr>
        <w:t>kg/h</w:t>
      </w:r>
      <w:r>
        <w:rPr>
          <w:rFonts w:hint="eastAsia" w:ascii="Times New Roman" w:hAnsi="Times New Roman" w:cs="Times New Roman"/>
          <w:sz w:val="24"/>
        </w:rPr>
        <w:t>；二甲苯：15m排气筒，浓度≤70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1.0</w:t>
      </w:r>
      <w:r>
        <w:rPr>
          <w:rFonts w:ascii="Times New Roman" w:hAnsi="Times New Roman" w:cs="Times New Roman"/>
          <w:sz w:val="24"/>
        </w:rPr>
        <w:t>kg/h</w:t>
      </w:r>
      <w:r>
        <w:rPr>
          <w:rFonts w:hint="eastAsia" w:ascii="Times New Roman" w:hAnsi="Times New Roman" w:cs="Times New Roman"/>
          <w:sz w:val="24"/>
        </w:rPr>
        <w:t>；非甲烷总烃：15m排气筒，浓度≤120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10</w:t>
      </w:r>
      <w:r>
        <w:rPr>
          <w:rFonts w:ascii="Times New Roman" w:hAnsi="Times New Roman" w:cs="Times New Roman"/>
          <w:sz w:val="24"/>
        </w:rPr>
        <w:t>kg/h</w:t>
      </w:r>
      <w:r>
        <w:rPr>
          <w:rFonts w:hint="eastAsia" w:ascii="Times New Roman" w:hAnsi="Times New Roman" w:cs="Times New Roman"/>
          <w:sz w:val="24"/>
          <w:lang w:eastAsia="zh-CN"/>
        </w:rPr>
        <w:t>、</w:t>
      </w:r>
      <w:r>
        <w:rPr>
          <w:rFonts w:hint="eastAsia" w:ascii="Times New Roman" w:hAnsi="Times New Roman" w:cs="Times New Roman"/>
          <w:sz w:val="24"/>
        </w:rPr>
        <w:t>苯：15m排气筒，浓度≤</w:t>
      </w:r>
      <w:r>
        <w:rPr>
          <w:rFonts w:hint="eastAsia" w:ascii="Times New Roman" w:hAnsi="Times New Roman" w:cs="Times New Roman"/>
          <w:sz w:val="24"/>
          <w:lang w:val="en-US" w:eastAsia="zh-CN"/>
        </w:rPr>
        <w:t>12</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lang w:val="en-US" w:eastAsia="zh-CN"/>
        </w:rPr>
        <w:t>0.5</w:t>
      </w:r>
      <w:r>
        <w:rPr>
          <w:rFonts w:ascii="Times New Roman" w:hAnsi="Times New Roman" w:cs="Times New Roman"/>
          <w:sz w:val="24"/>
        </w:rPr>
        <w:t>kg/h</w:t>
      </w:r>
      <w:r>
        <w:rPr>
          <w:rFonts w:hint="eastAsia" w:ascii="Times New Roman" w:hAnsi="Times New Roman" w:cs="Times New Roman"/>
          <w:sz w:val="24"/>
        </w:rPr>
        <w:t>；）</w:t>
      </w:r>
      <w:r>
        <w:rPr>
          <w:rFonts w:ascii="Times New Roman" w:hAnsi="Times New Roman"/>
          <w:sz w:val="24"/>
        </w:rPr>
        <w:t>、《工业涂装工序挥发性有机物排放</w:t>
      </w:r>
      <w:r>
        <w:rPr>
          <w:rFonts w:ascii="Times New Roman" w:hAnsi="Times New Roman"/>
          <w:color w:val="auto"/>
          <w:sz w:val="24"/>
        </w:rPr>
        <w:t>标准》（DB41/1951-2020）</w:t>
      </w:r>
      <w:r>
        <w:rPr>
          <w:rFonts w:hint="eastAsia" w:ascii="Times New Roman" w:hAnsi="Times New Roman"/>
          <w:color w:val="auto"/>
          <w:sz w:val="24"/>
        </w:rPr>
        <w:t>（</w:t>
      </w:r>
      <w:r>
        <w:rPr>
          <w:rFonts w:ascii="Times New Roman" w:hAnsi="Times New Roman"/>
          <w:color w:val="auto"/>
          <w:sz w:val="24"/>
        </w:rPr>
        <w:t>非甲烷总烃50mg/m</w:t>
      </w:r>
      <w:r>
        <w:rPr>
          <w:rFonts w:ascii="Times New Roman" w:hAnsi="Times New Roman"/>
          <w:color w:val="auto"/>
          <w:sz w:val="24"/>
          <w:vertAlign w:val="superscript"/>
        </w:rPr>
        <w:t>3</w:t>
      </w:r>
      <w:r>
        <w:rPr>
          <w:rFonts w:ascii="Times New Roman" w:hAnsi="Times New Roman"/>
          <w:color w:val="auto"/>
          <w:sz w:val="24"/>
        </w:rPr>
        <w:t>、甲苯与二甲苯合计20mg/m</w:t>
      </w:r>
      <w:r>
        <w:rPr>
          <w:rFonts w:ascii="Times New Roman" w:hAnsi="Times New Roman"/>
          <w:color w:val="auto"/>
          <w:sz w:val="24"/>
          <w:vertAlign w:val="superscript"/>
        </w:rPr>
        <w:t>3</w:t>
      </w:r>
      <w:r>
        <w:rPr>
          <w:rFonts w:hint="eastAsia" w:ascii="Times New Roman" w:hAnsi="Times New Roman"/>
          <w:color w:val="auto"/>
          <w:sz w:val="24"/>
          <w:vertAlign w:val="baseline"/>
          <w:lang w:eastAsia="zh-CN"/>
        </w:rPr>
        <w:t>、</w:t>
      </w:r>
      <w:r>
        <w:rPr>
          <w:rFonts w:hint="default" w:ascii="Times New Roman" w:hAnsi="Times New Roman" w:cs="Times New Roman"/>
          <w:b w:val="0"/>
          <w:bCs w:val="0"/>
          <w:color w:val="auto"/>
          <w:sz w:val="24"/>
          <w:szCs w:val="24"/>
          <w:highlight w:val="none"/>
          <w:u w:val="none"/>
          <w:lang w:val="en-US" w:eastAsia="zh-CN"/>
        </w:rPr>
        <w:t>苯1.0mg/m</w:t>
      </w:r>
      <w:r>
        <w:rPr>
          <w:rFonts w:hint="default" w:ascii="Times New Roman" w:hAnsi="Times New Roman" w:cs="Times New Roman"/>
          <w:b w:val="0"/>
          <w:bCs w:val="0"/>
          <w:color w:val="auto"/>
          <w:sz w:val="24"/>
          <w:szCs w:val="24"/>
          <w:highlight w:val="none"/>
          <w:u w:val="none"/>
          <w:vertAlign w:val="superscript"/>
          <w:lang w:val="en-US" w:eastAsia="zh-CN"/>
        </w:rPr>
        <w:t>3</w:t>
      </w:r>
      <w:r>
        <w:rPr>
          <w:rFonts w:hint="eastAsia" w:ascii="Times New Roman" w:hAnsi="Times New Roman"/>
          <w:color w:val="auto"/>
          <w:sz w:val="24"/>
        </w:rPr>
        <w:t>）、</w:t>
      </w:r>
      <w:r>
        <w:rPr>
          <w:rFonts w:ascii="Times New Roman" w:hAnsi="Times New Roman"/>
          <w:color w:val="auto"/>
          <w:sz w:val="24"/>
        </w:rPr>
        <w:t>《河南省环境污染防治攻坚战领导小组办公室文件》（豫环攻坚办</w:t>
      </w:r>
      <w:r>
        <w:rPr>
          <w:rFonts w:hint="eastAsia" w:ascii="Times New Roman" w:hAnsi="Times New Roman"/>
          <w:color w:val="auto"/>
          <w:sz w:val="24"/>
        </w:rPr>
        <w:t>〔2017〕</w:t>
      </w:r>
      <w:r>
        <w:rPr>
          <w:rFonts w:ascii="Times New Roman" w:hAnsi="Times New Roman"/>
          <w:color w:val="auto"/>
          <w:sz w:val="24"/>
        </w:rPr>
        <w:t>162号）关于全省开展工业企业挥发性有机物专项治理工作中排放建议值的通知（家具制造业非甲烷总烃</w:t>
      </w:r>
      <w:r>
        <w:rPr>
          <w:rFonts w:hint="eastAsia" w:ascii="Times New Roman" w:hAnsi="Times New Roman"/>
          <w:color w:val="auto"/>
          <w:sz w:val="24"/>
        </w:rPr>
        <w:t>6</w:t>
      </w:r>
      <w:r>
        <w:rPr>
          <w:rFonts w:ascii="Times New Roman" w:hAnsi="Times New Roman"/>
          <w:color w:val="auto"/>
          <w:sz w:val="24"/>
        </w:rPr>
        <w:t>0mg/m</w:t>
      </w:r>
      <w:r>
        <w:rPr>
          <w:rFonts w:ascii="Times New Roman" w:hAnsi="Times New Roman"/>
          <w:color w:val="auto"/>
          <w:sz w:val="24"/>
          <w:vertAlign w:val="superscript"/>
        </w:rPr>
        <w:t>3</w:t>
      </w:r>
      <w:r>
        <w:rPr>
          <w:rFonts w:ascii="Times New Roman" w:hAnsi="Times New Roman"/>
          <w:color w:val="auto"/>
          <w:sz w:val="24"/>
        </w:rPr>
        <w:t>、甲苯与二甲苯合计20mg/m</w:t>
      </w:r>
      <w:r>
        <w:rPr>
          <w:rFonts w:ascii="Times New Roman" w:hAnsi="Times New Roman"/>
          <w:color w:val="auto"/>
          <w:sz w:val="24"/>
          <w:vertAlign w:val="superscript"/>
        </w:rPr>
        <w:t>3</w:t>
      </w:r>
      <w:r>
        <w:rPr>
          <w:rFonts w:hint="eastAsia" w:ascii="Times New Roman" w:hAnsi="Times New Roman"/>
          <w:color w:val="auto"/>
          <w:sz w:val="24"/>
          <w:vertAlign w:val="baseline"/>
          <w:lang w:eastAsia="zh-CN"/>
        </w:rPr>
        <w:t>、</w:t>
      </w:r>
      <w:r>
        <w:rPr>
          <w:rFonts w:hint="default" w:ascii="Times New Roman" w:hAnsi="Times New Roman" w:cs="Times New Roman"/>
          <w:b w:val="0"/>
          <w:bCs w:val="0"/>
          <w:color w:val="auto"/>
          <w:sz w:val="24"/>
          <w:szCs w:val="24"/>
          <w:highlight w:val="none"/>
          <w:u w:val="none"/>
          <w:lang w:val="en-US" w:eastAsia="zh-CN"/>
        </w:rPr>
        <w:t>苯1.0mg/m</w:t>
      </w:r>
      <w:r>
        <w:rPr>
          <w:rFonts w:hint="default" w:ascii="Times New Roman" w:hAnsi="Times New Roman" w:cs="Times New Roman"/>
          <w:b w:val="0"/>
          <w:bCs w:val="0"/>
          <w:color w:val="auto"/>
          <w:sz w:val="24"/>
          <w:szCs w:val="24"/>
          <w:highlight w:val="none"/>
          <w:u w:val="none"/>
          <w:vertAlign w:val="superscript"/>
          <w:lang w:val="en-US" w:eastAsia="zh-CN"/>
        </w:rPr>
        <w:t>3</w:t>
      </w:r>
      <w:r>
        <w:rPr>
          <w:rFonts w:ascii="Times New Roman" w:hAnsi="Times New Roman"/>
          <w:color w:val="auto"/>
          <w:sz w:val="24"/>
        </w:rPr>
        <w:t>）</w:t>
      </w:r>
      <w:r>
        <w:rPr>
          <w:rFonts w:hint="eastAsia" w:ascii="Times New Roman" w:hAnsi="Times New Roman"/>
          <w:color w:val="auto"/>
          <w:sz w:val="24"/>
        </w:rPr>
        <w:t>以及《重污染天气重点行业应急减排措施制定技术指南（2020年修订版）》的函》（环办大气函〔2020〕340号）家具行业绩效分级指标（A级）（PM：10</w:t>
      </w:r>
      <w:r>
        <w:rPr>
          <w:rFonts w:ascii="Times New Roman" w:hAnsi="Times New Roman"/>
          <w:color w:val="auto"/>
          <w:sz w:val="24"/>
        </w:rPr>
        <w:t>mg/m</w:t>
      </w:r>
      <w:r>
        <w:rPr>
          <w:rFonts w:ascii="Times New Roman" w:hAnsi="Times New Roman"/>
          <w:color w:val="auto"/>
          <w:sz w:val="24"/>
          <w:vertAlign w:val="superscript"/>
        </w:rPr>
        <w:t>3</w:t>
      </w:r>
      <w:r>
        <w:rPr>
          <w:rFonts w:hint="eastAsia" w:ascii="Times New Roman" w:hAnsi="Times New Roman"/>
          <w:color w:val="auto"/>
          <w:sz w:val="24"/>
        </w:rPr>
        <w:t>；NMHC：20</w:t>
      </w:r>
      <w:r>
        <w:rPr>
          <w:rFonts w:ascii="Times New Roman" w:hAnsi="Times New Roman"/>
          <w:color w:val="auto"/>
          <w:sz w:val="24"/>
        </w:rPr>
        <w:t>mg/m</w:t>
      </w:r>
      <w:r>
        <w:rPr>
          <w:rFonts w:ascii="Times New Roman" w:hAnsi="Times New Roman"/>
          <w:color w:val="auto"/>
          <w:sz w:val="24"/>
          <w:vertAlign w:val="superscript"/>
        </w:rPr>
        <w:t>3</w:t>
      </w:r>
      <w:r>
        <w:rPr>
          <w:rFonts w:hint="eastAsia" w:ascii="Times New Roman" w:hAnsi="Times New Roman"/>
          <w:color w:val="auto"/>
          <w:sz w:val="24"/>
        </w:rPr>
        <w:t>）</w:t>
      </w:r>
      <w:r>
        <w:rPr>
          <w:rFonts w:ascii="Times New Roman" w:hAnsi="Times New Roman"/>
          <w:color w:val="auto"/>
          <w:sz w:val="24"/>
        </w:rPr>
        <w:t>。</w:t>
      </w:r>
    </w:p>
    <w:p w14:paraId="121127E2">
      <w:pPr>
        <w:pStyle w:val="5"/>
        <w:numPr>
          <w:ilvl w:val="3"/>
          <w:numId w:val="39"/>
        </w:numPr>
        <w:adjustRightInd w:val="0"/>
        <w:snapToGrid w:val="0"/>
        <w:rPr>
          <w:color w:val="auto"/>
        </w:rPr>
      </w:pPr>
      <w:r>
        <w:rPr>
          <w:color w:val="auto"/>
        </w:rPr>
        <w:t>危废暂存间废气</w:t>
      </w:r>
    </w:p>
    <w:p w14:paraId="70DB43C6">
      <w:pPr>
        <w:adjustRightInd w:val="0"/>
        <w:snapToGrid w:val="0"/>
        <w:spacing w:line="360" w:lineRule="auto"/>
        <w:ind w:firstLine="480"/>
        <w:rPr>
          <w:rFonts w:ascii="Times New Roman" w:hAnsi="Times New Roman"/>
          <w:color w:val="auto"/>
          <w:sz w:val="24"/>
        </w:rPr>
      </w:pPr>
      <w:r>
        <w:rPr>
          <w:rFonts w:ascii="Times New Roman" w:hAnsi="Times New Roman"/>
          <w:color w:val="auto"/>
          <w:sz w:val="24"/>
        </w:rPr>
        <w:t>本项目危废暂存间主要储存有废活性炭、废漆渣、废</w:t>
      </w:r>
      <w:r>
        <w:rPr>
          <w:rFonts w:hint="eastAsia" w:ascii="Times New Roman" w:hAnsi="Times New Roman"/>
          <w:color w:val="auto"/>
          <w:sz w:val="24"/>
        </w:rPr>
        <w:t>破损包装</w:t>
      </w:r>
      <w:r>
        <w:rPr>
          <w:rFonts w:ascii="Times New Roman" w:hAnsi="Times New Roman"/>
          <w:color w:val="auto"/>
          <w:sz w:val="24"/>
        </w:rPr>
        <w:t>桶等。储存过程中会有有机废气产生，由于本项目产废周期长，故危废暂存间内有机废气不再进行定量分析。建议建设单位在危废暂存间设置集气管道，将废气引入</w:t>
      </w:r>
      <w:r>
        <w:rPr>
          <w:rFonts w:hint="eastAsia" w:ascii="Times New Roman" w:hAnsi="Times New Roman" w:cs="Times New Roman"/>
          <w:color w:val="auto"/>
          <w:sz w:val="24"/>
        </w:rPr>
        <w:t>“</w:t>
      </w:r>
      <w:r>
        <w:rPr>
          <w:rFonts w:ascii="Times New Roman" w:hAnsi="Times New Roman" w:cs="Times New Roman"/>
          <w:color w:val="auto"/>
          <w:kern w:val="0"/>
          <w:sz w:val="24"/>
        </w:rPr>
        <w:t>活性炭吸附—脱附催化燃烧装置</w:t>
      </w:r>
      <w:r>
        <w:rPr>
          <w:rFonts w:hint="eastAsia" w:ascii="Times New Roman" w:hAnsi="Times New Roman" w:cs="Times New Roman"/>
          <w:color w:val="auto"/>
          <w:sz w:val="24"/>
        </w:rPr>
        <w:t>”</w:t>
      </w:r>
      <w:r>
        <w:rPr>
          <w:rFonts w:ascii="Times New Roman" w:hAnsi="Times New Roman"/>
          <w:color w:val="auto"/>
          <w:sz w:val="24"/>
        </w:rPr>
        <w:t>进行处理。</w:t>
      </w:r>
    </w:p>
    <w:p w14:paraId="7D8EDB62">
      <w:pPr>
        <w:pStyle w:val="5"/>
        <w:numPr>
          <w:ilvl w:val="3"/>
          <w:numId w:val="39"/>
        </w:numPr>
        <w:adjustRightInd w:val="0"/>
        <w:snapToGrid w:val="0"/>
      </w:pPr>
      <w:r>
        <w:rPr>
          <w:rFonts w:hint="eastAsia"/>
        </w:rPr>
        <w:t>无组织废气</w:t>
      </w:r>
    </w:p>
    <w:p w14:paraId="55F051A7">
      <w:pPr>
        <w:pStyle w:val="38"/>
        <w:adjustRightInd w:val="0"/>
        <w:snapToGrid w:val="0"/>
        <w:spacing w:line="360" w:lineRule="auto"/>
        <w:ind w:firstLine="480" w:firstLineChars="200"/>
        <w:rPr>
          <w:sz w:val="24"/>
          <w:szCs w:val="24"/>
        </w:rPr>
      </w:pPr>
      <w:r>
        <w:rPr>
          <w:rFonts w:hint="eastAsia"/>
          <w:sz w:val="24"/>
          <w:szCs w:val="24"/>
        </w:rPr>
        <w:t>本项目无组织废气包括：</w:t>
      </w:r>
    </w:p>
    <w:p w14:paraId="4EE5057A">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yellow"/>
          <w:lang w:val="en-US" w:eastAsia="zh-CN"/>
          <w14:textFill>
            <w14:solidFill>
              <w14:schemeClr w14:val="tx1"/>
            </w14:solidFill>
          </w14:textFill>
        </w:rPr>
      </w:pPr>
      <w:r>
        <w:rPr>
          <w:rFonts w:ascii="Times New Roman" w:hAnsi="Times New Roman" w:cs="Times New Roman"/>
          <w:sz w:val="24"/>
          <w:szCs w:val="24"/>
        </w:rPr>
        <w:t>（1）</w:t>
      </w:r>
      <w:r>
        <w:rPr>
          <w:rFonts w:hint="eastAsia" w:ascii="Times New Roman" w:hAnsi="Times New Roman" w:cs="Times New Roman"/>
          <w:sz w:val="24"/>
          <w:szCs w:val="24"/>
        </w:rPr>
        <w:t>木加工</w:t>
      </w:r>
      <w:r>
        <w:rPr>
          <w:rFonts w:ascii="Times New Roman" w:hAnsi="Times New Roman" w:cs="Times New Roman"/>
          <w:sz w:val="24"/>
          <w:szCs w:val="24"/>
        </w:rPr>
        <w:t>工序：未被收集的</w:t>
      </w:r>
      <w:r>
        <w:rPr>
          <w:rFonts w:hint="eastAsia" w:ascii="Times New Roman" w:hAnsi="Times New Roman" w:cs="Times New Roman"/>
          <w:sz w:val="24"/>
          <w:szCs w:val="24"/>
        </w:rPr>
        <w:t>木加工工序产生的</w:t>
      </w:r>
      <w:r>
        <w:rPr>
          <w:rFonts w:ascii="Times New Roman" w:hAnsi="Times New Roman" w:cs="Times New Roman"/>
          <w:sz w:val="24"/>
          <w:szCs w:val="24"/>
        </w:rPr>
        <w:t>粉尘，</w:t>
      </w:r>
      <w:r>
        <w:rPr>
          <w:rFonts w:hint="eastAsia" w:ascii="Times New Roman" w:hAnsi="Times New Roman" w:cs="Times New Roman"/>
          <w:sz w:val="24"/>
          <w:szCs w:val="24"/>
        </w:rPr>
        <w:t>木加工工序</w:t>
      </w:r>
      <w:r>
        <w:rPr>
          <w:rFonts w:ascii="Times New Roman" w:hAnsi="Times New Roman" w:cs="Times New Roman"/>
          <w:sz w:val="24"/>
          <w:szCs w:val="24"/>
        </w:rPr>
        <w:t>粉尘采用集气罩收集，收集效率为</w:t>
      </w:r>
      <w:r>
        <w:rPr>
          <w:rFonts w:hint="eastAsia" w:ascii="Times New Roman" w:hAnsi="Times New Roman" w:cs="Times New Roman"/>
          <w:sz w:val="24"/>
          <w:szCs w:val="24"/>
        </w:rPr>
        <w:t>90</w:t>
      </w:r>
      <w:r>
        <w:rPr>
          <w:rFonts w:ascii="Times New Roman" w:hAnsi="Times New Roman" w:cs="Times New Roman"/>
          <w:sz w:val="24"/>
          <w:szCs w:val="24"/>
        </w:rPr>
        <w:t>%，未被收集的1</w:t>
      </w:r>
      <w:r>
        <w:rPr>
          <w:rFonts w:hint="eastAsia" w:ascii="Times New Roman" w:hAnsi="Times New Roman" w:cs="Times New Roman"/>
          <w:sz w:val="24"/>
          <w:szCs w:val="24"/>
        </w:rPr>
        <w:t>0</w:t>
      </w:r>
      <w:r>
        <w:rPr>
          <w:rFonts w:ascii="Times New Roman" w:hAnsi="Times New Roman" w:cs="Times New Roman"/>
          <w:sz w:val="24"/>
          <w:szCs w:val="24"/>
        </w:rPr>
        <w:t>%</w:t>
      </w:r>
      <w:r>
        <w:rPr>
          <w:rFonts w:hint="eastAsia" w:ascii="Times New Roman" w:hAnsi="Times New Roman" w:cs="Times New Roman"/>
          <w:sz w:val="24"/>
          <w:szCs w:val="24"/>
        </w:rPr>
        <w:t>木加工</w:t>
      </w:r>
      <w:r>
        <w:rPr>
          <w:rFonts w:ascii="Times New Roman" w:hAnsi="Times New Roman" w:cs="Times New Roman"/>
          <w:sz w:val="24"/>
          <w:szCs w:val="24"/>
        </w:rPr>
        <w:t>粉尘在车间内以无组织形式排放。</w:t>
      </w:r>
      <w:r>
        <w:rPr>
          <w:rFonts w:ascii="Times New Roman" w:hAnsi="Times New Roman" w:eastAsia="宋体" w:cs="Times New Roman"/>
          <w:color w:val="000000" w:themeColor="text1"/>
          <w:sz w:val="24"/>
          <w:szCs w:val="24"/>
          <w14:textFill>
            <w14:solidFill>
              <w14:schemeClr w14:val="tx1"/>
            </w14:solidFill>
          </w14:textFill>
        </w:rPr>
        <w:t>粉尘无组织排放量为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0.284</w:t>
      </w:r>
      <w:r>
        <w:rPr>
          <w:rFonts w:ascii="Times New Roman" w:hAnsi="Times New Roman" w:eastAsia="宋体" w:cs="Times New Roman"/>
          <w:color w:val="000000" w:themeColor="text1"/>
          <w:sz w:val="24"/>
          <w:szCs w:val="24"/>
          <w:highlight w:val="none"/>
          <w14:textFill>
            <w14:solidFill>
              <w14:schemeClr w14:val="tx1"/>
            </w14:solidFill>
          </w14:textFill>
        </w:rPr>
        <w:t>t/a（0.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12</w:t>
      </w:r>
      <w:r>
        <w:rPr>
          <w:rFonts w:ascii="Times New Roman" w:hAnsi="Times New Roman" w:eastAsia="宋体" w:cs="Times New Roman"/>
          <w:color w:val="000000" w:themeColor="text1"/>
          <w:sz w:val="24"/>
          <w:szCs w:val="24"/>
          <w:highlight w:val="none"/>
          <w14:textFill>
            <w14:solidFill>
              <w14:schemeClr w14:val="tx1"/>
            </w14:solidFill>
          </w14:textFill>
        </w:rPr>
        <w:t>kg/h）</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sz w:val="24"/>
        </w:rPr>
        <w:t>打磨工序产生的粉尘经负压收集后引入脉冲布袋除尘器，</w:t>
      </w:r>
      <w:r>
        <w:rPr>
          <w:rFonts w:hint="eastAsia" w:ascii="Times New Roman" w:hAnsi="Times New Roman" w:eastAsia="宋体" w:cs="Times New Roman"/>
          <w:sz w:val="24"/>
          <w:highlight w:val="none"/>
          <w:lang w:val="en-US" w:eastAsia="zh-CN"/>
        </w:rPr>
        <w:t>处理后无组织排放，排放量为0.009</w:t>
      </w:r>
      <w:r>
        <w:rPr>
          <w:rFonts w:hint="eastAsia" w:ascii="Times New Roman" w:hAnsi="Times New Roman" w:eastAsia="宋体" w:cs="Times New Roman"/>
          <w:color w:val="000000" w:themeColor="text1"/>
          <w:sz w:val="24"/>
          <w:szCs w:val="24"/>
          <w:highlight w:val="none"/>
          <w14:textFill>
            <w14:solidFill>
              <w14:schemeClr w14:val="tx1"/>
            </w14:solidFill>
          </w14:textFill>
        </w:rPr>
        <w:t>t/a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FA0FCBF">
      <w:pPr>
        <w:pStyle w:val="38"/>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2</w:t>
      </w:r>
      <w:r>
        <w:rPr>
          <w:rFonts w:ascii="Times New Roman" w:hAnsi="Times New Roman" w:cs="Times New Roman"/>
          <w:sz w:val="24"/>
          <w:szCs w:val="24"/>
        </w:rPr>
        <w:t>）</w:t>
      </w:r>
      <w:r>
        <w:rPr>
          <w:rFonts w:hint="eastAsia" w:ascii="Times New Roman" w:hAnsi="Times New Roman" w:cs="Times New Roman"/>
          <w:sz w:val="24"/>
          <w:szCs w:val="24"/>
        </w:rPr>
        <w:t>各工序有机废气：本项目</w:t>
      </w:r>
      <w:r>
        <w:rPr>
          <w:rFonts w:ascii="Times New Roman" w:hAnsi="Times New Roman" w:cs="Times New Roman"/>
          <w:color w:val="000000" w:themeColor="text1"/>
          <w:sz w:val="24"/>
          <w:szCs w:val="24"/>
          <w14:textFill>
            <w14:solidFill>
              <w14:schemeClr w14:val="tx1"/>
            </w14:solidFill>
          </w14:textFill>
        </w:rPr>
        <w:t>拼板</w:t>
      </w:r>
      <w:r>
        <w:rPr>
          <w:rFonts w:hint="eastAsia" w:ascii="Times New Roman" w:hAnsi="Times New Roman" w:cs="Times New Roman"/>
          <w:color w:val="000000" w:themeColor="text1"/>
          <w:sz w:val="24"/>
          <w:szCs w:val="24"/>
          <w14:textFill>
            <w14:solidFill>
              <w14:schemeClr w14:val="tx1"/>
            </w14:solidFill>
          </w14:textFill>
        </w:rPr>
        <w:t>冷压、封边、热压</w:t>
      </w:r>
      <w:r>
        <w:rPr>
          <w:rFonts w:ascii="Times New Roman" w:hAnsi="Times New Roman" w:cs="Times New Roman"/>
          <w:color w:val="000000" w:themeColor="text1"/>
          <w:sz w:val="24"/>
          <w:szCs w:val="24"/>
          <w14:textFill>
            <w14:solidFill>
              <w14:schemeClr w14:val="tx1"/>
            </w14:solidFill>
          </w14:textFill>
        </w:rPr>
        <w:t>、擦色</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sz w:val="24"/>
          <w:szCs w:val="24"/>
        </w:rPr>
        <w:t>底漆房（含晾干）、面漆房（含晾干）、修色房（含晾干）产生的废气，收集效率为95%，未被收集的5%以无组织形式排放。无组织废气中颗粒物排放量为0.17t/a，</w:t>
      </w:r>
      <w:r>
        <w:rPr>
          <w:rFonts w:hint="eastAsia" w:ascii="Times New Roman" w:hAnsi="Times New Roman" w:cs="Times New Roman"/>
          <w:sz w:val="24"/>
          <w:szCs w:val="24"/>
        </w:rPr>
        <w:t>排放速率为0.071kg/h；苯</w:t>
      </w:r>
      <w:r>
        <w:rPr>
          <w:rFonts w:hint="eastAsia" w:ascii="Times New Roman" w:hAnsi="Times New Roman" w:cs="Times New Roman"/>
          <w:color w:val="000000"/>
          <w:sz w:val="24"/>
          <w:szCs w:val="24"/>
        </w:rPr>
        <w:t>排放量为0.0</w:t>
      </w:r>
      <w:r>
        <w:rPr>
          <w:rFonts w:hint="eastAsia" w:ascii="Times New Roman" w:hAnsi="Times New Roman" w:cs="Times New Roman"/>
          <w:color w:val="000000"/>
          <w:sz w:val="24"/>
          <w:szCs w:val="24"/>
          <w:lang w:val="en-US" w:eastAsia="zh-CN"/>
        </w:rPr>
        <w:t>056</w:t>
      </w:r>
      <w:r>
        <w:rPr>
          <w:rFonts w:hint="eastAsia" w:ascii="Times New Roman" w:hAnsi="Times New Roman" w:cs="Times New Roman"/>
          <w:color w:val="000000"/>
          <w:sz w:val="24"/>
          <w:szCs w:val="24"/>
        </w:rPr>
        <w:t>t/a，</w:t>
      </w:r>
      <w:r>
        <w:rPr>
          <w:rFonts w:hint="eastAsia" w:ascii="Times New Roman" w:hAnsi="Times New Roman" w:cs="Times New Roman"/>
          <w:sz w:val="24"/>
          <w:szCs w:val="24"/>
        </w:rPr>
        <w:t>排放速率为0.0</w:t>
      </w:r>
      <w:r>
        <w:rPr>
          <w:rFonts w:hint="eastAsia" w:ascii="Times New Roman" w:hAnsi="Times New Roman" w:cs="Times New Roman"/>
          <w:sz w:val="24"/>
          <w:szCs w:val="24"/>
          <w:lang w:val="en-US" w:eastAsia="zh-CN"/>
        </w:rPr>
        <w:t>02</w:t>
      </w:r>
      <w:r>
        <w:rPr>
          <w:rFonts w:hint="eastAsia" w:ascii="Times New Roman" w:hAnsi="Times New Roman" w:cs="Times New Roman"/>
          <w:sz w:val="24"/>
          <w:szCs w:val="24"/>
        </w:rPr>
        <w:t>kg/h；甲苯</w:t>
      </w:r>
      <w:r>
        <w:rPr>
          <w:rFonts w:hint="eastAsia" w:ascii="Times New Roman" w:hAnsi="Times New Roman" w:cs="Times New Roman"/>
          <w:color w:val="000000"/>
          <w:sz w:val="24"/>
          <w:szCs w:val="24"/>
        </w:rPr>
        <w:t>排放量为0.0</w:t>
      </w:r>
      <w:r>
        <w:rPr>
          <w:rFonts w:hint="eastAsia" w:ascii="Times New Roman" w:hAnsi="Times New Roman" w:cs="Times New Roman"/>
          <w:color w:val="000000"/>
          <w:sz w:val="24"/>
          <w:szCs w:val="24"/>
          <w:lang w:val="en-US" w:eastAsia="zh-CN"/>
        </w:rPr>
        <w:t>252</w:t>
      </w:r>
      <w:r>
        <w:rPr>
          <w:rFonts w:hint="eastAsia" w:ascii="Times New Roman" w:hAnsi="Times New Roman" w:cs="Times New Roman"/>
          <w:color w:val="000000"/>
          <w:sz w:val="24"/>
          <w:szCs w:val="24"/>
        </w:rPr>
        <w:t>t/a，</w:t>
      </w:r>
      <w:r>
        <w:rPr>
          <w:rFonts w:hint="eastAsia" w:ascii="Times New Roman" w:hAnsi="Times New Roman" w:cs="Times New Roman"/>
          <w:sz w:val="24"/>
          <w:szCs w:val="24"/>
        </w:rPr>
        <w:t>排放速率为0.01</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rPr>
        <w:t>kg/h；二甲苯</w:t>
      </w:r>
      <w:r>
        <w:rPr>
          <w:rFonts w:hint="eastAsia" w:ascii="Times New Roman" w:hAnsi="Times New Roman" w:cs="Times New Roman"/>
          <w:color w:val="000000"/>
          <w:sz w:val="24"/>
          <w:szCs w:val="24"/>
        </w:rPr>
        <w:t>排放量为0.056t/a，</w:t>
      </w:r>
      <w:r>
        <w:rPr>
          <w:rFonts w:hint="eastAsia" w:ascii="Times New Roman" w:hAnsi="Times New Roman" w:cs="Times New Roman"/>
          <w:sz w:val="24"/>
          <w:szCs w:val="24"/>
        </w:rPr>
        <w:t>排放速率为0.023kg/h；非甲烷总烃</w:t>
      </w:r>
      <w:r>
        <w:rPr>
          <w:rFonts w:hint="eastAsia" w:ascii="Times New Roman" w:hAnsi="Times New Roman" w:cs="Times New Roman"/>
          <w:color w:val="000000"/>
          <w:sz w:val="24"/>
          <w:szCs w:val="24"/>
        </w:rPr>
        <w:t>排放量为0.4</w:t>
      </w:r>
      <w:r>
        <w:rPr>
          <w:rFonts w:hint="eastAsia" w:ascii="Times New Roman" w:hAnsi="Times New Roman" w:cs="Times New Roman"/>
          <w:color w:val="000000"/>
          <w:sz w:val="24"/>
          <w:szCs w:val="24"/>
          <w:lang w:val="en-US" w:eastAsia="zh-CN"/>
        </w:rPr>
        <w:t>925</w:t>
      </w:r>
      <w:r>
        <w:rPr>
          <w:rFonts w:hint="eastAsia" w:ascii="Times New Roman" w:hAnsi="Times New Roman" w:cs="Times New Roman"/>
          <w:color w:val="000000"/>
          <w:sz w:val="24"/>
          <w:szCs w:val="24"/>
        </w:rPr>
        <w:t>t/a，</w:t>
      </w:r>
      <w:r>
        <w:rPr>
          <w:rFonts w:hint="eastAsia" w:ascii="Times New Roman" w:hAnsi="Times New Roman" w:cs="Times New Roman"/>
          <w:sz w:val="24"/>
          <w:szCs w:val="24"/>
        </w:rPr>
        <w:t>排放速率为</w:t>
      </w:r>
      <w:r>
        <w:rPr>
          <w:rFonts w:hint="eastAsia" w:ascii="Times New Roman" w:hAnsi="Times New Roman" w:cs="Times New Roman"/>
          <w:sz w:val="24"/>
          <w:szCs w:val="24"/>
          <w:lang w:val="en-US" w:eastAsia="zh-CN"/>
        </w:rPr>
        <w:t>0.205</w:t>
      </w:r>
      <w:r>
        <w:rPr>
          <w:rFonts w:hint="eastAsia" w:ascii="Times New Roman" w:hAnsi="Times New Roman" w:cs="Times New Roman"/>
          <w:sz w:val="24"/>
          <w:szCs w:val="24"/>
        </w:rPr>
        <w:t>kg/h</w:t>
      </w:r>
      <w:r>
        <w:rPr>
          <w:rFonts w:ascii="Times New Roman" w:hAnsi="Times New Roman" w:cs="Times New Roman"/>
          <w:sz w:val="24"/>
          <w:szCs w:val="24"/>
        </w:rPr>
        <w:t>。</w:t>
      </w:r>
    </w:p>
    <w:p w14:paraId="603FB664">
      <w:pPr>
        <w:pStyle w:val="17"/>
        <w:adjustRightInd w:val="0"/>
        <w:snapToGrid w:val="0"/>
        <w:spacing w:line="360" w:lineRule="auto"/>
        <w:rPr>
          <w:sz w:val="24"/>
          <w:szCs w:val="24"/>
        </w:rPr>
      </w:pPr>
      <w:r>
        <w:rPr>
          <w:rFonts w:hint="eastAsia"/>
          <w:sz w:val="24"/>
          <w:szCs w:val="24"/>
        </w:rPr>
        <w:t>本项目废气产排情况汇总见下表。</w:t>
      </w:r>
    </w:p>
    <w:p w14:paraId="421500DE">
      <w:pPr>
        <w:rPr>
          <w:rFonts w:ascii="Times New Roman" w:hAnsi="Times New Roman" w:eastAsia="宋体" w:cs="Times New Roman"/>
          <w:sz w:val="24"/>
        </w:rPr>
        <w:sectPr>
          <w:headerReference r:id="rId10" w:type="default"/>
          <w:pgSz w:w="11906" w:h="16838"/>
          <w:pgMar w:top="1440" w:right="1800" w:bottom="1440" w:left="1800" w:header="851" w:footer="992" w:gutter="0"/>
          <w:pgNumType w:fmt="decimal"/>
          <w:cols w:space="425" w:num="1"/>
          <w:docGrid w:type="lines" w:linePitch="312" w:charSpace="0"/>
        </w:sectPr>
      </w:pPr>
    </w:p>
    <w:p w14:paraId="21B53BA5">
      <w:pPr>
        <w:pStyle w:val="17"/>
        <w:numPr>
          <w:ilvl w:val="0"/>
          <w:numId w:val="40"/>
        </w:numPr>
        <w:jc w:val="center"/>
        <w:rPr>
          <w:b/>
          <w:bCs/>
        </w:rPr>
      </w:pPr>
      <w:r>
        <w:rPr>
          <w:rFonts w:hint="eastAsia" w:ascii="Times New Roman" w:hAnsi="Times New Roman" w:cs="Times New Roman"/>
          <w:b/>
          <w:bCs/>
        </w:rPr>
        <w:t xml:space="preserve"> </w:t>
      </w:r>
      <w:r>
        <w:rPr>
          <w:rFonts w:hint="eastAsia"/>
          <w:b/>
          <w:bCs/>
          <w:szCs w:val="21"/>
        </w:rPr>
        <w:t xml:space="preserve"> 本项目废气污染产生及排放情况一览表</w:t>
      </w:r>
    </w:p>
    <w:tbl>
      <w:tblPr>
        <w:tblStyle w:val="31"/>
        <w:tblW w:w="144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798"/>
        <w:gridCol w:w="664"/>
        <w:gridCol w:w="950"/>
        <w:gridCol w:w="718"/>
        <w:gridCol w:w="826"/>
        <w:gridCol w:w="1018"/>
        <w:gridCol w:w="930"/>
        <w:gridCol w:w="1042"/>
        <w:gridCol w:w="983"/>
        <w:gridCol w:w="1061"/>
        <w:gridCol w:w="1028"/>
        <w:gridCol w:w="1097"/>
        <w:gridCol w:w="912"/>
        <w:gridCol w:w="722"/>
        <w:gridCol w:w="706"/>
      </w:tblGrid>
      <w:tr w14:paraId="2ECF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012" w:type="dxa"/>
            <w:vMerge w:val="restart"/>
            <w:vAlign w:val="center"/>
          </w:tcPr>
          <w:p w14:paraId="3D366F8E">
            <w:pPr>
              <w:jc w:val="center"/>
              <w:rPr>
                <w:rFonts w:ascii="Times New Roman" w:hAnsi="Times New Roman" w:cs="Times New Roman"/>
                <w:szCs w:val="21"/>
              </w:rPr>
            </w:pPr>
            <w:r>
              <w:rPr>
                <w:rFonts w:ascii="Times New Roman" w:hAnsi="Times New Roman" w:cs="Times New Roman"/>
                <w:szCs w:val="21"/>
              </w:rPr>
              <w:t>排气筒编号及参数</w:t>
            </w:r>
          </w:p>
        </w:tc>
        <w:tc>
          <w:tcPr>
            <w:tcW w:w="798" w:type="dxa"/>
            <w:vMerge w:val="restart"/>
            <w:vAlign w:val="center"/>
          </w:tcPr>
          <w:p w14:paraId="1FB0E560">
            <w:pPr>
              <w:jc w:val="center"/>
              <w:rPr>
                <w:rFonts w:ascii="Times New Roman" w:hAnsi="Times New Roman" w:cs="Times New Roman"/>
                <w:szCs w:val="21"/>
              </w:rPr>
            </w:pPr>
            <w:r>
              <w:rPr>
                <w:rFonts w:ascii="Times New Roman" w:hAnsi="Times New Roman" w:cs="Times New Roman"/>
                <w:szCs w:val="21"/>
              </w:rPr>
              <w:t>废气产生环节</w:t>
            </w:r>
          </w:p>
        </w:tc>
        <w:tc>
          <w:tcPr>
            <w:tcW w:w="1614" w:type="dxa"/>
            <w:gridSpan w:val="2"/>
            <w:vMerge w:val="restart"/>
            <w:vAlign w:val="center"/>
          </w:tcPr>
          <w:p w14:paraId="3D77E9EF">
            <w:pPr>
              <w:jc w:val="center"/>
              <w:rPr>
                <w:rFonts w:ascii="Times New Roman" w:hAnsi="Times New Roman" w:cs="Times New Roman"/>
                <w:szCs w:val="21"/>
              </w:rPr>
            </w:pPr>
            <w:r>
              <w:rPr>
                <w:rFonts w:ascii="Times New Roman" w:hAnsi="Times New Roman" w:cs="Times New Roman"/>
                <w:szCs w:val="21"/>
              </w:rPr>
              <w:t>污染物</w:t>
            </w:r>
          </w:p>
        </w:tc>
        <w:tc>
          <w:tcPr>
            <w:tcW w:w="718" w:type="dxa"/>
            <w:vMerge w:val="restart"/>
            <w:vAlign w:val="center"/>
          </w:tcPr>
          <w:p w14:paraId="176CFC5F">
            <w:pPr>
              <w:jc w:val="center"/>
              <w:rPr>
                <w:rFonts w:ascii="Times New Roman" w:hAnsi="Times New Roman" w:cs="Times New Roman"/>
                <w:szCs w:val="21"/>
              </w:rPr>
            </w:pPr>
            <w:r>
              <w:rPr>
                <w:rFonts w:ascii="Times New Roman" w:hAnsi="Times New Roman" w:cs="Times New Roman"/>
                <w:szCs w:val="21"/>
              </w:rPr>
              <w:t>风量</w:t>
            </w:r>
          </w:p>
          <w:p w14:paraId="62D7758C">
            <w:pPr>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/h</w:t>
            </w:r>
          </w:p>
        </w:tc>
        <w:tc>
          <w:tcPr>
            <w:tcW w:w="2774" w:type="dxa"/>
            <w:gridSpan w:val="3"/>
            <w:vAlign w:val="center"/>
          </w:tcPr>
          <w:p w14:paraId="7C0098BA">
            <w:pPr>
              <w:jc w:val="center"/>
              <w:rPr>
                <w:rFonts w:ascii="Times New Roman" w:hAnsi="Times New Roman" w:cs="Times New Roman"/>
                <w:szCs w:val="21"/>
              </w:rPr>
            </w:pPr>
            <w:r>
              <w:rPr>
                <w:rFonts w:ascii="Times New Roman" w:hAnsi="Times New Roman" w:cs="Times New Roman"/>
                <w:szCs w:val="21"/>
              </w:rPr>
              <w:t>污染物产生情况</w:t>
            </w:r>
          </w:p>
        </w:tc>
        <w:tc>
          <w:tcPr>
            <w:tcW w:w="1042" w:type="dxa"/>
            <w:vMerge w:val="restart"/>
            <w:vAlign w:val="center"/>
          </w:tcPr>
          <w:p w14:paraId="790E697B">
            <w:pPr>
              <w:jc w:val="center"/>
              <w:rPr>
                <w:rFonts w:ascii="Times New Roman" w:hAnsi="Times New Roman" w:cs="Times New Roman"/>
                <w:szCs w:val="21"/>
              </w:rPr>
            </w:pPr>
            <w:r>
              <w:rPr>
                <w:rFonts w:ascii="Times New Roman" w:hAnsi="Times New Roman" w:cs="Times New Roman"/>
                <w:szCs w:val="21"/>
              </w:rPr>
              <w:t>治理</w:t>
            </w:r>
          </w:p>
          <w:p w14:paraId="4F7484E4">
            <w:pPr>
              <w:jc w:val="center"/>
              <w:rPr>
                <w:rFonts w:ascii="Times New Roman" w:hAnsi="Times New Roman" w:cs="Times New Roman"/>
                <w:szCs w:val="21"/>
              </w:rPr>
            </w:pPr>
            <w:r>
              <w:rPr>
                <w:rFonts w:ascii="Times New Roman" w:hAnsi="Times New Roman" w:cs="Times New Roman"/>
                <w:szCs w:val="21"/>
              </w:rPr>
              <w:t>措施</w:t>
            </w:r>
          </w:p>
        </w:tc>
        <w:tc>
          <w:tcPr>
            <w:tcW w:w="983" w:type="dxa"/>
            <w:vMerge w:val="restart"/>
            <w:vAlign w:val="center"/>
          </w:tcPr>
          <w:p w14:paraId="1B00D0E7">
            <w:pPr>
              <w:jc w:val="center"/>
              <w:rPr>
                <w:rFonts w:ascii="Times New Roman" w:hAnsi="Times New Roman" w:cs="Times New Roman"/>
                <w:szCs w:val="21"/>
              </w:rPr>
            </w:pPr>
            <w:r>
              <w:rPr>
                <w:rFonts w:ascii="Times New Roman" w:hAnsi="Times New Roman" w:cs="Times New Roman"/>
                <w:szCs w:val="21"/>
              </w:rPr>
              <w:t>去除率</w:t>
            </w:r>
            <w:r>
              <w:rPr>
                <w:rFonts w:hint="eastAsia" w:ascii="Times New Roman" w:hAnsi="Times New Roman" w:cs="Times New Roman"/>
                <w:szCs w:val="21"/>
              </w:rPr>
              <w:t>%</w:t>
            </w:r>
          </w:p>
        </w:tc>
        <w:tc>
          <w:tcPr>
            <w:tcW w:w="3186" w:type="dxa"/>
            <w:gridSpan w:val="3"/>
            <w:vAlign w:val="center"/>
          </w:tcPr>
          <w:p w14:paraId="6BEABE2F">
            <w:pPr>
              <w:jc w:val="center"/>
              <w:rPr>
                <w:rFonts w:ascii="Times New Roman" w:hAnsi="Times New Roman" w:cs="Times New Roman"/>
                <w:szCs w:val="21"/>
              </w:rPr>
            </w:pPr>
            <w:r>
              <w:rPr>
                <w:rFonts w:ascii="Times New Roman" w:hAnsi="Times New Roman" w:cs="Times New Roman"/>
                <w:szCs w:val="21"/>
              </w:rPr>
              <w:t>排放情况</w:t>
            </w:r>
          </w:p>
        </w:tc>
        <w:tc>
          <w:tcPr>
            <w:tcW w:w="1634" w:type="dxa"/>
            <w:gridSpan w:val="2"/>
            <w:vAlign w:val="center"/>
          </w:tcPr>
          <w:p w14:paraId="20A1E313">
            <w:pPr>
              <w:jc w:val="center"/>
              <w:rPr>
                <w:rFonts w:ascii="Times New Roman" w:hAnsi="Times New Roman" w:cs="Times New Roman"/>
                <w:szCs w:val="21"/>
              </w:rPr>
            </w:pPr>
            <w:r>
              <w:rPr>
                <w:rFonts w:ascii="Times New Roman" w:hAnsi="Times New Roman" w:cs="Times New Roman"/>
                <w:szCs w:val="21"/>
              </w:rPr>
              <w:t>执行标准</w:t>
            </w:r>
          </w:p>
        </w:tc>
        <w:tc>
          <w:tcPr>
            <w:tcW w:w="706" w:type="dxa"/>
            <w:vMerge w:val="restart"/>
            <w:vAlign w:val="center"/>
          </w:tcPr>
          <w:p w14:paraId="6375F974">
            <w:pPr>
              <w:jc w:val="center"/>
              <w:rPr>
                <w:rFonts w:ascii="Times New Roman" w:hAnsi="Times New Roman" w:eastAsia="宋体" w:cs="Times New Roman"/>
                <w:szCs w:val="21"/>
              </w:rPr>
            </w:pPr>
            <w:r>
              <w:rPr>
                <w:rFonts w:ascii="Times New Roman" w:hAnsi="Times New Roman" w:cs="Times New Roman"/>
                <w:szCs w:val="21"/>
              </w:rPr>
              <w:t>运行时间/h/a</w:t>
            </w:r>
          </w:p>
        </w:tc>
      </w:tr>
      <w:tr w14:paraId="71C6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trPr>
        <w:tc>
          <w:tcPr>
            <w:tcW w:w="1012" w:type="dxa"/>
            <w:vMerge w:val="continue"/>
            <w:vAlign w:val="center"/>
          </w:tcPr>
          <w:p w14:paraId="33DBAC9B">
            <w:pPr>
              <w:jc w:val="center"/>
              <w:rPr>
                <w:rFonts w:ascii="Times New Roman" w:hAnsi="Times New Roman" w:cs="Times New Roman"/>
                <w:b/>
                <w:bCs/>
                <w:szCs w:val="21"/>
              </w:rPr>
            </w:pPr>
          </w:p>
        </w:tc>
        <w:tc>
          <w:tcPr>
            <w:tcW w:w="798" w:type="dxa"/>
            <w:vMerge w:val="continue"/>
            <w:vAlign w:val="center"/>
          </w:tcPr>
          <w:p w14:paraId="3F4CE1C6">
            <w:pPr>
              <w:jc w:val="center"/>
              <w:rPr>
                <w:rFonts w:ascii="Times New Roman" w:hAnsi="Times New Roman" w:cs="Times New Roman"/>
                <w:b/>
                <w:bCs/>
                <w:szCs w:val="21"/>
              </w:rPr>
            </w:pPr>
          </w:p>
        </w:tc>
        <w:tc>
          <w:tcPr>
            <w:tcW w:w="1614" w:type="dxa"/>
            <w:gridSpan w:val="2"/>
            <w:vMerge w:val="continue"/>
            <w:vAlign w:val="center"/>
          </w:tcPr>
          <w:p w14:paraId="3F8CDE15">
            <w:pPr>
              <w:jc w:val="center"/>
              <w:rPr>
                <w:rFonts w:ascii="Times New Roman" w:hAnsi="Times New Roman" w:cs="Times New Roman"/>
                <w:b/>
                <w:bCs/>
                <w:szCs w:val="21"/>
              </w:rPr>
            </w:pPr>
          </w:p>
        </w:tc>
        <w:tc>
          <w:tcPr>
            <w:tcW w:w="718" w:type="dxa"/>
            <w:vMerge w:val="continue"/>
            <w:vAlign w:val="center"/>
          </w:tcPr>
          <w:p w14:paraId="773C78BD">
            <w:pPr>
              <w:jc w:val="center"/>
              <w:rPr>
                <w:rFonts w:ascii="Times New Roman" w:hAnsi="Times New Roman" w:cs="Times New Roman"/>
                <w:b/>
                <w:bCs/>
                <w:szCs w:val="21"/>
              </w:rPr>
            </w:pPr>
          </w:p>
        </w:tc>
        <w:tc>
          <w:tcPr>
            <w:tcW w:w="826" w:type="dxa"/>
            <w:vAlign w:val="center"/>
          </w:tcPr>
          <w:p w14:paraId="4F203073">
            <w:pPr>
              <w:widowControl/>
              <w:contextualSpacing/>
              <w:jc w:val="center"/>
              <w:rPr>
                <w:rFonts w:ascii="Times New Roman" w:hAnsi="Times New Roman" w:cs="Times New Roman"/>
                <w:kern w:val="0"/>
                <w:szCs w:val="21"/>
              </w:rPr>
            </w:pPr>
            <w:r>
              <w:rPr>
                <w:rFonts w:ascii="Times New Roman" w:hAnsi="Times New Roman" w:cs="Times New Roman"/>
                <w:kern w:val="0"/>
                <w:szCs w:val="21"/>
              </w:rPr>
              <w:t>mg/m</w:t>
            </w:r>
            <w:r>
              <w:rPr>
                <w:rFonts w:ascii="Times New Roman" w:hAnsi="Times New Roman" w:cs="Times New Roman"/>
                <w:kern w:val="0"/>
                <w:szCs w:val="21"/>
                <w:vertAlign w:val="superscript"/>
              </w:rPr>
              <w:t>3</w:t>
            </w:r>
          </w:p>
        </w:tc>
        <w:tc>
          <w:tcPr>
            <w:tcW w:w="1018" w:type="dxa"/>
            <w:vAlign w:val="center"/>
          </w:tcPr>
          <w:p w14:paraId="56DA26E2">
            <w:pPr>
              <w:widowControl/>
              <w:contextualSpacing/>
              <w:jc w:val="center"/>
              <w:rPr>
                <w:rFonts w:ascii="Times New Roman" w:hAnsi="Times New Roman" w:cs="Times New Roman"/>
                <w:kern w:val="0"/>
                <w:szCs w:val="21"/>
              </w:rPr>
            </w:pPr>
            <w:r>
              <w:rPr>
                <w:rFonts w:ascii="Times New Roman" w:hAnsi="Times New Roman" w:cs="Times New Roman"/>
                <w:kern w:val="0"/>
                <w:szCs w:val="21"/>
              </w:rPr>
              <w:t>kg/h</w:t>
            </w:r>
          </w:p>
        </w:tc>
        <w:tc>
          <w:tcPr>
            <w:tcW w:w="930" w:type="dxa"/>
            <w:vAlign w:val="center"/>
          </w:tcPr>
          <w:p w14:paraId="11DA5941">
            <w:pPr>
              <w:widowControl/>
              <w:contextualSpacing/>
              <w:jc w:val="center"/>
              <w:rPr>
                <w:rFonts w:ascii="Times New Roman" w:hAnsi="Times New Roman" w:cs="Times New Roman"/>
                <w:kern w:val="0"/>
                <w:szCs w:val="21"/>
              </w:rPr>
            </w:pPr>
            <w:r>
              <w:rPr>
                <w:rFonts w:ascii="Times New Roman" w:hAnsi="Times New Roman" w:cs="Times New Roman"/>
                <w:kern w:val="0"/>
                <w:szCs w:val="21"/>
              </w:rPr>
              <w:t>t/a</w:t>
            </w:r>
          </w:p>
        </w:tc>
        <w:tc>
          <w:tcPr>
            <w:tcW w:w="1042" w:type="dxa"/>
            <w:vMerge w:val="continue"/>
            <w:vAlign w:val="center"/>
          </w:tcPr>
          <w:p w14:paraId="5E658E65">
            <w:pPr>
              <w:jc w:val="center"/>
              <w:rPr>
                <w:rFonts w:ascii="Times New Roman" w:hAnsi="Times New Roman" w:cs="Times New Roman"/>
                <w:szCs w:val="21"/>
              </w:rPr>
            </w:pPr>
          </w:p>
        </w:tc>
        <w:tc>
          <w:tcPr>
            <w:tcW w:w="983" w:type="dxa"/>
            <w:vMerge w:val="continue"/>
            <w:vAlign w:val="center"/>
          </w:tcPr>
          <w:p w14:paraId="445218B9">
            <w:pPr>
              <w:jc w:val="center"/>
              <w:rPr>
                <w:rFonts w:ascii="Times New Roman" w:hAnsi="Times New Roman" w:cs="Times New Roman"/>
                <w:szCs w:val="21"/>
              </w:rPr>
            </w:pPr>
          </w:p>
        </w:tc>
        <w:tc>
          <w:tcPr>
            <w:tcW w:w="1061" w:type="dxa"/>
            <w:vAlign w:val="center"/>
          </w:tcPr>
          <w:p w14:paraId="5DE82533">
            <w:pPr>
              <w:widowControl/>
              <w:contextualSpacing/>
              <w:jc w:val="center"/>
              <w:rPr>
                <w:rFonts w:ascii="Times New Roman" w:hAnsi="Times New Roman" w:cs="Times New Roman"/>
                <w:kern w:val="0"/>
                <w:szCs w:val="21"/>
              </w:rPr>
            </w:pPr>
            <w:r>
              <w:rPr>
                <w:rFonts w:ascii="Times New Roman" w:hAnsi="Times New Roman" w:cs="Times New Roman"/>
                <w:kern w:val="0"/>
                <w:szCs w:val="21"/>
              </w:rPr>
              <w:t>mg/m</w:t>
            </w:r>
            <w:r>
              <w:rPr>
                <w:rFonts w:ascii="Times New Roman" w:hAnsi="Times New Roman" w:cs="Times New Roman"/>
                <w:kern w:val="0"/>
                <w:szCs w:val="21"/>
                <w:vertAlign w:val="superscript"/>
              </w:rPr>
              <w:t>3</w:t>
            </w:r>
          </w:p>
        </w:tc>
        <w:tc>
          <w:tcPr>
            <w:tcW w:w="1028" w:type="dxa"/>
            <w:vAlign w:val="center"/>
          </w:tcPr>
          <w:p w14:paraId="615212B4">
            <w:pPr>
              <w:widowControl/>
              <w:contextualSpacing/>
              <w:jc w:val="center"/>
              <w:rPr>
                <w:rFonts w:ascii="Times New Roman" w:hAnsi="Times New Roman" w:cs="Times New Roman"/>
                <w:kern w:val="0"/>
                <w:szCs w:val="21"/>
              </w:rPr>
            </w:pPr>
            <w:r>
              <w:rPr>
                <w:rFonts w:ascii="Times New Roman" w:hAnsi="Times New Roman" w:cs="Times New Roman"/>
                <w:kern w:val="0"/>
                <w:szCs w:val="21"/>
              </w:rPr>
              <w:t>kg/h</w:t>
            </w:r>
          </w:p>
        </w:tc>
        <w:tc>
          <w:tcPr>
            <w:tcW w:w="1097" w:type="dxa"/>
            <w:vAlign w:val="center"/>
          </w:tcPr>
          <w:p w14:paraId="5FF1FAF6">
            <w:pPr>
              <w:widowControl/>
              <w:contextualSpacing/>
              <w:jc w:val="center"/>
              <w:rPr>
                <w:rFonts w:ascii="Times New Roman" w:hAnsi="Times New Roman" w:cs="Times New Roman"/>
                <w:kern w:val="0"/>
                <w:szCs w:val="21"/>
              </w:rPr>
            </w:pPr>
            <w:r>
              <w:rPr>
                <w:rFonts w:ascii="Times New Roman" w:hAnsi="Times New Roman" w:cs="Times New Roman"/>
                <w:kern w:val="0"/>
                <w:szCs w:val="21"/>
              </w:rPr>
              <w:t>t/a</w:t>
            </w:r>
          </w:p>
        </w:tc>
        <w:tc>
          <w:tcPr>
            <w:tcW w:w="912" w:type="dxa"/>
            <w:vAlign w:val="center"/>
          </w:tcPr>
          <w:p w14:paraId="70CAF476">
            <w:pPr>
              <w:widowControl/>
              <w:contextualSpacing/>
              <w:jc w:val="center"/>
              <w:rPr>
                <w:rFonts w:ascii="Times New Roman" w:hAnsi="Times New Roman" w:cs="Times New Roman"/>
                <w:kern w:val="0"/>
                <w:szCs w:val="21"/>
              </w:rPr>
            </w:pPr>
            <w:r>
              <w:rPr>
                <w:rFonts w:ascii="Times New Roman" w:hAnsi="Times New Roman" w:cs="Times New Roman"/>
                <w:kern w:val="0"/>
                <w:szCs w:val="21"/>
              </w:rPr>
              <w:t>mg/m</w:t>
            </w:r>
            <w:r>
              <w:rPr>
                <w:rFonts w:ascii="Times New Roman" w:hAnsi="Times New Roman" w:cs="Times New Roman"/>
                <w:kern w:val="0"/>
                <w:szCs w:val="21"/>
                <w:vertAlign w:val="superscript"/>
              </w:rPr>
              <w:t>3</w:t>
            </w:r>
          </w:p>
        </w:tc>
        <w:tc>
          <w:tcPr>
            <w:tcW w:w="722" w:type="dxa"/>
            <w:vAlign w:val="center"/>
          </w:tcPr>
          <w:p w14:paraId="7A34BF55">
            <w:pPr>
              <w:widowControl/>
              <w:contextualSpacing/>
              <w:jc w:val="center"/>
              <w:rPr>
                <w:rFonts w:ascii="Times New Roman" w:hAnsi="Times New Roman" w:cs="Times New Roman"/>
                <w:kern w:val="0"/>
                <w:szCs w:val="21"/>
              </w:rPr>
            </w:pPr>
            <w:r>
              <w:rPr>
                <w:rFonts w:ascii="Times New Roman" w:hAnsi="Times New Roman" w:cs="Times New Roman"/>
                <w:kern w:val="0"/>
                <w:szCs w:val="21"/>
              </w:rPr>
              <w:t>kg/h</w:t>
            </w:r>
          </w:p>
        </w:tc>
        <w:tc>
          <w:tcPr>
            <w:tcW w:w="706" w:type="dxa"/>
            <w:vMerge w:val="continue"/>
            <w:vAlign w:val="center"/>
          </w:tcPr>
          <w:p w14:paraId="1F7CC181">
            <w:pPr>
              <w:widowControl/>
              <w:contextualSpacing/>
              <w:jc w:val="center"/>
              <w:rPr>
                <w:rFonts w:ascii="Times New Roman" w:hAnsi="Times New Roman" w:cs="Times New Roman"/>
                <w:b/>
                <w:bCs/>
                <w:kern w:val="0"/>
                <w:szCs w:val="21"/>
              </w:rPr>
            </w:pPr>
          </w:p>
        </w:tc>
      </w:tr>
      <w:tr w14:paraId="6060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12" w:type="dxa"/>
            <w:vMerge w:val="restart"/>
            <w:vAlign w:val="center"/>
          </w:tcPr>
          <w:p w14:paraId="538A1441">
            <w:pPr>
              <w:jc w:val="center"/>
              <w:rPr>
                <w:rFonts w:ascii="Times New Roman" w:hAnsi="Times New Roman" w:cs="Times New Roman"/>
                <w:szCs w:val="21"/>
              </w:rPr>
            </w:pPr>
            <w:r>
              <w:rPr>
                <w:rFonts w:ascii="Times New Roman" w:hAnsi="Times New Roman" w:cs="Times New Roman"/>
                <w:szCs w:val="21"/>
              </w:rPr>
              <w:t>DA00</w:t>
            </w:r>
            <w:r>
              <w:rPr>
                <w:rFonts w:hint="eastAsia" w:ascii="Times New Roman" w:hAnsi="Times New Roman" w:cs="Times New Roman"/>
                <w:szCs w:val="21"/>
              </w:rPr>
              <w:t>1</w:t>
            </w:r>
          </w:p>
          <w:p w14:paraId="59A4A521">
            <w:pPr>
              <w:jc w:val="center"/>
              <w:rPr>
                <w:rFonts w:ascii="Times New Roman" w:hAnsi="Times New Roman" w:cs="Times New Roman"/>
                <w:kern w:val="0"/>
                <w:szCs w:val="21"/>
              </w:rPr>
            </w:pPr>
            <w:r>
              <w:rPr>
                <w:rFonts w:ascii="Times New Roman" w:hAnsi="Times New Roman" w:cs="Times New Roman"/>
                <w:kern w:val="0"/>
                <w:szCs w:val="21"/>
              </w:rPr>
              <w:t>H=</w:t>
            </w:r>
            <w:r>
              <w:rPr>
                <w:rFonts w:hint="eastAsia" w:ascii="Times New Roman" w:hAnsi="Times New Roman" w:cs="Times New Roman"/>
                <w:kern w:val="0"/>
                <w:szCs w:val="21"/>
              </w:rPr>
              <w:t>15</w:t>
            </w:r>
            <w:r>
              <w:rPr>
                <w:rFonts w:ascii="Times New Roman" w:hAnsi="Times New Roman" w:cs="Times New Roman"/>
                <w:kern w:val="0"/>
                <w:szCs w:val="21"/>
              </w:rPr>
              <w:t>m</w:t>
            </w:r>
          </w:p>
          <w:p w14:paraId="5880DD2E">
            <w:pPr>
              <w:pStyle w:val="17"/>
              <w:ind w:firstLine="0"/>
              <w:jc w:val="center"/>
              <w:rPr>
                <w:szCs w:val="21"/>
              </w:rPr>
            </w:pPr>
            <w:r>
              <w:rPr>
                <w:rFonts w:ascii="Times New Roman" w:hAnsi="Times New Roman" w:cs="Times New Roman"/>
                <w:kern w:val="0"/>
                <w:szCs w:val="21"/>
              </w:rPr>
              <w:t>D=</w:t>
            </w:r>
            <w:r>
              <w:rPr>
                <w:rFonts w:hint="eastAsia" w:ascii="Times New Roman" w:hAnsi="Times New Roman" w:cs="Times New Roman"/>
                <w:kern w:val="0"/>
                <w:szCs w:val="21"/>
              </w:rPr>
              <w:t>0.95</w:t>
            </w:r>
            <w:r>
              <w:rPr>
                <w:rFonts w:ascii="Times New Roman" w:hAnsi="Times New Roman" w:cs="Times New Roman"/>
                <w:kern w:val="0"/>
                <w:szCs w:val="21"/>
              </w:rPr>
              <w:t>m</w:t>
            </w:r>
          </w:p>
        </w:tc>
        <w:tc>
          <w:tcPr>
            <w:tcW w:w="798" w:type="dxa"/>
            <w:vMerge w:val="restart"/>
            <w:vAlign w:val="center"/>
          </w:tcPr>
          <w:p w14:paraId="31386DFA">
            <w:pPr>
              <w:jc w:val="center"/>
              <w:rPr>
                <w:rFonts w:ascii="Times New Roman" w:hAnsi="Times New Roman" w:eastAsia="宋体" w:cs="Times New Roman"/>
                <w:szCs w:val="21"/>
              </w:rPr>
            </w:pPr>
            <w:r>
              <w:rPr>
                <w:rFonts w:hint="eastAsia" w:ascii="Times New Roman" w:hAnsi="Times New Roman" w:eastAsia="宋体" w:cs="Times New Roman"/>
                <w:szCs w:val="21"/>
              </w:rPr>
              <w:t>木加工</w:t>
            </w:r>
          </w:p>
        </w:tc>
        <w:tc>
          <w:tcPr>
            <w:tcW w:w="664" w:type="dxa"/>
            <w:vMerge w:val="restart"/>
            <w:tcBorders>
              <w:right w:val="single" w:color="000000" w:sz="4" w:space="0"/>
            </w:tcBorders>
            <w:vAlign w:val="center"/>
          </w:tcPr>
          <w:p w14:paraId="6EF060B7">
            <w:pPr>
              <w:widowControl/>
              <w:jc w:val="center"/>
              <w:textAlignment w:val="center"/>
              <w:rPr>
                <w:rFonts w:ascii="Times New Roman" w:hAnsi="Times New Roman" w:cs="Times New Roman"/>
                <w:szCs w:val="21"/>
              </w:rPr>
            </w:pPr>
            <w:r>
              <w:rPr>
                <w:rStyle w:val="54"/>
                <w:rFonts w:hint="default"/>
                <w:color w:val="auto"/>
                <w:sz w:val="21"/>
                <w:szCs w:val="21"/>
                <w:lang w:bidi="ar"/>
              </w:rPr>
              <w:t>颗粒物</w:t>
            </w:r>
          </w:p>
        </w:tc>
        <w:tc>
          <w:tcPr>
            <w:tcW w:w="950" w:type="dxa"/>
            <w:tcBorders>
              <w:left w:val="single" w:color="000000" w:sz="4" w:space="0"/>
              <w:bottom w:val="single" w:color="000000" w:sz="4" w:space="0"/>
            </w:tcBorders>
            <w:vAlign w:val="center"/>
          </w:tcPr>
          <w:p w14:paraId="6C1EA68F">
            <w:pPr>
              <w:widowControl/>
              <w:jc w:val="center"/>
              <w:textAlignment w:val="center"/>
              <w:rPr>
                <w:rStyle w:val="54"/>
                <w:rFonts w:hint="default"/>
                <w:color w:val="auto"/>
                <w:sz w:val="21"/>
                <w:szCs w:val="21"/>
                <w:lang w:bidi="ar"/>
              </w:rPr>
            </w:pPr>
            <w:r>
              <w:rPr>
                <w:rStyle w:val="54"/>
                <w:rFonts w:hint="default"/>
                <w:color w:val="auto"/>
                <w:sz w:val="21"/>
                <w:szCs w:val="21"/>
                <w:lang w:bidi="ar"/>
              </w:rPr>
              <w:t>有组织</w:t>
            </w:r>
          </w:p>
        </w:tc>
        <w:tc>
          <w:tcPr>
            <w:tcW w:w="718" w:type="dxa"/>
            <w:tcBorders>
              <w:bottom w:val="single" w:color="000000" w:sz="4" w:space="0"/>
            </w:tcBorders>
            <w:vAlign w:val="center"/>
          </w:tcPr>
          <w:p w14:paraId="2D824E38">
            <w:pPr>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21</w:t>
            </w:r>
            <w:r>
              <w:rPr>
                <w:rFonts w:hint="eastAsia" w:ascii="Times New Roman" w:hAnsi="Times New Roman" w:cs="Times New Roman"/>
                <w:szCs w:val="21"/>
                <w:highlight w:val="none"/>
              </w:rPr>
              <w:t>000</w:t>
            </w:r>
          </w:p>
        </w:tc>
        <w:tc>
          <w:tcPr>
            <w:tcW w:w="826" w:type="dxa"/>
            <w:tcBorders>
              <w:bottom w:val="single" w:color="000000" w:sz="4" w:space="0"/>
            </w:tcBorders>
            <w:vAlign w:val="center"/>
          </w:tcPr>
          <w:p w14:paraId="23B0E492">
            <w:pPr>
              <w:widowControl/>
              <w:jc w:val="center"/>
              <w:textAlignment w:val="center"/>
              <w:rPr>
                <w:rFonts w:hint="default" w:ascii="Times New Roman" w:hAnsi="Times New Roman" w:eastAsia="宋体" w:cs="Times New Roman"/>
                <w:kern w:val="0"/>
                <w:szCs w:val="21"/>
                <w:highlight w:val="none"/>
                <w:lang w:val="en-US" w:eastAsia="zh-CN" w:bidi="ar"/>
              </w:rPr>
            </w:pPr>
            <w:r>
              <w:rPr>
                <w:rFonts w:hint="eastAsia" w:ascii="Times New Roman" w:hAnsi="Times New Roman" w:eastAsia="宋体" w:cs="Times New Roman"/>
                <w:kern w:val="0"/>
                <w:szCs w:val="21"/>
                <w:highlight w:val="none"/>
                <w:lang w:val="en-US" w:eastAsia="zh-CN" w:bidi="ar"/>
              </w:rPr>
              <w:t>50</w:t>
            </w:r>
          </w:p>
        </w:tc>
        <w:tc>
          <w:tcPr>
            <w:tcW w:w="1018" w:type="dxa"/>
            <w:tcBorders>
              <w:bottom w:val="single" w:color="000000" w:sz="4" w:space="0"/>
            </w:tcBorders>
            <w:vAlign w:val="center"/>
          </w:tcPr>
          <w:p w14:paraId="10F09073">
            <w:pPr>
              <w:widowControl/>
              <w:jc w:val="center"/>
              <w:textAlignment w:val="center"/>
              <w:rPr>
                <w:rFonts w:hint="default" w:ascii="Times New Roman" w:hAnsi="Times New Roman" w:eastAsia="宋体" w:cs="Times New Roman"/>
                <w:kern w:val="0"/>
                <w:szCs w:val="21"/>
                <w:highlight w:val="none"/>
                <w:lang w:val="en-US" w:eastAsia="zh-CN" w:bidi="ar"/>
              </w:rPr>
            </w:pPr>
            <w:r>
              <w:rPr>
                <w:rFonts w:hint="eastAsia" w:ascii="Times New Roman" w:hAnsi="Times New Roman" w:eastAsia="宋体" w:cs="Times New Roman"/>
                <w:kern w:val="0"/>
                <w:szCs w:val="21"/>
                <w:highlight w:val="none"/>
                <w:lang w:val="en-US" w:eastAsia="zh-CN" w:bidi="ar"/>
              </w:rPr>
              <w:t>1.06</w:t>
            </w:r>
          </w:p>
        </w:tc>
        <w:tc>
          <w:tcPr>
            <w:tcW w:w="930" w:type="dxa"/>
            <w:tcBorders>
              <w:bottom w:val="single" w:color="000000" w:sz="4" w:space="0"/>
            </w:tcBorders>
            <w:vAlign w:val="center"/>
          </w:tcPr>
          <w:p w14:paraId="46ABFE66">
            <w:pPr>
              <w:widowControl/>
              <w:jc w:val="center"/>
              <w:textAlignment w:val="center"/>
              <w:rPr>
                <w:rFonts w:hint="default" w:ascii="Times New Roman" w:hAnsi="Times New Roman" w:eastAsia="宋体" w:cs="Times New Roman"/>
                <w:kern w:val="0"/>
                <w:szCs w:val="21"/>
                <w:highlight w:val="none"/>
                <w:lang w:val="en-US" w:eastAsia="zh-CN" w:bidi="ar"/>
              </w:rPr>
            </w:pPr>
            <w:r>
              <w:rPr>
                <w:rFonts w:hint="eastAsia" w:ascii="Times New Roman" w:hAnsi="Times New Roman" w:eastAsia="宋体" w:cs="Times New Roman"/>
                <w:kern w:val="0"/>
                <w:szCs w:val="21"/>
                <w:highlight w:val="none"/>
                <w:lang w:val="en-US" w:eastAsia="zh-CN" w:bidi="ar"/>
              </w:rPr>
              <w:t>2.552</w:t>
            </w:r>
          </w:p>
        </w:tc>
        <w:tc>
          <w:tcPr>
            <w:tcW w:w="1042" w:type="dxa"/>
            <w:vMerge w:val="restart"/>
            <w:vAlign w:val="center"/>
          </w:tcPr>
          <w:p w14:paraId="05ED2D99">
            <w:pPr>
              <w:jc w:val="center"/>
              <w:rPr>
                <w:rFonts w:ascii="Times New Roman" w:hAnsi="Times New Roman" w:cs="Times New Roman"/>
                <w:szCs w:val="21"/>
                <w:highlight w:val="none"/>
              </w:rPr>
            </w:pPr>
            <w:r>
              <w:rPr>
                <w:rFonts w:hint="eastAsia" w:ascii="Times New Roman" w:hAnsi="Times New Roman" w:cs="Times New Roman"/>
                <w:szCs w:val="21"/>
                <w:highlight w:val="none"/>
              </w:rPr>
              <w:t>集气罩+中央除尘器系统</w:t>
            </w:r>
          </w:p>
        </w:tc>
        <w:tc>
          <w:tcPr>
            <w:tcW w:w="983" w:type="dxa"/>
            <w:tcBorders>
              <w:bottom w:val="single" w:color="000000" w:sz="4" w:space="0"/>
            </w:tcBorders>
            <w:vAlign w:val="center"/>
          </w:tcPr>
          <w:p w14:paraId="5D5C5FF9">
            <w:pPr>
              <w:widowControl/>
              <w:jc w:val="center"/>
              <w:textAlignment w:val="center"/>
              <w:rPr>
                <w:rFonts w:ascii="Times New Roman" w:hAnsi="Times New Roman" w:eastAsia="宋体" w:cs="Times New Roman"/>
                <w:kern w:val="0"/>
                <w:szCs w:val="21"/>
                <w:highlight w:val="yellow"/>
                <w:lang w:bidi="ar"/>
              </w:rPr>
            </w:pPr>
            <w:r>
              <w:rPr>
                <w:rFonts w:hint="eastAsia" w:ascii="Times New Roman" w:hAnsi="Times New Roman" w:eastAsia="宋体" w:cs="Times New Roman"/>
                <w:kern w:val="0"/>
                <w:szCs w:val="21"/>
                <w:highlight w:val="none"/>
                <w:lang w:bidi="ar"/>
              </w:rPr>
              <w:t>99</w:t>
            </w:r>
          </w:p>
        </w:tc>
        <w:tc>
          <w:tcPr>
            <w:tcW w:w="1061" w:type="dxa"/>
            <w:tcBorders>
              <w:bottom w:val="single" w:color="000000" w:sz="4" w:space="0"/>
            </w:tcBorders>
            <w:vAlign w:val="center"/>
          </w:tcPr>
          <w:p w14:paraId="7E321D0E">
            <w:pPr>
              <w:widowControl/>
              <w:jc w:val="center"/>
              <w:textAlignment w:val="center"/>
              <w:rPr>
                <w:rFonts w:hint="default" w:ascii="Times New Roman" w:hAnsi="Times New Roman" w:eastAsia="宋体" w:cs="Times New Roman"/>
                <w:kern w:val="0"/>
                <w:szCs w:val="21"/>
                <w:highlight w:val="yellow"/>
                <w:lang w:val="en-US" w:eastAsia="zh-CN" w:bidi="ar"/>
              </w:rPr>
            </w:pPr>
            <w:r>
              <w:rPr>
                <w:rFonts w:hint="eastAsia" w:ascii="Times New Roman" w:hAnsi="Times New Roman" w:eastAsia="宋体" w:cs="Times New Roman"/>
                <w:kern w:val="0"/>
                <w:szCs w:val="21"/>
                <w:highlight w:val="none"/>
                <w:lang w:val="en-US" w:eastAsia="zh-CN" w:bidi="ar"/>
              </w:rPr>
              <w:t>0.52</w:t>
            </w:r>
          </w:p>
        </w:tc>
        <w:tc>
          <w:tcPr>
            <w:tcW w:w="1028" w:type="dxa"/>
            <w:tcBorders>
              <w:bottom w:val="single" w:color="000000" w:sz="4" w:space="0"/>
            </w:tcBorders>
            <w:shd w:val="clear" w:color="auto" w:fill="auto"/>
            <w:vAlign w:val="center"/>
          </w:tcPr>
          <w:p w14:paraId="0D0CD0B9">
            <w:pPr>
              <w:widowControl/>
              <w:jc w:val="center"/>
              <w:textAlignment w:val="center"/>
              <w:rPr>
                <w:rFonts w:hint="default" w:ascii="Times New Roman" w:hAnsi="Times New Roman" w:eastAsia="宋体" w:cs="Times New Roman"/>
                <w:kern w:val="0"/>
                <w:szCs w:val="21"/>
                <w:highlight w:val="none"/>
                <w:lang w:val="en-US" w:eastAsia="zh-CN" w:bidi="ar"/>
              </w:rPr>
            </w:pPr>
            <w:r>
              <w:rPr>
                <w:rFonts w:hint="eastAsia" w:ascii="Times New Roman" w:hAnsi="Times New Roman" w:eastAsia="宋体" w:cs="Times New Roman"/>
                <w:kern w:val="0"/>
                <w:szCs w:val="21"/>
                <w:highlight w:val="none"/>
                <w:lang w:bidi="ar"/>
              </w:rPr>
              <w:t>0.0</w:t>
            </w:r>
            <w:r>
              <w:rPr>
                <w:rFonts w:hint="eastAsia" w:ascii="Times New Roman" w:hAnsi="Times New Roman" w:eastAsia="宋体" w:cs="Times New Roman"/>
                <w:kern w:val="0"/>
                <w:szCs w:val="21"/>
                <w:highlight w:val="none"/>
                <w:lang w:val="en-US" w:eastAsia="zh-CN" w:bidi="ar"/>
              </w:rPr>
              <w:t>11</w:t>
            </w:r>
          </w:p>
        </w:tc>
        <w:tc>
          <w:tcPr>
            <w:tcW w:w="1097" w:type="dxa"/>
            <w:tcBorders>
              <w:bottom w:val="single" w:color="000000" w:sz="4" w:space="0"/>
            </w:tcBorders>
            <w:shd w:val="clear" w:color="auto" w:fill="auto"/>
            <w:vAlign w:val="center"/>
          </w:tcPr>
          <w:p w14:paraId="2863AB5A">
            <w:pPr>
              <w:widowControl/>
              <w:jc w:val="center"/>
              <w:textAlignment w:val="center"/>
              <w:rPr>
                <w:rFonts w:hint="default" w:ascii="Times New Roman" w:hAnsi="Times New Roman" w:eastAsia="宋体" w:cs="Times New Roman"/>
                <w:kern w:val="0"/>
                <w:szCs w:val="21"/>
                <w:highlight w:val="none"/>
                <w:lang w:val="en-US" w:eastAsia="zh-CN" w:bidi="ar"/>
              </w:rPr>
            </w:pPr>
            <w:r>
              <w:rPr>
                <w:rFonts w:hint="eastAsia" w:ascii="Times New Roman" w:hAnsi="Times New Roman" w:eastAsia="宋体" w:cs="Times New Roman"/>
                <w:kern w:val="0"/>
                <w:szCs w:val="21"/>
                <w:highlight w:val="none"/>
                <w:lang w:bidi="ar"/>
              </w:rPr>
              <w:t>0.</w:t>
            </w:r>
            <w:r>
              <w:rPr>
                <w:rFonts w:hint="eastAsia" w:ascii="Times New Roman" w:hAnsi="Times New Roman" w:eastAsia="宋体" w:cs="Times New Roman"/>
                <w:kern w:val="0"/>
                <w:szCs w:val="21"/>
                <w:highlight w:val="none"/>
                <w:lang w:val="en-US" w:eastAsia="zh-CN" w:bidi="ar"/>
              </w:rPr>
              <w:t>026</w:t>
            </w:r>
          </w:p>
        </w:tc>
        <w:tc>
          <w:tcPr>
            <w:tcW w:w="912" w:type="dxa"/>
            <w:tcBorders>
              <w:bottom w:val="single" w:color="000000" w:sz="4" w:space="0"/>
            </w:tcBorders>
            <w:shd w:val="clear" w:color="auto" w:fill="auto"/>
            <w:vAlign w:val="center"/>
          </w:tcPr>
          <w:p w14:paraId="1CE0851F">
            <w:pPr>
              <w:widowControl/>
              <w:jc w:val="center"/>
              <w:textAlignment w:val="center"/>
              <w:rPr>
                <w:rFonts w:ascii="Times New Roman" w:hAnsi="Times New Roman" w:eastAsia="宋体" w:cs="Times New Roman"/>
                <w:kern w:val="0"/>
                <w:szCs w:val="21"/>
                <w:highlight w:val="none"/>
                <w:lang w:bidi="ar"/>
              </w:rPr>
            </w:pPr>
            <w:r>
              <w:rPr>
                <w:rFonts w:ascii="Times New Roman" w:hAnsi="Times New Roman" w:eastAsia="宋体" w:cs="Times New Roman"/>
                <w:kern w:val="0"/>
                <w:szCs w:val="21"/>
                <w:highlight w:val="none"/>
                <w:lang w:bidi="ar"/>
              </w:rPr>
              <w:t>10</w:t>
            </w:r>
          </w:p>
        </w:tc>
        <w:tc>
          <w:tcPr>
            <w:tcW w:w="722" w:type="dxa"/>
            <w:tcBorders>
              <w:bottom w:val="single" w:color="000000" w:sz="4" w:space="0"/>
            </w:tcBorders>
            <w:shd w:val="clear" w:color="auto" w:fill="auto"/>
            <w:vAlign w:val="center"/>
          </w:tcPr>
          <w:p w14:paraId="5021DB4F">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kern w:val="0"/>
                <w:szCs w:val="21"/>
                <w:highlight w:val="none"/>
                <w:lang w:bidi="ar"/>
              </w:rPr>
              <w:t>3.5</w:t>
            </w:r>
          </w:p>
        </w:tc>
        <w:tc>
          <w:tcPr>
            <w:tcW w:w="706" w:type="dxa"/>
            <w:vMerge w:val="restart"/>
            <w:vAlign w:val="center"/>
          </w:tcPr>
          <w:p w14:paraId="3EBB00C1">
            <w:pPr>
              <w:jc w:val="center"/>
              <w:rPr>
                <w:rFonts w:ascii="Times New Roman" w:hAnsi="Times New Roman" w:eastAsia="宋体" w:cs="Times New Roman"/>
                <w:szCs w:val="21"/>
              </w:rPr>
            </w:pPr>
            <w:r>
              <w:rPr>
                <w:rFonts w:hint="eastAsia" w:ascii="Times New Roman" w:hAnsi="Times New Roman" w:eastAsia="宋体" w:cs="Times New Roman"/>
                <w:szCs w:val="21"/>
              </w:rPr>
              <w:t>2400</w:t>
            </w:r>
          </w:p>
        </w:tc>
      </w:tr>
      <w:tr w14:paraId="1B04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12" w:type="dxa"/>
            <w:vMerge w:val="continue"/>
            <w:tcBorders>
              <w:bottom w:val="single" w:color="000000" w:sz="4" w:space="0"/>
            </w:tcBorders>
            <w:vAlign w:val="center"/>
          </w:tcPr>
          <w:p w14:paraId="77579D8B">
            <w:pPr>
              <w:pStyle w:val="17"/>
              <w:ind w:firstLine="0"/>
              <w:jc w:val="center"/>
              <w:rPr>
                <w:rFonts w:ascii="Times New Roman" w:hAnsi="Times New Roman" w:cs="Times New Roman"/>
                <w:kern w:val="0"/>
                <w:szCs w:val="21"/>
              </w:rPr>
            </w:pPr>
          </w:p>
        </w:tc>
        <w:tc>
          <w:tcPr>
            <w:tcW w:w="798" w:type="dxa"/>
            <w:vMerge w:val="continue"/>
            <w:tcBorders>
              <w:bottom w:val="single" w:color="000000" w:sz="4" w:space="0"/>
            </w:tcBorders>
            <w:vAlign w:val="center"/>
          </w:tcPr>
          <w:p w14:paraId="7031B9C2">
            <w:pPr>
              <w:jc w:val="center"/>
              <w:rPr>
                <w:rFonts w:ascii="Times New Roman" w:hAnsi="Times New Roman" w:eastAsia="宋体" w:cs="Times New Roman"/>
                <w:szCs w:val="21"/>
              </w:rPr>
            </w:pPr>
          </w:p>
        </w:tc>
        <w:tc>
          <w:tcPr>
            <w:tcW w:w="664" w:type="dxa"/>
            <w:vMerge w:val="continue"/>
            <w:tcBorders>
              <w:bottom w:val="single" w:color="000000" w:sz="4" w:space="0"/>
              <w:right w:val="single" w:color="000000" w:sz="4" w:space="0"/>
            </w:tcBorders>
            <w:vAlign w:val="center"/>
          </w:tcPr>
          <w:p w14:paraId="59F42ED5">
            <w:pPr>
              <w:widowControl/>
              <w:jc w:val="center"/>
              <w:textAlignment w:val="center"/>
              <w:rPr>
                <w:rStyle w:val="54"/>
                <w:rFonts w:hint="default"/>
                <w:color w:val="auto"/>
                <w:sz w:val="21"/>
                <w:szCs w:val="21"/>
                <w:lang w:bidi="ar"/>
              </w:rPr>
            </w:pPr>
          </w:p>
        </w:tc>
        <w:tc>
          <w:tcPr>
            <w:tcW w:w="950" w:type="dxa"/>
            <w:tcBorders>
              <w:top w:val="single" w:color="000000" w:sz="4" w:space="0"/>
              <w:left w:val="single" w:color="000000" w:sz="4" w:space="0"/>
              <w:bottom w:val="single" w:color="000000" w:sz="4" w:space="0"/>
            </w:tcBorders>
            <w:vAlign w:val="center"/>
          </w:tcPr>
          <w:p w14:paraId="186F0B8E">
            <w:pPr>
              <w:widowControl/>
              <w:jc w:val="center"/>
              <w:textAlignment w:val="center"/>
              <w:rPr>
                <w:rStyle w:val="54"/>
                <w:rFonts w:hint="default"/>
                <w:color w:val="auto"/>
                <w:sz w:val="21"/>
                <w:szCs w:val="21"/>
                <w:lang w:bidi="ar"/>
              </w:rPr>
            </w:pPr>
            <w:r>
              <w:rPr>
                <w:rStyle w:val="54"/>
                <w:rFonts w:hint="default"/>
                <w:color w:val="auto"/>
                <w:sz w:val="21"/>
                <w:szCs w:val="21"/>
                <w:lang w:bidi="ar"/>
              </w:rPr>
              <w:t>无组织</w:t>
            </w:r>
          </w:p>
        </w:tc>
        <w:tc>
          <w:tcPr>
            <w:tcW w:w="718" w:type="dxa"/>
            <w:tcBorders>
              <w:top w:val="single" w:color="000000" w:sz="4" w:space="0"/>
              <w:bottom w:val="single" w:color="000000" w:sz="4" w:space="0"/>
            </w:tcBorders>
            <w:vAlign w:val="center"/>
          </w:tcPr>
          <w:p w14:paraId="4CE5C37D">
            <w:pPr>
              <w:jc w:val="center"/>
              <w:rPr>
                <w:rFonts w:ascii="Times New Roman" w:hAnsi="Times New Roman" w:cs="Times New Roman"/>
                <w:szCs w:val="21"/>
                <w:highlight w:val="none"/>
              </w:rPr>
            </w:pPr>
            <w:r>
              <w:rPr>
                <w:rFonts w:hint="eastAsia" w:ascii="Times New Roman" w:hAnsi="Times New Roman" w:cs="Times New Roman"/>
                <w:szCs w:val="21"/>
                <w:highlight w:val="none"/>
              </w:rPr>
              <w:t>/</w:t>
            </w:r>
          </w:p>
        </w:tc>
        <w:tc>
          <w:tcPr>
            <w:tcW w:w="826" w:type="dxa"/>
            <w:tcBorders>
              <w:top w:val="single" w:color="000000" w:sz="4" w:space="0"/>
              <w:bottom w:val="single" w:color="000000" w:sz="4" w:space="0"/>
            </w:tcBorders>
            <w:vAlign w:val="center"/>
          </w:tcPr>
          <w:p w14:paraId="5200A905">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kern w:val="0"/>
                <w:szCs w:val="21"/>
                <w:highlight w:val="none"/>
                <w:lang w:bidi="ar"/>
              </w:rPr>
              <w:t>/</w:t>
            </w:r>
          </w:p>
        </w:tc>
        <w:tc>
          <w:tcPr>
            <w:tcW w:w="1018" w:type="dxa"/>
            <w:tcBorders>
              <w:top w:val="single" w:color="000000" w:sz="4" w:space="0"/>
              <w:bottom w:val="single" w:color="000000" w:sz="4" w:space="0"/>
            </w:tcBorders>
            <w:vAlign w:val="center"/>
          </w:tcPr>
          <w:p w14:paraId="77EFBB82">
            <w:pPr>
              <w:widowControl/>
              <w:jc w:val="center"/>
              <w:textAlignment w:val="center"/>
              <w:rPr>
                <w:rFonts w:hint="default" w:ascii="Times New Roman" w:hAnsi="Times New Roman" w:eastAsia="宋体" w:cs="Times New Roman"/>
                <w:kern w:val="0"/>
                <w:szCs w:val="21"/>
                <w:highlight w:val="none"/>
                <w:lang w:val="en-US" w:eastAsia="zh-CN" w:bidi="ar"/>
              </w:rPr>
            </w:pPr>
            <w:r>
              <w:rPr>
                <w:rFonts w:hint="eastAsia" w:ascii="Times New Roman" w:hAnsi="Times New Roman" w:eastAsia="宋体" w:cs="Times New Roman"/>
                <w:kern w:val="0"/>
                <w:szCs w:val="21"/>
                <w:highlight w:val="none"/>
                <w:lang w:val="en-US" w:eastAsia="zh-CN" w:bidi="ar"/>
              </w:rPr>
              <w:t>0.118</w:t>
            </w:r>
          </w:p>
        </w:tc>
        <w:tc>
          <w:tcPr>
            <w:tcW w:w="930" w:type="dxa"/>
            <w:tcBorders>
              <w:top w:val="single" w:color="000000" w:sz="4" w:space="0"/>
              <w:bottom w:val="single" w:color="000000" w:sz="4" w:space="0"/>
            </w:tcBorders>
            <w:vAlign w:val="center"/>
          </w:tcPr>
          <w:p w14:paraId="62CE5EB8">
            <w:pPr>
              <w:widowControl/>
              <w:jc w:val="center"/>
              <w:textAlignment w:val="center"/>
              <w:rPr>
                <w:rFonts w:hint="default" w:ascii="Times New Roman" w:hAnsi="Times New Roman" w:eastAsia="宋体" w:cs="Times New Roman"/>
                <w:kern w:val="0"/>
                <w:szCs w:val="21"/>
                <w:highlight w:val="none"/>
                <w:lang w:val="en-US" w:eastAsia="zh-CN" w:bidi="ar"/>
              </w:rPr>
            </w:pPr>
            <w:r>
              <w:rPr>
                <w:rFonts w:hint="eastAsia" w:ascii="Times New Roman" w:hAnsi="Times New Roman" w:eastAsia="宋体" w:cs="Times New Roman"/>
                <w:kern w:val="0"/>
                <w:szCs w:val="21"/>
                <w:highlight w:val="none"/>
                <w:lang w:val="en-US" w:eastAsia="zh-CN" w:bidi="ar"/>
              </w:rPr>
              <w:t>0.284</w:t>
            </w:r>
          </w:p>
        </w:tc>
        <w:tc>
          <w:tcPr>
            <w:tcW w:w="1042" w:type="dxa"/>
            <w:vMerge w:val="continue"/>
            <w:tcBorders>
              <w:bottom w:val="single" w:color="000000" w:sz="4" w:space="0"/>
            </w:tcBorders>
            <w:vAlign w:val="center"/>
          </w:tcPr>
          <w:p w14:paraId="504F8DEF">
            <w:pPr>
              <w:jc w:val="center"/>
              <w:rPr>
                <w:rFonts w:ascii="Times New Roman" w:hAnsi="Times New Roman" w:cs="Times New Roman"/>
                <w:szCs w:val="21"/>
                <w:highlight w:val="yellow"/>
              </w:rPr>
            </w:pPr>
          </w:p>
        </w:tc>
        <w:tc>
          <w:tcPr>
            <w:tcW w:w="983" w:type="dxa"/>
            <w:tcBorders>
              <w:top w:val="single" w:color="000000" w:sz="4" w:space="0"/>
              <w:bottom w:val="single" w:color="000000" w:sz="4" w:space="0"/>
            </w:tcBorders>
            <w:vAlign w:val="center"/>
          </w:tcPr>
          <w:p w14:paraId="53354FF2">
            <w:pPr>
              <w:jc w:val="center"/>
              <w:rPr>
                <w:rFonts w:ascii="Times New Roman" w:hAnsi="Times New Roman" w:eastAsia="宋体" w:cs="Times New Roman"/>
                <w:kern w:val="0"/>
                <w:szCs w:val="21"/>
                <w:highlight w:val="none"/>
                <w:lang w:bidi="ar"/>
              </w:rPr>
            </w:pPr>
            <w:r>
              <w:rPr>
                <w:rFonts w:hint="eastAsia" w:ascii="Times New Roman" w:hAnsi="Times New Roman" w:cs="Times New Roman"/>
                <w:szCs w:val="21"/>
                <w:highlight w:val="none"/>
              </w:rPr>
              <w:t>/</w:t>
            </w:r>
          </w:p>
        </w:tc>
        <w:tc>
          <w:tcPr>
            <w:tcW w:w="1061" w:type="dxa"/>
            <w:tcBorders>
              <w:top w:val="single" w:color="000000" w:sz="4" w:space="0"/>
              <w:bottom w:val="single" w:color="000000" w:sz="4" w:space="0"/>
            </w:tcBorders>
            <w:vAlign w:val="center"/>
          </w:tcPr>
          <w:p w14:paraId="315223A1">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kern w:val="0"/>
                <w:szCs w:val="21"/>
                <w:highlight w:val="none"/>
                <w:lang w:bidi="ar"/>
              </w:rPr>
              <w:t>/</w:t>
            </w:r>
          </w:p>
        </w:tc>
        <w:tc>
          <w:tcPr>
            <w:tcW w:w="1028" w:type="dxa"/>
            <w:tcBorders>
              <w:top w:val="single" w:color="000000" w:sz="4" w:space="0"/>
              <w:bottom w:val="single" w:color="000000" w:sz="4" w:space="0"/>
            </w:tcBorders>
            <w:vAlign w:val="center"/>
          </w:tcPr>
          <w:p w14:paraId="7727A228">
            <w:pPr>
              <w:widowControl/>
              <w:jc w:val="center"/>
              <w:textAlignment w:val="center"/>
              <w:rPr>
                <w:rFonts w:hint="default" w:ascii="Times New Roman" w:hAnsi="Times New Roman" w:eastAsia="宋体" w:cs="Times New Roman"/>
                <w:kern w:val="0"/>
                <w:szCs w:val="21"/>
                <w:highlight w:val="none"/>
                <w:lang w:val="en-US" w:eastAsia="zh-CN" w:bidi="ar"/>
              </w:rPr>
            </w:pPr>
            <w:r>
              <w:rPr>
                <w:rFonts w:hint="eastAsia" w:ascii="Times New Roman" w:hAnsi="Times New Roman" w:eastAsia="宋体" w:cs="Times New Roman"/>
                <w:kern w:val="0"/>
                <w:szCs w:val="21"/>
                <w:highlight w:val="none"/>
                <w:lang w:val="en-US" w:eastAsia="zh-CN" w:bidi="ar"/>
              </w:rPr>
              <w:t>0.118</w:t>
            </w:r>
          </w:p>
        </w:tc>
        <w:tc>
          <w:tcPr>
            <w:tcW w:w="1097" w:type="dxa"/>
            <w:tcBorders>
              <w:top w:val="single" w:color="000000" w:sz="4" w:space="0"/>
            </w:tcBorders>
            <w:vAlign w:val="center"/>
          </w:tcPr>
          <w:p w14:paraId="245CB6E6">
            <w:pPr>
              <w:widowControl/>
              <w:jc w:val="center"/>
              <w:textAlignment w:val="center"/>
              <w:rPr>
                <w:rFonts w:hint="default" w:ascii="Times New Roman" w:hAnsi="Times New Roman" w:eastAsia="宋体" w:cs="Times New Roman"/>
                <w:kern w:val="0"/>
                <w:szCs w:val="21"/>
                <w:highlight w:val="none"/>
                <w:lang w:val="en-US" w:eastAsia="zh-CN" w:bidi="ar"/>
              </w:rPr>
            </w:pPr>
            <w:r>
              <w:rPr>
                <w:rFonts w:hint="eastAsia" w:ascii="Times New Roman" w:hAnsi="Times New Roman" w:eastAsia="宋体" w:cs="Times New Roman"/>
                <w:kern w:val="0"/>
                <w:szCs w:val="21"/>
                <w:highlight w:val="none"/>
                <w:lang w:val="en-US" w:eastAsia="zh-CN" w:bidi="ar"/>
              </w:rPr>
              <w:t>0.284</w:t>
            </w:r>
          </w:p>
        </w:tc>
        <w:tc>
          <w:tcPr>
            <w:tcW w:w="912" w:type="dxa"/>
            <w:tcBorders>
              <w:top w:val="single" w:color="000000" w:sz="4" w:space="0"/>
            </w:tcBorders>
            <w:vAlign w:val="center"/>
          </w:tcPr>
          <w:p w14:paraId="452EBE14">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kern w:val="0"/>
                <w:szCs w:val="21"/>
                <w:highlight w:val="none"/>
                <w:lang w:bidi="ar"/>
              </w:rPr>
              <w:t>1.0</w:t>
            </w:r>
          </w:p>
        </w:tc>
        <w:tc>
          <w:tcPr>
            <w:tcW w:w="722" w:type="dxa"/>
            <w:tcBorders>
              <w:top w:val="single" w:color="000000" w:sz="4" w:space="0"/>
            </w:tcBorders>
            <w:vAlign w:val="center"/>
          </w:tcPr>
          <w:p w14:paraId="0EF5C28D">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kern w:val="0"/>
                <w:szCs w:val="21"/>
                <w:highlight w:val="none"/>
                <w:lang w:bidi="ar"/>
              </w:rPr>
              <w:t>/</w:t>
            </w:r>
          </w:p>
        </w:tc>
        <w:tc>
          <w:tcPr>
            <w:tcW w:w="706" w:type="dxa"/>
            <w:vMerge w:val="continue"/>
            <w:vAlign w:val="center"/>
          </w:tcPr>
          <w:p w14:paraId="1D94297A">
            <w:pPr>
              <w:jc w:val="center"/>
              <w:rPr>
                <w:rFonts w:ascii="Times New Roman" w:hAnsi="Times New Roman" w:eastAsia="宋体" w:cs="Times New Roman"/>
                <w:szCs w:val="21"/>
              </w:rPr>
            </w:pPr>
          </w:p>
        </w:tc>
      </w:tr>
      <w:tr w14:paraId="4CC9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012" w:type="dxa"/>
            <w:tcBorders>
              <w:top w:val="single" w:color="000000" w:sz="4" w:space="0"/>
            </w:tcBorders>
            <w:vAlign w:val="center"/>
          </w:tcPr>
          <w:p w14:paraId="6B466C1C">
            <w:pPr>
              <w:jc w:val="center"/>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w:t>
            </w:r>
          </w:p>
        </w:tc>
        <w:tc>
          <w:tcPr>
            <w:tcW w:w="798" w:type="dxa"/>
            <w:tcBorders>
              <w:top w:val="single" w:color="000000" w:sz="4" w:space="0"/>
            </w:tcBorders>
            <w:vAlign w:val="center"/>
          </w:tcPr>
          <w:p w14:paraId="0DD39953">
            <w:pPr>
              <w:jc w:val="center"/>
              <w:rPr>
                <w:rFonts w:ascii="Times New Roman" w:hAnsi="Times New Roman" w:eastAsia="宋体" w:cs="Times New Roman"/>
                <w:szCs w:val="21"/>
              </w:rPr>
            </w:pPr>
            <w:r>
              <w:rPr>
                <w:rFonts w:hint="eastAsia"/>
                <w:szCs w:val="21"/>
              </w:rPr>
              <w:t>修正、油磨</w:t>
            </w:r>
          </w:p>
        </w:tc>
        <w:tc>
          <w:tcPr>
            <w:tcW w:w="664" w:type="dxa"/>
            <w:tcBorders>
              <w:top w:val="single" w:color="000000" w:sz="4" w:space="0"/>
              <w:right w:val="single" w:color="000000" w:sz="4" w:space="0"/>
            </w:tcBorders>
            <w:vAlign w:val="center"/>
          </w:tcPr>
          <w:p w14:paraId="22E23532">
            <w:pPr>
              <w:widowControl/>
              <w:jc w:val="center"/>
              <w:textAlignment w:val="center"/>
              <w:rPr>
                <w:rFonts w:ascii="Times New Roman" w:hAnsi="Times New Roman" w:cs="Times New Roman"/>
                <w:szCs w:val="21"/>
              </w:rPr>
            </w:pPr>
            <w:r>
              <w:rPr>
                <w:rStyle w:val="54"/>
                <w:rFonts w:hint="default"/>
                <w:color w:val="auto"/>
                <w:sz w:val="21"/>
                <w:szCs w:val="21"/>
                <w:lang w:bidi="ar"/>
              </w:rPr>
              <w:t>颗粒物</w:t>
            </w:r>
          </w:p>
        </w:tc>
        <w:tc>
          <w:tcPr>
            <w:tcW w:w="950" w:type="dxa"/>
            <w:tcBorders>
              <w:top w:val="single" w:color="000000" w:sz="4" w:space="0"/>
              <w:left w:val="single" w:color="000000" w:sz="4" w:space="0"/>
              <w:bottom w:val="single" w:color="000000" w:sz="4" w:space="0"/>
            </w:tcBorders>
            <w:vAlign w:val="center"/>
          </w:tcPr>
          <w:p w14:paraId="3C1496CA">
            <w:pPr>
              <w:widowControl/>
              <w:jc w:val="center"/>
              <w:textAlignment w:val="center"/>
              <w:rPr>
                <w:rStyle w:val="55"/>
                <w:rFonts w:eastAsia="宋体"/>
                <w:color w:val="auto"/>
                <w:sz w:val="21"/>
                <w:szCs w:val="21"/>
                <w:lang w:bidi="ar"/>
              </w:rPr>
            </w:pPr>
            <w:r>
              <w:rPr>
                <w:rStyle w:val="55"/>
                <w:rFonts w:hint="eastAsia" w:eastAsia="宋体"/>
                <w:color w:val="auto"/>
                <w:sz w:val="21"/>
                <w:szCs w:val="21"/>
                <w:lang w:val="en-US" w:eastAsia="zh-CN" w:bidi="ar"/>
              </w:rPr>
              <w:t>无</w:t>
            </w:r>
            <w:r>
              <w:rPr>
                <w:rStyle w:val="55"/>
                <w:rFonts w:hint="eastAsia" w:eastAsia="宋体"/>
                <w:color w:val="auto"/>
                <w:sz w:val="21"/>
                <w:szCs w:val="21"/>
                <w:lang w:bidi="ar"/>
              </w:rPr>
              <w:t>组织</w:t>
            </w:r>
          </w:p>
        </w:tc>
        <w:tc>
          <w:tcPr>
            <w:tcW w:w="718" w:type="dxa"/>
            <w:tcBorders>
              <w:top w:val="single" w:color="000000" w:sz="4" w:space="0"/>
              <w:bottom w:val="single" w:color="000000" w:sz="4" w:space="0"/>
            </w:tcBorders>
            <w:vAlign w:val="center"/>
          </w:tcPr>
          <w:p w14:paraId="2B76A9EF">
            <w:pPr>
              <w:jc w:val="center"/>
              <w:rPr>
                <w:rFonts w:ascii="Times New Roman" w:hAnsi="Times New Roman" w:cs="Times New Roman"/>
                <w:szCs w:val="21"/>
              </w:rPr>
            </w:pPr>
            <w:r>
              <w:rPr>
                <w:rFonts w:hint="eastAsia" w:ascii="Times New Roman" w:hAnsi="Times New Roman" w:cs="Times New Roman"/>
                <w:szCs w:val="21"/>
              </w:rPr>
              <w:t>5000</w:t>
            </w:r>
          </w:p>
        </w:tc>
        <w:tc>
          <w:tcPr>
            <w:tcW w:w="826" w:type="dxa"/>
            <w:tcBorders>
              <w:top w:val="single" w:color="000000" w:sz="4" w:space="0"/>
              <w:bottom w:val="single" w:color="000000" w:sz="4" w:space="0"/>
            </w:tcBorders>
            <w:vAlign w:val="center"/>
          </w:tcPr>
          <w:p w14:paraId="51DB611D">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74.4</w:t>
            </w:r>
          </w:p>
        </w:tc>
        <w:tc>
          <w:tcPr>
            <w:tcW w:w="1018" w:type="dxa"/>
            <w:tcBorders>
              <w:top w:val="single" w:color="000000" w:sz="4" w:space="0"/>
              <w:bottom w:val="single" w:color="000000" w:sz="4" w:space="0"/>
            </w:tcBorders>
            <w:vAlign w:val="center"/>
          </w:tcPr>
          <w:p w14:paraId="3F647CDE">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0.372</w:t>
            </w:r>
          </w:p>
        </w:tc>
        <w:tc>
          <w:tcPr>
            <w:tcW w:w="930" w:type="dxa"/>
            <w:tcBorders>
              <w:top w:val="single" w:color="000000" w:sz="4" w:space="0"/>
              <w:bottom w:val="single" w:color="000000" w:sz="4" w:space="0"/>
            </w:tcBorders>
            <w:vAlign w:val="center"/>
          </w:tcPr>
          <w:p w14:paraId="0E46ABD8">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0.893</w:t>
            </w:r>
          </w:p>
        </w:tc>
        <w:tc>
          <w:tcPr>
            <w:tcW w:w="1042" w:type="dxa"/>
            <w:tcBorders>
              <w:top w:val="single" w:color="000000" w:sz="4" w:space="0"/>
              <w:bottom w:val="single" w:color="000000" w:sz="4" w:space="0"/>
            </w:tcBorders>
            <w:vAlign w:val="center"/>
          </w:tcPr>
          <w:p w14:paraId="0E16A645">
            <w:pPr>
              <w:jc w:val="center"/>
              <w:rPr>
                <w:rFonts w:ascii="Times New Roman" w:hAnsi="Times New Roman" w:cs="Times New Roman"/>
                <w:szCs w:val="21"/>
              </w:rPr>
            </w:pPr>
            <w:r>
              <w:rPr>
                <w:rFonts w:hint="eastAsia" w:ascii="Times New Roman" w:hAnsi="Times New Roman" w:cs="Times New Roman"/>
                <w:szCs w:val="21"/>
              </w:rPr>
              <w:t>负压</w:t>
            </w:r>
            <w:r>
              <w:rPr>
                <w:rFonts w:ascii="Times New Roman" w:hAnsi="Times New Roman" w:cs="Times New Roman"/>
                <w:szCs w:val="21"/>
              </w:rPr>
              <w:t>脉冲布袋除尘器</w:t>
            </w:r>
          </w:p>
        </w:tc>
        <w:tc>
          <w:tcPr>
            <w:tcW w:w="983" w:type="dxa"/>
            <w:tcBorders>
              <w:top w:val="single" w:color="000000" w:sz="4" w:space="0"/>
              <w:bottom w:val="single" w:color="000000" w:sz="4" w:space="0"/>
            </w:tcBorders>
            <w:vAlign w:val="center"/>
          </w:tcPr>
          <w:p w14:paraId="28BA6DE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99</w:t>
            </w:r>
          </w:p>
        </w:tc>
        <w:tc>
          <w:tcPr>
            <w:tcW w:w="1061" w:type="dxa"/>
            <w:tcBorders>
              <w:top w:val="single" w:color="000000" w:sz="4" w:space="0"/>
              <w:bottom w:val="single" w:color="000000" w:sz="4" w:space="0"/>
            </w:tcBorders>
            <w:vAlign w:val="center"/>
          </w:tcPr>
          <w:p w14:paraId="2D5B64C7">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0.76</w:t>
            </w:r>
          </w:p>
        </w:tc>
        <w:tc>
          <w:tcPr>
            <w:tcW w:w="1028" w:type="dxa"/>
            <w:tcBorders>
              <w:top w:val="single" w:color="000000" w:sz="4" w:space="0"/>
              <w:bottom w:val="single" w:color="000000" w:sz="4" w:space="0"/>
            </w:tcBorders>
            <w:vAlign w:val="center"/>
          </w:tcPr>
          <w:p w14:paraId="4FB31773">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0.00</w:t>
            </w:r>
            <w:r>
              <w:rPr>
                <w:rFonts w:hint="eastAsia" w:ascii="Times New Roman" w:hAnsi="Times New Roman" w:eastAsia="宋体" w:cs="Times New Roman"/>
                <w:kern w:val="0"/>
                <w:szCs w:val="21"/>
                <w:lang w:val="en-US" w:eastAsia="zh-CN" w:bidi="ar"/>
              </w:rPr>
              <w:t>38</w:t>
            </w:r>
          </w:p>
        </w:tc>
        <w:tc>
          <w:tcPr>
            <w:tcW w:w="1097" w:type="dxa"/>
            <w:tcBorders>
              <w:bottom w:val="single" w:color="000000" w:sz="4" w:space="0"/>
            </w:tcBorders>
            <w:vAlign w:val="center"/>
          </w:tcPr>
          <w:p w14:paraId="77CFA877">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0.009</w:t>
            </w:r>
          </w:p>
        </w:tc>
        <w:tc>
          <w:tcPr>
            <w:tcW w:w="912" w:type="dxa"/>
            <w:tcBorders>
              <w:bottom w:val="single" w:color="000000" w:sz="4" w:space="0"/>
            </w:tcBorders>
            <w:vAlign w:val="center"/>
          </w:tcPr>
          <w:p w14:paraId="3355F29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w:t>
            </w:r>
            <w:r>
              <w:rPr>
                <w:rFonts w:hint="eastAsia" w:ascii="Times New Roman" w:hAnsi="Times New Roman" w:eastAsia="宋体" w:cs="Times New Roman"/>
                <w:kern w:val="0"/>
                <w:szCs w:val="21"/>
                <w:lang w:val="en-US" w:eastAsia="zh-CN" w:bidi="ar"/>
              </w:rPr>
              <w:t>.</w:t>
            </w:r>
            <w:r>
              <w:rPr>
                <w:rFonts w:ascii="Times New Roman" w:hAnsi="Times New Roman" w:eastAsia="宋体" w:cs="Times New Roman"/>
                <w:kern w:val="0"/>
                <w:szCs w:val="21"/>
                <w:lang w:bidi="ar"/>
              </w:rPr>
              <w:t>0</w:t>
            </w:r>
          </w:p>
        </w:tc>
        <w:tc>
          <w:tcPr>
            <w:tcW w:w="722" w:type="dxa"/>
            <w:tcBorders>
              <w:bottom w:val="single" w:color="auto" w:sz="4" w:space="0"/>
            </w:tcBorders>
            <w:vAlign w:val="center"/>
          </w:tcPr>
          <w:p w14:paraId="0845F9E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highlight w:val="none"/>
                <w:lang w:bidi="ar"/>
              </w:rPr>
              <w:t>/</w:t>
            </w:r>
          </w:p>
        </w:tc>
        <w:tc>
          <w:tcPr>
            <w:tcW w:w="706" w:type="dxa"/>
            <w:tcBorders>
              <w:bottom w:val="single" w:color="auto" w:sz="4" w:space="0"/>
            </w:tcBorders>
            <w:vAlign w:val="center"/>
          </w:tcPr>
          <w:p w14:paraId="1DD91CD7">
            <w:pPr>
              <w:jc w:val="center"/>
              <w:rPr>
                <w:rFonts w:ascii="Times New Roman" w:hAnsi="Times New Roman" w:eastAsia="宋体" w:cs="Times New Roman"/>
                <w:szCs w:val="21"/>
              </w:rPr>
            </w:pPr>
            <w:r>
              <w:rPr>
                <w:rFonts w:hint="eastAsia" w:ascii="Times New Roman" w:hAnsi="Times New Roman" w:eastAsia="宋体" w:cs="Times New Roman"/>
                <w:szCs w:val="21"/>
              </w:rPr>
              <w:t>2400</w:t>
            </w:r>
          </w:p>
        </w:tc>
      </w:tr>
      <w:tr w14:paraId="2400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012" w:type="dxa"/>
            <w:vMerge w:val="restart"/>
            <w:tcBorders>
              <w:top w:val="single" w:color="000000" w:sz="4" w:space="0"/>
            </w:tcBorders>
            <w:vAlign w:val="center"/>
          </w:tcPr>
          <w:p w14:paraId="43C96FA0">
            <w:pPr>
              <w:jc w:val="center"/>
              <w:rPr>
                <w:rFonts w:hint="eastAsia" w:ascii="Times New Roman" w:hAnsi="Times New Roman" w:cs="Times New Roman" w:eastAsiaTheme="minorEastAsia"/>
                <w:szCs w:val="21"/>
                <w:lang w:eastAsia="zh-CN"/>
              </w:rPr>
            </w:pPr>
            <w:r>
              <w:rPr>
                <w:rFonts w:ascii="Times New Roman" w:hAnsi="Times New Roman" w:cs="Times New Roman"/>
                <w:szCs w:val="21"/>
              </w:rPr>
              <w:t>DA00</w:t>
            </w:r>
            <w:r>
              <w:rPr>
                <w:rFonts w:hint="eastAsia" w:ascii="Times New Roman" w:hAnsi="Times New Roman" w:cs="Times New Roman"/>
                <w:szCs w:val="21"/>
                <w:lang w:val="en-US" w:eastAsia="zh-CN"/>
              </w:rPr>
              <w:t>2</w:t>
            </w:r>
          </w:p>
          <w:p w14:paraId="7F82061E">
            <w:pPr>
              <w:jc w:val="center"/>
              <w:rPr>
                <w:rFonts w:ascii="Times New Roman" w:hAnsi="Times New Roman" w:cs="Times New Roman"/>
                <w:kern w:val="0"/>
                <w:szCs w:val="21"/>
              </w:rPr>
            </w:pPr>
            <w:r>
              <w:rPr>
                <w:rFonts w:ascii="Times New Roman" w:hAnsi="Times New Roman" w:cs="Times New Roman"/>
                <w:kern w:val="0"/>
                <w:szCs w:val="21"/>
              </w:rPr>
              <w:t>H=15m</w:t>
            </w:r>
          </w:p>
          <w:p w14:paraId="69107CDE">
            <w:pPr>
              <w:jc w:val="center"/>
              <w:rPr>
                <w:szCs w:val="21"/>
              </w:rPr>
            </w:pPr>
            <w:r>
              <w:rPr>
                <w:rFonts w:ascii="Times New Roman" w:hAnsi="Times New Roman" w:cs="Times New Roman"/>
                <w:kern w:val="0"/>
                <w:szCs w:val="21"/>
              </w:rPr>
              <w:t>D=</w:t>
            </w:r>
            <w:r>
              <w:rPr>
                <w:rFonts w:hint="eastAsia" w:ascii="Times New Roman" w:hAnsi="Times New Roman" w:cs="Times New Roman"/>
                <w:kern w:val="0"/>
                <w:szCs w:val="21"/>
              </w:rPr>
              <w:t>0.95</w:t>
            </w:r>
            <w:r>
              <w:rPr>
                <w:rFonts w:ascii="Times New Roman" w:hAnsi="Times New Roman" w:cs="Times New Roman"/>
                <w:kern w:val="0"/>
                <w:szCs w:val="21"/>
              </w:rPr>
              <w:t>m</w:t>
            </w:r>
          </w:p>
        </w:tc>
        <w:tc>
          <w:tcPr>
            <w:tcW w:w="798" w:type="dxa"/>
            <w:vMerge w:val="restart"/>
            <w:tcBorders>
              <w:top w:val="single" w:color="000000" w:sz="4" w:space="0"/>
            </w:tcBorders>
            <w:vAlign w:val="center"/>
          </w:tcPr>
          <w:p w14:paraId="422FA7C2">
            <w:pPr>
              <w:jc w:val="center"/>
              <w:rPr>
                <w:szCs w:val="21"/>
              </w:rPr>
            </w:pPr>
            <w:r>
              <w:rPr>
                <w:szCs w:val="21"/>
              </w:rPr>
              <w:t>拼板冷压、封边、热压、擦色、</w:t>
            </w:r>
            <w:r>
              <w:rPr>
                <w:rFonts w:hint="eastAsia"/>
                <w:szCs w:val="21"/>
                <w:lang w:val="en-US" w:eastAsia="zh-CN"/>
              </w:rPr>
              <w:t>喷</w:t>
            </w:r>
            <w:r>
              <w:rPr>
                <w:szCs w:val="21"/>
              </w:rPr>
              <w:t>漆房（含</w:t>
            </w:r>
            <w:r>
              <w:rPr>
                <w:rFonts w:hint="eastAsia" w:ascii="Times New Roman" w:hAnsi="Times New Roman" w:eastAsia="宋体" w:cs="Times New Roman"/>
                <w:color w:val="000000" w:themeColor="text1"/>
                <w:szCs w:val="21"/>
                <w14:textFill>
                  <w14:solidFill>
                    <w14:schemeClr w14:val="tx1"/>
                  </w14:solidFill>
                </w14:textFill>
              </w:rPr>
              <w:t>调漆、</w:t>
            </w:r>
            <w:r>
              <w:rPr>
                <w:szCs w:val="21"/>
              </w:rPr>
              <w:t>晾干）废气</w:t>
            </w:r>
          </w:p>
        </w:tc>
        <w:tc>
          <w:tcPr>
            <w:tcW w:w="664" w:type="dxa"/>
            <w:vMerge w:val="restart"/>
            <w:tcBorders>
              <w:top w:val="single" w:color="000000" w:sz="4" w:space="0"/>
              <w:right w:val="single" w:color="000000" w:sz="4" w:space="0"/>
            </w:tcBorders>
            <w:vAlign w:val="center"/>
          </w:tcPr>
          <w:p w14:paraId="02089659">
            <w:pPr>
              <w:adjustRightInd w:val="0"/>
              <w:snapToGrid w:val="0"/>
              <w:spacing w:line="280" w:lineRule="exact"/>
              <w:jc w:val="center"/>
              <w:textAlignment w:val="baseline"/>
              <w:rPr>
                <w:rFonts w:ascii="Times New Roman" w:hAnsi="Times New Roman" w:cs="Times New Roman"/>
                <w:szCs w:val="21"/>
              </w:rPr>
            </w:pPr>
            <w:r>
              <w:rPr>
                <w:rFonts w:hint="eastAsia" w:ascii="Times New Roman" w:hAnsi="Times New Roman" w:cs="Times New Roman"/>
                <w:kern w:val="0"/>
                <w:szCs w:val="21"/>
              </w:rPr>
              <w:t>颗粒物</w:t>
            </w:r>
          </w:p>
        </w:tc>
        <w:tc>
          <w:tcPr>
            <w:tcW w:w="950" w:type="dxa"/>
            <w:tcBorders>
              <w:top w:val="single" w:color="auto" w:sz="4" w:space="0"/>
              <w:left w:val="single" w:color="000000" w:sz="4" w:space="0"/>
            </w:tcBorders>
            <w:vAlign w:val="center"/>
          </w:tcPr>
          <w:p w14:paraId="14AE0768">
            <w:pPr>
              <w:adjustRightInd w:val="0"/>
              <w:snapToGrid w:val="0"/>
              <w:spacing w:line="280" w:lineRule="exact"/>
              <w:jc w:val="center"/>
              <w:textAlignment w:val="baseline"/>
              <w:rPr>
                <w:rStyle w:val="55"/>
                <w:rFonts w:eastAsia="宋体"/>
                <w:color w:val="auto"/>
                <w:sz w:val="21"/>
                <w:szCs w:val="21"/>
                <w:lang w:bidi="ar"/>
              </w:rPr>
            </w:pPr>
            <w:r>
              <w:rPr>
                <w:rFonts w:hint="eastAsia" w:ascii="Times New Roman" w:hAnsi="Times New Roman" w:cs="Times New Roman"/>
                <w:kern w:val="0"/>
                <w:szCs w:val="21"/>
              </w:rPr>
              <w:t>有组织</w:t>
            </w:r>
          </w:p>
        </w:tc>
        <w:tc>
          <w:tcPr>
            <w:tcW w:w="718" w:type="dxa"/>
            <w:vMerge w:val="restart"/>
            <w:tcBorders>
              <w:top w:val="single" w:color="auto" w:sz="4" w:space="0"/>
            </w:tcBorders>
            <w:vAlign w:val="center"/>
          </w:tcPr>
          <w:p w14:paraId="107ED0AA">
            <w:pPr>
              <w:adjustRightInd w:val="0"/>
              <w:snapToGrid w:val="0"/>
              <w:jc w:val="center"/>
              <w:textAlignment w:val="baseline"/>
              <w:rPr>
                <w:rFonts w:ascii="Times New Roman" w:hAnsi="Times New Roman" w:cs="Times New Roman"/>
                <w:kern w:val="0"/>
                <w:szCs w:val="21"/>
              </w:rPr>
            </w:pPr>
            <w:r>
              <w:rPr>
                <w:rFonts w:ascii="Times New Roman" w:hAnsi="Times New Roman" w:eastAsia="宋体" w:cs="Times New Roman"/>
                <w:kern w:val="0"/>
                <w:szCs w:val="21"/>
              </w:rPr>
              <w:t>吸附：</w:t>
            </w:r>
            <w:r>
              <w:rPr>
                <w:rFonts w:hint="eastAsia" w:ascii="Times New Roman" w:hAnsi="Times New Roman" w:eastAsia="宋体" w:cs="Times New Roman"/>
                <w:kern w:val="0"/>
                <w:szCs w:val="21"/>
                <w:lang w:val="en-US" w:eastAsia="zh-CN"/>
              </w:rPr>
              <w:t>65</w:t>
            </w:r>
            <w:r>
              <w:rPr>
                <w:rFonts w:ascii="Times New Roman" w:hAnsi="Times New Roman" w:eastAsia="宋体" w:cs="Times New Roman"/>
                <w:kern w:val="0"/>
                <w:szCs w:val="21"/>
              </w:rPr>
              <w:t>0</w:t>
            </w:r>
            <w:r>
              <w:rPr>
                <w:rFonts w:ascii="Times New Roman" w:hAnsi="Times New Roman" w:cs="Times New Roman"/>
                <w:kern w:val="0"/>
                <w:szCs w:val="21"/>
              </w:rPr>
              <w:t>00</w:t>
            </w:r>
          </w:p>
          <w:p w14:paraId="3A4535BF">
            <w:pPr>
              <w:jc w:val="center"/>
              <w:rPr>
                <w:rFonts w:ascii="Times New Roman" w:hAnsi="Times New Roman" w:cs="Times New Roman"/>
                <w:szCs w:val="21"/>
              </w:rPr>
            </w:pPr>
            <w:r>
              <w:rPr>
                <w:rFonts w:hint="eastAsia" w:ascii="Times New Roman" w:hAnsi="Times New Roman" w:cs="Times New Roman"/>
                <w:kern w:val="0"/>
                <w:szCs w:val="21"/>
              </w:rPr>
              <w:t>脱附：3000</w:t>
            </w:r>
          </w:p>
        </w:tc>
        <w:tc>
          <w:tcPr>
            <w:tcW w:w="826" w:type="dxa"/>
            <w:tcBorders>
              <w:top w:val="single" w:color="auto" w:sz="4" w:space="0"/>
            </w:tcBorders>
            <w:vAlign w:val="center"/>
          </w:tcPr>
          <w:p w14:paraId="63FEE161">
            <w:pPr>
              <w:adjustRightInd w:val="0"/>
              <w:snapToGrid w:val="0"/>
              <w:spacing w:line="280" w:lineRule="exact"/>
              <w:jc w:val="center"/>
              <w:textAlignment w:val="baseline"/>
              <w:rPr>
                <w:rFonts w:ascii="Times New Roman" w:hAnsi="Times New Roman" w:cs="Times New Roman"/>
                <w:szCs w:val="21"/>
              </w:rPr>
            </w:pPr>
            <w:r>
              <w:rPr>
                <w:rFonts w:hint="eastAsia" w:ascii="Times New Roman" w:hAnsi="Times New Roman" w:cs="Times New Roman"/>
                <w:kern w:val="0"/>
                <w:szCs w:val="21"/>
                <w:lang w:val="en-US" w:eastAsia="zh-CN"/>
              </w:rPr>
              <w:t>33.6</w:t>
            </w:r>
          </w:p>
        </w:tc>
        <w:tc>
          <w:tcPr>
            <w:tcW w:w="1018" w:type="dxa"/>
            <w:tcBorders>
              <w:top w:val="single" w:color="auto" w:sz="4" w:space="0"/>
            </w:tcBorders>
            <w:vAlign w:val="center"/>
          </w:tcPr>
          <w:p w14:paraId="1C362814">
            <w:pPr>
              <w:adjustRightInd w:val="0"/>
              <w:snapToGrid w:val="0"/>
              <w:spacing w:line="280" w:lineRule="exact"/>
              <w:jc w:val="center"/>
              <w:textAlignment w:val="baseline"/>
              <w:rPr>
                <w:rFonts w:ascii="Times New Roman" w:hAnsi="Times New Roman" w:cs="Times New Roman"/>
                <w:szCs w:val="21"/>
              </w:rPr>
            </w:pPr>
            <w:r>
              <w:rPr>
                <w:rFonts w:hint="eastAsia" w:ascii="Times New Roman" w:hAnsi="Times New Roman" w:cs="Times New Roman"/>
                <w:kern w:val="0"/>
                <w:szCs w:val="21"/>
                <w:lang w:val="en-US" w:eastAsia="zh-CN"/>
              </w:rPr>
              <w:t xml:space="preserve">1.343 </w:t>
            </w:r>
          </w:p>
        </w:tc>
        <w:tc>
          <w:tcPr>
            <w:tcW w:w="930" w:type="dxa"/>
            <w:tcBorders>
              <w:top w:val="single" w:color="auto" w:sz="4" w:space="0"/>
            </w:tcBorders>
            <w:vAlign w:val="center"/>
          </w:tcPr>
          <w:p w14:paraId="4F833934">
            <w:pPr>
              <w:adjustRightInd w:val="0"/>
              <w:snapToGrid w:val="0"/>
              <w:spacing w:line="280" w:lineRule="exact"/>
              <w:jc w:val="center"/>
              <w:textAlignment w:val="baseline"/>
              <w:rPr>
                <w:rFonts w:ascii="Times New Roman" w:hAnsi="Times New Roman" w:cs="Times New Roman"/>
                <w:szCs w:val="21"/>
              </w:rPr>
            </w:pPr>
            <w:r>
              <w:rPr>
                <w:rFonts w:hint="eastAsia" w:ascii="Times New Roman" w:hAnsi="Times New Roman" w:cs="Times New Roman"/>
                <w:kern w:val="0"/>
                <w:szCs w:val="21"/>
                <w:lang w:val="en-US" w:eastAsia="zh-CN"/>
              </w:rPr>
              <w:t>3.222</w:t>
            </w:r>
          </w:p>
        </w:tc>
        <w:tc>
          <w:tcPr>
            <w:tcW w:w="1042" w:type="dxa"/>
            <w:vMerge w:val="restart"/>
            <w:tcBorders>
              <w:top w:val="single" w:color="auto" w:sz="4" w:space="0"/>
            </w:tcBorders>
            <w:vAlign w:val="center"/>
          </w:tcPr>
          <w:p w14:paraId="43AF3CA9">
            <w:pPr>
              <w:jc w:val="center"/>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水帘</w:t>
            </w:r>
            <w:r>
              <w:rPr>
                <w:rFonts w:hint="eastAsia" w:ascii="Times New Roman" w:hAnsi="Times New Roman" w:cs="Times New Roman"/>
                <w:color w:val="000000" w:themeColor="text1"/>
                <w:szCs w:val="21"/>
                <w14:textFill>
                  <w14:solidFill>
                    <w14:schemeClr w14:val="tx1"/>
                  </w14:solidFill>
                </w14:textFill>
              </w:rPr>
              <w:t>+漆雾过滤器+</w:t>
            </w:r>
            <w:r>
              <w:rPr>
                <w:rFonts w:ascii="Times New Roman" w:hAnsi="Times New Roman" w:cs="Times New Roman"/>
                <w:color w:val="000000"/>
                <w:kern w:val="0"/>
                <w:szCs w:val="21"/>
              </w:rPr>
              <w:t>活性炭吸附—脱附催化燃烧</w:t>
            </w:r>
          </w:p>
        </w:tc>
        <w:tc>
          <w:tcPr>
            <w:tcW w:w="983" w:type="dxa"/>
            <w:vMerge w:val="restart"/>
            <w:tcBorders>
              <w:top w:val="single" w:color="auto" w:sz="4" w:space="0"/>
            </w:tcBorders>
            <w:vAlign w:val="center"/>
          </w:tcPr>
          <w:p w14:paraId="3893DD1E">
            <w:pPr>
              <w:widowControl/>
              <w:jc w:val="center"/>
              <w:textAlignment w:val="center"/>
              <w:rPr>
                <w:rFonts w:ascii="Times New Roman" w:hAnsi="Times New Roman" w:eastAsia="宋体" w:cs="Times New Roman"/>
                <w:szCs w:val="21"/>
              </w:rPr>
            </w:pPr>
            <w:r>
              <w:rPr>
                <w:rFonts w:hint="eastAsia" w:ascii="Times New Roman" w:hAnsi="Times New Roman" w:cs="Times New Roman"/>
                <w:color w:val="000000"/>
                <w:kern w:val="0"/>
                <w:szCs w:val="21"/>
              </w:rPr>
              <w:t>水帘+</w:t>
            </w:r>
            <w:r>
              <w:rPr>
                <w:rFonts w:ascii="Times New Roman" w:hAnsi="Times New Roman" w:cs="Times New Roman"/>
                <w:szCs w:val="21"/>
              </w:rPr>
              <w:t>过滤</w:t>
            </w:r>
            <w:r>
              <w:rPr>
                <w:rFonts w:hint="eastAsia" w:ascii="Times New Roman" w:hAnsi="Times New Roman" w:cs="Times New Roman"/>
                <w:szCs w:val="21"/>
              </w:rPr>
              <w:t>器对颗粒物去除</w:t>
            </w:r>
            <w:r>
              <w:rPr>
                <w:rFonts w:ascii="Times New Roman" w:hAnsi="Times New Roman" w:cs="Times New Roman"/>
                <w:szCs w:val="21"/>
              </w:rPr>
              <w:t>效率9</w:t>
            </w:r>
            <w:r>
              <w:rPr>
                <w:rFonts w:hint="eastAsia" w:ascii="Times New Roman" w:hAnsi="Times New Roman" w:cs="Times New Roman"/>
                <w:szCs w:val="21"/>
                <w:lang w:val="en-US" w:eastAsia="zh-CN"/>
              </w:rPr>
              <w:t>0</w:t>
            </w:r>
            <w:r>
              <w:rPr>
                <w:rFonts w:ascii="Times New Roman" w:hAnsi="Times New Roman" w:cs="Times New Roman"/>
                <w:szCs w:val="21"/>
              </w:rPr>
              <w:t>%，活性炭吸附效率9</w:t>
            </w:r>
            <w:r>
              <w:rPr>
                <w:rFonts w:hint="eastAsia" w:ascii="Times New Roman" w:hAnsi="Times New Roman" w:cs="Times New Roman"/>
                <w:szCs w:val="21"/>
              </w:rPr>
              <w:t>0</w:t>
            </w:r>
            <w:r>
              <w:rPr>
                <w:rFonts w:ascii="Times New Roman" w:hAnsi="Times New Roman" w:cs="Times New Roman"/>
                <w:szCs w:val="21"/>
              </w:rPr>
              <w:t>%，燃烧脱附净化效率9</w:t>
            </w:r>
            <w:r>
              <w:rPr>
                <w:rFonts w:hint="eastAsia" w:ascii="Times New Roman" w:hAnsi="Times New Roman" w:cs="Times New Roman"/>
                <w:szCs w:val="21"/>
              </w:rPr>
              <w:t>7</w:t>
            </w:r>
            <w:r>
              <w:rPr>
                <w:rFonts w:ascii="Times New Roman" w:hAnsi="Times New Roman" w:cs="Times New Roman"/>
                <w:szCs w:val="21"/>
              </w:rPr>
              <w:t>%</w:t>
            </w:r>
          </w:p>
        </w:tc>
        <w:tc>
          <w:tcPr>
            <w:tcW w:w="1061" w:type="dxa"/>
            <w:tcBorders>
              <w:top w:val="single" w:color="auto" w:sz="4" w:space="0"/>
            </w:tcBorders>
            <w:vAlign w:val="center"/>
          </w:tcPr>
          <w:p w14:paraId="2DFF9972">
            <w:pPr>
              <w:adjustRightInd w:val="0"/>
              <w:snapToGrid w:val="0"/>
              <w:spacing w:line="280" w:lineRule="exact"/>
              <w:jc w:val="center"/>
              <w:textAlignment w:val="baseline"/>
              <w:rPr>
                <w:rFonts w:ascii="Times New Roman" w:hAnsi="Times New Roman" w:eastAsia="宋体" w:cs="Times New Roman"/>
                <w:szCs w:val="21"/>
                <w:highlight w:val="yellow"/>
              </w:rPr>
            </w:pPr>
            <w:r>
              <w:rPr>
                <w:rFonts w:hint="eastAsia" w:ascii="Times New Roman" w:hAnsi="Times New Roman" w:cs="Times New Roman"/>
                <w:kern w:val="0"/>
                <w:szCs w:val="21"/>
                <w:lang w:val="en-US" w:eastAsia="zh-CN"/>
              </w:rPr>
              <w:t xml:space="preserve">1.97 </w:t>
            </w:r>
          </w:p>
        </w:tc>
        <w:tc>
          <w:tcPr>
            <w:tcW w:w="1028" w:type="dxa"/>
            <w:vAlign w:val="center"/>
          </w:tcPr>
          <w:p w14:paraId="3035ABD2">
            <w:pPr>
              <w:adjustRightInd w:val="0"/>
              <w:snapToGrid w:val="0"/>
              <w:spacing w:line="280" w:lineRule="exact"/>
              <w:jc w:val="center"/>
              <w:textAlignment w:val="baseline"/>
              <w:rPr>
                <w:rFonts w:ascii="Times New Roman" w:hAnsi="Times New Roman" w:eastAsia="宋体" w:cs="Times New Roman"/>
                <w:szCs w:val="21"/>
                <w:highlight w:val="yellow"/>
              </w:rPr>
            </w:pPr>
            <w:r>
              <w:rPr>
                <w:rFonts w:hint="eastAsia" w:ascii="Times New Roman" w:hAnsi="Times New Roman" w:cs="Times New Roman"/>
                <w:kern w:val="0"/>
                <w:szCs w:val="21"/>
                <w:lang w:val="en-US" w:eastAsia="zh-CN"/>
              </w:rPr>
              <w:t xml:space="preserve">0.134 </w:t>
            </w:r>
          </w:p>
        </w:tc>
        <w:tc>
          <w:tcPr>
            <w:tcW w:w="1097" w:type="dxa"/>
            <w:vAlign w:val="center"/>
          </w:tcPr>
          <w:p w14:paraId="78ADC25B">
            <w:pPr>
              <w:adjustRightInd w:val="0"/>
              <w:snapToGrid w:val="0"/>
              <w:spacing w:line="280" w:lineRule="exact"/>
              <w:jc w:val="center"/>
              <w:textAlignment w:val="baseline"/>
              <w:rPr>
                <w:rFonts w:ascii="Times New Roman" w:hAnsi="Times New Roman" w:eastAsia="宋体" w:cs="Times New Roman"/>
                <w:szCs w:val="21"/>
                <w:highlight w:val="yellow"/>
              </w:rPr>
            </w:pPr>
            <w:r>
              <w:rPr>
                <w:rFonts w:hint="eastAsia" w:ascii="Times New Roman" w:hAnsi="Times New Roman" w:eastAsia="宋体" w:cs="Times New Roman"/>
                <w:kern w:val="0"/>
                <w:szCs w:val="21"/>
                <w:lang w:val="en-US" w:eastAsia="zh-CN"/>
              </w:rPr>
              <w:t>0.3222</w:t>
            </w:r>
          </w:p>
        </w:tc>
        <w:tc>
          <w:tcPr>
            <w:tcW w:w="912" w:type="dxa"/>
            <w:vAlign w:val="center"/>
          </w:tcPr>
          <w:p w14:paraId="7BE5F2CA">
            <w:pPr>
              <w:widowControl/>
              <w:jc w:val="center"/>
              <w:textAlignment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10</w:t>
            </w:r>
          </w:p>
        </w:tc>
        <w:tc>
          <w:tcPr>
            <w:tcW w:w="722" w:type="dxa"/>
            <w:tcBorders>
              <w:top w:val="single" w:color="auto" w:sz="4" w:space="0"/>
            </w:tcBorders>
            <w:vAlign w:val="center"/>
          </w:tcPr>
          <w:p w14:paraId="0CEA6399">
            <w:pPr>
              <w:jc w:val="center"/>
              <w:rPr>
                <w:rFonts w:ascii="Times New Roman" w:hAnsi="Times New Roman" w:cs="Times New Roman"/>
                <w:szCs w:val="21"/>
              </w:rPr>
            </w:pPr>
            <w:r>
              <w:rPr>
                <w:rFonts w:hint="eastAsia" w:ascii="Times New Roman" w:hAnsi="Times New Roman" w:cs="Times New Roman"/>
                <w:szCs w:val="21"/>
              </w:rPr>
              <w:t>3.5</w:t>
            </w:r>
          </w:p>
        </w:tc>
        <w:tc>
          <w:tcPr>
            <w:tcW w:w="706" w:type="dxa"/>
            <w:vMerge w:val="restart"/>
            <w:tcBorders>
              <w:top w:val="single" w:color="auto" w:sz="4" w:space="0"/>
            </w:tcBorders>
            <w:vAlign w:val="center"/>
          </w:tcPr>
          <w:p w14:paraId="40D21A4F">
            <w:pPr>
              <w:jc w:val="center"/>
              <w:rPr>
                <w:rFonts w:ascii="Times New Roman" w:hAnsi="Times New Roman" w:cs="Times New Roman"/>
                <w:szCs w:val="21"/>
              </w:rPr>
            </w:pPr>
            <w:r>
              <w:rPr>
                <w:rFonts w:hint="eastAsia" w:ascii="Times New Roman" w:hAnsi="Times New Roman" w:eastAsia="宋体" w:cs="Times New Roman"/>
                <w:szCs w:val="21"/>
              </w:rPr>
              <w:t>/</w:t>
            </w:r>
          </w:p>
        </w:tc>
      </w:tr>
      <w:tr w14:paraId="7ACF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012" w:type="dxa"/>
            <w:vMerge w:val="continue"/>
            <w:vAlign w:val="center"/>
          </w:tcPr>
          <w:p w14:paraId="30771D47">
            <w:pPr>
              <w:jc w:val="center"/>
              <w:rPr>
                <w:rFonts w:ascii="Times New Roman" w:hAnsi="Times New Roman" w:cs="Times New Roman"/>
                <w:szCs w:val="21"/>
              </w:rPr>
            </w:pPr>
          </w:p>
        </w:tc>
        <w:tc>
          <w:tcPr>
            <w:tcW w:w="798" w:type="dxa"/>
            <w:vMerge w:val="continue"/>
            <w:vAlign w:val="center"/>
          </w:tcPr>
          <w:p w14:paraId="05FCE065">
            <w:pPr>
              <w:jc w:val="center"/>
              <w:rPr>
                <w:rFonts w:ascii="Times New Roman" w:hAnsi="Times New Roman" w:cs="Times New Roman"/>
                <w:szCs w:val="21"/>
              </w:rPr>
            </w:pPr>
          </w:p>
        </w:tc>
        <w:tc>
          <w:tcPr>
            <w:tcW w:w="664" w:type="dxa"/>
            <w:vMerge w:val="continue"/>
            <w:tcBorders>
              <w:right w:val="single" w:color="000000" w:sz="4" w:space="0"/>
            </w:tcBorders>
            <w:vAlign w:val="center"/>
          </w:tcPr>
          <w:p w14:paraId="22BFCC22">
            <w:pPr>
              <w:adjustRightInd w:val="0"/>
              <w:snapToGrid w:val="0"/>
              <w:spacing w:line="280" w:lineRule="exact"/>
              <w:jc w:val="center"/>
              <w:textAlignment w:val="baseline"/>
              <w:rPr>
                <w:rFonts w:ascii="Times New Roman" w:hAnsi="Times New Roman" w:cs="Times New Roman"/>
                <w:szCs w:val="21"/>
              </w:rPr>
            </w:pPr>
          </w:p>
        </w:tc>
        <w:tc>
          <w:tcPr>
            <w:tcW w:w="950" w:type="dxa"/>
            <w:tcBorders>
              <w:left w:val="single" w:color="000000" w:sz="4" w:space="0"/>
            </w:tcBorders>
            <w:vAlign w:val="center"/>
          </w:tcPr>
          <w:p w14:paraId="0EF28195">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rPr>
              <w:t>无组织</w:t>
            </w:r>
          </w:p>
        </w:tc>
        <w:tc>
          <w:tcPr>
            <w:tcW w:w="718" w:type="dxa"/>
            <w:vMerge w:val="continue"/>
            <w:vAlign w:val="center"/>
          </w:tcPr>
          <w:p w14:paraId="0EEE9E7F">
            <w:pPr>
              <w:jc w:val="center"/>
              <w:rPr>
                <w:rFonts w:ascii="Times New Roman" w:hAnsi="Times New Roman" w:cs="Times New Roman"/>
                <w:szCs w:val="21"/>
              </w:rPr>
            </w:pPr>
          </w:p>
        </w:tc>
        <w:tc>
          <w:tcPr>
            <w:tcW w:w="826" w:type="dxa"/>
            <w:vAlign w:val="center"/>
          </w:tcPr>
          <w:p w14:paraId="133D5DCF">
            <w:pPr>
              <w:adjustRightInd w:val="0"/>
              <w:snapToGrid w:val="0"/>
              <w:spacing w:line="280" w:lineRule="exact"/>
              <w:jc w:val="center"/>
              <w:textAlignment w:val="baseline"/>
              <w:rPr>
                <w:rFonts w:ascii="Times New Roman" w:hAnsi="Times New Roman" w:cs="Times New Roman"/>
                <w:szCs w:val="21"/>
              </w:rPr>
            </w:pPr>
            <w:r>
              <w:rPr>
                <w:rFonts w:hint="eastAsia" w:ascii="Times New Roman" w:hAnsi="Times New Roman" w:cs="Times New Roman"/>
                <w:kern w:val="0"/>
                <w:szCs w:val="21"/>
              </w:rPr>
              <w:t>/</w:t>
            </w:r>
          </w:p>
        </w:tc>
        <w:tc>
          <w:tcPr>
            <w:tcW w:w="1018" w:type="dxa"/>
            <w:vAlign w:val="center"/>
          </w:tcPr>
          <w:p w14:paraId="155C51F1">
            <w:pPr>
              <w:adjustRightInd w:val="0"/>
              <w:snapToGrid w:val="0"/>
              <w:spacing w:line="280" w:lineRule="exact"/>
              <w:jc w:val="center"/>
              <w:textAlignment w:val="baseline"/>
              <w:rPr>
                <w:rFonts w:ascii="Times New Roman" w:hAnsi="Times New Roman" w:cs="Times New Roman"/>
                <w:szCs w:val="21"/>
              </w:rPr>
            </w:pPr>
            <w:r>
              <w:rPr>
                <w:rFonts w:hint="eastAsia" w:ascii="Times New Roman" w:hAnsi="Times New Roman" w:cs="Times New Roman"/>
                <w:kern w:val="0"/>
                <w:szCs w:val="21"/>
                <w:lang w:val="en-US" w:eastAsia="zh-CN"/>
              </w:rPr>
              <w:t xml:space="preserve">0.071 </w:t>
            </w:r>
          </w:p>
        </w:tc>
        <w:tc>
          <w:tcPr>
            <w:tcW w:w="930" w:type="dxa"/>
            <w:vAlign w:val="center"/>
          </w:tcPr>
          <w:p w14:paraId="761E5A69">
            <w:pPr>
              <w:adjustRightInd w:val="0"/>
              <w:snapToGrid w:val="0"/>
              <w:spacing w:line="280" w:lineRule="exact"/>
              <w:jc w:val="center"/>
              <w:textAlignment w:val="baseline"/>
              <w:rPr>
                <w:rFonts w:ascii="Times New Roman" w:hAnsi="Times New Roman" w:cs="Times New Roman"/>
                <w:szCs w:val="21"/>
              </w:rPr>
            </w:pPr>
            <w:r>
              <w:rPr>
                <w:rFonts w:hint="eastAsia" w:ascii="Times New Roman" w:hAnsi="Times New Roman" w:cs="Times New Roman"/>
                <w:kern w:val="0"/>
                <w:szCs w:val="21"/>
              </w:rPr>
              <w:t>0.</w:t>
            </w:r>
            <w:r>
              <w:rPr>
                <w:rFonts w:hint="eastAsia" w:ascii="Times New Roman" w:hAnsi="Times New Roman" w:cs="Times New Roman"/>
                <w:kern w:val="0"/>
                <w:szCs w:val="21"/>
                <w:lang w:val="en-US" w:eastAsia="zh-CN"/>
              </w:rPr>
              <w:t>17</w:t>
            </w:r>
          </w:p>
        </w:tc>
        <w:tc>
          <w:tcPr>
            <w:tcW w:w="1042" w:type="dxa"/>
            <w:vMerge w:val="continue"/>
            <w:vAlign w:val="center"/>
          </w:tcPr>
          <w:p w14:paraId="3DB28CCD">
            <w:pPr>
              <w:jc w:val="center"/>
              <w:rPr>
                <w:rFonts w:ascii="Times New Roman" w:hAnsi="Times New Roman" w:cs="Times New Roman"/>
                <w:szCs w:val="21"/>
              </w:rPr>
            </w:pPr>
          </w:p>
        </w:tc>
        <w:tc>
          <w:tcPr>
            <w:tcW w:w="983" w:type="dxa"/>
            <w:vMerge w:val="continue"/>
            <w:vAlign w:val="center"/>
          </w:tcPr>
          <w:p w14:paraId="5FF34E96">
            <w:pPr>
              <w:widowControl/>
              <w:jc w:val="center"/>
              <w:textAlignment w:val="center"/>
              <w:rPr>
                <w:rFonts w:ascii="Times New Roman" w:hAnsi="Times New Roman" w:eastAsia="宋体" w:cs="Times New Roman"/>
                <w:szCs w:val="21"/>
              </w:rPr>
            </w:pPr>
          </w:p>
        </w:tc>
        <w:tc>
          <w:tcPr>
            <w:tcW w:w="1061" w:type="dxa"/>
            <w:vAlign w:val="center"/>
          </w:tcPr>
          <w:p w14:paraId="5CBA445A">
            <w:pPr>
              <w:adjustRightInd w:val="0"/>
              <w:snapToGrid w:val="0"/>
              <w:spacing w:line="280" w:lineRule="exact"/>
              <w:jc w:val="center"/>
              <w:textAlignment w:val="baseline"/>
              <w:rPr>
                <w:rFonts w:ascii="Times New Roman" w:hAnsi="Times New Roman" w:eastAsia="宋体" w:cs="Times New Roman"/>
                <w:szCs w:val="21"/>
                <w:highlight w:val="yellow"/>
              </w:rPr>
            </w:pPr>
            <w:r>
              <w:rPr>
                <w:rFonts w:hint="eastAsia" w:ascii="Times New Roman" w:hAnsi="Times New Roman" w:cs="Times New Roman"/>
                <w:kern w:val="0"/>
                <w:szCs w:val="21"/>
              </w:rPr>
              <w:t>/</w:t>
            </w:r>
          </w:p>
        </w:tc>
        <w:tc>
          <w:tcPr>
            <w:tcW w:w="1028" w:type="dxa"/>
            <w:vAlign w:val="center"/>
          </w:tcPr>
          <w:p w14:paraId="14FF32A3">
            <w:pPr>
              <w:adjustRightInd w:val="0"/>
              <w:snapToGrid w:val="0"/>
              <w:spacing w:line="280" w:lineRule="exact"/>
              <w:jc w:val="center"/>
              <w:textAlignment w:val="baseline"/>
              <w:rPr>
                <w:rFonts w:ascii="Times New Roman" w:hAnsi="Times New Roman" w:eastAsia="宋体" w:cs="Times New Roman"/>
                <w:szCs w:val="21"/>
                <w:highlight w:val="yellow"/>
              </w:rPr>
            </w:pPr>
            <w:r>
              <w:rPr>
                <w:rFonts w:hint="eastAsia" w:ascii="Times New Roman" w:hAnsi="Times New Roman" w:cs="Times New Roman"/>
                <w:kern w:val="0"/>
                <w:szCs w:val="21"/>
                <w:lang w:val="en-US" w:eastAsia="zh-CN"/>
              </w:rPr>
              <w:t xml:space="preserve">0.071 </w:t>
            </w:r>
          </w:p>
        </w:tc>
        <w:tc>
          <w:tcPr>
            <w:tcW w:w="1097" w:type="dxa"/>
            <w:vAlign w:val="center"/>
          </w:tcPr>
          <w:p w14:paraId="55FFCA5E">
            <w:pPr>
              <w:adjustRightInd w:val="0"/>
              <w:snapToGrid w:val="0"/>
              <w:spacing w:line="280" w:lineRule="exact"/>
              <w:jc w:val="center"/>
              <w:textAlignment w:val="baseline"/>
              <w:rPr>
                <w:rFonts w:ascii="Times New Roman" w:hAnsi="Times New Roman" w:eastAsia="宋体" w:cs="Times New Roman"/>
                <w:szCs w:val="21"/>
                <w:highlight w:val="yellow"/>
              </w:rPr>
            </w:pPr>
            <w:r>
              <w:rPr>
                <w:rFonts w:hint="eastAsia" w:ascii="Times New Roman" w:hAnsi="Times New Roman" w:cs="Times New Roman"/>
                <w:kern w:val="0"/>
                <w:szCs w:val="21"/>
              </w:rPr>
              <w:t>0.</w:t>
            </w:r>
            <w:r>
              <w:rPr>
                <w:rFonts w:hint="eastAsia" w:ascii="Times New Roman" w:hAnsi="Times New Roman" w:cs="Times New Roman"/>
                <w:kern w:val="0"/>
                <w:szCs w:val="21"/>
                <w:lang w:val="en-US" w:eastAsia="zh-CN"/>
              </w:rPr>
              <w:t>17</w:t>
            </w:r>
          </w:p>
        </w:tc>
        <w:tc>
          <w:tcPr>
            <w:tcW w:w="912" w:type="dxa"/>
            <w:vAlign w:val="center"/>
          </w:tcPr>
          <w:p w14:paraId="67F30A4C">
            <w:pPr>
              <w:widowControl/>
              <w:jc w:val="center"/>
              <w:textAlignment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1.0</w:t>
            </w:r>
          </w:p>
        </w:tc>
        <w:tc>
          <w:tcPr>
            <w:tcW w:w="722" w:type="dxa"/>
            <w:vAlign w:val="center"/>
          </w:tcPr>
          <w:p w14:paraId="63A656B5">
            <w:pPr>
              <w:jc w:val="center"/>
              <w:rPr>
                <w:rFonts w:ascii="Times New Roman" w:hAnsi="Times New Roman" w:cs="Times New Roman"/>
                <w:szCs w:val="21"/>
              </w:rPr>
            </w:pPr>
            <w:r>
              <w:rPr>
                <w:rFonts w:hint="eastAsia" w:ascii="Times New Roman" w:hAnsi="Times New Roman" w:cs="Times New Roman"/>
                <w:szCs w:val="21"/>
              </w:rPr>
              <w:t>/</w:t>
            </w:r>
          </w:p>
        </w:tc>
        <w:tc>
          <w:tcPr>
            <w:tcW w:w="706" w:type="dxa"/>
            <w:vMerge w:val="continue"/>
            <w:vAlign w:val="center"/>
          </w:tcPr>
          <w:p w14:paraId="5A10C0E3">
            <w:pPr>
              <w:jc w:val="center"/>
              <w:rPr>
                <w:rFonts w:ascii="Times New Roman" w:hAnsi="Times New Roman" w:cs="Times New Roman"/>
                <w:szCs w:val="21"/>
              </w:rPr>
            </w:pPr>
          </w:p>
        </w:tc>
      </w:tr>
      <w:tr w14:paraId="6279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012" w:type="dxa"/>
            <w:vMerge w:val="continue"/>
            <w:vAlign w:val="center"/>
          </w:tcPr>
          <w:p w14:paraId="5A4C480B">
            <w:pPr>
              <w:jc w:val="center"/>
              <w:rPr>
                <w:rFonts w:ascii="Times New Roman" w:hAnsi="Times New Roman" w:cs="Times New Roman"/>
                <w:szCs w:val="21"/>
              </w:rPr>
            </w:pPr>
          </w:p>
        </w:tc>
        <w:tc>
          <w:tcPr>
            <w:tcW w:w="798" w:type="dxa"/>
            <w:vMerge w:val="continue"/>
            <w:vAlign w:val="center"/>
          </w:tcPr>
          <w:p w14:paraId="06BCEADC">
            <w:pPr>
              <w:jc w:val="center"/>
              <w:rPr>
                <w:rFonts w:ascii="Times New Roman" w:hAnsi="Times New Roman" w:cs="Times New Roman"/>
                <w:szCs w:val="21"/>
              </w:rPr>
            </w:pPr>
          </w:p>
        </w:tc>
        <w:tc>
          <w:tcPr>
            <w:tcW w:w="664" w:type="dxa"/>
            <w:vMerge w:val="restart"/>
            <w:tcBorders>
              <w:right w:val="single" w:color="000000" w:sz="4" w:space="0"/>
            </w:tcBorders>
            <w:vAlign w:val="center"/>
          </w:tcPr>
          <w:p w14:paraId="70C9E4F0">
            <w:pPr>
              <w:adjustRightInd w:val="0"/>
              <w:snapToGrid w:val="0"/>
              <w:spacing w:line="280" w:lineRule="exact"/>
              <w:jc w:val="center"/>
              <w:textAlignment w:val="baseline"/>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苯</w:t>
            </w:r>
          </w:p>
        </w:tc>
        <w:tc>
          <w:tcPr>
            <w:tcW w:w="950" w:type="dxa"/>
            <w:tcBorders>
              <w:left w:val="single" w:color="000000" w:sz="4" w:space="0"/>
            </w:tcBorders>
            <w:vAlign w:val="center"/>
          </w:tcPr>
          <w:p w14:paraId="11B68E64">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rPr>
              <w:t>有组织</w:t>
            </w:r>
          </w:p>
        </w:tc>
        <w:tc>
          <w:tcPr>
            <w:tcW w:w="718" w:type="dxa"/>
            <w:vMerge w:val="continue"/>
            <w:vAlign w:val="center"/>
          </w:tcPr>
          <w:p w14:paraId="4AF25716">
            <w:pPr>
              <w:jc w:val="center"/>
              <w:rPr>
                <w:rFonts w:ascii="Times New Roman" w:hAnsi="Times New Roman" w:cs="Times New Roman"/>
                <w:szCs w:val="21"/>
              </w:rPr>
            </w:pPr>
          </w:p>
        </w:tc>
        <w:tc>
          <w:tcPr>
            <w:tcW w:w="826" w:type="dxa"/>
            <w:vAlign w:val="center"/>
          </w:tcPr>
          <w:p w14:paraId="19045127">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 xml:space="preserve">1.1 </w:t>
            </w:r>
          </w:p>
        </w:tc>
        <w:tc>
          <w:tcPr>
            <w:tcW w:w="1018" w:type="dxa"/>
            <w:vAlign w:val="center"/>
          </w:tcPr>
          <w:p w14:paraId="28C84614">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 xml:space="preserve">0.044 </w:t>
            </w:r>
          </w:p>
        </w:tc>
        <w:tc>
          <w:tcPr>
            <w:tcW w:w="930" w:type="dxa"/>
            <w:vAlign w:val="center"/>
          </w:tcPr>
          <w:p w14:paraId="58E21AA5">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0.1064</w:t>
            </w:r>
          </w:p>
        </w:tc>
        <w:tc>
          <w:tcPr>
            <w:tcW w:w="1042" w:type="dxa"/>
            <w:vMerge w:val="continue"/>
            <w:vAlign w:val="center"/>
          </w:tcPr>
          <w:p w14:paraId="7D7B6185">
            <w:pPr>
              <w:jc w:val="center"/>
              <w:rPr>
                <w:rFonts w:ascii="Times New Roman" w:hAnsi="Times New Roman" w:cs="Times New Roman"/>
                <w:szCs w:val="21"/>
              </w:rPr>
            </w:pPr>
          </w:p>
        </w:tc>
        <w:tc>
          <w:tcPr>
            <w:tcW w:w="983" w:type="dxa"/>
            <w:vMerge w:val="continue"/>
            <w:vAlign w:val="center"/>
          </w:tcPr>
          <w:p w14:paraId="688C7638">
            <w:pPr>
              <w:widowControl/>
              <w:jc w:val="center"/>
              <w:textAlignment w:val="center"/>
              <w:rPr>
                <w:rFonts w:ascii="Times New Roman" w:hAnsi="Times New Roman" w:eastAsia="宋体" w:cs="Times New Roman"/>
                <w:szCs w:val="21"/>
              </w:rPr>
            </w:pPr>
          </w:p>
        </w:tc>
        <w:tc>
          <w:tcPr>
            <w:tcW w:w="1061" w:type="dxa"/>
            <w:vAlign w:val="center"/>
          </w:tcPr>
          <w:p w14:paraId="418D72EB">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 xml:space="preserve">0.23 </w:t>
            </w:r>
          </w:p>
        </w:tc>
        <w:tc>
          <w:tcPr>
            <w:tcW w:w="1028" w:type="dxa"/>
            <w:vAlign w:val="center"/>
          </w:tcPr>
          <w:p w14:paraId="482FD673">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0.0156</w:t>
            </w:r>
          </w:p>
        </w:tc>
        <w:tc>
          <w:tcPr>
            <w:tcW w:w="1097" w:type="dxa"/>
            <w:vAlign w:val="center"/>
          </w:tcPr>
          <w:p w14:paraId="37C2DE98">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0.0135</w:t>
            </w:r>
          </w:p>
        </w:tc>
        <w:tc>
          <w:tcPr>
            <w:tcW w:w="912" w:type="dxa"/>
            <w:vAlign w:val="center"/>
          </w:tcPr>
          <w:p w14:paraId="1030D2C0">
            <w:pPr>
              <w:widowControl/>
              <w:jc w:val="center"/>
              <w:textAlignment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1.0</w:t>
            </w:r>
          </w:p>
        </w:tc>
        <w:tc>
          <w:tcPr>
            <w:tcW w:w="722" w:type="dxa"/>
            <w:vMerge w:val="restart"/>
            <w:vAlign w:val="center"/>
          </w:tcPr>
          <w:p w14:paraId="52A5C52E">
            <w:pPr>
              <w:jc w:val="center"/>
              <w:rPr>
                <w:rFonts w:hint="eastAsia" w:ascii="Times New Roman" w:hAnsi="Times New Roman" w:cs="Times New Roman"/>
                <w:szCs w:val="21"/>
              </w:rPr>
            </w:pPr>
            <w:r>
              <w:rPr>
                <w:rFonts w:hint="eastAsia" w:ascii="Times New Roman" w:hAnsi="Times New Roman" w:cs="Times New Roman"/>
                <w:szCs w:val="21"/>
              </w:rPr>
              <w:t>/</w:t>
            </w:r>
          </w:p>
        </w:tc>
        <w:tc>
          <w:tcPr>
            <w:tcW w:w="706" w:type="dxa"/>
            <w:vMerge w:val="continue"/>
            <w:vAlign w:val="center"/>
          </w:tcPr>
          <w:p w14:paraId="3345FCA0">
            <w:pPr>
              <w:jc w:val="center"/>
              <w:rPr>
                <w:rFonts w:ascii="Times New Roman" w:hAnsi="Times New Roman" w:cs="Times New Roman"/>
                <w:szCs w:val="21"/>
              </w:rPr>
            </w:pPr>
          </w:p>
        </w:tc>
      </w:tr>
      <w:tr w14:paraId="2F81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012" w:type="dxa"/>
            <w:vMerge w:val="continue"/>
            <w:vAlign w:val="center"/>
          </w:tcPr>
          <w:p w14:paraId="3F52F253">
            <w:pPr>
              <w:jc w:val="center"/>
              <w:rPr>
                <w:rFonts w:ascii="Times New Roman" w:hAnsi="Times New Roman" w:cs="Times New Roman"/>
                <w:szCs w:val="21"/>
              </w:rPr>
            </w:pPr>
          </w:p>
        </w:tc>
        <w:tc>
          <w:tcPr>
            <w:tcW w:w="798" w:type="dxa"/>
            <w:vMerge w:val="continue"/>
            <w:vAlign w:val="center"/>
          </w:tcPr>
          <w:p w14:paraId="61C80035">
            <w:pPr>
              <w:jc w:val="center"/>
              <w:rPr>
                <w:rFonts w:ascii="Times New Roman" w:hAnsi="Times New Roman" w:cs="Times New Roman"/>
                <w:szCs w:val="21"/>
              </w:rPr>
            </w:pPr>
          </w:p>
        </w:tc>
        <w:tc>
          <w:tcPr>
            <w:tcW w:w="664" w:type="dxa"/>
            <w:vMerge w:val="continue"/>
            <w:tcBorders>
              <w:right w:val="single" w:color="000000" w:sz="4" w:space="0"/>
            </w:tcBorders>
            <w:vAlign w:val="center"/>
          </w:tcPr>
          <w:p w14:paraId="53573515">
            <w:pPr>
              <w:adjustRightInd w:val="0"/>
              <w:snapToGrid w:val="0"/>
              <w:spacing w:line="280" w:lineRule="exact"/>
              <w:jc w:val="center"/>
              <w:textAlignment w:val="baseline"/>
              <w:rPr>
                <w:rFonts w:ascii="Times New Roman" w:hAnsi="Times New Roman" w:cs="Times New Roman"/>
                <w:szCs w:val="21"/>
              </w:rPr>
            </w:pPr>
          </w:p>
        </w:tc>
        <w:tc>
          <w:tcPr>
            <w:tcW w:w="950" w:type="dxa"/>
            <w:tcBorders>
              <w:left w:val="single" w:color="000000" w:sz="4" w:space="0"/>
            </w:tcBorders>
            <w:vAlign w:val="center"/>
          </w:tcPr>
          <w:p w14:paraId="58FAE5B5">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rPr>
              <w:t>无组织</w:t>
            </w:r>
          </w:p>
        </w:tc>
        <w:tc>
          <w:tcPr>
            <w:tcW w:w="718" w:type="dxa"/>
            <w:vMerge w:val="continue"/>
            <w:vAlign w:val="center"/>
          </w:tcPr>
          <w:p w14:paraId="49F5E01A">
            <w:pPr>
              <w:jc w:val="center"/>
              <w:rPr>
                <w:rFonts w:ascii="Times New Roman" w:hAnsi="Times New Roman" w:cs="Times New Roman"/>
                <w:szCs w:val="21"/>
              </w:rPr>
            </w:pPr>
          </w:p>
        </w:tc>
        <w:tc>
          <w:tcPr>
            <w:tcW w:w="826" w:type="dxa"/>
            <w:vAlign w:val="center"/>
          </w:tcPr>
          <w:p w14:paraId="3B632BDA">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rPr>
              <w:t>/</w:t>
            </w:r>
          </w:p>
        </w:tc>
        <w:tc>
          <w:tcPr>
            <w:tcW w:w="1018" w:type="dxa"/>
            <w:vAlign w:val="center"/>
          </w:tcPr>
          <w:p w14:paraId="642BCDAC">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 xml:space="preserve">0.002 </w:t>
            </w:r>
          </w:p>
        </w:tc>
        <w:tc>
          <w:tcPr>
            <w:tcW w:w="930" w:type="dxa"/>
            <w:vAlign w:val="center"/>
          </w:tcPr>
          <w:p w14:paraId="515486D1">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0.0056</w:t>
            </w:r>
          </w:p>
        </w:tc>
        <w:tc>
          <w:tcPr>
            <w:tcW w:w="1042" w:type="dxa"/>
            <w:vMerge w:val="continue"/>
            <w:vAlign w:val="center"/>
          </w:tcPr>
          <w:p w14:paraId="17728FE3">
            <w:pPr>
              <w:jc w:val="center"/>
              <w:rPr>
                <w:rFonts w:ascii="Times New Roman" w:hAnsi="Times New Roman" w:cs="Times New Roman"/>
                <w:szCs w:val="21"/>
              </w:rPr>
            </w:pPr>
          </w:p>
        </w:tc>
        <w:tc>
          <w:tcPr>
            <w:tcW w:w="983" w:type="dxa"/>
            <w:vMerge w:val="continue"/>
            <w:vAlign w:val="center"/>
          </w:tcPr>
          <w:p w14:paraId="0AF95A67">
            <w:pPr>
              <w:widowControl/>
              <w:jc w:val="center"/>
              <w:textAlignment w:val="center"/>
              <w:rPr>
                <w:rFonts w:ascii="Times New Roman" w:hAnsi="Times New Roman" w:eastAsia="宋体" w:cs="Times New Roman"/>
                <w:szCs w:val="21"/>
              </w:rPr>
            </w:pPr>
          </w:p>
        </w:tc>
        <w:tc>
          <w:tcPr>
            <w:tcW w:w="1061" w:type="dxa"/>
            <w:vAlign w:val="center"/>
          </w:tcPr>
          <w:p w14:paraId="619D29C5">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rPr>
              <w:t>/</w:t>
            </w:r>
          </w:p>
        </w:tc>
        <w:tc>
          <w:tcPr>
            <w:tcW w:w="1028" w:type="dxa"/>
            <w:vAlign w:val="center"/>
          </w:tcPr>
          <w:p w14:paraId="4E479C33">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0.002</w:t>
            </w:r>
          </w:p>
        </w:tc>
        <w:tc>
          <w:tcPr>
            <w:tcW w:w="1097" w:type="dxa"/>
            <w:vAlign w:val="center"/>
          </w:tcPr>
          <w:p w14:paraId="0D673C88">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0.0056</w:t>
            </w:r>
          </w:p>
        </w:tc>
        <w:tc>
          <w:tcPr>
            <w:tcW w:w="912" w:type="dxa"/>
            <w:vAlign w:val="center"/>
          </w:tcPr>
          <w:p w14:paraId="5DBAEC4C">
            <w:pPr>
              <w:widowControl/>
              <w:jc w:val="center"/>
              <w:textAlignment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0.1</w:t>
            </w:r>
          </w:p>
        </w:tc>
        <w:tc>
          <w:tcPr>
            <w:tcW w:w="722" w:type="dxa"/>
            <w:vMerge w:val="continue"/>
            <w:vAlign w:val="center"/>
          </w:tcPr>
          <w:p w14:paraId="77F2AC24">
            <w:pPr>
              <w:jc w:val="center"/>
              <w:rPr>
                <w:rFonts w:hint="eastAsia" w:ascii="Times New Roman" w:hAnsi="Times New Roman" w:cs="Times New Roman"/>
                <w:szCs w:val="21"/>
              </w:rPr>
            </w:pPr>
          </w:p>
        </w:tc>
        <w:tc>
          <w:tcPr>
            <w:tcW w:w="706" w:type="dxa"/>
            <w:vMerge w:val="continue"/>
            <w:vAlign w:val="center"/>
          </w:tcPr>
          <w:p w14:paraId="0D8EED25">
            <w:pPr>
              <w:jc w:val="center"/>
              <w:rPr>
                <w:rFonts w:ascii="Times New Roman" w:hAnsi="Times New Roman" w:cs="Times New Roman"/>
                <w:szCs w:val="21"/>
              </w:rPr>
            </w:pPr>
          </w:p>
        </w:tc>
      </w:tr>
      <w:tr w14:paraId="5E7F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012" w:type="dxa"/>
            <w:vMerge w:val="continue"/>
            <w:tcBorders>
              <w:bottom w:val="single" w:color="000000" w:sz="4" w:space="0"/>
            </w:tcBorders>
            <w:vAlign w:val="center"/>
          </w:tcPr>
          <w:p w14:paraId="7D528C84">
            <w:pPr>
              <w:jc w:val="center"/>
              <w:rPr>
                <w:rFonts w:ascii="Times New Roman" w:hAnsi="Times New Roman" w:cs="Times New Roman"/>
                <w:szCs w:val="21"/>
              </w:rPr>
            </w:pPr>
          </w:p>
        </w:tc>
        <w:tc>
          <w:tcPr>
            <w:tcW w:w="798" w:type="dxa"/>
            <w:vMerge w:val="continue"/>
            <w:tcBorders>
              <w:bottom w:val="single" w:color="000000" w:sz="4" w:space="0"/>
            </w:tcBorders>
            <w:vAlign w:val="center"/>
          </w:tcPr>
          <w:p w14:paraId="76EFE757">
            <w:pPr>
              <w:jc w:val="center"/>
              <w:rPr>
                <w:rFonts w:ascii="Times New Roman" w:hAnsi="Times New Roman" w:cs="Times New Roman"/>
                <w:szCs w:val="21"/>
              </w:rPr>
            </w:pPr>
          </w:p>
        </w:tc>
        <w:tc>
          <w:tcPr>
            <w:tcW w:w="664" w:type="dxa"/>
            <w:vMerge w:val="restart"/>
            <w:tcBorders>
              <w:top w:val="single" w:color="000000" w:sz="4" w:space="0"/>
              <w:right w:val="single" w:color="000000" w:sz="4" w:space="0"/>
            </w:tcBorders>
            <w:vAlign w:val="center"/>
          </w:tcPr>
          <w:p w14:paraId="52F54D42">
            <w:pPr>
              <w:adjustRightInd w:val="0"/>
              <w:snapToGrid w:val="0"/>
              <w:spacing w:line="280" w:lineRule="exact"/>
              <w:jc w:val="center"/>
              <w:textAlignment w:val="baseline"/>
              <w:rPr>
                <w:rStyle w:val="54"/>
                <w:rFonts w:hint="default"/>
                <w:color w:val="auto"/>
                <w:sz w:val="21"/>
                <w:szCs w:val="21"/>
                <w:lang w:bidi="ar"/>
              </w:rPr>
            </w:pPr>
            <w:r>
              <w:rPr>
                <w:rFonts w:ascii="Times New Roman" w:hAnsi="Times New Roman" w:cs="Times New Roman"/>
                <w:kern w:val="0"/>
                <w:szCs w:val="21"/>
              </w:rPr>
              <w:t>甲苯</w:t>
            </w:r>
          </w:p>
        </w:tc>
        <w:tc>
          <w:tcPr>
            <w:tcW w:w="950" w:type="dxa"/>
            <w:tcBorders>
              <w:top w:val="single" w:color="000000" w:sz="4" w:space="0"/>
              <w:left w:val="single" w:color="000000" w:sz="4" w:space="0"/>
              <w:bottom w:val="single" w:color="000000" w:sz="4" w:space="0"/>
            </w:tcBorders>
            <w:vAlign w:val="center"/>
          </w:tcPr>
          <w:p w14:paraId="0371733C">
            <w:pPr>
              <w:adjustRightInd w:val="0"/>
              <w:snapToGrid w:val="0"/>
              <w:spacing w:line="280" w:lineRule="exact"/>
              <w:jc w:val="center"/>
              <w:textAlignment w:val="baseline"/>
              <w:rPr>
                <w:rStyle w:val="54"/>
                <w:rFonts w:hint="default"/>
                <w:color w:val="auto"/>
                <w:sz w:val="21"/>
                <w:szCs w:val="21"/>
                <w:lang w:bidi="ar"/>
              </w:rPr>
            </w:pPr>
            <w:r>
              <w:rPr>
                <w:rFonts w:hint="eastAsia" w:ascii="Times New Roman" w:hAnsi="Times New Roman" w:cs="Times New Roman"/>
                <w:kern w:val="0"/>
                <w:szCs w:val="21"/>
              </w:rPr>
              <w:t>有组织</w:t>
            </w:r>
          </w:p>
        </w:tc>
        <w:tc>
          <w:tcPr>
            <w:tcW w:w="718" w:type="dxa"/>
            <w:vMerge w:val="continue"/>
            <w:vAlign w:val="center"/>
          </w:tcPr>
          <w:p w14:paraId="50623299">
            <w:pPr>
              <w:jc w:val="center"/>
              <w:rPr>
                <w:rFonts w:ascii="Times New Roman" w:hAnsi="Times New Roman" w:cs="Times New Roman"/>
                <w:szCs w:val="21"/>
              </w:rPr>
            </w:pPr>
          </w:p>
        </w:tc>
        <w:tc>
          <w:tcPr>
            <w:tcW w:w="826" w:type="dxa"/>
            <w:tcBorders>
              <w:top w:val="single" w:color="000000" w:sz="4" w:space="0"/>
              <w:bottom w:val="single" w:color="000000" w:sz="4" w:space="0"/>
            </w:tcBorders>
            <w:vAlign w:val="center"/>
          </w:tcPr>
          <w:p w14:paraId="192F6A42">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 xml:space="preserve">5.0 </w:t>
            </w:r>
          </w:p>
        </w:tc>
        <w:tc>
          <w:tcPr>
            <w:tcW w:w="1018" w:type="dxa"/>
            <w:tcBorders>
              <w:top w:val="single" w:color="000000" w:sz="4" w:space="0"/>
              <w:bottom w:val="single" w:color="000000" w:sz="4" w:space="0"/>
            </w:tcBorders>
            <w:vAlign w:val="center"/>
          </w:tcPr>
          <w:p w14:paraId="6B41F105">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 xml:space="preserve">0.200 </w:t>
            </w:r>
          </w:p>
        </w:tc>
        <w:tc>
          <w:tcPr>
            <w:tcW w:w="930" w:type="dxa"/>
            <w:tcBorders>
              <w:top w:val="single" w:color="000000" w:sz="4" w:space="0"/>
              <w:bottom w:val="single" w:color="000000" w:sz="4" w:space="0"/>
            </w:tcBorders>
            <w:vAlign w:val="center"/>
          </w:tcPr>
          <w:p w14:paraId="0B8699A3">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0.4788</w:t>
            </w:r>
          </w:p>
        </w:tc>
        <w:tc>
          <w:tcPr>
            <w:tcW w:w="1042" w:type="dxa"/>
            <w:vMerge w:val="continue"/>
            <w:vAlign w:val="center"/>
          </w:tcPr>
          <w:p w14:paraId="0739CD1E">
            <w:pPr>
              <w:jc w:val="center"/>
              <w:rPr>
                <w:rFonts w:ascii="Times New Roman" w:hAnsi="Times New Roman" w:cs="Times New Roman"/>
                <w:szCs w:val="21"/>
              </w:rPr>
            </w:pPr>
          </w:p>
        </w:tc>
        <w:tc>
          <w:tcPr>
            <w:tcW w:w="983" w:type="dxa"/>
            <w:vMerge w:val="continue"/>
            <w:vAlign w:val="center"/>
          </w:tcPr>
          <w:p w14:paraId="7612B65F">
            <w:pPr>
              <w:widowControl/>
              <w:jc w:val="center"/>
              <w:textAlignment w:val="center"/>
              <w:rPr>
                <w:rFonts w:ascii="Times New Roman" w:hAnsi="Times New Roman" w:eastAsia="宋体" w:cs="Times New Roman"/>
                <w:kern w:val="0"/>
                <w:szCs w:val="21"/>
                <w:lang w:bidi="ar"/>
              </w:rPr>
            </w:pPr>
          </w:p>
        </w:tc>
        <w:tc>
          <w:tcPr>
            <w:tcW w:w="1061" w:type="dxa"/>
            <w:tcBorders>
              <w:top w:val="single" w:color="000000" w:sz="4" w:space="0"/>
              <w:bottom w:val="single" w:color="000000" w:sz="4" w:space="0"/>
            </w:tcBorders>
            <w:vAlign w:val="center"/>
          </w:tcPr>
          <w:p w14:paraId="3EC99F43">
            <w:pPr>
              <w:adjustRightInd w:val="0"/>
              <w:snapToGrid w:val="0"/>
              <w:spacing w:line="280" w:lineRule="exact"/>
              <w:jc w:val="center"/>
              <w:textAlignment w:val="baseline"/>
              <w:rPr>
                <w:rFonts w:ascii="Times New Roman" w:hAnsi="Times New Roman" w:eastAsia="宋体" w:cs="Times New Roman"/>
                <w:color w:val="auto"/>
                <w:kern w:val="0"/>
                <w:szCs w:val="21"/>
                <w:highlight w:val="yellow"/>
                <w:lang w:bidi="ar"/>
              </w:rPr>
            </w:pPr>
            <w:r>
              <w:rPr>
                <w:rFonts w:hint="eastAsia" w:ascii="Times New Roman" w:hAnsi="Times New Roman" w:cs="Times New Roman"/>
                <w:kern w:val="0"/>
                <w:szCs w:val="21"/>
                <w:lang w:val="en-US" w:eastAsia="zh-CN"/>
              </w:rPr>
              <w:t xml:space="preserve">1.05 </w:t>
            </w:r>
          </w:p>
        </w:tc>
        <w:tc>
          <w:tcPr>
            <w:tcW w:w="1028" w:type="dxa"/>
            <w:tcBorders>
              <w:top w:val="single" w:color="000000" w:sz="4" w:space="0"/>
              <w:bottom w:val="single" w:color="000000" w:sz="4" w:space="0"/>
            </w:tcBorders>
            <w:vAlign w:val="center"/>
          </w:tcPr>
          <w:p w14:paraId="4EBC45EA">
            <w:pPr>
              <w:adjustRightInd w:val="0"/>
              <w:snapToGrid w:val="0"/>
              <w:spacing w:line="280" w:lineRule="exact"/>
              <w:jc w:val="center"/>
              <w:textAlignment w:val="baseline"/>
              <w:rPr>
                <w:rFonts w:ascii="Times New Roman" w:hAnsi="Times New Roman" w:eastAsia="宋体" w:cs="Times New Roman"/>
                <w:color w:val="auto"/>
                <w:kern w:val="0"/>
                <w:szCs w:val="21"/>
                <w:highlight w:val="yellow"/>
                <w:lang w:bidi="ar"/>
              </w:rPr>
            </w:pPr>
            <w:r>
              <w:rPr>
                <w:rFonts w:hint="eastAsia" w:ascii="Times New Roman" w:hAnsi="Times New Roman" w:cs="Times New Roman"/>
                <w:kern w:val="0"/>
                <w:szCs w:val="21"/>
                <w:lang w:val="en-US" w:eastAsia="zh-CN"/>
              </w:rPr>
              <w:t>0.0716</w:t>
            </w:r>
          </w:p>
        </w:tc>
        <w:tc>
          <w:tcPr>
            <w:tcW w:w="1097" w:type="dxa"/>
            <w:tcBorders>
              <w:top w:val="single" w:color="000000" w:sz="4" w:space="0"/>
              <w:bottom w:val="single" w:color="000000" w:sz="4" w:space="0"/>
            </w:tcBorders>
            <w:vAlign w:val="center"/>
          </w:tcPr>
          <w:p w14:paraId="46579973">
            <w:pPr>
              <w:adjustRightInd w:val="0"/>
              <w:snapToGrid w:val="0"/>
              <w:spacing w:line="280" w:lineRule="exact"/>
              <w:jc w:val="center"/>
              <w:textAlignment w:val="baseline"/>
              <w:rPr>
                <w:rFonts w:ascii="Times New Roman" w:hAnsi="Times New Roman" w:eastAsia="宋体" w:cs="Times New Roman"/>
                <w:color w:val="auto"/>
                <w:kern w:val="0"/>
                <w:szCs w:val="21"/>
                <w:highlight w:val="yellow"/>
                <w:lang w:bidi="ar"/>
              </w:rPr>
            </w:pPr>
            <w:r>
              <w:rPr>
                <w:rFonts w:hint="eastAsia" w:ascii="Times New Roman" w:hAnsi="Times New Roman" w:cs="Times New Roman"/>
                <w:kern w:val="0"/>
                <w:szCs w:val="21"/>
                <w:lang w:val="en-US" w:eastAsia="zh-CN"/>
              </w:rPr>
              <w:t>0.0608</w:t>
            </w:r>
          </w:p>
        </w:tc>
        <w:tc>
          <w:tcPr>
            <w:tcW w:w="912" w:type="dxa"/>
            <w:tcBorders>
              <w:top w:val="single" w:color="000000" w:sz="4" w:space="0"/>
              <w:bottom w:val="single" w:color="000000" w:sz="4" w:space="0"/>
            </w:tcBorders>
            <w:vAlign w:val="center"/>
          </w:tcPr>
          <w:p w14:paraId="565CC326">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szCs w:val="21"/>
                <w:highlight w:val="none"/>
              </w:rPr>
              <w:t>与二甲苯之和小于20</w:t>
            </w:r>
          </w:p>
        </w:tc>
        <w:tc>
          <w:tcPr>
            <w:tcW w:w="722" w:type="dxa"/>
            <w:tcBorders>
              <w:top w:val="single" w:color="000000" w:sz="4" w:space="0"/>
              <w:bottom w:val="single" w:color="000000" w:sz="4" w:space="0"/>
            </w:tcBorders>
            <w:vAlign w:val="center"/>
          </w:tcPr>
          <w:p w14:paraId="194E80D9">
            <w:pPr>
              <w:jc w:val="center"/>
              <w:rPr>
                <w:rFonts w:ascii="Times New Roman" w:hAnsi="Times New Roman" w:eastAsia="宋体" w:cs="Times New Roman"/>
                <w:kern w:val="0"/>
                <w:szCs w:val="21"/>
                <w:lang w:bidi="ar"/>
              </w:rPr>
            </w:pPr>
            <w:r>
              <w:rPr>
                <w:rFonts w:hint="eastAsia" w:ascii="Times New Roman" w:hAnsi="Times New Roman" w:cs="Times New Roman"/>
                <w:szCs w:val="21"/>
              </w:rPr>
              <w:t>/</w:t>
            </w:r>
          </w:p>
        </w:tc>
        <w:tc>
          <w:tcPr>
            <w:tcW w:w="706" w:type="dxa"/>
            <w:vMerge w:val="continue"/>
            <w:vAlign w:val="center"/>
          </w:tcPr>
          <w:p w14:paraId="65935D6B">
            <w:pPr>
              <w:jc w:val="center"/>
              <w:rPr>
                <w:rFonts w:ascii="Times New Roman" w:hAnsi="Times New Roman" w:cs="Times New Roman"/>
                <w:szCs w:val="21"/>
              </w:rPr>
            </w:pPr>
          </w:p>
        </w:tc>
      </w:tr>
      <w:tr w14:paraId="7B4C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012" w:type="dxa"/>
            <w:vMerge w:val="continue"/>
            <w:tcBorders>
              <w:bottom w:val="single" w:color="000000" w:sz="4" w:space="0"/>
            </w:tcBorders>
            <w:vAlign w:val="center"/>
          </w:tcPr>
          <w:p w14:paraId="32079487">
            <w:pPr>
              <w:jc w:val="center"/>
              <w:rPr>
                <w:rFonts w:ascii="Times New Roman" w:hAnsi="Times New Roman" w:cs="Times New Roman"/>
                <w:szCs w:val="21"/>
              </w:rPr>
            </w:pPr>
          </w:p>
        </w:tc>
        <w:tc>
          <w:tcPr>
            <w:tcW w:w="798" w:type="dxa"/>
            <w:vMerge w:val="continue"/>
            <w:tcBorders>
              <w:bottom w:val="single" w:color="000000" w:sz="4" w:space="0"/>
            </w:tcBorders>
            <w:vAlign w:val="center"/>
          </w:tcPr>
          <w:p w14:paraId="788EF281">
            <w:pPr>
              <w:jc w:val="center"/>
              <w:rPr>
                <w:rFonts w:ascii="Times New Roman" w:hAnsi="Times New Roman" w:cs="Times New Roman"/>
                <w:szCs w:val="21"/>
              </w:rPr>
            </w:pPr>
          </w:p>
        </w:tc>
        <w:tc>
          <w:tcPr>
            <w:tcW w:w="664" w:type="dxa"/>
            <w:vMerge w:val="continue"/>
            <w:tcBorders>
              <w:bottom w:val="single" w:color="000000" w:sz="4" w:space="0"/>
              <w:right w:val="single" w:color="000000" w:sz="4" w:space="0"/>
            </w:tcBorders>
            <w:vAlign w:val="center"/>
          </w:tcPr>
          <w:p w14:paraId="4E0D0C93">
            <w:pPr>
              <w:adjustRightInd w:val="0"/>
              <w:snapToGrid w:val="0"/>
              <w:spacing w:line="280" w:lineRule="exact"/>
              <w:jc w:val="center"/>
              <w:textAlignment w:val="baseline"/>
              <w:rPr>
                <w:rStyle w:val="54"/>
                <w:rFonts w:hint="default"/>
                <w:color w:val="auto"/>
                <w:sz w:val="21"/>
                <w:szCs w:val="21"/>
                <w:lang w:bidi="ar"/>
              </w:rPr>
            </w:pPr>
          </w:p>
        </w:tc>
        <w:tc>
          <w:tcPr>
            <w:tcW w:w="950" w:type="dxa"/>
            <w:tcBorders>
              <w:top w:val="single" w:color="000000" w:sz="4" w:space="0"/>
              <w:left w:val="single" w:color="000000" w:sz="4" w:space="0"/>
              <w:bottom w:val="single" w:color="000000" w:sz="4" w:space="0"/>
            </w:tcBorders>
            <w:vAlign w:val="center"/>
          </w:tcPr>
          <w:p w14:paraId="03F372E3">
            <w:pPr>
              <w:adjustRightInd w:val="0"/>
              <w:snapToGrid w:val="0"/>
              <w:spacing w:line="280" w:lineRule="exact"/>
              <w:jc w:val="center"/>
              <w:textAlignment w:val="baseline"/>
              <w:rPr>
                <w:rStyle w:val="54"/>
                <w:rFonts w:hint="default"/>
                <w:color w:val="auto"/>
                <w:sz w:val="21"/>
                <w:szCs w:val="21"/>
                <w:lang w:bidi="ar"/>
              </w:rPr>
            </w:pPr>
            <w:r>
              <w:rPr>
                <w:rFonts w:hint="eastAsia" w:ascii="Times New Roman" w:hAnsi="Times New Roman" w:cs="Times New Roman"/>
                <w:kern w:val="0"/>
                <w:szCs w:val="21"/>
              </w:rPr>
              <w:t>无组织</w:t>
            </w:r>
          </w:p>
        </w:tc>
        <w:tc>
          <w:tcPr>
            <w:tcW w:w="718" w:type="dxa"/>
            <w:vMerge w:val="continue"/>
            <w:vAlign w:val="center"/>
          </w:tcPr>
          <w:p w14:paraId="1A9D5196">
            <w:pPr>
              <w:jc w:val="center"/>
              <w:rPr>
                <w:rFonts w:ascii="Times New Roman" w:hAnsi="Times New Roman" w:cs="Times New Roman"/>
                <w:szCs w:val="21"/>
              </w:rPr>
            </w:pPr>
          </w:p>
        </w:tc>
        <w:tc>
          <w:tcPr>
            <w:tcW w:w="826" w:type="dxa"/>
            <w:tcBorders>
              <w:top w:val="single" w:color="000000" w:sz="4" w:space="0"/>
              <w:bottom w:val="single" w:color="000000" w:sz="4" w:space="0"/>
            </w:tcBorders>
            <w:vAlign w:val="center"/>
          </w:tcPr>
          <w:p w14:paraId="440C9FC9">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rPr>
              <w:t>/</w:t>
            </w:r>
          </w:p>
        </w:tc>
        <w:tc>
          <w:tcPr>
            <w:tcW w:w="1018" w:type="dxa"/>
            <w:tcBorders>
              <w:top w:val="single" w:color="000000" w:sz="4" w:space="0"/>
              <w:bottom w:val="single" w:color="000000" w:sz="4" w:space="0"/>
            </w:tcBorders>
            <w:vAlign w:val="center"/>
          </w:tcPr>
          <w:p w14:paraId="547F9348">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 xml:space="preserve">0.011 </w:t>
            </w:r>
          </w:p>
        </w:tc>
        <w:tc>
          <w:tcPr>
            <w:tcW w:w="930" w:type="dxa"/>
            <w:tcBorders>
              <w:top w:val="single" w:color="000000" w:sz="4" w:space="0"/>
              <w:bottom w:val="single" w:color="000000" w:sz="4" w:space="0"/>
            </w:tcBorders>
            <w:vAlign w:val="center"/>
          </w:tcPr>
          <w:p w14:paraId="1FBE49A3">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0.0252</w:t>
            </w:r>
          </w:p>
        </w:tc>
        <w:tc>
          <w:tcPr>
            <w:tcW w:w="1042" w:type="dxa"/>
            <w:vMerge w:val="continue"/>
            <w:vAlign w:val="center"/>
          </w:tcPr>
          <w:p w14:paraId="4C1C2470">
            <w:pPr>
              <w:jc w:val="center"/>
              <w:rPr>
                <w:rFonts w:ascii="Times New Roman" w:hAnsi="Times New Roman" w:cs="Times New Roman"/>
                <w:szCs w:val="21"/>
              </w:rPr>
            </w:pPr>
          </w:p>
        </w:tc>
        <w:tc>
          <w:tcPr>
            <w:tcW w:w="983" w:type="dxa"/>
            <w:vMerge w:val="continue"/>
            <w:vAlign w:val="center"/>
          </w:tcPr>
          <w:p w14:paraId="22B15584">
            <w:pPr>
              <w:widowControl/>
              <w:jc w:val="center"/>
              <w:textAlignment w:val="center"/>
              <w:rPr>
                <w:rFonts w:ascii="Times New Roman" w:hAnsi="Times New Roman" w:eastAsia="宋体" w:cs="Times New Roman"/>
                <w:kern w:val="0"/>
                <w:szCs w:val="21"/>
                <w:lang w:bidi="ar"/>
              </w:rPr>
            </w:pPr>
          </w:p>
        </w:tc>
        <w:tc>
          <w:tcPr>
            <w:tcW w:w="1061" w:type="dxa"/>
            <w:tcBorders>
              <w:top w:val="single" w:color="000000" w:sz="4" w:space="0"/>
              <w:bottom w:val="single" w:color="000000" w:sz="4" w:space="0"/>
            </w:tcBorders>
            <w:vAlign w:val="center"/>
          </w:tcPr>
          <w:p w14:paraId="71F3E68B">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rPr>
              <w:t>/</w:t>
            </w:r>
          </w:p>
        </w:tc>
        <w:tc>
          <w:tcPr>
            <w:tcW w:w="1028" w:type="dxa"/>
            <w:tcBorders>
              <w:top w:val="single" w:color="000000" w:sz="4" w:space="0"/>
              <w:bottom w:val="single" w:color="000000" w:sz="4" w:space="0"/>
            </w:tcBorders>
            <w:vAlign w:val="center"/>
          </w:tcPr>
          <w:p w14:paraId="637465A6">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0.011</w:t>
            </w:r>
          </w:p>
        </w:tc>
        <w:tc>
          <w:tcPr>
            <w:tcW w:w="1097" w:type="dxa"/>
            <w:tcBorders>
              <w:top w:val="single" w:color="000000" w:sz="4" w:space="0"/>
              <w:bottom w:val="single" w:color="000000" w:sz="4" w:space="0"/>
            </w:tcBorders>
            <w:vAlign w:val="center"/>
          </w:tcPr>
          <w:p w14:paraId="75173251">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0.0252</w:t>
            </w:r>
          </w:p>
        </w:tc>
        <w:tc>
          <w:tcPr>
            <w:tcW w:w="912" w:type="dxa"/>
            <w:tcBorders>
              <w:top w:val="single" w:color="000000" w:sz="4" w:space="0"/>
              <w:bottom w:val="single" w:color="000000" w:sz="4" w:space="0"/>
            </w:tcBorders>
            <w:vAlign w:val="center"/>
          </w:tcPr>
          <w:p w14:paraId="7D5C4D58">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kern w:val="0"/>
                <w:szCs w:val="21"/>
                <w:highlight w:val="none"/>
                <w:lang w:bidi="ar"/>
              </w:rPr>
              <w:t>0.6</w:t>
            </w:r>
          </w:p>
        </w:tc>
        <w:tc>
          <w:tcPr>
            <w:tcW w:w="722" w:type="dxa"/>
            <w:tcBorders>
              <w:top w:val="single" w:color="000000" w:sz="4" w:space="0"/>
              <w:bottom w:val="single" w:color="000000" w:sz="4" w:space="0"/>
            </w:tcBorders>
            <w:vAlign w:val="center"/>
          </w:tcPr>
          <w:p w14:paraId="246FCE2D">
            <w:pPr>
              <w:jc w:val="center"/>
              <w:rPr>
                <w:rFonts w:ascii="Times New Roman" w:hAnsi="Times New Roman" w:eastAsia="宋体" w:cs="Times New Roman"/>
                <w:kern w:val="0"/>
                <w:szCs w:val="21"/>
                <w:lang w:bidi="ar"/>
              </w:rPr>
            </w:pPr>
            <w:r>
              <w:rPr>
                <w:rFonts w:hint="eastAsia" w:ascii="Times New Roman" w:hAnsi="Times New Roman" w:cs="Times New Roman"/>
                <w:szCs w:val="21"/>
              </w:rPr>
              <w:t>/</w:t>
            </w:r>
          </w:p>
        </w:tc>
        <w:tc>
          <w:tcPr>
            <w:tcW w:w="706" w:type="dxa"/>
            <w:vMerge w:val="continue"/>
            <w:vAlign w:val="center"/>
          </w:tcPr>
          <w:p w14:paraId="5BC52AB0">
            <w:pPr>
              <w:jc w:val="center"/>
              <w:rPr>
                <w:rFonts w:ascii="Times New Roman" w:hAnsi="Times New Roman" w:cs="Times New Roman"/>
                <w:szCs w:val="21"/>
              </w:rPr>
            </w:pPr>
          </w:p>
        </w:tc>
      </w:tr>
      <w:tr w14:paraId="0EC5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12" w:type="dxa"/>
            <w:vMerge w:val="continue"/>
            <w:tcBorders>
              <w:bottom w:val="single" w:color="000000" w:sz="4" w:space="0"/>
            </w:tcBorders>
            <w:vAlign w:val="center"/>
          </w:tcPr>
          <w:p w14:paraId="6A5ED927">
            <w:pPr>
              <w:jc w:val="center"/>
              <w:rPr>
                <w:rFonts w:ascii="Times New Roman" w:hAnsi="Times New Roman" w:cs="Times New Roman"/>
                <w:szCs w:val="21"/>
              </w:rPr>
            </w:pPr>
          </w:p>
        </w:tc>
        <w:tc>
          <w:tcPr>
            <w:tcW w:w="798" w:type="dxa"/>
            <w:vMerge w:val="continue"/>
            <w:tcBorders>
              <w:bottom w:val="single" w:color="000000" w:sz="4" w:space="0"/>
            </w:tcBorders>
            <w:vAlign w:val="center"/>
          </w:tcPr>
          <w:p w14:paraId="31F8FBD4">
            <w:pPr>
              <w:jc w:val="center"/>
              <w:rPr>
                <w:rFonts w:ascii="Times New Roman" w:hAnsi="Times New Roman" w:cs="Times New Roman"/>
                <w:szCs w:val="21"/>
              </w:rPr>
            </w:pPr>
          </w:p>
        </w:tc>
        <w:tc>
          <w:tcPr>
            <w:tcW w:w="664" w:type="dxa"/>
            <w:vMerge w:val="restart"/>
            <w:tcBorders>
              <w:top w:val="single" w:color="000000" w:sz="4" w:space="0"/>
              <w:right w:val="single" w:color="000000" w:sz="4" w:space="0"/>
            </w:tcBorders>
            <w:vAlign w:val="center"/>
          </w:tcPr>
          <w:p w14:paraId="12590F8F">
            <w:pPr>
              <w:adjustRightInd w:val="0"/>
              <w:snapToGrid w:val="0"/>
              <w:spacing w:line="280" w:lineRule="exact"/>
              <w:jc w:val="center"/>
              <w:textAlignment w:val="baseline"/>
              <w:rPr>
                <w:rStyle w:val="54"/>
                <w:rFonts w:hint="default"/>
                <w:color w:val="auto"/>
                <w:sz w:val="21"/>
                <w:szCs w:val="21"/>
                <w:lang w:bidi="ar"/>
              </w:rPr>
            </w:pPr>
            <w:r>
              <w:rPr>
                <w:rFonts w:ascii="Times New Roman" w:hAnsi="Times New Roman" w:cs="Times New Roman"/>
                <w:kern w:val="0"/>
                <w:szCs w:val="21"/>
              </w:rPr>
              <w:t>二甲苯</w:t>
            </w:r>
          </w:p>
        </w:tc>
        <w:tc>
          <w:tcPr>
            <w:tcW w:w="950" w:type="dxa"/>
            <w:tcBorders>
              <w:top w:val="single" w:color="000000" w:sz="4" w:space="0"/>
              <w:left w:val="single" w:color="000000" w:sz="4" w:space="0"/>
              <w:bottom w:val="single" w:color="auto" w:sz="4" w:space="0"/>
            </w:tcBorders>
            <w:vAlign w:val="center"/>
          </w:tcPr>
          <w:p w14:paraId="58D66C0B">
            <w:pPr>
              <w:adjustRightInd w:val="0"/>
              <w:snapToGrid w:val="0"/>
              <w:spacing w:line="280" w:lineRule="exact"/>
              <w:jc w:val="center"/>
              <w:textAlignment w:val="baseline"/>
              <w:rPr>
                <w:rStyle w:val="54"/>
                <w:rFonts w:hint="default"/>
                <w:color w:val="auto"/>
                <w:sz w:val="21"/>
                <w:szCs w:val="21"/>
                <w:lang w:bidi="ar"/>
              </w:rPr>
            </w:pPr>
            <w:r>
              <w:rPr>
                <w:rFonts w:hint="eastAsia" w:ascii="Times New Roman" w:hAnsi="Times New Roman" w:cs="Times New Roman"/>
                <w:kern w:val="0"/>
                <w:szCs w:val="21"/>
              </w:rPr>
              <w:t>有组织</w:t>
            </w:r>
          </w:p>
        </w:tc>
        <w:tc>
          <w:tcPr>
            <w:tcW w:w="718" w:type="dxa"/>
            <w:vMerge w:val="continue"/>
            <w:vAlign w:val="center"/>
          </w:tcPr>
          <w:p w14:paraId="1C4106B8">
            <w:pPr>
              <w:jc w:val="center"/>
              <w:rPr>
                <w:rFonts w:ascii="Times New Roman" w:hAnsi="Times New Roman" w:cs="Times New Roman"/>
                <w:szCs w:val="21"/>
              </w:rPr>
            </w:pPr>
          </w:p>
        </w:tc>
        <w:tc>
          <w:tcPr>
            <w:tcW w:w="826" w:type="dxa"/>
            <w:tcBorders>
              <w:top w:val="single" w:color="000000" w:sz="4" w:space="0"/>
              <w:bottom w:val="single" w:color="auto" w:sz="4" w:space="0"/>
            </w:tcBorders>
            <w:vAlign w:val="center"/>
          </w:tcPr>
          <w:p w14:paraId="21C4DA04">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 xml:space="preserve">11.1 </w:t>
            </w:r>
          </w:p>
        </w:tc>
        <w:tc>
          <w:tcPr>
            <w:tcW w:w="1018" w:type="dxa"/>
            <w:tcBorders>
              <w:top w:val="single" w:color="000000" w:sz="4" w:space="0"/>
              <w:bottom w:val="single" w:color="auto" w:sz="4" w:space="0"/>
            </w:tcBorders>
            <w:vAlign w:val="center"/>
          </w:tcPr>
          <w:p w14:paraId="405B231C">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 xml:space="preserve">0.443 </w:t>
            </w:r>
          </w:p>
        </w:tc>
        <w:tc>
          <w:tcPr>
            <w:tcW w:w="930" w:type="dxa"/>
            <w:tcBorders>
              <w:top w:val="single" w:color="000000" w:sz="4" w:space="0"/>
              <w:bottom w:val="single" w:color="auto" w:sz="4" w:space="0"/>
            </w:tcBorders>
            <w:vAlign w:val="center"/>
          </w:tcPr>
          <w:p w14:paraId="1BD62B75">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1.064</w:t>
            </w:r>
          </w:p>
        </w:tc>
        <w:tc>
          <w:tcPr>
            <w:tcW w:w="1042" w:type="dxa"/>
            <w:vMerge w:val="continue"/>
            <w:vAlign w:val="center"/>
          </w:tcPr>
          <w:p w14:paraId="27E4670D">
            <w:pPr>
              <w:jc w:val="center"/>
              <w:rPr>
                <w:rFonts w:ascii="Times New Roman" w:hAnsi="Times New Roman" w:cs="Times New Roman"/>
                <w:szCs w:val="21"/>
              </w:rPr>
            </w:pPr>
          </w:p>
        </w:tc>
        <w:tc>
          <w:tcPr>
            <w:tcW w:w="983" w:type="dxa"/>
            <w:vMerge w:val="continue"/>
            <w:vAlign w:val="center"/>
          </w:tcPr>
          <w:p w14:paraId="1C21A2B9">
            <w:pPr>
              <w:widowControl/>
              <w:jc w:val="center"/>
              <w:textAlignment w:val="center"/>
              <w:rPr>
                <w:rFonts w:ascii="Times New Roman" w:hAnsi="Times New Roman" w:eastAsia="宋体" w:cs="Times New Roman"/>
                <w:kern w:val="0"/>
                <w:szCs w:val="21"/>
                <w:lang w:bidi="ar"/>
              </w:rPr>
            </w:pPr>
          </w:p>
        </w:tc>
        <w:tc>
          <w:tcPr>
            <w:tcW w:w="1061" w:type="dxa"/>
            <w:tcBorders>
              <w:top w:val="single" w:color="000000" w:sz="4" w:space="0"/>
              <w:bottom w:val="single" w:color="auto" w:sz="4" w:space="0"/>
            </w:tcBorders>
            <w:vAlign w:val="center"/>
          </w:tcPr>
          <w:p w14:paraId="5AA40AC6">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 xml:space="preserve">2.34 </w:t>
            </w:r>
          </w:p>
        </w:tc>
        <w:tc>
          <w:tcPr>
            <w:tcW w:w="1028" w:type="dxa"/>
            <w:tcBorders>
              <w:top w:val="single" w:color="000000" w:sz="4" w:space="0"/>
              <w:bottom w:val="single" w:color="auto" w:sz="4" w:space="0"/>
            </w:tcBorders>
            <w:vAlign w:val="center"/>
          </w:tcPr>
          <w:p w14:paraId="752FDD95">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0.1588</w:t>
            </w:r>
          </w:p>
        </w:tc>
        <w:tc>
          <w:tcPr>
            <w:tcW w:w="1097" w:type="dxa"/>
            <w:tcBorders>
              <w:top w:val="single" w:color="000000" w:sz="4" w:space="0"/>
              <w:bottom w:val="single" w:color="auto" w:sz="4" w:space="0"/>
            </w:tcBorders>
            <w:vAlign w:val="center"/>
          </w:tcPr>
          <w:p w14:paraId="2E2C1475">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0.1351</w:t>
            </w:r>
          </w:p>
        </w:tc>
        <w:tc>
          <w:tcPr>
            <w:tcW w:w="912" w:type="dxa"/>
            <w:tcBorders>
              <w:top w:val="single" w:color="000000" w:sz="4" w:space="0"/>
              <w:bottom w:val="single" w:color="auto" w:sz="4" w:space="0"/>
            </w:tcBorders>
            <w:vAlign w:val="center"/>
          </w:tcPr>
          <w:p w14:paraId="66A93F60">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szCs w:val="21"/>
                <w:highlight w:val="none"/>
              </w:rPr>
              <w:t>与甲苯之和小于20</w:t>
            </w:r>
          </w:p>
        </w:tc>
        <w:tc>
          <w:tcPr>
            <w:tcW w:w="722" w:type="dxa"/>
            <w:tcBorders>
              <w:top w:val="single" w:color="000000" w:sz="4" w:space="0"/>
              <w:bottom w:val="single" w:color="auto" w:sz="4" w:space="0"/>
            </w:tcBorders>
            <w:vAlign w:val="center"/>
          </w:tcPr>
          <w:p w14:paraId="2412EAB0">
            <w:pPr>
              <w:jc w:val="center"/>
              <w:rPr>
                <w:rFonts w:ascii="Times New Roman" w:hAnsi="Times New Roman" w:eastAsia="宋体" w:cs="Times New Roman"/>
                <w:kern w:val="0"/>
                <w:szCs w:val="21"/>
                <w:lang w:bidi="ar"/>
              </w:rPr>
            </w:pPr>
            <w:r>
              <w:rPr>
                <w:rFonts w:hint="eastAsia" w:ascii="Times New Roman" w:hAnsi="Times New Roman" w:cs="Times New Roman"/>
                <w:szCs w:val="21"/>
              </w:rPr>
              <w:t>/</w:t>
            </w:r>
          </w:p>
        </w:tc>
        <w:tc>
          <w:tcPr>
            <w:tcW w:w="706" w:type="dxa"/>
            <w:vMerge w:val="continue"/>
            <w:vAlign w:val="center"/>
          </w:tcPr>
          <w:p w14:paraId="31C6295E">
            <w:pPr>
              <w:jc w:val="center"/>
              <w:rPr>
                <w:rFonts w:ascii="Times New Roman" w:hAnsi="Times New Roman" w:cs="Times New Roman"/>
                <w:szCs w:val="21"/>
              </w:rPr>
            </w:pPr>
          </w:p>
        </w:tc>
      </w:tr>
      <w:tr w14:paraId="1546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012" w:type="dxa"/>
            <w:vMerge w:val="continue"/>
            <w:tcBorders>
              <w:bottom w:val="single" w:color="000000" w:sz="4" w:space="0"/>
            </w:tcBorders>
            <w:vAlign w:val="center"/>
          </w:tcPr>
          <w:p w14:paraId="513CFA9F">
            <w:pPr>
              <w:jc w:val="center"/>
              <w:rPr>
                <w:rFonts w:ascii="Times New Roman" w:hAnsi="Times New Roman" w:cs="Times New Roman"/>
                <w:szCs w:val="21"/>
              </w:rPr>
            </w:pPr>
          </w:p>
        </w:tc>
        <w:tc>
          <w:tcPr>
            <w:tcW w:w="798" w:type="dxa"/>
            <w:vMerge w:val="continue"/>
            <w:tcBorders>
              <w:bottom w:val="single" w:color="000000" w:sz="4" w:space="0"/>
            </w:tcBorders>
            <w:vAlign w:val="center"/>
          </w:tcPr>
          <w:p w14:paraId="0E8D42E2">
            <w:pPr>
              <w:jc w:val="center"/>
              <w:rPr>
                <w:rFonts w:ascii="Times New Roman" w:hAnsi="Times New Roman" w:cs="Times New Roman"/>
                <w:szCs w:val="21"/>
              </w:rPr>
            </w:pPr>
          </w:p>
        </w:tc>
        <w:tc>
          <w:tcPr>
            <w:tcW w:w="664" w:type="dxa"/>
            <w:vMerge w:val="continue"/>
            <w:tcBorders>
              <w:right w:val="single" w:color="000000" w:sz="4" w:space="0"/>
            </w:tcBorders>
            <w:vAlign w:val="center"/>
          </w:tcPr>
          <w:p w14:paraId="07720E94">
            <w:pPr>
              <w:adjustRightInd w:val="0"/>
              <w:snapToGrid w:val="0"/>
              <w:spacing w:line="280" w:lineRule="exact"/>
              <w:jc w:val="center"/>
              <w:textAlignment w:val="baseline"/>
              <w:rPr>
                <w:rStyle w:val="54"/>
                <w:rFonts w:hint="default"/>
                <w:color w:val="auto"/>
                <w:sz w:val="21"/>
                <w:szCs w:val="21"/>
                <w:lang w:bidi="ar"/>
              </w:rPr>
            </w:pPr>
          </w:p>
        </w:tc>
        <w:tc>
          <w:tcPr>
            <w:tcW w:w="950" w:type="dxa"/>
            <w:tcBorders>
              <w:top w:val="single" w:color="auto" w:sz="4" w:space="0"/>
              <w:left w:val="single" w:color="000000" w:sz="4" w:space="0"/>
            </w:tcBorders>
            <w:vAlign w:val="center"/>
          </w:tcPr>
          <w:p w14:paraId="530457F4">
            <w:pPr>
              <w:adjustRightInd w:val="0"/>
              <w:snapToGrid w:val="0"/>
              <w:spacing w:line="280" w:lineRule="exact"/>
              <w:jc w:val="center"/>
              <w:textAlignment w:val="baseline"/>
              <w:rPr>
                <w:rStyle w:val="54"/>
                <w:rFonts w:hint="default"/>
                <w:color w:val="auto"/>
                <w:sz w:val="21"/>
                <w:szCs w:val="21"/>
                <w:lang w:bidi="ar"/>
              </w:rPr>
            </w:pPr>
            <w:r>
              <w:rPr>
                <w:rFonts w:hint="eastAsia" w:ascii="Times New Roman" w:hAnsi="Times New Roman" w:cs="Times New Roman"/>
                <w:kern w:val="0"/>
                <w:szCs w:val="21"/>
              </w:rPr>
              <w:t>无组织</w:t>
            </w:r>
          </w:p>
        </w:tc>
        <w:tc>
          <w:tcPr>
            <w:tcW w:w="718" w:type="dxa"/>
            <w:vMerge w:val="continue"/>
            <w:vAlign w:val="center"/>
          </w:tcPr>
          <w:p w14:paraId="3224BDD4">
            <w:pPr>
              <w:jc w:val="center"/>
              <w:rPr>
                <w:rFonts w:ascii="Times New Roman" w:hAnsi="Times New Roman" w:cs="Times New Roman"/>
                <w:szCs w:val="21"/>
              </w:rPr>
            </w:pPr>
          </w:p>
        </w:tc>
        <w:tc>
          <w:tcPr>
            <w:tcW w:w="826" w:type="dxa"/>
            <w:tcBorders>
              <w:top w:val="single" w:color="auto" w:sz="4" w:space="0"/>
              <w:bottom w:val="single" w:color="auto" w:sz="4" w:space="0"/>
            </w:tcBorders>
            <w:vAlign w:val="center"/>
          </w:tcPr>
          <w:p w14:paraId="052A067B">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rPr>
              <w:t>/</w:t>
            </w:r>
          </w:p>
        </w:tc>
        <w:tc>
          <w:tcPr>
            <w:tcW w:w="1018" w:type="dxa"/>
            <w:tcBorders>
              <w:top w:val="single" w:color="auto" w:sz="4" w:space="0"/>
            </w:tcBorders>
            <w:vAlign w:val="center"/>
          </w:tcPr>
          <w:p w14:paraId="3608163E">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 xml:space="preserve">0.023 </w:t>
            </w:r>
          </w:p>
        </w:tc>
        <w:tc>
          <w:tcPr>
            <w:tcW w:w="930" w:type="dxa"/>
            <w:tcBorders>
              <w:top w:val="single" w:color="auto" w:sz="4" w:space="0"/>
              <w:bottom w:val="single" w:color="auto" w:sz="4" w:space="0"/>
            </w:tcBorders>
            <w:vAlign w:val="center"/>
          </w:tcPr>
          <w:p w14:paraId="16EBD94B">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0.056</w:t>
            </w:r>
          </w:p>
        </w:tc>
        <w:tc>
          <w:tcPr>
            <w:tcW w:w="1042" w:type="dxa"/>
            <w:vMerge w:val="continue"/>
            <w:vAlign w:val="center"/>
          </w:tcPr>
          <w:p w14:paraId="74CA14AB">
            <w:pPr>
              <w:jc w:val="center"/>
              <w:rPr>
                <w:rFonts w:ascii="Times New Roman" w:hAnsi="Times New Roman" w:cs="Times New Roman"/>
                <w:szCs w:val="21"/>
              </w:rPr>
            </w:pPr>
          </w:p>
        </w:tc>
        <w:tc>
          <w:tcPr>
            <w:tcW w:w="983" w:type="dxa"/>
            <w:vMerge w:val="continue"/>
            <w:vAlign w:val="center"/>
          </w:tcPr>
          <w:p w14:paraId="6F877A8D">
            <w:pPr>
              <w:widowControl/>
              <w:jc w:val="center"/>
              <w:textAlignment w:val="center"/>
              <w:rPr>
                <w:rFonts w:ascii="Times New Roman" w:hAnsi="Times New Roman" w:eastAsia="宋体" w:cs="Times New Roman"/>
                <w:kern w:val="0"/>
                <w:szCs w:val="21"/>
                <w:lang w:bidi="ar"/>
              </w:rPr>
            </w:pPr>
          </w:p>
        </w:tc>
        <w:tc>
          <w:tcPr>
            <w:tcW w:w="1061" w:type="dxa"/>
            <w:tcBorders>
              <w:top w:val="single" w:color="auto" w:sz="4" w:space="0"/>
            </w:tcBorders>
            <w:vAlign w:val="center"/>
          </w:tcPr>
          <w:p w14:paraId="0A658B53">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rPr>
              <w:t>/</w:t>
            </w:r>
          </w:p>
        </w:tc>
        <w:tc>
          <w:tcPr>
            <w:tcW w:w="1028" w:type="dxa"/>
            <w:tcBorders>
              <w:top w:val="single" w:color="auto" w:sz="4" w:space="0"/>
            </w:tcBorders>
            <w:vAlign w:val="center"/>
          </w:tcPr>
          <w:p w14:paraId="403FA0A4">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0.023</w:t>
            </w:r>
          </w:p>
        </w:tc>
        <w:tc>
          <w:tcPr>
            <w:tcW w:w="1097" w:type="dxa"/>
            <w:tcBorders>
              <w:top w:val="single" w:color="auto" w:sz="4" w:space="0"/>
            </w:tcBorders>
            <w:vAlign w:val="center"/>
          </w:tcPr>
          <w:p w14:paraId="7D4E9B19">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0.056</w:t>
            </w:r>
          </w:p>
        </w:tc>
        <w:tc>
          <w:tcPr>
            <w:tcW w:w="912" w:type="dxa"/>
            <w:tcBorders>
              <w:top w:val="single" w:color="auto" w:sz="4" w:space="0"/>
            </w:tcBorders>
            <w:vAlign w:val="center"/>
          </w:tcPr>
          <w:p w14:paraId="3FFB949D">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kern w:val="0"/>
                <w:szCs w:val="21"/>
                <w:highlight w:val="none"/>
                <w:lang w:bidi="ar"/>
              </w:rPr>
              <w:t>0.2</w:t>
            </w:r>
          </w:p>
        </w:tc>
        <w:tc>
          <w:tcPr>
            <w:tcW w:w="722" w:type="dxa"/>
            <w:tcBorders>
              <w:top w:val="single" w:color="auto" w:sz="4" w:space="0"/>
            </w:tcBorders>
            <w:vAlign w:val="center"/>
          </w:tcPr>
          <w:p w14:paraId="121C201B">
            <w:pPr>
              <w:jc w:val="center"/>
              <w:rPr>
                <w:rFonts w:ascii="Times New Roman" w:hAnsi="Times New Roman" w:eastAsia="宋体" w:cs="Times New Roman"/>
                <w:kern w:val="0"/>
                <w:szCs w:val="21"/>
                <w:lang w:bidi="ar"/>
              </w:rPr>
            </w:pPr>
            <w:r>
              <w:rPr>
                <w:rFonts w:hint="eastAsia" w:ascii="Times New Roman" w:hAnsi="Times New Roman" w:cs="Times New Roman"/>
                <w:szCs w:val="21"/>
              </w:rPr>
              <w:t>/</w:t>
            </w:r>
          </w:p>
        </w:tc>
        <w:tc>
          <w:tcPr>
            <w:tcW w:w="706" w:type="dxa"/>
            <w:vMerge w:val="continue"/>
            <w:vAlign w:val="center"/>
          </w:tcPr>
          <w:p w14:paraId="3080B0E4">
            <w:pPr>
              <w:jc w:val="center"/>
              <w:rPr>
                <w:rFonts w:ascii="Times New Roman" w:hAnsi="Times New Roman" w:cs="Times New Roman"/>
                <w:szCs w:val="21"/>
              </w:rPr>
            </w:pPr>
          </w:p>
        </w:tc>
      </w:tr>
      <w:tr w14:paraId="3C47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012" w:type="dxa"/>
            <w:vMerge w:val="continue"/>
            <w:tcBorders>
              <w:bottom w:val="single" w:color="000000" w:sz="4" w:space="0"/>
            </w:tcBorders>
            <w:vAlign w:val="center"/>
          </w:tcPr>
          <w:p w14:paraId="0B6DDADA">
            <w:pPr>
              <w:jc w:val="center"/>
              <w:rPr>
                <w:rFonts w:ascii="Times New Roman" w:hAnsi="Times New Roman" w:cs="Times New Roman"/>
                <w:szCs w:val="21"/>
              </w:rPr>
            </w:pPr>
          </w:p>
        </w:tc>
        <w:tc>
          <w:tcPr>
            <w:tcW w:w="798" w:type="dxa"/>
            <w:vMerge w:val="continue"/>
            <w:tcBorders>
              <w:bottom w:val="single" w:color="000000" w:sz="4" w:space="0"/>
            </w:tcBorders>
            <w:vAlign w:val="center"/>
          </w:tcPr>
          <w:p w14:paraId="1800A742">
            <w:pPr>
              <w:jc w:val="center"/>
              <w:rPr>
                <w:rFonts w:ascii="Times New Roman" w:hAnsi="Times New Roman" w:cs="Times New Roman"/>
                <w:szCs w:val="21"/>
              </w:rPr>
            </w:pPr>
          </w:p>
        </w:tc>
        <w:tc>
          <w:tcPr>
            <w:tcW w:w="664" w:type="dxa"/>
            <w:vMerge w:val="restart"/>
            <w:tcBorders>
              <w:top w:val="single" w:color="auto" w:sz="4" w:space="0"/>
              <w:right w:val="single" w:color="000000" w:sz="4" w:space="0"/>
            </w:tcBorders>
            <w:vAlign w:val="center"/>
          </w:tcPr>
          <w:p w14:paraId="5550D99E">
            <w:pPr>
              <w:adjustRightInd w:val="0"/>
              <w:snapToGrid w:val="0"/>
              <w:spacing w:line="280" w:lineRule="exact"/>
              <w:jc w:val="center"/>
              <w:textAlignment w:val="baseline"/>
              <w:rPr>
                <w:rStyle w:val="54"/>
                <w:rFonts w:hint="default"/>
                <w:color w:val="auto"/>
                <w:sz w:val="21"/>
                <w:szCs w:val="21"/>
                <w:lang w:bidi="ar"/>
              </w:rPr>
            </w:pPr>
            <w:r>
              <w:rPr>
                <w:rFonts w:ascii="Times New Roman" w:hAnsi="Times New Roman" w:cs="Times New Roman"/>
                <w:kern w:val="0"/>
                <w:szCs w:val="21"/>
              </w:rPr>
              <w:t>非甲烷总烃</w:t>
            </w:r>
          </w:p>
        </w:tc>
        <w:tc>
          <w:tcPr>
            <w:tcW w:w="950" w:type="dxa"/>
            <w:tcBorders>
              <w:top w:val="single" w:color="auto" w:sz="4" w:space="0"/>
              <w:left w:val="single" w:color="000000" w:sz="4" w:space="0"/>
            </w:tcBorders>
            <w:vAlign w:val="center"/>
          </w:tcPr>
          <w:p w14:paraId="5B3BA0D0">
            <w:pPr>
              <w:adjustRightInd w:val="0"/>
              <w:snapToGrid w:val="0"/>
              <w:spacing w:line="280" w:lineRule="exact"/>
              <w:jc w:val="center"/>
              <w:textAlignment w:val="baseline"/>
              <w:rPr>
                <w:rStyle w:val="54"/>
                <w:rFonts w:hint="default"/>
                <w:color w:val="auto"/>
                <w:sz w:val="21"/>
                <w:szCs w:val="21"/>
                <w:lang w:bidi="ar"/>
              </w:rPr>
            </w:pPr>
            <w:r>
              <w:rPr>
                <w:rFonts w:hint="eastAsia" w:ascii="Times New Roman" w:hAnsi="Times New Roman" w:cs="Times New Roman"/>
                <w:kern w:val="0"/>
                <w:szCs w:val="21"/>
              </w:rPr>
              <w:t>有组织</w:t>
            </w:r>
          </w:p>
        </w:tc>
        <w:tc>
          <w:tcPr>
            <w:tcW w:w="718" w:type="dxa"/>
            <w:vMerge w:val="continue"/>
            <w:vAlign w:val="center"/>
          </w:tcPr>
          <w:p w14:paraId="73F67D9E">
            <w:pPr>
              <w:jc w:val="center"/>
              <w:rPr>
                <w:rFonts w:ascii="Times New Roman" w:hAnsi="Times New Roman" w:cs="Times New Roman"/>
                <w:szCs w:val="21"/>
              </w:rPr>
            </w:pPr>
          </w:p>
        </w:tc>
        <w:tc>
          <w:tcPr>
            <w:tcW w:w="826" w:type="dxa"/>
            <w:tcBorders>
              <w:top w:val="single" w:color="auto" w:sz="4" w:space="0"/>
              <w:bottom w:val="single" w:color="auto" w:sz="4" w:space="0"/>
            </w:tcBorders>
            <w:vAlign w:val="center"/>
          </w:tcPr>
          <w:p w14:paraId="2F5F8A81">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highlight w:val="none"/>
                <w:lang w:val="en-US" w:eastAsia="zh-CN"/>
              </w:rPr>
              <w:t>94.1</w:t>
            </w:r>
          </w:p>
        </w:tc>
        <w:tc>
          <w:tcPr>
            <w:tcW w:w="1018" w:type="dxa"/>
            <w:tcBorders>
              <w:top w:val="single" w:color="auto" w:sz="4" w:space="0"/>
            </w:tcBorders>
            <w:vAlign w:val="center"/>
          </w:tcPr>
          <w:p w14:paraId="19413674">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highlight w:val="none"/>
                <w:lang w:val="en-US" w:eastAsia="zh-CN"/>
              </w:rPr>
              <w:t>3.764</w:t>
            </w:r>
          </w:p>
        </w:tc>
        <w:tc>
          <w:tcPr>
            <w:tcW w:w="930" w:type="dxa"/>
            <w:tcBorders>
              <w:top w:val="single" w:color="auto" w:sz="4" w:space="0"/>
              <w:bottom w:val="single" w:color="auto" w:sz="4" w:space="0"/>
            </w:tcBorders>
            <w:vAlign w:val="center"/>
          </w:tcPr>
          <w:p w14:paraId="04A68737">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highlight w:val="none"/>
                <w:lang w:val="en-US" w:eastAsia="zh-CN"/>
              </w:rPr>
              <w:t>9.0328</w:t>
            </w:r>
          </w:p>
        </w:tc>
        <w:tc>
          <w:tcPr>
            <w:tcW w:w="1042" w:type="dxa"/>
            <w:vMerge w:val="continue"/>
            <w:vAlign w:val="center"/>
          </w:tcPr>
          <w:p w14:paraId="145778DE">
            <w:pPr>
              <w:jc w:val="center"/>
              <w:rPr>
                <w:rFonts w:ascii="Times New Roman" w:hAnsi="Times New Roman" w:cs="Times New Roman"/>
                <w:szCs w:val="21"/>
              </w:rPr>
            </w:pPr>
          </w:p>
        </w:tc>
        <w:tc>
          <w:tcPr>
            <w:tcW w:w="983" w:type="dxa"/>
            <w:vMerge w:val="continue"/>
            <w:vAlign w:val="center"/>
          </w:tcPr>
          <w:p w14:paraId="1EF988D3">
            <w:pPr>
              <w:widowControl/>
              <w:jc w:val="center"/>
              <w:textAlignment w:val="center"/>
              <w:rPr>
                <w:rFonts w:ascii="Times New Roman" w:hAnsi="Times New Roman" w:eastAsia="宋体" w:cs="Times New Roman"/>
                <w:kern w:val="0"/>
                <w:szCs w:val="21"/>
                <w:lang w:bidi="ar"/>
              </w:rPr>
            </w:pPr>
          </w:p>
        </w:tc>
        <w:tc>
          <w:tcPr>
            <w:tcW w:w="1061" w:type="dxa"/>
            <w:tcBorders>
              <w:top w:val="single" w:color="auto" w:sz="4" w:space="0"/>
            </w:tcBorders>
            <w:vAlign w:val="center"/>
          </w:tcPr>
          <w:p w14:paraId="44622D84">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 xml:space="preserve">19.88 </w:t>
            </w:r>
          </w:p>
        </w:tc>
        <w:tc>
          <w:tcPr>
            <w:tcW w:w="1028" w:type="dxa"/>
            <w:tcBorders>
              <w:top w:val="single" w:color="auto" w:sz="4" w:space="0"/>
            </w:tcBorders>
            <w:vAlign w:val="center"/>
          </w:tcPr>
          <w:p w14:paraId="30BF8953">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1.352</w:t>
            </w:r>
          </w:p>
        </w:tc>
        <w:tc>
          <w:tcPr>
            <w:tcW w:w="1097" w:type="dxa"/>
            <w:tcBorders>
              <w:top w:val="single" w:color="auto" w:sz="4" w:space="0"/>
            </w:tcBorders>
            <w:vAlign w:val="center"/>
          </w:tcPr>
          <w:p w14:paraId="01FBC4AC">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1.1473</w:t>
            </w:r>
          </w:p>
        </w:tc>
        <w:tc>
          <w:tcPr>
            <w:tcW w:w="912" w:type="dxa"/>
            <w:tcBorders>
              <w:top w:val="single" w:color="auto" w:sz="4" w:space="0"/>
            </w:tcBorders>
            <w:vAlign w:val="center"/>
          </w:tcPr>
          <w:p w14:paraId="4B0917B6">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kern w:val="0"/>
                <w:szCs w:val="21"/>
                <w:highlight w:val="none"/>
                <w:lang w:bidi="ar"/>
              </w:rPr>
              <w:t>20</w:t>
            </w:r>
          </w:p>
        </w:tc>
        <w:tc>
          <w:tcPr>
            <w:tcW w:w="722" w:type="dxa"/>
            <w:tcBorders>
              <w:top w:val="single" w:color="auto" w:sz="4" w:space="0"/>
            </w:tcBorders>
            <w:vAlign w:val="center"/>
          </w:tcPr>
          <w:p w14:paraId="7F1E4761">
            <w:pPr>
              <w:jc w:val="center"/>
              <w:rPr>
                <w:rFonts w:ascii="Times New Roman" w:hAnsi="Times New Roman" w:eastAsia="宋体" w:cs="Times New Roman"/>
                <w:kern w:val="0"/>
                <w:szCs w:val="21"/>
                <w:lang w:bidi="ar"/>
              </w:rPr>
            </w:pPr>
            <w:r>
              <w:rPr>
                <w:rFonts w:hint="eastAsia" w:ascii="Times New Roman" w:hAnsi="Times New Roman" w:cs="Times New Roman"/>
                <w:szCs w:val="21"/>
              </w:rPr>
              <w:t>10</w:t>
            </w:r>
          </w:p>
        </w:tc>
        <w:tc>
          <w:tcPr>
            <w:tcW w:w="706" w:type="dxa"/>
            <w:vMerge w:val="continue"/>
            <w:vAlign w:val="center"/>
          </w:tcPr>
          <w:p w14:paraId="0DE98189">
            <w:pPr>
              <w:jc w:val="center"/>
              <w:rPr>
                <w:rFonts w:ascii="Times New Roman" w:hAnsi="Times New Roman" w:cs="Times New Roman"/>
                <w:szCs w:val="21"/>
              </w:rPr>
            </w:pPr>
          </w:p>
        </w:tc>
      </w:tr>
      <w:tr w14:paraId="368B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8" w:hRule="atLeast"/>
        </w:trPr>
        <w:tc>
          <w:tcPr>
            <w:tcW w:w="1012" w:type="dxa"/>
            <w:vMerge w:val="continue"/>
            <w:tcBorders>
              <w:bottom w:val="single" w:color="000000" w:sz="4" w:space="0"/>
            </w:tcBorders>
            <w:vAlign w:val="center"/>
          </w:tcPr>
          <w:p w14:paraId="162C185F">
            <w:pPr>
              <w:jc w:val="center"/>
              <w:rPr>
                <w:rFonts w:ascii="Times New Roman" w:hAnsi="Times New Roman" w:cs="Times New Roman"/>
                <w:szCs w:val="21"/>
              </w:rPr>
            </w:pPr>
          </w:p>
        </w:tc>
        <w:tc>
          <w:tcPr>
            <w:tcW w:w="798" w:type="dxa"/>
            <w:vMerge w:val="continue"/>
            <w:tcBorders>
              <w:bottom w:val="single" w:color="000000" w:sz="4" w:space="0"/>
            </w:tcBorders>
            <w:vAlign w:val="center"/>
          </w:tcPr>
          <w:p w14:paraId="6B68AC7B">
            <w:pPr>
              <w:jc w:val="center"/>
              <w:rPr>
                <w:rFonts w:ascii="Times New Roman" w:hAnsi="Times New Roman" w:cs="Times New Roman"/>
                <w:szCs w:val="21"/>
              </w:rPr>
            </w:pPr>
          </w:p>
        </w:tc>
        <w:tc>
          <w:tcPr>
            <w:tcW w:w="664" w:type="dxa"/>
            <w:vMerge w:val="continue"/>
            <w:tcBorders>
              <w:right w:val="single" w:color="000000" w:sz="4" w:space="0"/>
            </w:tcBorders>
            <w:vAlign w:val="center"/>
          </w:tcPr>
          <w:p w14:paraId="414DF8BC">
            <w:pPr>
              <w:adjustRightInd w:val="0"/>
              <w:snapToGrid w:val="0"/>
              <w:spacing w:line="280" w:lineRule="exact"/>
              <w:jc w:val="center"/>
              <w:textAlignment w:val="baseline"/>
              <w:rPr>
                <w:rStyle w:val="54"/>
                <w:rFonts w:hint="default"/>
                <w:color w:val="auto"/>
                <w:sz w:val="21"/>
                <w:szCs w:val="21"/>
                <w:lang w:bidi="ar"/>
              </w:rPr>
            </w:pPr>
          </w:p>
        </w:tc>
        <w:tc>
          <w:tcPr>
            <w:tcW w:w="950" w:type="dxa"/>
            <w:tcBorders>
              <w:top w:val="single" w:color="auto" w:sz="4" w:space="0"/>
              <w:left w:val="single" w:color="000000" w:sz="4" w:space="0"/>
            </w:tcBorders>
            <w:vAlign w:val="center"/>
          </w:tcPr>
          <w:p w14:paraId="5CE69518">
            <w:pPr>
              <w:adjustRightInd w:val="0"/>
              <w:snapToGrid w:val="0"/>
              <w:spacing w:line="280" w:lineRule="exact"/>
              <w:jc w:val="center"/>
              <w:textAlignment w:val="baseline"/>
              <w:rPr>
                <w:rStyle w:val="54"/>
                <w:rFonts w:hint="default"/>
                <w:color w:val="auto"/>
                <w:sz w:val="21"/>
                <w:szCs w:val="21"/>
                <w:lang w:bidi="ar"/>
              </w:rPr>
            </w:pPr>
            <w:r>
              <w:rPr>
                <w:rFonts w:hint="eastAsia" w:ascii="Times New Roman" w:hAnsi="Times New Roman" w:cs="Times New Roman"/>
                <w:kern w:val="0"/>
                <w:szCs w:val="21"/>
              </w:rPr>
              <w:t>无组织</w:t>
            </w:r>
          </w:p>
        </w:tc>
        <w:tc>
          <w:tcPr>
            <w:tcW w:w="718" w:type="dxa"/>
            <w:vMerge w:val="continue"/>
            <w:tcBorders>
              <w:bottom w:val="single" w:color="000000" w:sz="4" w:space="0"/>
            </w:tcBorders>
            <w:vAlign w:val="center"/>
          </w:tcPr>
          <w:p w14:paraId="1C1717A6">
            <w:pPr>
              <w:jc w:val="center"/>
              <w:rPr>
                <w:rFonts w:ascii="Times New Roman" w:hAnsi="Times New Roman" w:cs="Times New Roman"/>
                <w:szCs w:val="21"/>
              </w:rPr>
            </w:pPr>
          </w:p>
        </w:tc>
        <w:tc>
          <w:tcPr>
            <w:tcW w:w="826" w:type="dxa"/>
            <w:tcBorders>
              <w:top w:val="single" w:color="auto" w:sz="4" w:space="0"/>
              <w:bottom w:val="single" w:color="000000" w:sz="4" w:space="0"/>
            </w:tcBorders>
            <w:vAlign w:val="center"/>
          </w:tcPr>
          <w:p w14:paraId="7AC59A52">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highlight w:val="none"/>
              </w:rPr>
              <w:t>/</w:t>
            </w:r>
          </w:p>
        </w:tc>
        <w:tc>
          <w:tcPr>
            <w:tcW w:w="1018" w:type="dxa"/>
            <w:tcBorders>
              <w:top w:val="single" w:color="auto" w:sz="4" w:space="0"/>
            </w:tcBorders>
            <w:vAlign w:val="center"/>
          </w:tcPr>
          <w:p w14:paraId="051FDD42">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highlight w:val="none"/>
                <w:lang w:val="en-US" w:eastAsia="zh-CN"/>
              </w:rPr>
              <w:t xml:space="preserve">0.205 </w:t>
            </w:r>
          </w:p>
        </w:tc>
        <w:tc>
          <w:tcPr>
            <w:tcW w:w="930" w:type="dxa"/>
            <w:tcBorders>
              <w:top w:val="single" w:color="auto" w:sz="4" w:space="0"/>
              <w:bottom w:val="single" w:color="000000" w:sz="4" w:space="0"/>
            </w:tcBorders>
            <w:vAlign w:val="center"/>
          </w:tcPr>
          <w:p w14:paraId="4DEB8D70">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highlight w:val="none"/>
                <w:lang w:val="en-US" w:eastAsia="zh-CN"/>
              </w:rPr>
              <w:t>0.4925</w:t>
            </w:r>
          </w:p>
        </w:tc>
        <w:tc>
          <w:tcPr>
            <w:tcW w:w="1042" w:type="dxa"/>
            <w:vMerge w:val="continue"/>
            <w:tcBorders>
              <w:bottom w:val="single" w:color="000000" w:sz="4" w:space="0"/>
            </w:tcBorders>
            <w:vAlign w:val="center"/>
          </w:tcPr>
          <w:p w14:paraId="09EB8AD4">
            <w:pPr>
              <w:jc w:val="center"/>
              <w:rPr>
                <w:rFonts w:ascii="Times New Roman" w:hAnsi="Times New Roman" w:cs="Times New Roman"/>
                <w:szCs w:val="21"/>
              </w:rPr>
            </w:pPr>
          </w:p>
        </w:tc>
        <w:tc>
          <w:tcPr>
            <w:tcW w:w="983" w:type="dxa"/>
            <w:vMerge w:val="continue"/>
            <w:tcBorders>
              <w:bottom w:val="single" w:color="000000" w:sz="4" w:space="0"/>
            </w:tcBorders>
            <w:vAlign w:val="center"/>
          </w:tcPr>
          <w:p w14:paraId="5E9342BB">
            <w:pPr>
              <w:widowControl/>
              <w:jc w:val="center"/>
              <w:textAlignment w:val="center"/>
              <w:rPr>
                <w:rFonts w:ascii="Times New Roman" w:hAnsi="Times New Roman" w:eastAsia="宋体" w:cs="Times New Roman"/>
                <w:kern w:val="0"/>
                <w:szCs w:val="21"/>
                <w:lang w:bidi="ar"/>
              </w:rPr>
            </w:pPr>
          </w:p>
        </w:tc>
        <w:tc>
          <w:tcPr>
            <w:tcW w:w="1061" w:type="dxa"/>
            <w:tcBorders>
              <w:top w:val="single" w:color="auto" w:sz="4" w:space="0"/>
            </w:tcBorders>
            <w:vAlign w:val="center"/>
          </w:tcPr>
          <w:p w14:paraId="19266B17">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rPr>
              <w:t>/</w:t>
            </w:r>
          </w:p>
        </w:tc>
        <w:tc>
          <w:tcPr>
            <w:tcW w:w="1028" w:type="dxa"/>
            <w:tcBorders>
              <w:top w:val="single" w:color="auto" w:sz="4" w:space="0"/>
            </w:tcBorders>
            <w:vAlign w:val="center"/>
          </w:tcPr>
          <w:p w14:paraId="25F03980">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highlight w:val="none"/>
                <w:lang w:val="en-US" w:eastAsia="zh-CN"/>
              </w:rPr>
              <w:t xml:space="preserve">0.205 </w:t>
            </w:r>
          </w:p>
        </w:tc>
        <w:tc>
          <w:tcPr>
            <w:tcW w:w="1097" w:type="dxa"/>
            <w:tcBorders>
              <w:top w:val="single" w:color="auto" w:sz="4" w:space="0"/>
            </w:tcBorders>
            <w:vAlign w:val="center"/>
          </w:tcPr>
          <w:p w14:paraId="1705897F">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highlight w:val="none"/>
                <w:lang w:val="en-US" w:eastAsia="zh-CN"/>
              </w:rPr>
              <w:t>0.4925</w:t>
            </w:r>
          </w:p>
        </w:tc>
        <w:tc>
          <w:tcPr>
            <w:tcW w:w="912" w:type="dxa"/>
            <w:tcBorders>
              <w:top w:val="single" w:color="auto" w:sz="4" w:space="0"/>
            </w:tcBorders>
            <w:vAlign w:val="center"/>
          </w:tcPr>
          <w:p w14:paraId="0120B712">
            <w:pPr>
              <w:widowControl/>
              <w:jc w:val="center"/>
              <w:textAlignment w:val="center"/>
              <w:rPr>
                <w:rFonts w:ascii="Times New Roman" w:hAnsi="Times New Roman" w:eastAsia="宋体" w:cs="Times New Roman"/>
                <w:kern w:val="0"/>
                <w:szCs w:val="21"/>
                <w:highlight w:val="none"/>
                <w:lang w:bidi="ar"/>
              </w:rPr>
            </w:pPr>
            <w:r>
              <w:rPr>
                <w:rFonts w:hint="eastAsia" w:ascii="Times New Roman" w:hAnsi="Times New Roman" w:eastAsia="宋体" w:cs="Times New Roman"/>
                <w:kern w:val="0"/>
                <w:szCs w:val="21"/>
                <w:highlight w:val="none"/>
                <w:lang w:bidi="ar"/>
              </w:rPr>
              <w:t>2.0</w:t>
            </w:r>
          </w:p>
        </w:tc>
        <w:tc>
          <w:tcPr>
            <w:tcW w:w="722" w:type="dxa"/>
            <w:tcBorders>
              <w:top w:val="single" w:color="auto" w:sz="4" w:space="0"/>
            </w:tcBorders>
            <w:vAlign w:val="center"/>
          </w:tcPr>
          <w:p w14:paraId="39737E23">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p>
        </w:tc>
        <w:tc>
          <w:tcPr>
            <w:tcW w:w="706" w:type="dxa"/>
            <w:vMerge w:val="continue"/>
            <w:vAlign w:val="center"/>
          </w:tcPr>
          <w:p w14:paraId="2335BD0D">
            <w:pPr>
              <w:jc w:val="center"/>
              <w:rPr>
                <w:rFonts w:ascii="Times New Roman" w:hAnsi="Times New Roman" w:cs="Times New Roman"/>
                <w:szCs w:val="21"/>
              </w:rPr>
            </w:pPr>
          </w:p>
        </w:tc>
      </w:tr>
    </w:tbl>
    <w:p w14:paraId="27795A04">
      <w:pPr>
        <w:pStyle w:val="39"/>
        <w:rPr>
          <w:rFonts w:ascii="Times New Roman" w:hAnsi="Times New Roman" w:cs="Times New Roman"/>
        </w:rPr>
        <w:sectPr>
          <w:headerReference r:id="rId11" w:type="default"/>
          <w:pgSz w:w="16838" w:h="11906" w:orient="landscape"/>
          <w:pgMar w:top="1800" w:right="1440" w:bottom="1800" w:left="1440" w:header="851" w:footer="992" w:gutter="0"/>
          <w:pgNumType w:fmt="decimal"/>
          <w:cols w:space="425" w:num="1"/>
          <w:docGrid w:type="lines" w:linePitch="312" w:charSpace="0"/>
        </w:sectPr>
      </w:pPr>
    </w:p>
    <w:p w14:paraId="53A323EC">
      <w:pPr>
        <w:pStyle w:val="4"/>
        <w:numPr>
          <w:ilvl w:val="2"/>
          <w:numId w:val="39"/>
        </w:numPr>
        <w:tabs>
          <w:tab w:val="clear" w:pos="0"/>
        </w:tabs>
      </w:pPr>
      <w:r>
        <w:rPr>
          <w:rFonts w:hint="eastAsia"/>
        </w:rPr>
        <w:t>营运期废水源强</w:t>
      </w:r>
    </w:p>
    <w:p w14:paraId="436FA4C5">
      <w:pPr>
        <w:pStyle w:val="5"/>
        <w:numPr>
          <w:ilvl w:val="3"/>
          <w:numId w:val="39"/>
        </w:numPr>
      </w:pPr>
      <w:r>
        <w:rPr>
          <w:rFonts w:hint="eastAsia"/>
        </w:rPr>
        <w:t>废水种类及主要污染物</w:t>
      </w:r>
    </w:p>
    <w:p w14:paraId="13B10E80">
      <w:pPr>
        <w:pStyle w:val="39"/>
        <w:spacing w:line="360" w:lineRule="auto"/>
        <w:ind w:firstLine="480" w:firstLineChars="200"/>
        <w:rPr>
          <w:rFonts w:ascii="Times New Roman" w:hAnsi="Times New Roman" w:cs="Times New Roman"/>
        </w:rPr>
      </w:pPr>
      <w:r>
        <w:rPr>
          <w:rFonts w:hint="eastAsia" w:ascii="Times New Roman" w:hAnsi="Times New Roman" w:cs="Times New Roman"/>
        </w:rPr>
        <w:t>本项目</w:t>
      </w:r>
      <w:r>
        <w:rPr>
          <w:rFonts w:hint="eastAsia" w:ascii="Times New Roman" w:hAnsi="Times New Roman" w:cs="Times New Roman"/>
          <w:color w:val="auto"/>
        </w:rPr>
        <w:t>废水包括生产废水和</w:t>
      </w:r>
      <w:r>
        <w:rPr>
          <w:rFonts w:hint="eastAsia" w:ascii="Times New Roman" w:hAnsi="Times New Roman" w:cs="Times New Roman"/>
        </w:rPr>
        <w:t>生活废水，其中生产废水为水帘废水。厂区废水污染类型及因子详见下表。</w:t>
      </w:r>
    </w:p>
    <w:p w14:paraId="365FB825">
      <w:pPr>
        <w:pStyle w:val="17"/>
        <w:numPr>
          <w:ilvl w:val="0"/>
          <w:numId w:val="40"/>
        </w:numPr>
        <w:jc w:val="center"/>
        <w:rPr>
          <w:b/>
          <w:bCs/>
          <w:szCs w:val="21"/>
        </w:rPr>
      </w:pPr>
      <w:r>
        <w:rPr>
          <w:rFonts w:hint="eastAsia"/>
          <w:b/>
          <w:bCs/>
          <w:szCs w:val="21"/>
        </w:rPr>
        <w:t xml:space="preserve"> </w:t>
      </w:r>
      <w:r>
        <w:rPr>
          <w:rFonts w:hint="eastAsia" w:cs="Times New Roman"/>
          <w:b/>
          <w:bCs/>
          <w:szCs w:val="21"/>
        </w:rPr>
        <w:t>本项目废水类型及污染因子</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1102"/>
        <w:gridCol w:w="1343"/>
        <w:gridCol w:w="2280"/>
        <w:gridCol w:w="1896"/>
      </w:tblGrid>
      <w:tr w14:paraId="023C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vAlign w:val="center"/>
          </w:tcPr>
          <w:p w14:paraId="6354E5D7">
            <w:pPr>
              <w:pStyle w:val="41"/>
              <w:spacing w:line="240" w:lineRule="auto"/>
              <w:ind w:firstLine="0" w:firstLineChars="0"/>
              <w:jc w:val="center"/>
              <w:rPr>
                <w:sz w:val="21"/>
              </w:rPr>
            </w:pPr>
            <w:r>
              <w:rPr>
                <w:rFonts w:hint="eastAsia"/>
                <w:sz w:val="21"/>
              </w:rPr>
              <w:t>类别</w:t>
            </w:r>
          </w:p>
        </w:tc>
        <w:tc>
          <w:tcPr>
            <w:tcW w:w="1102" w:type="dxa"/>
            <w:vAlign w:val="center"/>
          </w:tcPr>
          <w:p w14:paraId="6AEF7BC2">
            <w:pPr>
              <w:pStyle w:val="41"/>
              <w:spacing w:line="240" w:lineRule="auto"/>
              <w:ind w:firstLine="0" w:firstLineChars="0"/>
              <w:jc w:val="center"/>
              <w:rPr>
                <w:sz w:val="21"/>
              </w:rPr>
            </w:pPr>
            <w:r>
              <w:rPr>
                <w:rFonts w:hint="eastAsia"/>
                <w:sz w:val="21"/>
              </w:rPr>
              <w:t>来源</w:t>
            </w:r>
          </w:p>
        </w:tc>
        <w:tc>
          <w:tcPr>
            <w:tcW w:w="1343" w:type="dxa"/>
            <w:vAlign w:val="center"/>
          </w:tcPr>
          <w:p w14:paraId="350EA9F6">
            <w:pPr>
              <w:pStyle w:val="41"/>
              <w:spacing w:line="240" w:lineRule="auto"/>
              <w:ind w:firstLine="0" w:firstLineChars="0"/>
              <w:jc w:val="center"/>
              <w:rPr>
                <w:sz w:val="21"/>
              </w:rPr>
            </w:pPr>
            <w:r>
              <w:rPr>
                <w:rFonts w:hint="eastAsia"/>
                <w:sz w:val="21"/>
              </w:rPr>
              <w:t>水量（m</w:t>
            </w:r>
            <w:r>
              <w:rPr>
                <w:rFonts w:hint="eastAsia"/>
                <w:sz w:val="21"/>
                <w:vertAlign w:val="superscript"/>
              </w:rPr>
              <w:t>3</w:t>
            </w:r>
            <w:r>
              <w:rPr>
                <w:rFonts w:hint="eastAsia"/>
                <w:sz w:val="21"/>
              </w:rPr>
              <w:t>/d）</w:t>
            </w:r>
          </w:p>
        </w:tc>
        <w:tc>
          <w:tcPr>
            <w:tcW w:w="2280" w:type="dxa"/>
            <w:vAlign w:val="center"/>
          </w:tcPr>
          <w:p w14:paraId="2DA95DB3">
            <w:pPr>
              <w:pStyle w:val="41"/>
              <w:spacing w:line="240" w:lineRule="auto"/>
              <w:ind w:firstLine="0" w:firstLineChars="0"/>
              <w:jc w:val="center"/>
              <w:rPr>
                <w:sz w:val="21"/>
              </w:rPr>
            </w:pPr>
            <w:r>
              <w:rPr>
                <w:rFonts w:hint="eastAsia"/>
                <w:sz w:val="21"/>
              </w:rPr>
              <w:t>主要污染因子</w:t>
            </w:r>
          </w:p>
        </w:tc>
        <w:tc>
          <w:tcPr>
            <w:tcW w:w="1896" w:type="dxa"/>
            <w:vAlign w:val="center"/>
          </w:tcPr>
          <w:p w14:paraId="70CC714E">
            <w:pPr>
              <w:pStyle w:val="41"/>
              <w:spacing w:line="240" w:lineRule="auto"/>
              <w:ind w:firstLine="0" w:firstLineChars="0"/>
              <w:jc w:val="center"/>
              <w:rPr>
                <w:sz w:val="21"/>
              </w:rPr>
            </w:pPr>
            <w:r>
              <w:rPr>
                <w:rFonts w:hint="eastAsia"/>
                <w:sz w:val="21"/>
              </w:rPr>
              <w:t>排放方式及去向</w:t>
            </w:r>
          </w:p>
        </w:tc>
      </w:tr>
      <w:tr w14:paraId="73B5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vAlign w:val="center"/>
          </w:tcPr>
          <w:p w14:paraId="5D977E69">
            <w:pPr>
              <w:pStyle w:val="41"/>
              <w:spacing w:line="240" w:lineRule="auto"/>
              <w:ind w:firstLine="0" w:firstLineChars="0"/>
              <w:jc w:val="center"/>
              <w:rPr>
                <w:sz w:val="21"/>
              </w:rPr>
            </w:pPr>
            <w:r>
              <w:rPr>
                <w:rFonts w:hint="eastAsia"/>
                <w:sz w:val="21"/>
              </w:rPr>
              <w:t>生活污水</w:t>
            </w:r>
          </w:p>
        </w:tc>
        <w:tc>
          <w:tcPr>
            <w:tcW w:w="1102" w:type="dxa"/>
            <w:vAlign w:val="center"/>
          </w:tcPr>
          <w:p w14:paraId="3C2B2E16">
            <w:pPr>
              <w:pStyle w:val="41"/>
              <w:spacing w:line="240" w:lineRule="auto"/>
              <w:ind w:firstLine="0" w:firstLineChars="0"/>
              <w:jc w:val="center"/>
              <w:rPr>
                <w:sz w:val="21"/>
              </w:rPr>
            </w:pPr>
            <w:r>
              <w:rPr>
                <w:rFonts w:hint="eastAsia"/>
                <w:sz w:val="21"/>
              </w:rPr>
              <w:t>职工生活</w:t>
            </w:r>
          </w:p>
        </w:tc>
        <w:tc>
          <w:tcPr>
            <w:tcW w:w="1343" w:type="dxa"/>
            <w:vAlign w:val="center"/>
          </w:tcPr>
          <w:p w14:paraId="6CE03DEE">
            <w:pPr>
              <w:pStyle w:val="41"/>
              <w:spacing w:line="240" w:lineRule="auto"/>
              <w:ind w:firstLine="0" w:firstLineChars="0"/>
              <w:jc w:val="center"/>
              <w:rPr>
                <w:sz w:val="21"/>
              </w:rPr>
            </w:pPr>
            <w:r>
              <w:rPr>
                <w:rFonts w:hint="eastAsia"/>
                <w:sz w:val="21"/>
              </w:rPr>
              <w:t>3.74</w:t>
            </w:r>
          </w:p>
        </w:tc>
        <w:tc>
          <w:tcPr>
            <w:tcW w:w="2280" w:type="dxa"/>
            <w:vAlign w:val="center"/>
          </w:tcPr>
          <w:p w14:paraId="2EEF1268">
            <w:pPr>
              <w:pStyle w:val="41"/>
              <w:spacing w:line="240" w:lineRule="auto"/>
              <w:ind w:firstLine="0" w:firstLineChars="0"/>
              <w:jc w:val="center"/>
              <w:rPr>
                <w:sz w:val="21"/>
              </w:rPr>
            </w:pPr>
            <w:r>
              <w:rPr>
                <w:rFonts w:hint="eastAsia"/>
                <w:sz w:val="21"/>
              </w:rPr>
              <w:t>pH、</w:t>
            </w:r>
            <w:r>
              <w:rPr>
                <w:sz w:val="21"/>
              </w:rPr>
              <w:t>COD、BOD</w:t>
            </w:r>
            <w:r>
              <w:rPr>
                <w:rFonts w:hint="eastAsia"/>
                <w:sz w:val="21"/>
                <w:vertAlign w:val="subscript"/>
              </w:rPr>
              <w:t>5</w:t>
            </w:r>
            <w:r>
              <w:rPr>
                <w:sz w:val="21"/>
              </w:rPr>
              <w:t>、SS、NH</w:t>
            </w:r>
            <w:r>
              <w:rPr>
                <w:sz w:val="21"/>
                <w:vertAlign w:val="subscript"/>
              </w:rPr>
              <w:t>3</w:t>
            </w:r>
            <w:r>
              <w:rPr>
                <w:sz w:val="21"/>
              </w:rPr>
              <w:t>-N</w:t>
            </w:r>
          </w:p>
        </w:tc>
        <w:tc>
          <w:tcPr>
            <w:tcW w:w="1896" w:type="dxa"/>
            <w:vAlign w:val="center"/>
          </w:tcPr>
          <w:p w14:paraId="7FE66B57">
            <w:pPr>
              <w:pStyle w:val="41"/>
              <w:spacing w:line="240" w:lineRule="auto"/>
              <w:ind w:firstLine="0" w:firstLineChars="0"/>
              <w:jc w:val="center"/>
              <w:rPr>
                <w:sz w:val="21"/>
              </w:rPr>
            </w:pPr>
            <w:r>
              <w:rPr>
                <w:rFonts w:hint="eastAsia"/>
                <w:sz w:val="21"/>
              </w:rPr>
              <w:t>间歇，化粪池</w:t>
            </w:r>
          </w:p>
        </w:tc>
      </w:tr>
      <w:tr w14:paraId="46B4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vAlign w:val="center"/>
          </w:tcPr>
          <w:p w14:paraId="3E2E5DE4">
            <w:pPr>
              <w:pStyle w:val="41"/>
              <w:spacing w:line="240" w:lineRule="auto"/>
              <w:ind w:firstLine="0" w:firstLineChars="0"/>
              <w:jc w:val="center"/>
              <w:rPr>
                <w:sz w:val="21"/>
              </w:rPr>
            </w:pPr>
            <w:r>
              <w:rPr>
                <w:rFonts w:hint="eastAsia"/>
                <w:sz w:val="21"/>
              </w:rPr>
              <w:t>水帘废水</w:t>
            </w:r>
          </w:p>
        </w:tc>
        <w:tc>
          <w:tcPr>
            <w:tcW w:w="1102" w:type="dxa"/>
            <w:vAlign w:val="center"/>
          </w:tcPr>
          <w:p w14:paraId="5A880901">
            <w:pPr>
              <w:pStyle w:val="41"/>
              <w:spacing w:line="240" w:lineRule="auto"/>
              <w:ind w:firstLine="0" w:firstLineChars="0"/>
              <w:jc w:val="center"/>
              <w:rPr>
                <w:sz w:val="21"/>
              </w:rPr>
            </w:pPr>
            <w:r>
              <w:rPr>
                <w:rFonts w:hint="eastAsia"/>
                <w:sz w:val="21"/>
              </w:rPr>
              <w:t>喷漆水帘</w:t>
            </w:r>
          </w:p>
        </w:tc>
        <w:tc>
          <w:tcPr>
            <w:tcW w:w="1343" w:type="dxa"/>
            <w:vAlign w:val="center"/>
          </w:tcPr>
          <w:p w14:paraId="36ED3FEA">
            <w:pPr>
              <w:pStyle w:val="41"/>
              <w:spacing w:line="240" w:lineRule="auto"/>
              <w:ind w:firstLine="0" w:firstLineChars="0"/>
              <w:jc w:val="center"/>
            </w:pPr>
            <w:r>
              <w:rPr>
                <w:rFonts w:hint="eastAsia"/>
                <w:sz w:val="21"/>
              </w:rPr>
              <w:t>1.4</w:t>
            </w:r>
          </w:p>
        </w:tc>
        <w:tc>
          <w:tcPr>
            <w:tcW w:w="2280" w:type="dxa"/>
            <w:vAlign w:val="center"/>
          </w:tcPr>
          <w:p w14:paraId="73AE712C">
            <w:pPr>
              <w:pStyle w:val="41"/>
              <w:spacing w:line="240" w:lineRule="auto"/>
              <w:ind w:firstLine="0" w:firstLineChars="0"/>
              <w:jc w:val="center"/>
              <w:rPr>
                <w:sz w:val="21"/>
              </w:rPr>
            </w:pPr>
            <w:r>
              <w:rPr>
                <w:rFonts w:hint="eastAsia"/>
                <w:sz w:val="21"/>
              </w:rPr>
              <w:t>pH、</w:t>
            </w:r>
            <w:r>
              <w:rPr>
                <w:sz w:val="21"/>
              </w:rPr>
              <w:t>COD、SS</w:t>
            </w:r>
            <w:r>
              <w:rPr>
                <w:rFonts w:hint="eastAsia"/>
                <w:sz w:val="21"/>
              </w:rPr>
              <w:t>、氨氮、甲苯、二甲苯</w:t>
            </w:r>
          </w:p>
        </w:tc>
        <w:tc>
          <w:tcPr>
            <w:tcW w:w="1896" w:type="dxa"/>
            <w:vAlign w:val="center"/>
          </w:tcPr>
          <w:p w14:paraId="48E591D8">
            <w:pPr>
              <w:pStyle w:val="41"/>
              <w:spacing w:line="240" w:lineRule="auto"/>
              <w:ind w:firstLine="0" w:firstLineChars="0"/>
              <w:jc w:val="center"/>
              <w:rPr>
                <w:sz w:val="21"/>
              </w:rPr>
            </w:pPr>
            <w:r>
              <w:rPr>
                <w:rFonts w:hint="eastAsia"/>
                <w:sz w:val="21"/>
              </w:rPr>
              <w:t>间歇，厂区生产废水处理设施</w:t>
            </w:r>
          </w:p>
        </w:tc>
      </w:tr>
    </w:tbl>
    <w:p w14:paraId="7BFBFC34">
      <w:pPr>
        <w:pStyle w:val="5"/>
        <w:numPr>
          <w:ilvl w:val="3"/>
          <w:numId w:val="39"/>
        </w:numPr>
        <w:adjustRightInd w:val="0"/>
        <w:snapToGrid w:val="0"/>
      </w:pPr>
      <w:r>
        <w:rPr>
          <w:rFonts w:hint="eastAsia"/>
        </w:rPr>
        <w:t>废水源强核算</w:t>
      </w:r>
    </w:p>
    <w:p w14:paraId="2879D02E">
      <w:pPr>
        <w:pStyle w:val="39"/>
        <w:snapToGrid w:val="0"/>
        <w:spacing w:line="360" w:lineRule="auto"/>
        <w:ind w:left="630"/>
        <w:rPr>
          <w:rFonts w:hAnsi="宋体"/>
        </w:rPr>
      </w:pPr>
      <w:r>
        <w:rPr>
          <w:rFonts w:hint="eastAsia" w:hAnsi="宋体"/>
        </w:rPr>
        <w:t>1、生活污水</w:t>
      </w:r>
    </w:p>
    <w:p w14:paraId="56AD5201">
      <w:pPr>
        <w:pStyle w:val="39"/>
        <w:snapToGrid w:val="0"/>
        <w:spacing w:line="360" w:lineRule="auto"/>
        <w:ind w:firstLine="480" w:firstLineChars="200"/>
        <w:rPr>
          <w:rFonts w:ascii="Times New Roman" w:hAnsi="Times New Roman" w:cs="Times New Roman"/>
          <w:bCs/>
          <w:color w:val="auto"/>
          <w:highlight w:val="yellow"/>
        </w:rPr>
      </w:pPr>
      <w:r>
        <w:rPr>
          <w:rFonts w:hint="eastAsia" w:ascii="Times New Roman" w:hAnsi="Times New Roman" w:cs="Times New Roman"/>
          <w:bCs/>
          <w:color w:val="auto"/>
        </w:rPr>
        <w:t>本项目生活用水量为1320m</w:t>
      </w:r>
      <w:r>
        <w:rPr>
          <w:rFonts w:ascii="Times New Roman" w:hAnsi="Times New Roman" w:cs="Times New Roman"/>
          <w:bCs/>
          <w:color w:val="auto"/>
          <w:vertAlign w:val="superscript"/>
        </w:rPr>
        <w:t>3</w:t>
      </w:r>
      <w:r>
        <w:rPr>
          <w:rFonts w:ascii="Times New Roman" w:hAnsi="Times New Roman" w:cs="Times New Roman"/>
          <w:bCs/>
          <w:color w:val="auto"/>
        </w:rPr>
        <w:t>/</w:t>
      </w:r>
      <w:r>
        <w:rPr>
          <w:rFonts w:hint="eastAsia" w:ascii="Times New Roman" w:hAnsi="Times New Roman" w:cs="Times New Roman"/>
          <w:bCs/>
          <w:color w:val="auto"/>
        </w:rPr>
        <w:t>a，排水量按用水量的85%计，为1122m</w:t>
      </w:r>
      <w:r>
        <w:rPr>
          <w:rFonts w:ascii="Times New Roman" w:hAnsi="Times New Roman" w:cs="Times New Roman"/>
          <w:bCs/>
          <w:color w:val="auto"/>
          <w:vertAlign w:val="superscript"/>
        </w:rPr>
        <w:t>3</w:t>
      </w:r>
      <w:r>
        <w:rPr>
          <w:rFonts w:ascii="Times New Roman" w:hAnsi="Times New Roman" w:cs="Times New Roman"/>
          <w:bCs/>
          <w:color w:val="auto"/>
        </w:rPr>
        <w:t>/</w:t>
      </w:r>
      <w:r>
        <w:rPr>
          <w:rFonts w:hint="eastAsia" w:ascii="Times New Roman" w:hAnsi="Times New Roman" w:cs="Times New Roman"/>
          <w:bCs/>
          <w:color w:val="auto"/>
        </w:rPr>
        <w:t>a（3.74m</w:t>
      </w:r>
      <w:r>
        <w:rPr>
          <w:rFonts w:hint="eastAsia" w:ascii="Times New Roman" w:hAnsi="Times New Roman" w:cs="Times New Roman"/>
          <w:bCs/>
          <w:color w:val="auto"/>
          <w:vertAlign w:val="superscript"/>
        </w:rPr>
        <w:t>3</w:t>
      </w:r>
      <w:r>
        <w:rPr>
          <w:rFonts w:hint="eastAsia" w:ascii="Times New Roman" w:hAnsi="Times New Roman" w:cs="Times New Roman"/>
          <w:bCs/>
          <w:color w:val="auto"/>
        </w:rPr>
        <w:t>/d），主要污染物COD、BOD</w:t>
      </w:r>
      <w:r>
        <w:rPr>
          <w:rFonts w:hint="eastAsia" w:ascii="Times New Roman" w:hAnsi="Times New Roman" w:cs="Times New Roman"/>
          <w:bCs/>
          <w:color w:val="auto"/>
          <w:vertAlign w:val="subscript"/>
        </w:rPr>
        <w:t>5</w:t>
      </w:r>
      <w:r>
        <w:rPr>
          <w:rFonts w:hint="eastAsia" w:ascii="Times New Roman" w:hAnsi="Times New Roman" w:cs="Times New Roman"/>
          <w:bCs/>
          <w:color w:val="auto"/>
        </w:rPr>
        <w:t>、SS、NH</w:t>
      </w:r>
      <w:r>
        <w:rPr>
          <w:rFonts w:hint="eastAsia" w:ascii="Times New Roman" w:hAnsi="Times New Roman" w:cs="Times New Roman"/>
          <w:bCs/>
          <w:color w:val="auto"/>
          <w:vertAlign w:val="subscript"/>
        </w:rPr>
        <w:t>3</w:t>
      </w:r>
      <w:r>
        <w:rPr>
          <w:rFonts w:hint="eastAsia" w:ascii="Times New Roman" w:hAnsi="Times New Roman" w:cs="Times New Roman"/>
          <w:bCs/>
          <w:color w:val="auto"/>
        </w:rPr>
        <w:t>-N等。生活污水源强详见下表。</w:t>
      </w:r>
    </w:p>
    <w:p w14:paraId="6BF29FEA">
      <w:pPr>
        <w:pStyle w:val="17"/>
        <w:numPr>
          <w:ilvl w:val="0"/>
          <w:numId w:val="40"/>
        </w:numPr>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rPr>
        <w:t xml:space="preserve"> </w:t>
      </w:r>
      <w:r>
        <w:rPr>
          <w:rFonts w:hint="eastAsia" w:ascii="Times New Roman" w:hAnsi="Times New Roman" w:eastAsia="宋体" w:cs="Times New Roman"/>
          <w:b/>
          <w:bCs/>
          <w:szCs w:val="21"/>
        </w:rPr>
        <w:t xml:space="preserve"> 生活污水产生源强一览表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50"/>
        <w:gridCol w:w="1250"/>
        <w:gridCol w:w="734"/>
        <w:gridCol w:w="808"/>
        <w:gridCol w:w="865"/>
        <w:gridCol w:w="817"/>
        <w:gridCol w:w="1026"/>
        <w:gridCol w:w="895"/>
      </w:tblGrid>
      <w:tr w14:paraId="5DF8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77" w:type="dxa"/>
            <w:vAlign w:val="center"/>
          </w:tcPr>
          <w:p w14:paraId="12804E52">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废水类型</w:t>
            </w:r>
          </w:p>
        </w:tc>
        <w:tc>
          <w:tcPr>
            <w:tcW w:w="1350" w:type="dxa"/>
            <w:vAlign w:val="center"/>
          </w:tcPr>
          <w:p w14:paraId="568F33D9">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水量（m</w:t>
            </w:r>
            <w:r>
              <w:rPr>
                <w:rFonts w:ascii="Times New Roman" w:hAnsi="Times New Roman" w:eastAsia="宋体" w:cs="Times New Roman"/>
                <w:bCs/>
                <w:kern w:val="0"/>
                <w:szCs w:val="21"/>
                <w:vertAlign w:val="superscript"/>
              </w:rPr>
              <w:t>3</w:t>
            </w:r>
            <w:r>
              <w:rPr>
                <w:rFonts w:ascii="Times New Roman" w:hAnsi="Times New Roman" w:eastAsia="宋体" w:cs="Times New Roman"/>
                <w:bCs/>
                <w:kern w:val="0"/>
                <w:szCs w:val="21"/>
              </w:rPr>
              <w:t>/d）</w:t>
            </w:r>
          </w:p>
        </w:tc>
        <w:tc>
          <w:tcPr>
            <w:tcW w:w="1250" w:type="dxa"/>
            <w:vAlign w:val="center"/>
          </w:tcPr>
          <w:p w14:paraId="70D96DBA">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污染物指标</w:t>
            </w:r>
          </w:p>
        </w:tc>
        <w:tc>
          <w:tcPr>
            <w:tcW w:w="734" w:type="dxa"/>
            <w:vAlign w:val="center"/>
          </w:tcPr>
          <w:p w14:paraId="4D8C1A1F">
            <w:pPr>
              <w:widowControl/>
              <w:jc w:val="center"/>
              <w:textAlignment w:val="center"/>
              <w:rPr>
                <w:rFonts w:ascii="Times New Roman" w:hAnsi="Times New Roman" w:eastAsia="宋体" w:cs="Times New Roman"/>
                <w:bCs/>
                <w:kern w:val="0"/>
                <w:szCs w:val="21"/>
              </w:rPr>
            </w:pPr>
            <w:r>
              <w:rPr>
                <w:rFonts w:ascii="Times New Roman" w:hAnsi="Times New Roman" w:eastAsia="宋体" w:cs="Times New Roman"/>
                <w:bCs/>
                <w:kern w:val="0"/>
                <w:szCs w:val="21"/>
              </w:rPr>
              <w:t>pH值</w:t>
            </w:r>
          </w:p>
        </w:tc>
        <w:tc>
          <w:tcPr>
            <w:tcW w:w="808" w:type="dxa"/>
            <w:vAlign w:val="center"/>
          </w:tcPr>
          <w:p w14:paraId="7C0DC6AE">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COD</w:t>
            </w:r>
          </w:p>
        </w:tc>
        <w:tc>
          <w:tcPr>
            <w:tcW w:w="865" w:type="dxa"/>
            <w:vAlign w:val="center"/>
          </w:tcPr>
          <w:p w14:paraId="7DCEC9E0">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BOD</w:t>
            </w:r>
            <w:r>
              <w:rPr>
                <w:rFonts w:ascii="Times New Roman" w:hAnsi="Times New Roman" w:eastAsia="宋体" w:cs="Times New Roman"/>
                <w:bCs/>
                <w:kern w:val="0"/>
                <w:szCs w:val="21"/>
                <w:vertAlign w:val="subscript"/>
              </w:rPr>
              <w:t>5</w:t>
            </w:r>
          </w:p>
        </w:tc>
        <w:tc>
          <w:tcPr>
            <w:tcW w:w="817" w:type="dxa"/>
            <w:vAlign w:val="center"/>
          </w:tcPr>
          <w:p w14:paraId="314FC57B">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SS</w:t>
            </w:r>
          </w:p>
        </w:tc>
        <w:tc>
          <w:tcPr>
            <w:tcW w:w="1026" w:type="dxa"/>
            <w:vAlign w:val="center"/>
          </w:tcPr>
          <w:p w14:paraId="106A6D0C">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NH</w:t>
            </w:r>
            <w:r>
              <w:rPr>
                <w:rFonts w:ascii="Times New Roman" w:hAnsi="Times New Roman" w:eastAsia="宋体" w:cs="Times New Roman"/>
                <w:bCs/>
                <w:kern w:val="0"/>
                <w:szCs w:val="21"/>
                <w:vertAlign w:val="subscript"/>
              </w:rPr>
              <w:t>3</w:t>
            </w:r>
            <w:r>
              <w:rPr>
                <w:rFonts w:ascii="Times New Roman" w:hAnsi="Times New Roman" w:eastAsia="宋体" w:cs="Times New Roman"/>
                <w:bCs/>
                <w:kern w:val="0"/>
                <w:szCs w:val="21"/>
              </w:rPr>
              <w:t>-N</w:t>
            </w:r>
          </w:p>
        </w:tc>
        <w:tc>
          <w:tcPr>
            <w:tcW w:w="895" w:type="dxa"/>
            <w:vAlign w:val="center"/>
          </w:tcPr>
          <w:p w14:paraId="280034CC">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治理措施</w:t>
            </w:r>
          </w:p>
        </w:tc>
      </w:tr>
      <w:tr w14:paraId="7A57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77" w:type="dxa"/>
            <w:vMerge w:val="restart"/>
            <w:vAlign w:val="center"/>
          </w:tcPr>
          <w:p w14:paraId="358D4E83">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生活污水</w:t>
            </w:r>
          </w:p>
        </w:tc>
        <w:tc>
          <w:tcPr>
            <w:tcW w:w="1350" w:type="dxa"/>
            <w:vMerge w:val="restart"/>
            <w:vAlign w:val="center"/>
          </w:tcPr>
          <w:p w14:paraId="3234D8C8">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3.74（1122m</w:t>
            </w:r>
            <w:r>
              <w:rPr>
                <w:rFonts w:hint="eastAsia" w:ascii="Times New Roman" w:hAnsi="Times New Roman" w:eastAsia="宋体" w:cs="Times New Roman"/>
                <w:bCs/>
                <w:kern w:val="0"/>
                <w:szCs w:val="21"/>
                <w:vertAlign w:val="superscript"/>
              </w:rPr>
              <w:t>3</w:t>
            </w:r>
            <w:r>
              <w:rPr>
                <w:rFonts w:hint="eastAsia" w:ascii="Times New Roman" w:hAnsi="Times New Roman" w:eastAsia="宋体" w:cs="Times New Roman"/>
                <w:bCs/>
                <w:kern w:val="0"/>
                <w:szCs w:val="21"/>
              </w:rPr>
              <w:t>/a）</w:t>
            </w:r>
          </w:p>
        </w:tc>
        <w:tc>
          <w:tcPr>
            <w:tcW w:w="1250" w:type="dxa"/>
            <w:vAlign w:val="center"/>
          </w:tcPr>
          <w:p w14:paraId="37DE67FD">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产生浓度mg/L</w:t>
            </w:r>
          </w:p>
        </w:tc>
        <w:tc>
          <w:tcPr>
            <w:tcW w:w="734" w:type="dxa"/>
            <w:vAlign w:val="center"/>
          </w:tcPr>
          <w:p w14:paraId="6046E0E3">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6~9</w:t>
            </w:r>
          </w:p>
        </w:tc>
        <w:tc>
          <w:tcPr>
            <w:tcW w:w="808" w:type="dxa"/>
            <w:vAlign w:val="center"/>
          </w:tcPr>
          <w:p w14:paraId="1112C07A">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300</w:t>
            </w:r>
          </w:p>
        </w:tc>
        <w:tc>
          <w:tcPr>
            <w:tcW w:w="865" w:type="dxa"/>
            <w:vAlign w:val="center"/>
          </w:tcPr>
          <w:p w14:paraId="75779FCB">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150</w:t>
            </w:r>
          </w:p>
        </w:tc>
        <w:tc>
          <w:tcPr>
            <w:tcW w:w="817" w:type="dxa"/>
            <w:vAlign w:val="center"/>
          </w:tcPr>
          <w:p w14:paraId="6FC699FD">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200</w:t>
            </w:r>
          </w:p>
        </w:tc>
        <w:tc>
          <w:tcPr>
            <w:tcW w:w="1026" w:type="dxa"/>
            <w:vAlign w:val="center"/>
          </w:tcPr>
          <w:p w14:paraId="4DA7AA66">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30</w:t>
            </w:r>
          </w:p>
        </w:tc>
        <w:tc>
          <w:tcPr>
            <w:tcW w:w="895" w:type="dxa"/>
            <w:vMerge w:val="restart"/>
            <w:vAlign w:val="center"/>
          </w:tcPr>
          <w:p w14:paraId="7604D6C1">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化粪池</w:t>
            </w:r>
          </w:p>
        </w:tc>
      </w:tr>
      <w:tr w14:paraId="158F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77" w:type="dxa"/>
            <w:vMerge w:val="continue"/>
            <w:vAlign w:val="center"/>
          </w:tcPr>
          <w:p w14:paraId="640DC0DC">
            <w:pPr>
              <w:jc w:val="center"/>
              <w:rPr>
                <w:rFonts w:ascii="Times New Roman" w:hAnsi="Times New Roman" w:eastAsia="宋体" w:cs="Times New Roman"/>
                <w:bCs/>
                <w:kern w:val="0"/>
                <w:szCs w:val="21"/>
              </w:rPr>
            </w:pPr>
          </w:p>
        </w:tc>
        <w:tc>
          <w:tcPr>
            <w:tcW w:w="1350" w:type="dxa"/>
            <w:vMerge w:val="continue"/>
            <w:vAlign w:val="center"/>
          </w:tcPr>
          <w:p w14:paraId="6393B437">
            <w:pPr>
              <w:jc w:val="center"/>
              <w:rPr>
                <w:rFonts w:ascii="Times New Roman" w:hAnsi="Times New Roman" w:eastAsia="宋体" w:cs="Times New Roman"/>
                <w:bCs/>
                <w:kern w:val="0"/>
                <w:szCs w:val="21"/>
              </w:rPr>
            </w:pPr>
          </w:p>
        </w:tc>
        <w:tc>
          <w:tcPr>
            <w:tcW w:w="1250" w:type="dxa"/>
            <w:vAlign w:val="center"/>
          </w:tcPr>
          <w:p w14:paraId="4D1C0E70">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产生量t/a</w:t>
            </w:r>
          </w:p>
        </w:tc>
        <w:tc>
          <w:tcPr>
            <w:tcW w:w="734" w:type="dxa"/>
            <w:vAlign w:val="center"/>
          </w:tcPr>
          <w:p w14:paraId="65FFD1AB">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w:t>
            </w:r>
          </w:p>
        </w:tc>
        <w:tc>
          <w:tcPr>
            <w:tcW w:w="808" w:type="dxa"/>
            <w:vAlign w:val="center"/>
          </w:tcPr>
          <w:p w14:paraId="0FB39301">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 xml:space="preserve">0.3366 </w:t>
            </w:r>
          </w:p>
        </w:tc>
        <w:tc>
          <w:tcPr>
            <w:tcW w:w="865" w:type="dxa"/>
            <w:vAlign w:val="center"/>
          </w:tcPr>
          <w:p w14:paraId="787DEE02">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 xml:space="preserve">0.1683 </w:t>
            </w:r>
          </w:p>
        </w:tc>
        <w:tc>
          <w:tcPr>
            <w:tcW w:w="817" w:type="dxa"/>
            <w:vAlign w:val="center"/>
          </w:tcPr>
          <w:p w14:paraId="4D5C86F3">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 xml:space="preserve">0.2244 </w:t>
            </w:r>
          </w:p>
        </w:tc>
        <w:tc>
          <w:tcPr>
            <w:tcW w:w="1026" w:type="dxa"/>
            <w:vAlign w:val="center"/>
          </w:tcPr>
          <w:p w14:paraId="23E05D25">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 xml:space="preserve">0.0337 </w:t>
            </w:r>
          </w:p>
        </w:tc>
        <w:tc>
          <w:tcPr>
            <w:tcW w:w="895" w:type="dxa"/>
            <w:vMerge w:val="continue"/>
            <w:vAlign w:val="center"/>
          </w:tcPr>
          <w:p w14:paraId="3B1632A6">
            <w:pPr>
              <w:jc w:val="center"/>
              <w:rPr>
                <w:rFonts w:ascii="Times New Roman" w:hAnsi="Times New Roman" w:eastAsia="宋体" w:cs="Times New Roman"/>
                <w:bCs/>
                <w:kern w:val="0"/>
                <w:szCs w:val="21"/>
              </w:rPr>
            </w:pPr>
          </w:p>
        </w:tc>
      </w:tr>
    </w:tbl>
    <w:p w14:paraId="57750930">
      <w:pPr>
        <w:spacing w:line="360" w:lineRule="auto"/>
        <w:ind w:firstLine="480" w:firstLineChars="200"/>
        <w:rPr>
          <w:rFonts w:ascii="Times New Roman" w:hAnsi="Times New Roman" w:cs="Times New Roman"/>
          <w:sz w:val="24"/>
        </w:rPr>
      </w:pPr>
      <w:r>
        <w:rPr>
          <w:rFonts w:ascii="Times New Roman" w:hAnsi="Times New Roman" w:cs="Times New Roman"/>
          <w:sz w:val="24"/>
        </w:rPr>
        <w:t>2、生产废水</w:t>
      </w:r>
    </w:p>
    <w:p w14:paraId="16A93AF4">
      <w:pPr>
        <w:spacing w:line="360" w:lineRule="auto"/>
        <w:ind w:firstLine="482" w:firstLineChars="200"/>
        <w:rPr>
          <w:rFonts w:ascii="Times New Roman" w:hAnsi="Times New Roman" w:cs="Times New Roman"/>
          <w:b/>
          <w:bCs/>
          <w:sz w:val="24"/>
          <w:u w:val="single"/>
        </w:rPr>
      </w:pPr>
      <w:r>
        <w:rPr>
          <w:rFonts w:ascii="Times New Roman" w:hAnsi="Times New Roman" w:cs="Times New Roman"/>
          <w:b/>
          <w:bCs/>
          <w:sz w:val="24"/>
          <w:u w:val="single"/>
        </w:rPr>
        <w:t>本项目生产废水为水帘废水。项目共配备7个循环水槽（底漆房2个、面漆房3个、修色房2个），尺寸分别为：长4m×宽1.5m×高20cm，每个循环水槽的最大容积1.</w:t>
      </w:r>
      <w:r>
        <w:rPr>
          <w:rFonts w:ascii="Times New Roman" w:hAnsi="Times New Roman" w:cs="Times New Roman"/>
          <w:b/>
          <w:bCs/>
          <w:color w:val="auto"/>
          <w:sz w:val="24"/>
          <w:u w:val="single"/>
        </w:rPr>
        <w:t>2m</w:t>
      </w:r>
      <w:r>
        <w:rPr>
          <w:rFonts w:ascii="Times New Roman" w:hAnsi="Times New Roman" w:cs="Times New Roman"/>
          <w:b/>
          <w:bCs/>
          <w:color w:val="auto"/>
          <w:sz w:val="24"/>
          <w:u w:val="single"/>
          <w:vertAlign w:val="superscript"/>
        </w:rPr>
        <w:t>3</w:t>
      </w:r>
      <w:r>
        <w:rPr>
          <w:rFonts w:ascii="Times New Roman" w:hAnsi="Times New Roman" w:cs="Times New Roman"/>
          <w:b/>
          <w:bCs/>
          <w:color w:val="auto"/>
          <w:sz w:val="24"/>
          <w:u w:val="single"/>
        </w:rPr>
        <w:t>，</w:t>
      </w:r>
      <w:r>
        <w:rPr>
          <w:rFonts w:hint="eastAsia" w:ascii="Times New Roman" w:hAnsi="Times New Roman" w:cs="Times New Roman"/>
          <w:b/>
          <w:bCs/>
          <w:color w:val="auto"/>
          <w:sz w:val="24"/>
          <w:u w:val="single"/>
        </w:rPr>
        <w:t>水帘</w:t>
      </w:r>
      <w:r>
        <w:rPr>
          <w:rFonts w:ascii="Times New Roman" w:hAnsi="Times New Roman" w:cs="Times New Roman"/>
          <w:b/>
          <w:bCs/>
          <w:color w:val="auto"/>
          <w:sz w:val="24"/>
          <w:u w:val="single"/>
        </w:rPr>
        <w:t>循环</w:t>
      </w:r>
      <w:r>
        <w:rPr>
          <w:rFonts w:hint="eastAsia" w:ascii="Times New Roman" w:hAnsi="Times New Roman" w:cs="Times New Roman"/>
          <w:b/>
          <w:bCs/>
          <w:color w:val="auto"/>
          <w:sz w:val="24"/>
          <w:u w:val="single"/>
        </w:rPr>
        <w:t>水</w:t>
      </w:r>
      <w:r>
        <w:rPr>
          <w:rFonts w:ascii="Times New Roman" w:hAnsi="Times New Roman" w:cs="Times New Roman"/>
          <w:b/>
          <w:bCs/>
          <w:color w:val="auto"/>
          <w:sz w:val="24"/>
          <w:u w:val="single"/>
        </w:rPr>
        <w:t>量为</w:t>
      </w:r>
      <w:r>
        <w:rPr>
          <w:rFonts w:hint="eastAsia" w:ascii="Times New Roman" w:hAnsi="Times New Roman" w:cs="Times New Roman"/>
          <w:b/>
          <w:bCs/>
          <w:color w:val="auto"/>
          <w:sz w:val="24"/>
          <w:u w:val="single"/>
        </w:rPr>
        <w:t>24</w:t>
      </w:r>
      <w:r>
        <w:rPr>
          <w:rFonts w:ascii="Times New Roman" w:hAnsi="Times New Roman" w:cs="Times New Roman"/>
          <w:b/>
          <w:bCs/>
          <w:color w:val="auto"/>
          <w:sz w:val="24"/>
          <w:u w:val="single"/>
        </w:rPr>
        <w:t>m</w:t>
      </w:r>
      <w:r>
        <w:rPr>
          <w:rFonts w:ascii="Times New Roman" w:hAnsi="Times New Roman" w:cs="Times New Roman"/>
          <w:b/>
          <w:bCs/>
          <w:color w:val="auto"/>
          <w:sz w:val="24"/>
          <w:u w:val="single"/>
          <w:vertAlign w:val="superscript"/>
        </w:rPr>
        <w:t>3</w:t>
      </w:r>
      <w:r>
        <w:rPr>
          <w:rFonts w:ascii="Times New Roman" w:hAnsi="Times New Roman" w:cs="Times New Roman"/>
          <w:b/>
          <w:bCs/>
          <w:color w:val="auto"/>
          <w:sz w:val="24"/>
          <w:u w:val="single"/>
        </w:rPr>
        <w:t>/h。</w:t>
      </w:r>
    </w:p>
    <w:p w14:paraId="03146D80">
      <w:pPr>
        <w:spacing w:line="360" w:lineRule="auto"/>
        <w:ind w:firstLine="482" w:firstLineChars="200"/>
        <w:rPr>
          <w:rFonts w:ascii="Times New Roman" w:hAnsi="Times New Roman" w:cs="Times New Roman"/>
          <w:b/>
          <w:bCs/>
          <w:sz w:val="24"/>
          <w:u w:val="single"/>
        </w:rPr>
      </w:pPr>
      <w:r>
        <w:rPr>
          <w:rFonts w:ascii="Times New Roman" w:hAnsi="Times New Roman" w:cs="Times New Roman"/>
          <w:b/>
          <w:bCs/>
          <w:sz w:val="24"/>
          <w:u w:val="single"/>
        </w:rPr>
        <w:t>根据建设单位提供的资料，单个循环水池水量约为1t，则循环水池的总水量为</w:t>
      </w:r>
      <w:r>
        <w:rPr>
          <w:rFonts w:hint="eastAsia" w:ascii="Times New Roman" w:hAnsi="Times New Roman" w:cs="Times New Roman"/>
          <w:b/>
          <w:bCs/>
          <w:sz w:val="24"/>
          <w:u w:val="single"/>
        </w:rPr>
        <w:t>7</w:t>
      </w:r>
      <w:r>
        <w:rPr>
          <w:rFonts w:ascii="Times New Roman" w:hAnsi="Times New Roman" w:cs="Times New Roman"/>
          <w:b/>
          <w:bCs/>
          <w:sz w:val="24"/>
          <w:u w:val="single"/>
        </w:rPr>
        <w:t>t，设置的7个循环水槽将全部更换废水每</w:t>
      </w:r>
      <w:r>
        <w:rPr>
          <w:rFonts w:hint="eastAsia" w:ascii="Times New Roman" w:hAnsi="Times New Roman" w:cs="Times New Roman"/>
          <w:b/>
          <w:bCs/>
          <w:sz w:val="24"/>
          <w:u w:val="single"/>
        </w:rPr>
        <w:t>5个工作日</w:t>
      </w:r>
      <w:r>
        <w:rPr>
          <w:rFonts w:ascii="Times New Roman" w:hAnsi="Times New Roman" w:cs="Times New Roman"/>
          <w:b/>
          <w:bCs/>
          <w:sz w:val="24"/>
          <w:u w:val="single"/>
        </w:rPr>
        <w:t>更换1次，即污水处理站进水为</w:t>
      </w:r>
      <w:r>
        <w:rPr>
          <w:rFonts w:hint="eastAsia" w:ascii="Times New Roman" w:hAnsi="Times New Roman" w:cs="Times New Roman"/>
          <w:b/>
          <w:bCs/>
          <w:sz w:val="24"/>
          <w:u w:val="single"/>
        </w:rPr>
        <w:t>7</w:t>
      </w:r>
      <w:r>
        <w:rPr>
          <w:rFonts w:ascii="Times New Roman" w:hAnsi="Times New Roman" w:cs="Times New Roman"/>
          <w:b/>
          <w:bCs/>
          <w:sz w:val="24"/>
          <w:u w:val="single"/>
        </w:rPr>
        <w:t>t/次，</w:t>
      </w:r>
      <w:r>
        <w:rPr>
          <w:rFonts w:hint="eastAsia" w:ascii="Times New Roman" w:hAnsi="Times New Roman" w:cs="Times New Roman"/>
          <w:b/>
          <w:bCs/>
          <w:sz w:val="24"/>
          <w:u w:val="single"/>
          <w:lang w:val="en-US" w:eastAsia="zh-CN"/>
        </w:rPr>
        <w:t>合计</w:t>
      </w:r>
      <w:r>
        <w:rPr>
          <w:rFonts w:hint="eastAsia" w:ascii="Times New Roman" w:hAnsi="Times New Roman" w:cs="Times New Roman"/>
          <w:b/>
          <w:bCs/>
          <w:sz w:val="24"/>
          <w:u w:val="single"/>
        </w:rPr>
        <w:t>1.4</w:t>
      </w:r>
      <w:r>
        <w:rPr>
          <w:rFonts w:ascii="Times New Roman" w:hAnsi="Times New Roman" w:cs="Times New Roman"/>
          <w:b/>
          <w:bCs/>
          <w:sz w:val="24"/>
          <w:u w:val="single"/>
        </w:rPr>
        <w:t>t/d（</w:t>
      </w:r>
      <w:r>
        <w:rPr>
          <w:rFonts w:hint="eastAsia" w:ascii="Times New Roman" w:hAnsi="Times New Roman" w:cs="Times New Roman"/>
          <w:b/>
          <w:bCs/>
          <w:sz w:val="24"/>
          <w:u w:val="single"/>
        </w:rPr>
        <w:t>420</w:t>
      </w:r>
      <w:r>
        <w:rPr>
          <w:rFonts w:ascii="Times New Roman" w:hAnsi="Times New Roman" w:cs="Times New Roman"/>
          <w:b/>
          <w:bCs/>
          <w:sz w:val="24"/>
          <w:u w:val="single"/>
        </w:rPr>
        <w:t>t/a）。</w:t>
      </w:r>
      <w:r>
        <w:rPr>
          <w:rFonts w:hint="eastAsia" w:ascii="Times New Roman" w:hAnsi="Times New Roman" w:cs="Times New Roman"/>
          <w:b/>
          <w:bCs/>
          <w:sz w:val="24"/>
          <w:u w:val="single"/>
        </w:rPr>
        <w:t>每天</w:t>
      </w:r>
      <w:r>
        <w:rPr>
          <w:rFonts w:ascii="Times New Roman" w:hAnsi="Times New Roman" w:cs="Times New Roman"/>
          <w:b/>
          <w:bCs/>
          <w:sz w:val="24"/>
          <w:u w:val="single"/>
        </w:rPr>
        <w:t>定期补充新鲜水按照循环量的2%，则补水量为</w:t>
      </w:r>
      <w:r>
        <w:rPr>
          <w:rFonts w:hint="eastAsia" w:ascii="Times New Roman" w:hAnsi="Times New Roman" w:cs="Times New Roman"/>
          <w:b/>
          <w:bCs/>
          <w:sz w:val="24"/>
          <w:u w:val="single"/>
        </w:rPr>
        <w:t>3.84</w:t>
      </w:r>
      <w:r>
        <w:rPr>
          <w:rFonts w:ascii="Times New Roman" w:hAnsi="Times New Roman" w:cs="Times New Roman"/>
          <w:b/>
          <w:bCs/>
          <w:sz w:val="24"/>
          <w:u w:val="single"/>
        </w:rPr>
        <w:t>t/d（</w:t>
      </w:r>
      <w:r>
        <w:rPr>
          <w:rFonts w:hint="eastAsia" w:ascii="Times New Roman" w:hAnsi="Times New Roman" w:cs="Times New Roman"/>
          <w:b/>
          <w:bCs/>
          <w:sz w:val="24"/>
          <w:u w:val="single"/>
        </w:rPr>
        <w:t>1152</w:t>
      </w:r>
      <w:r>
        <w:rPr>
          <w:rFonts w:ascii="Times New Roman" w:hAnsi="Times New Roman" w:cs="Times New Roman"/>
          <w:b/>
          <w:bCs/>
          <w:sz w:val="24"/>
          <w:u w:val="single"/>
        </w:rPr>
        <w:t>t/a）。</w:t>
      </w:r>
    </w:p>
    <w:p w14:paraId="716E0702">
      <w:pPr>
        <w:spacing w:line="360" w:lineRule="auto"/>
        <w:ind w:firstLine="480" w:firstLineChars="200"/>
        <w:rPr>
          <w:sz w:val="24"/>
        </w:rPr>
      </w:pPr>
      <w:r>
        <w:rPr>
          <w:sz w:val="24"/>
        </w:rPr>
        <w:t>水帘过滤系统简介：水帘喷漆室由室体、水槽、不锈钢水帘板、水循环系统、抽风过滤系统等组成。设备前面为水幕板，上设有溢流槽，水幕板后面为多级水帘过滤器。喷漆时，进入喷漆室的漆雾首先与水幕相遇，被冲刷到水箱内。其余漆雾在通过多级水帘过滤器时完全被拦截在水中。水箱内的水由水泵提升到水幕及多级水帘过滤器顶的溢水槽，溢流到水幕板上形成水幕。漆雾随气流吸引至水幕、水帘过滤净化后，将有机废气通过</w:t>
      </w:r>
      <w:r>
        <w:rPr>
          <w:rFonts w:ascii="Times New Roman" w:hAnsi="Times New Roman" w:cs="Times New Roman"/>
          <w:sz w:val="24"/>
        </w:rPr>
        <w:t>1套</w:t>
      </w:r>
      <w:r>
        <w:rPr>
          <w:rFonts w:hint="eastAsia" w:ascii="Times New Roman" w:hAnsi="Times New Roman" w:cs="Times New Roman"/>
          <w:sz w:val="24"/>
        </w:rPr>
        <w:t>“漆雾过滤器+</w:t>
      </w:r>
      <w:r>
        <w:rPr>
          <w:rFonts w:ascii="Times New Roman" w:hAnsi="Times New Roman" w:cs="Times New Roman"/>
          <w:sz w:val="24"/>
        </w:rPr>
        <w:t>活性炭吸附浓缩脱附+催化燃烧装置</w:t>
      </w:r>
      <w:r>
        <w:rPr>
          <w:rFonts w:hint="eastAsia" w:ascii="Times New Roman" w:hAnsi="Times New Roman" w:cs="Times New Roman"/>
          <w:sz w:val="24"/>
        </w:rPr>
        <w:t>”</w:t>
      </w:r>
      <w:r>
        <w:rPr>
          <w:sz w:val="24"/>
        </w:rPr>
        <w:t>处理后外排。</w:t>
      </w:r>
    </w:p>
    <w:p w14:paraId="6492BB49">
      <w:pPr>
        <w:pStyle w:val="39"/>
        <w:spacing w:line="360" w:lineRule="auto"/>
        <w:ind w:firstLine="482" w:firstLineChars="200"/>
        <w:rPr>
          <w:rFonts w:ascii="Times New Roman" w:hAnsi="Times New Roman" w:cs="Times New Roman"/>
          <w:b/>
          <w:bCs/>
          <w:color w:val="auto"/>
          <w:u w:val="single"/>
        </w:rPr>
      </w:pPr>
      <w:r>
        <w:rPr>
          <w:rFonts w:hint="eastAsia" w:ascii="Times New Roman" w:hAnsi="Times New Roman" w:cs="Times New Roman"/>
          <w:b/>
          <w:bCs/>
          <w:color w:val="auto"/>
          <w:u w:val="single"/>
        </w:rPr>
        <w:t>本项目废水水质类比《清丰县皇佳彼德家具制造有限公司年产1万件（套）家具项目竣工环境保护验收监测报告》、《清丰亦翔商贸有限公司年产2万套家具项目竣工环境保护验收监测报告》中污水处理站进口数据，该项目与本项目生产工艺、喷涂方式均一致、喷漆量相似，喷漆工序均采用水帘处理，与本项目废水水质相似，因此具有类比可行性。综上，本项目喷漆废水水质为：pH：</w:t>
      </w:r>
      <w:r>
        <w:rPr>
          <w:rFonts w:ascii="Times New Roman" w:hAnsi="Times New Roman" w:cs="Times New Roman"/>
          <w:b/>
          <w:bCs/>
          <w:color w:val="auto"/>
          <w:u w:val="single"/>
        </w:rPr>
        <w:t>6~9</w:t>
      </w:r>
      <w:r>
        <w:rPr>
          <w:rFonts w:hint="eastAsia" w:ascii="Times New Roman" w:hAnsi="Times New Roman" w:cs="Times New Roman"/>
          <w:b/>
          <w:bCs/>
          <w:color w:val="auto"/>
          <w:u w:val="single"/>
        </w:rPr>
        <w:t>；COD：976</w:t>
      </w:r>
      <w:r>
        <w:rPr>
          <w:rFonts w:ascii="Times New Roman" w:hAnsi="Times New Roman" w:cs="Times New Roman"/>
          <w:b/>
          <w:bCs/>
          <w:color w:val="auto"/>
          <w:u w:val="single"/>
        </w:rPr>
        <w:t>mg/L</w:t>
      </w:r>
      <w:r>
        <w:rPr>
          <w:rFonts w:hint="eastAsia" w:ascii="Times New Roman" w:hAnsi="Times New Roman" w:cs="Times New Roman"/>
          <w:b/>
          <w:bCs/>
          <w:color w:val="auto"/>
          <w:u w:val="single"/>
        </w:rPr>
        <w:t>；</w:t>
      </w:r>
      <w:r>
        <w:rPr>
          <w:rFonts w:ascii="Times New Roman" w:hAnsi="Times New Roman" w:cs="Times New Roman"/>
          <w:b/>
          <w:bCs/>
          <w:color w:val="auto"/>
          <w:u w:val="single"/>
        </w:rPr>
        <w:t>NH</w:t>
      </w:r>
      <w:r>
        <w:rPr>
          <w:rFonts w:ascii="Times New Roman" w:hAnsi="Times New Roman" w:cs="Times New Roman"/>
          <w:b/>
          <w:bCs/>
          <w:color w:val="auto"/>
          <w:u w:val="single"/>
          <w:vertAlign w:val="subscript"/>
        </w:rPr>
        <w:t>3</w:t>
      </w:r>
      <w:r>
        <w:rPr>
          <w:rFonts w:ascii="Times New Roman" w:hAnsi="Times New Roman" w:cs="Times New Roman"/>
          <w:b/>
          <w:bCs/>
          <w:color w:val="auto"/>
          <w:u w:val="single"/>
        </w:rPr>
        <w:t>-N</w:t>
      </w:r>
      <w:r>
        <w:rPr>
          <w:rFonts w:hint="eastAsia" w:ascii="Times New Roman" w:hAnsi="Times New Roman" w:cs="Times New Roman"/>
          <w:b/>
          <w:bCs/>
          <w:color w:val="auto"/>
          <w:u w:val="single"/>
        </w:rPr>
        <w:t>：12.5</w:t>
      </w:r>
      <w:r>
        <w:rPr>
          <w:rFonts w:ascii="Times New Roman" w:hAnsi="Times New Roman" w:cs="Times New Roman"/>
          <w:b/>
          <w:bCs/>
          <w:color w:val="auto"/>
          <w:u w:val="single"/>
        </w:rPr>
        <w:t>mg/L</w:t>
      </w:r>
      <w:r>
        <w:rPr>
          <w:rFonts w:hint="eastAsia" w:ascii="Times New Roman" w:hAnsi="Times New Roman" w:cs="Times New Roman"/>
          <w:b/>
          <w:bCs/>
          <w:color w:val="auto"/>
          <w:u w:val="single"/>
        </w:rPr>
        <w:t>；甲苯：0.0043</w:t>
      </w:r>
      <w:r>
        <w:rPr>
          <w:rFonts w:ascii="Times New Roman" w:hAnsi="Times New Roman" w:cs="Times New Roman"/>
          <w:b/>
          <w:bCs/>
          <w:color w:val="auto"/>
          <w:u w:val="single"/>
        </w:rPr>
        <w:t>mg/L</w:t>
      </w:r>
      <w:r>
        <w:rPr>
          <w:rFonts w:hint="eastAsia" w:ascii="Times New Roman" w:hAnsi="Times New Roman" w:cs="Times New Roman"/>
          <w:b/>
          <w:bCs/>
          <w:color w:val="auto"/>
          <w:u w:val="single"/>
        </w:rPr>
        <w:t>；二甲苯：0.262</w:t>
      </w:r>
      <w:r>
        <w:rPr>
          <w:rFonts w:ascii="Times New Roman" w:hAnsi="Times New Roman" w:cs="Times New Roman"/>
          <w:b/>
          <w:bCs/>
          <w:color w:val="auto"/>
          <w:u w:val="single"/>
        </w:rPr>
        <w:t>mg/L</w:t>
      </w:r>
      <w:r>
        <w:rPr>
          <w:rFonts w:hint="eastAsia" w:ascii="Times New Roman" w:hAnsi="Times New Roman" w:cs="Times New Roman"/>
          <w:b/>
          <w:bCs/>
          <w:color w:val="auto"/>
          <w:u w:val="single"/>
        </w:rPr>
        <w:t>；SS：148</w:t>
      </w:r>
      <w:r>
        <w:rPr>
          <w:rFonts w:ascii="Times New Roman" w:hAnsi="Times New Roman" w:cs="Times New Roman"/>
          <w:b/>
          <w:bCs/>
          <w:color w:val="auto"/>
          <w:u w:val="single"/>
        </w:rPr>
        <w:t>mg/L</w:t>
      </w:r>
      <w:r>
        <w:rPr>
          <w:rFonts w:hint="eastAsia" w:ascii="Times New Roman" w:hAnsi="Times New Roman" w:cs="Times New Roman"/>
          <w:b/>
          <w:bCs/>
          <w:color w:val="auto"/>
          <w:u w:val="single"/>
        </w:rPr>
        <w:t>、BOD</w:t>
      </w:r>
      <w:r>
        <w:rPr>
          <w:rFonts w:hint="eastAsia" w:ascii="Times New Roman" w:hAnsi="Times New Roman" w:cs="Times New Roman"/>
          <w:b/>
          <w:bCs/>
          <w:color w:val="auto"/>
          <w:u w:val="single"/>
          <w:vertAlign w:val="subscript"/>
        </w:rPr>
        <w:t>5</w:t>
      </w:r>
      <w:r>
        <w:rPr>
          <w:rFonts w:hint="eastAsia" w:ascii="Times New Roman" w:hAnsi="Times New Roman" w:cs="Times New Roman"/>
          <w:b/>
          <w:bCs/>
          <w:color w:val="auto"/>
          <w:u w:val="single"/>
        </w:rPr>
        <w:t>：148</w:t>
      </w:r>
      <w:r>
        <w:rPr>
          <w:rFonts w:ascii="Times New Roman" w:hAnsi="Times New Roman" w:cs="Times New Roman"/>
          <w:b/>
          <w:bCs/>
          <w:color w:val="auto"/>
          <w:u w:val="single"/>
        </w:rPr>
        <w:t>mg/L</w:t>
      </w:r>
      <w:r>
        <w:rPr>
          <w:rFonts w:hint="eastAsia" w:ascii="Times New Roman" w:hAnsi="Times New Roman" w:cs="Times New Roman"/>
          <w:b/>
          <w:bCs/>
          <w:color w:val="auto"/>
          <w:u w:val="single"/>
        </w:rPr>
        <w:t>。</w:t>
      </w:r>
    </w:p>
    <w:p w14:paraId="17CB6CED">
      <w:pPr>
        <w:pStyle w:val="17"/>
        <w:numPr>
          <w:ilvl w:val="0"/>
          <w:numId w:val="40"/>
        </w:numPr>
        <w:jc w:val="center"/>
        <w:rPr>
          <w:rFonts w:ascii="Times New Roman" w:hAnsi="Times New Roman" w:eastAsia="宋体" w:cs="Times New Roman"/>
          <w:b/>
          <w:bCs/>
          <w:szCs w:val="21"/>
        </w:rPr>
      </w:pPr>
      <w:r>
        <w:rPr>
          <w:rFonts w:hint="eastAsia" w:ascii="Times New Roman" w:hAnsi="Times New Roman" w:eastAsia="宋体" w:cs="Times New Roman"/>
          <w:b/>
          <w:bCs/>
          <w:szCs w:val="21"/>
        </w:rPr>
        <w:t xml:space="preserve"> 生产废水产生源强一览表</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910"/>
        <w:gridCol w:w="1202"/>
        <w:gridCol w:w="612"/>
        <w:gridCol w:w="788"/>
        <w:gridCol w:w="599"/>
        <w:gridCol w:w="812"/>
        <w:gridCol w:w="525"/>
        <w:gridCol w:w="805"/>
        <w:gridCol w:w="833"/>
        <w:gridCol w:w="725"/>
      </w:tblGrid>
      <w:tr w14:paraId="6AB1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dxa"/>
            <w:vAlign w:val="center"/>
          </w:tcPr>
          <w:p w14:paraId="38A25BBD">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废水类型</w:t>
            </w:r>
          </w:p>
        </w:tc>
        <w:tc>
          <w:tcPr>
            <w:tcW w:w="910" w:type="dxa"/>
            <w:vAlign w:val="center"/>
          </w:tcPr>
          <w:p w14:paraId="6F40DE29">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水量（m</w:t>
            </w:r>
            <w:r>
              <w:rPr>
                <w:rFonts w:hint="eastAsia" w:ascii="Times New Roman" w:hAnsi="Times New Roman" w:eastAsia="宋体" w:cs="Times New Roman"/>
                <w:bCs/>
                <w:kern w:val="0"/>
                <w:szCs w:val="21"/>
                <w:vertAlign w:val="superscript"/>
              </w:rPr>
              <w:t>3</w:t>
            </w:r>
            <w:r>
              <w:rPr>
                <w:rFonts w:hint="eastAsia" w:ascii="Times New Roman" w:hAnsi="Times New Roman" w:eastAsia="宋体" w:cs="Times New Roman"/>
                <w:bCs/>
                <w:kern w:val="0"/>
                <w:szCs w:val="21"/>
              </w:rPr>
              <w:t>/d）</w:t>
            </w:r>
          </w:p>
        </w:tc>
        <w:tc>
          <w:tcPr>
            <w:tcW w:w="1202" w:type="dxa"/>
            <w:vAlign w:val="center"/>
          </w:tcPr>
          <w:p w14:paraId="67BFAD28">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污染物指标</w:t>
            </w:r>
          </w:p>
        </w:tc>
        <w:tc>
          <w:tcPr>
            <w:tcW w:w="612" w:type="dxa"/>
            <w:vAlign w:val="center"/>
          </w:tcPr>
          <w:p w14:paraId="210F34D3">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pH值</w:t>
            </w:r>
          </w:p>
        </w:tc>
        <w:tc>
          <w:tcPr>
            <w:tcW w:w="788" w:type="dxa"/>
            <w:vAlign w:val="center"/>
          </w:tcPr>
          <w:p w14:paraId="2FDD206E">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COD</w:t>
            </w:r>
          </w:p>
        </w:tc>
        <w:tc>
          <w:tcPr>
            <w:tcW w:w="599" w:type="dxa"/>
            <w:vAlign w:val="center"/>
          </w:tcPr>
          <w:p w14:paraId="1844A7FF">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氨氮</w:t>
            </w:r>
          </w:p>
        </w:tc>
        <w:tc>
          <w:tcPr>
            <w:tcW w:w="812" w:type="dxa"/>
            <w:vAlign w:val="center"/>
          </w:tcPr>
          <w:p w14:paraId="3EF9C286">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BOD</w:t>
            </w:r>
            <w:r>
              <w:rPr>
                <w:rFonts w:hint="eastAsia" w:ascii="Times New Roman" w:hAnsi="Times New Roman" w:eastAsia="宋体" w:cs="Times New Roman"/>
                <w:bCs/>
                <w:kern w:val="0"/>
                <w:szCs w:val="21"/>
                <w:vertAlign w:val="subscript"/>
              </w:rPr>
              <w:t>5</w:t>
            </w:r>
          </w:p>
        </w:tc>
        <w:tc>
          <w:tcPr>
            <w:tcW w:w="525" w:type="dxa"/>
            <w:vAlign w:val="center"/>
          </w:tcPr>
          <w:p w14:paraId="3D76E8BA">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SS</w:t>
            </w:r>
          </w:p>
        </w:tc>
        <w:tc>
          <w:tcPr>
            <w:tcW w:w="805" w:type="dxa"/>
            <w:vAlign w:val="center"/>
          </w:tcPr>
          <w:p w14:paraId="6923F886">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甲苯</w:t>
            </w:r>
          </w:p>
        </w:tc>
        <w:tc>
          <w:tcPr>
            <w:tcW w:w="833" w:type="dxa"/>
            <w:vAlign w:val="center"/>
          </w:tcPr>
          <w:p w14:paraId="0612E64B">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二甲苯</w:t>
            </w:r>
          </w:p>
        </w:tc>
        <w:tc>
          <w:tcPr>
            <w:tcW w:w="725" w:type="dxa"/>
            <w:vAlign w:val="center"/>
          </w:tcPr>
          <w:p w14:paraId="16DB8787">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治理措施</w:t>
            </w:r>
          </w:p>
        </w:tc>
      </w:tr>
      <w:tr w14:paraId="22B8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708" w:type="dxa"/>
            <w:vMerge w:val="restart"/>
            <w:vAlign w:val="center"/>
          </w:tcPr>
          <w:p w14:paraId="733420C7">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水帘废水</w:t>
            </w:r>
          </w:p>
        </w:tc>
        <w:tc>
          <w:tcPr>
            <w:tcW w:w="910" w:type="dxa"/>
            <w:vMerge w:val="restart"/>
            <w:vAlign w:val="center"/>
          </w:tcPr>
          <w:p w14:paraId="73E984C0">
            <w:pPr>
              <w:jc w:val="center"/>
              <w:rPr>
                <w:rFonts w:hint="eastAsia" w:ascii="Times New Roman" w:hAnsi="Times New Roman" w:eastAsia="宋体" w:cs="Times New Roman"/>
                <w:bCs/>
                <w:kern w:val="0"/>
                <w:szCs w:val="21"/>
              </w:rPr>
            </w:pPr>
            <w:r>
              <w:rPr>
                <w:rFonts w:hint="eastAsia" w:ascii="Times New Roman" w:hAnsi="Times New Roman" w:eastAsia="宋体" w:cs="Times New Roman"/>
                <w:bCs/>
                <w:kern w:val="0"/>
                <w:szCs w:val="21"/>
              </w:rPr>
              <w:t>1.4（420</w:t>
            </w:r>
          </w:p>
          <w:p w14:paraId="7F8EB8FA">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m</w:t>
            </w:r>
            <w:r>
              <w:rPr>
                <w:rFonts w:hint="eastAsia" w:ascii="Times New Roman" w:hAnsi="Times New Roman" w:eastAsia="宋体" w:cs="Times New Roman"/>
                <w:bCs/>
                <w:kern w:val="0"/>
                <w:szCs w:val="21"/>
                <w:vertAlign w:val="superscript"/>
              </w:rPr>
              <w:t>3</w:t>
            </w:r>
            <w:r>
              <w:rPr>
                <w:rFonts w:hint="eastAsia" w:ascii="Times New Roman" w:hAnsi="Times New Roman" w:eastAsia="宋体" w:cs="Times New Roman"/>
                <w:bCs/>
                <w:kern w:val="0"/>
                <w:szCs w:val="21"/>
              </w:rPr>
              <w:t>/a）</w:t>
            </w:r>
          </w:p>
        </w:tc>
        <w:tc>
          <w:tcPr>
            <w:tcW w:w="1202" w:type="dxa"/>
            <w:vAlign w:val="center"/>
          </w:tcPr>
          <w:p w14:paraId="199D30D0">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产生浓度，mg/L（pH除外）</w:t>
            </w:r>
          </w:p>
        </w:tc>
        <w:tc>
          <w:tcPr>
            <w:tcW w:w="612" w:type="dxa"/>
            <w:vAlign w:val="center"/>
          </w:tcPr>
          <w:p w14:paraId="50D6516E">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6~9</w:t>
            </w:r>
          </w:p>
        </w:tc>
        <w:tc>
          <w:tcPr>
            <w:tcW w:w="788" w:type="dxa"/>
            <w:vAlign w:val="center"/>
          </w:tcPr>
          <w:p w14:paraId="080132C3">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976</w:t>
            </w:r>
          </w:p>
        </w:tc>
        <w:tc>
          <w:tcPr>
            <w:tcW w:w="599" w:type="dxa"/>
            <w:vAlign w:val="center"/>
          </w:tcPr>
          <w:p w14:paraId="1CD038F9">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12.5</w:t>
            </w:r>
          </w:p>
        </w:tc>
        <w:tc>
          <w:tcPr>
            <w:tcW w:w="812" w:type="dxa"/>
            <w:vAlign w:val="center"/>
          </w:tcPr>
          <w:p w14:paraId="5C63023C">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148</w:t>
            </w:r>
          </w:p>
        </w:tc>
        <w:tc>
          <w:tcPr>
            <w:tcW w:w="525" w:type="dxa"/>
            <w:vAlign w:val="center"/>
          </w:tcPr>
          <w:p w14:paraId="31F7433D">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148</w:t>
            </w:r>
          </w:p>
        </w:tc>
        <w:tc>
          <w:tcPr>
            <w:tcW w:w="805" w:type="dxa"/>
            <w:vAlign w:val="center"/>
          </w:tcPr>
          <w:p w14:paraId="28475D07">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0.0043</w:t>
            </w:r>
          </w:p>
        </w:tc>
        <w:tc>
          <w:tcPr>
            <w:tcW w:w="833" w:type="dxa"/>
            <w:vAlign w:val="center"/>
          </w:tcPr>
          <w:p w14:paraId="6A922F04">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0.262</w:t>
            </w:r>
          </w:p>
        </w:tc>
        <w:tc>
          <w:tcPr>
            <w:tcW w:w="725" w:type="dxa"/>
            <w:vMerge w:val="restart"/>
            <w:vAlign w:val="center"/>
          </w:tcPr>
          <w:p w14:paraId="5A523CDF">
            <w:pPr>
              <w:jc w:val="center"/>
              <w:rPr>
                <w:rFonts w:ascii="Times New Roman" w:hAnsi="Times New Roman" w:eastAsia="宋体" w:cs="Times New Roman"/>
                <w:bCs/>
                <w:kern w:val="0"/>
                <w:szCs w:val="21"/>
                <w:highlight w:val="yellow"/>
              </w:rPr>
            </w:pPr>
            <w:r>
              <w:rPr>
                <w:rFonts w:hint="eastAsia" w:ascii="Times New Roman" w:hAnsi="Times New Roman" w:eastAsia="宋体" w:cs="Times New Roman"/>
                <w:bCs/>
                <w:kern w:val="0"/>
                <w:szCs w:val="21"/>
              </w:rPr>
              <w:t>污水处理站</w:t>
            </w:r>
          </w:p>
        </w:tc>
      </w:tr>
      <w:tr w14:paraId="1779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08" w:type="dxa"/>
            <w:vMerge w:val="continue"/>
            <w:vAlign w:val="center"/>
          </w:tcPr>
          <w:p w14:paraId="4351412B">
            <w:pPr>
              <w:jc w:val="center"/>
              <w:rPr>
                <w:highlight w:val="yellow"/>
              </w:rPr>
            </w:pPr>
          </w:p>
        </w:tc>
        <w:tc>
          <w:tcPr>
            <w:tcW w:w="910" w:type="dxa"/>
            <w:vMerge w:val="continue"/>
            <w:vAlign w:val="center"/>
          </w:tcPr>
          <w:p w14:paraId="30804FF8">
            <w:pPr>
              <w:jc w:val="center"/>
              <w:rPr>
                <w:highlight w:val="yellow"/>
              </w:rPr>
            </w:pPr>
          </w:p>
        </w:tc>
        <w:tc>
          <w:tcPr>
            <w:tcW w:w="1202" w:type="dxa"/>
            <w:vAlign w:val="center"/>
          </w:tcPr>
          <w:p w14:paraId="75BE8FF9">
            <w:pPr>
              <w:jc w:val="center"/>
              <w:rPr>
                <w:rFonts w:ascii="Times New Roman" w:hAnsi="Times New Roman" w:eastAsia="宋体" w:cs="Times New Roman"/>
                <w:bCs/>
                <w:kern w:val="0"/>
                <w:szCs w:val="21"/>
                <w:highlight w:val="yellow"/>
              </w:rPr>
            </w:pPr>
            <w:r>
              <w:rPr>
                <w:rFonts w:hint="eastAsia" w:ascii="Times New Roman" w:hAnsi="Times New Roman" w:eastAsia="宋体" w:cs="Times New Roman"/>
                <w:bCs/>
                <w:kern w:val="0"/>
                <w:szCs w:val="21"/>
              </w:rPr>
              <w:t>产生量，t/a</w:t>
            </w:r>
          </w:p>
        </w:tc>
        <w:tc>
          <w:tcPr>
            <w:tcW w:w="612" w:type="dxa"/>
            <w:vAlign w:val="center"/>
          </w:tcPr>
          <w:p w14:paraId="7B9182B3">
            <w:pPr>
              <w:jc w:val="center"/>
              <w:rPr>
                <w:rFonts w:ascii="Times New Roman" w:hAnsi="Times New Roman" w:eastAsia="宋体" w:cs="Times New Roman"/>
                <w:bCs/>
                <w:kern w:val="0"/>
                <w:szCs w:val="21"/>
                <w:highlight w:val="yellow"/>
              </w:rPr>
            </w:pPr>
            <w:r>
              <w:rPr>
                <w:rFonts w:hint="eastAsia" w:ascii="Times New Roman" w:hAnsi="Times New Roman" w:eastAsia="宋体" w:cs="Times New Roman"/>
                <w:bCs/>
                <w:kern w:val="0"/>
                <w:szCs w:val="21"/>
              </w:rPr>
              <w:t>/</w:t>
            </w:r>
          </w:p>
        </w:tc>
        <w:tc>
          <w:tcPr>
            <w:tcW w:w="788" w:type="dxa"/>
            <w:vAlign w:val="center"/>
          </w:tcPr>
          <w:p w14:paraId="0564BEC3">
            <w:pPr>
              <w:jc w:val="center"/>
              <w:rPr>
                <w:rFonts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rPr>
              <w:t>0.4099</w:t>
            </w:r>
          </w:p>
        </w:tc>
        <w:tc>
          <w:tcPr>
            <w:tcW w:w="599" w:type="dxa"/>
            <w:vAlign w:val="center"/>
          </w:tcPr>
          <w:p w14:paraId="77D1B07D">
            <w:pPr>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0.00525</w:t>
            </w:r>
          </w:p>
        </w:tc>
        <w:tc>
          <w:tcPr>
            <w:tcW w:w="812" w:type="dxa"/>
            <w:vAlign w:val="center"/>
          </w:tcPr>
          <w:p w14:paraId="059F932E">
            <w:pPr>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0.06216</w:t>
            </w:r>
          </w:p>
        </w:tc>
        <w:tc>
          <w:tcPr>
            <w:tcW w:w="525" w:type="dxa"/>
            <w:vAlign w:val="center"/>
          </w:tcPr>
          <w:p w14:paraId="3599DFE2">
            <w:pPr>
              <w:jc w:val="center"/>
              <w:rPr>
                <w:rFonts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rPr>
              <w:t>0.0219</w:t>
            </w:r>
          </w:p>
        </w:tc>
        <w:tc>
          <w:tcPr>
            <w:tcW w:w="805" w:type="dxa"/>
            <w:vAlign w:val="center"/>
          </w:tcPr>
          <w:p w14:paraId="44D38D88">
            <w:pPr>
              <w:jc w:val="center"/>
              <w:rPr>
                <w:rFonts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rPr>
              <w:t>1.</w:t>
            </w:r>
            <w:r>
              <w:rPr>
                <w:rFonts w:hint="eastAsia" w:ascii="Times New Roman" w:hAnsi="Times New Roman" w:eastAsia="宋体" w:cs="Times New Roman"/>
                <w:bCs/>
                <w:color w:val="auto"/>
                <w:kern w:val="0"/>
                <w:szCs w:val="21"/>
                <w:lang w:val="en-US" w:eastAsia="zh-CN"/>
              </w:rPr>
              <w:t>806</w:t>
            </w:r>
            <w:r>
              <w:rPr>
                <w:rFonts w:hint="eastAsia" w:ascii="Times New Roman" w:hAnsi="Times New Roman" w:eastAsia="宋体" w:cs="Times New Roman"/>
                <w:bCs/>
                <w:color w:val="auto"/>
                <w:kern w:val="0"/>
                <w:szCs w:val="21"/>
              </w:rPr>
              <w:t>E-06</w:t>
            </w:r>
          </w:p>
          <w:p w14:paraId="73D2A5F8">
            <w:pPr>
              <w:jc w:val="center"/>
              <w:rPr>
                <w:rFonts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rPr>
              <w:t>kg/a</w:t>
            </w:r>
          </w:p>
        </w:tc>
        <w:tc>
          <w:tcPr>
            <w:tcW w:w="833" w:type="dxa"/>
            <w:vAlign w:val="center"/>
          </w:tcPr>
          <w:p w14:paraId="332AFE96">
            <w:pPr>
              <w:jc w:val="center"/>
              <w:rPr>
                <w:rFonts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lang w:val="en-US" w:eastAsia="zh-CN"/>
              </w:rPr>
              <w:t>0.00011</w:t>
            </w:r>
            <w:r>
              <w:rPr>
                <w:rFonts w:hint="eastAsia" w:ascii="Times New Roman" w:hAnsi="Times New Roman" w:eastAsia="宋体" w:cs="Times New Roman"/>
                <w:bCs/>
                <w:color w:val="auto"/>
                <w:kern w:val="0"/>
                <w:szCs w:val="21"/>
              </w:rPr>
              <w:t>kg/a</w:t>
            </w:r>
          </w:p>
        </w:tc>
        <w:tc>
          <w:tcPr>
            <w:tcW w:w="725" w:type="dxa"/>
            <w:vMerge w:val="continue"/>
            <w:vAlign w:val="center"/>
          </w:tcPr>
          <w:p w14:paraId="111E7981">
            <w:pPr>
              <w:jc w:val="center"/>
              <w:rPr>
                <w:rFonts w:ascii="Times New Roman" w:hAnsi="Times New Roman" w:eastAsia="宋体" w:cs="Times New Roman"/>
                <w:bCs/>
                <w:kern w:val="0"/>
                <w:szCs w:val="21"/>
                <w:highlight w:val="yellow"/>
              </w:rPr>
            </w:pPr>
          </w:p>
        </w:tc>
      </w:tr>
    </w:tbl>
    <w:p w14:paraId="4CEFC9BC">
      <w:pPr>
        <w:pStyle w:val="5"/>
        <w:numPr>
          <w:ilvl w:val="3"/>
          <w:numId w:val="39"/>
        </w:numPr>
        <w:adjustRightInd w:val="0"/>
        <w:snapToGrid w:val="0"/>
      </w:pPr>
      <w:r>
        <w:rPr>
          <w:rFonts w:hint="eastAsia"/>
        </w:rPr>
        <w:t>拟采取的废水防治措施</w:t>
      </w:r>
    </w:p>
    <w:p w14:paraId="78C7BAB6">
      <w:pPr>
        <w:pStyle w:val="17"/>
        <w:adjustRightInd w:val="0"/>
        <w:snapToGrid w:val="0"/>
        <w:spacing w:line="360" w:lineRule="auto"/>
        <w:ind w:left="420" w:leftChars="200" w:firstLine="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生活废水</w:t>
      </w:r>
    </w:p>
    <w:p w14:paraId="5273DC2E">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生活污水经厂区内的化粪池处理后通过厂区废水总排口接管排入</w:t>
      </w:r>
      <w:r>
        <w:rPr>
          <w:rFonts w:hint="eastAsia" w:ascii="Times New Roman" w:hAnsi="Times New Roman" w:cs="Times New Roman"/>
          <w:color w:val="000000"/>
          <w:sz w:val="24"/>
        </w:rPr>
        <w:t>清丰中州水务有限公司第二污水处理厂</w:t>
      </w:r>
      <w:r>
        <w:rPr>
          <w:rFonts w:hint="eastAsia" w:ascii="宋体" w:hAnsi="宋体" w:eastAsia="宋体" w:cs="宋体"/>
          <w:sz w:val="24"/>
        </w:rPr>
        <w:t>，生活污</w:t>
      </w:r>
      <w:r>
        <w:rPr>
          <w:rFonts w:ascii="Times New Roman" w:hAnsi="Times New Roman" w:eastAsia="宋体" w:cs="Times New Roman"/>
          <w:sz w:val="24"/>
        </w:rPr>
        <w:t>水接管情况详见</w:t>
      </w:r>
      <w:r>
        <w:rPr>
          <w:rFonts w:hint="eastAsia" w:ascii="Times New Roman" w:hAnsi="Times New Roman" w:eastAsia="宋体" w:cs="Times New Roman"/>
          <w:sz w:val="24"/>
        </w:rPr>
        <w:t>下</w:t>
      </w:r>
      <w:r>
        <w:rPr>
          <w:rFonts w:ascii="Times New Roman" w:hAnsi="Times New Roman" w:eastAsia="宋体" w:cs="Times New Roman"/>
          <w:sz w:val="24"/>
        </w:rPr>
        <w:t>表</w:t>
      </w:r>
      <w:r>
        <w:rPr>
          <w:rFonts w:hint="eastAsia" w:ascii="Times New Roman" w:hAnsi="Times New Roman" w:eastAsia="宋体" w:cs="Times New Roman"/>
          <w:sz w:val="24"/>
        </w:rPr>
        <w:t>。</w:t>
      </w:r>
    </w:p>
    <w:p w14:paraId="72DFEF69">
      <w:pPr>
        <w:pStyle w:val="17"/>
        <w:numPr>
          <w:ilvl w:val="0"/>
          <w:numId w:val="40"/>
        </w:numPr>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rPr>
        <w:t xml:space="preserve"> </w:t>
      </w:r>
      <w:r>
        <w:rPr>
          <w:rFonts w:ascii="Times New Roman" w:hAnsi="Times New Roman" w:eastAsia="宋体" w:cs="Times New Roman"/>
          <w:b/>
          <w:bCs/>
          <w:szCs w:val="21"/>
        </w:rPr>
        <w:t>生活污水接管情况</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914"/>
        <w:gridCol w:w="733"/>
        <w:gridCol w:w="1066"/>
        <w:gridCol w:w="884"/>
        <w:gridCol w:w="773"/>
        <w:gridCol w:w="825"/>
        <w:gridCol w:w="1069"/>
        <w:gridCol w:w="1261"/>
      </w:tblGrid>
      <w:tr w14:paraId="1157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97" w:type="dxa"/>
            <w:vMerge w:val="restart"/>
            <w:vAlign w:val="center"/>
          </w:tcPr>
          <w:p w14:paraId="4FE1663A">
            <w:pPr>
              <w:pStyle w:val="39"/>
              <w:jc w:val="center"/>
              <w:rPr>
                <w:rFonts w:ascii="Times New Roman" w:hAnsi="Times New Roman" w:cs="Times New Roman"/>
                <w:sz w:val="21"/>
                <w:szCs w:val="21"/>
              </w:rPr>
            </w:pPr>
            <w:r>
              <w:rPr>
                <w:rFonts w:ascii="Times New Roman" w:hAnsi="Times New Roman" w:cs="Times New Roman"/>
                <w:sz w:val="21"/>
                <w:szCs w:val="21"/>
              </w:rPr>
              <w:t>水量（m</w:t>
            </w:r>
            <w:r>
              <w:rPr>
                <w:rFonts w:ascii="Times New Roman" w:hAnsi="Times New Roman" w:cs="Times New Roman"/>
                <w:sz w:val="21"/>
                <w:szCs w:val="21"/>
                <w:vertAlign w:val="superscript"/>
              </w:rPr>
              <w:t>3</w:t>
            </w:r>
            <w:r>
              <w:rPr>
                <w:rFonts w:ascii="Times New Roman" w:hAnsi="Times New Roman" w:cs="Times New Roman"/>
                <w:sz w:val="21"/>
                <w:szCs w:val="21"/>
              </w:rPr>
              <w:t>/d）</w:t>
            </w:r>
          </w:p>
        </w:tc>
        <w:tc>
          <w:tcPr>
            <w:tcW w:w="914" w:type="dxa"/>
            <w:vMerge w:val="restart"/>
            <w:vAlign w:val="center"/>
          </w:tcPr>
          <w:p w14:paraId="3BDE571F">
            <w:pPr>
              <w:pStyle w:val="39"/>
              <w:jc w:val="center"/>
              <w:rPr>
                <w:rFonts w:ascii="Times New Roman" w:hAnsi="Times New Roman" w:cs="Times New Roman"/>
                <w:sz w:val="21"/>
                <w:szCs w:val="21"/>
              </w:rPr>
            </w:pPr>
            <w:r>
              <w:rPr>
                <w:rFonts w:ascii="Times New Roman" w:hAnsi="Times New Roman" w:cs="Times New Roman"/>
                <w:sz w:val="21"/>
                <w:szCs w:val="21"/>
              </w:rPr>
              <w:t>污染物</w:t>
            </w:r>
          </w:p>
        </w:tc>
        <w:tc>
          <w:tcPr>
            <w:tcW w:w="1799" w:type="dxa"/>
            <w:gridSpan w:val="2"/>
            <w:vAlign w:val="center"/>
          </w:tcPr>
          <w:p w14:paraId="4A422AF1">
            <w:pPr>
              <w:pStyle w:val="39"/>
              <w:jc w:val="center"/>
              <w:rPr>
                <w:rFonts w:ascii="Times New Roman" w:hAnsi="Times New Roman" w:cs="Times New Roman"/>
                <w:sz w:val="21"/>
                <w:szCs w:val="21"/>
              </w:rPr>
            </w:pPr>
            <w:r>
              <w:rPr>
                <w:rFonts w:ascii="Times New Roman" w:hAnsi="Times New Roman" w:cs="Times New Roman"/>
                <w:sz w:val="21"/>
                <w:szCs w:val="21"/>
              </w:rPr>
              <w:t>产生情况</w:t>
            </w:r>
          </w:p>
        </w:tc>
        <w:tc>
          <w:tcPr>
            <w:tcW w:w="884" w:type="dxa"/>
            <w:vMerge w:val="restart"/>
            <w:vAlign w:val="center"/>
          </w:tcPr>
          <w:p w14:paraId="06CA5FA4">
            <w:pPr>
              <w:pStyle w:val="39"/>
              <w:jc w:val="center"/>
              <w:rPr>
                <w:rFonts w:ascii="Times New Roman" w:hAnsi="Times New Roman" w:cs="Times New Roman"/>
                <w:sz w:val="21"/>
                <w:szCs w:val="21"/>
              </w:rPr>
            </w:pPr>
            <w:r>
              <w:rPr>
                <w:rFonts w:ascii="Times New Roman" w:hAnsi="Times New Roman" w:cs="Times New Roman"/>
                <w:sz w:val="21"/>
                <w:szCs w:val="21"/>
              </w:rPr>
              <w:t>处理</w:t>
            </w:r>
          </w:p>
          <w:p w14:paraId="7C6C707A">
            <w:pPr>
              <w:pStyle w:val="39"/>
              <w:jc w:val="center"/>
              <w:rPr>
                <w:rFonts w:ascii="Times New Roman" w:hAnsi="Times New Roman" w:cs="Times New Roman"/>
                <w:sz w:val="21"/>
                <w:szCs w:val="21"/>
              </w:rPr>
            </w:pPr>
            <w:r>
              <w:rPr>
                <w:rFonts w:ascii="Times New Roman" w:hAnsi="Times New Roman" w:cs="Times New Roman"/>
                <w:sz w:val="21"/>
                <w:szCs w:val="21"/>
              </w:rPr>
              <w:t>措施</w:t>
            </w:r>
          </w:p>
        </w:tc>
        <w:tc>
          <w:tcPr>
            <w:tcW w:w="1598" w:type="dxa"/>
            <w:gridSpan w:val="2"/>
            <w:vAlign w:val="center"/>
          </w:tcPr>
          <w:p w14:paraId="67BD7E74">
            <w:pPr>
              <w:pStyle w:val="39"/>
              <w:jc w:val="center"/>
              <w:rPr>
                <w:rFonts w:ascii="Times New Roman" w:hAnsi="Times New Roman" w:cs="Times New Roman"/>
                <w:sz w:val="21"/>
                <w:szCs w:val="21"/>
              </w:rPr>
            </w:pPr>
            <w:r>
              <w:rPr>
                <w:rFonts w:ascii="Times New Roman" w:hAnsi="Times New Roman" w:cs="Times New Roman"/>
                <w:sz w:val="21"/>
                <w:szCs w:val="21"/>
              </w:rPr>
              <w:t>接管</w:t>
            </w:r>
          </w:p>
        </w:tc>
        <w:tc>
          <w:tcPr>
            <w:tcW w:w="1069" w:type="dxa"/>
            <w:vMerge w:val="restart"/>
            <w:vAlign w:val="center"/>
          </w:tcPr>
          <w:p w14:paraId="4039F014">
            <w:pPr>
              <w:pStyle w:val="39"/>
              <w:jc w:val="center"/>
              <w:rPr>
                <w:rFonts w:ascii="Times New Roman" w:hAnsi="Times New Roman" w:cs="Times New Roman"/>
                <w:sz w:val="21"/>
                <w:szCs w:val="21"/>
              </w:rPr>
            </w:pPr>
            <w:r>
              <w:rPr>
                <w:rFonts w:ascii="Times New Roman" w:hAnsi="Times New Roman" w:cs="Times New Roman"/>
                <w:sz w:val="21"/>
                <w:szCs w:val="21"/>
              </w:rPr>
              <w:t>接管标准（mg/L）</w:t>
            </w:r>
          </w:p>
        </w:tc>
        <w:tc>
          <w:tcPr>
            <w:tcW w:w="1261" w:type="dxa"/>
            <w:vMerge w:val="restart"/>
            <w:vAlign w:val="center"/>
          </w:tcPr>
          <w:p w14:paraId="353A77A0">
            <w:pPr>
              <w:pStyle w:val="39"/>
              <w:jc w:val="center"/>
              <w:rPr>
                <w:rFonts w:ascii="Times New Roman" w:hAnsi="Times New Roman" w:cs="Times New Roman"/>
                <w:sz w:val="21"/>
                <w:szCs w:val="21"/>
              </w:rPr>
            </w:pPr>
            <w:r>
              <w:rPr>
                <w:rFonts w:ascii="Times New Roman" w:hAnsi="Times New Roman" w:cs="Times New Roman"/>
                <w:sz w:val="21"/>
                <w:szCs w:val="21"/>
              </w:rPr>
              <w:t>去向</w:t>
            </w:r>
          </w:p>
        </w:tc>
      </w:tr>
      <w:tr w14:paraId="6CA7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97" w:type="dxa"/>
            <w:vMerge w:val="continue"/>
            <w:vAlign w:val="center"/>
          </w:tcPr>
          <w:p w14:paraId="0D6D4ACC">
            <w:pPr>
              <w:pStyle w:val="39"/>
              <w:jc w:val="center"/>
              <w:rPr>
                <w:rFonts w:ascii="Times New Roman" w:hAnsi="Times New Roman" w:cs="Times New Roman"/>
                <w:sz w:val="21"/>
                <w:szCs w:val="21"/>
              </w:rPr>
            </w:pPr>
          </w:p>
        </w:tc>
        <w:tc>
          <w:tcPr>
            <w:tcW w:w="914" w:type="dxa"/>
            <w:vMerge w:val="continue"/>
            <w:vAlign w:val="center"/>
          </w:tcPr>
          <w:p w14:paraId="78703E9B">
            <w:pPr>
              <w:pStyle w:val="39"/>
              <w:jc w:val="center"/>
              <w:rPr>
                <w:rFonts w:ascii="Times New Roman" w:hAnsi="Times New Roman" w:cs="Times New Roman"/>
                <w:sz w:val="21"/>
                <w:szCs w:val="21"/>
              </w:rPr>
            </w:pPr>
          </w:p>
        </w:tc>
        <w:tc>
          <w:tcPr>
            <w:tcW w:w="733" w:type="dxa"/>
            <w:vAlign w:val="center"/>
          </w:tcPr>
          <w:p w14:paraId="76EDC7A4">
            <w:pPr>
              <w:pStyle w:val="39"/>
              <w:jc w:val="center"/>
              <w:rPr>
                <w:rFonts w:ascii="Times New Roman" w:hAnsi="Times New Roman" w:cs="Times New Roman"/>
                <w:sz w:val="21"/>
                <w:szCs w:val="21"/>
              </w:rPr>
            </w:pPr>
            <w:r>
              <w:rPr>
                <w:rFonts w:ascii="Times New Roman" w:hAnsi="Times New Roman" w:cs="Times New Roman"/>
                <w:sz w:val="21"/>
                <w:szCs w:val="21"/>
              </w:rPr>
              <w:t>mg/L</w:t>
            </w:r>
          </w:p>
        </w:tc>
        <w:tc>
          <w:tcPr>
            <w:tcW w:w="1066" w:type="dxa"/>
            <w:vAlign w:val="center"/>
          </w:tcPr>
          <w:p w14:paraId="1314DCD6">
            <w:pPr>
              <w:pStyle w:val="39"/>
              <w:jc w:val="center"/>
              <w:rPr>
                <w:rFonts w:ascii="Times New Roman" w:hAnsi="Times New Roman" w:cs="Times New Roman"/>
                <w:sz w:val="21"/>
                <w:szCs w:val="21"/>
              </w:rPr>
            </w:pPr>
            <w:r>
              <w:rPr>
                <w:rFonts w:ascii="Times New Roman" w:hAnsi="Times New Roman" w:cs="Times New Roman"/>
                <w:sz w:val="21"/>
                <w:szCs w:val="21"/>
              </w:rPr>
              <w:t>t/a</w:t>
            </w:r>
          </w:p>
        </w:tc>
        <w:tc>
          <w:tcPr>
            <w:tcW w:w="884" w:type="dxa"/>
            <w:vMerge w:val="continue"/>
            <w:vAlign w:val="center"/>
          </w:tcPr>
          <w:p w14:paraId="3ECE69B3">
            <w:pPr>
              <w:pStyle w:val="39"/>
              <w:jc w:val="center"/>
              <w:rPr>
                <w:rFonts w:ascii="Times New Roman" w:hAnsi="Times New Roman" w:cs="Times New Roman"/>
                <w:sz w:val="21"/>
                <w:szCs w:val="21"/>
              </w:rPr>
            </w:pPr>
          </w:p>
        </w:tc>
        <w:tc>
          <w:tcPr>
            <w:tcW w:w="773" w:type="dxa"/>
            <w:vAlign w:val="center"/>
          </w:tcPr>
          <w:p w14:paraId="1DC2A359">
            <w:pPr>
              <w:pStyle w:val="39"/>
              <w:jc w:val="center"/>
              <w:rPr>
                <w:rFonts w:ascii="Times New Roman" w:hAnsi="Times New Roman" w:cs="Times New Roman"/>
                <w:sz w:val="21"/>
                <w:szCs w:val="21"/>
              </w:rPr>
            </w:pPr>
            <w:r>
              <w:rPr>
                <w:rFonts w:ascii="Times New Roman" w:hAnsi="Times New Roman" w:cs="Times New Roman"/>
                <w:sz w:val="21"/>
                <w:szCs w:val="21"/>
              </w:rPr>
              <w:t>mg/L</w:t>
            </w:r>
          </w:p>
        </w:tc>
        <w:tc>
          <w:tcPr>
            <w:tcW w:w="825" w:type="dxa"/>
            <w:vAlign w:val="center"/>
          </w:tcPr>
          <w:p w14:paraId="50E57FDA">
            <w:pPr>
              <w:pStyle w:val="39"/>
              <w:jc w:val="center"/>
              <w:rPr>
                <w:rFonts w:ascii="Times New Roman" w:hAnsi="Times New Roman" w:cs="Times New Roman"/>
                <w:sz w:val="21"/>
                <w:szCs w:val="21"/>
              </w:rPr>
            </w:pPr>
            <w:r>
              <w:rPr>
                <w:rFonts w:ascii="Times New Roman" w:hAnsi="Times New Roman" w:cs="Times New Roman"/>
                <w:sz w:val="21"/>
                <w:szCs w:val="21"/>
              </w:rPr>
              <w:t>t/a</w:t>
            </w:r>
          </w:p>
        </w:tc>
        <w:tc>
          <w:tcPr>
            <w:tcW w:w="1069" w:type="dxa"/>
            <w:vMerge w:val="continue"/>
            <w:vAlign w:val="center"/>
          </w:tcPr>
          <w:p w14:paraId="0BBDE4E7">
            <w:pPr>
              <w:pStyle w:val="39"/>
              <w:jc w:val="center"/>
              <w:rPr>
                <w:rFonts w:ascii="Times New Roman" w:hAnsi="Times New Roman" w:cs="Times New Roman"/>
                <w:b/>
                <w:bCs/>
                <w:sz w:val="21"/>
                <w:szCs w:val="21"/>
              </w:rPr>
            </w:pPr>
          </w:p>
        </w:tc>
        <w:tc>
          <w:tcPr>
            <w:tcW w:w="1261" w:type="dxa"/>
            <w:vMerge w:val="continue"/>
            <w:vAlign w:val="center"/>
          </w:tcPr>
          <w:p w14:paraId="1F500FD4">
            <w:pPr>
              <w:pStyle w:val="39"/>
              <w:jc w:val="center"/>
              <w:rPr>
                <w:rFonts w:ascii="Times New Roman" w:hAnsi="Times New Roman" w:cs="Times New Roman"/>
                <w:b/>
                <w:bCs/>
                <w:sz w:val="21"/>
                <w:szCs w:val="21"/>
              </w:rPr>
            </w:pPr>
          </w:p>
        </w:tc>
      </w:tr>
      <w:tr w14:paraId="4D46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restart"/>
            <w:vAlign w:val="center"/>
          </w:tcPr>
          <w:p w14:paraId="0303A012">
            <w:pPr>
              <w:pStyle w:val="39"/>
              <w:jc w:val="center"/>
              <w:rPr>
                <w:rFonts w:ascii="Times New Roman" w:hAnsi="Times New Roman" w:cs="Times New Roman"/>
                <w:sz w:val="21"/>
                <w:szCs w:val="21"/>
              </w:rPr>
            </w:pPr>
            <w:r>
              <w:rPr>
                <w:rFonts w:hint="eastAsia" w:ascii="Times New Roman" w:hAnsi="Times New Roman" w:cs="Times New Roman"/>
                <w:bCs/>
                <w:color w:val="auto"/>
                <w:sz w:val="21"/>
                <w:szCs w:val="21"/>
              </w:rPr>
              <w:t>3.74（1122m</w:t>
            </w:r>
            <w:r>
              <w:rPr>
                <w:rFonts w:hint="eastAsia" w:ascii="Times New Roman" w:hAnsi="Times New Roman" w:cs="Times New Roman"/>
                <w:bCs/>
                <w:color w:val="auto"/>
                <w:sz w:val="21"/>
                <w:szCs w:val="21"/>
                <w:vertAlign w:val="superscript"/>
              </w:rPr>
              <w:t>3</w:t>
            </w:r>
            <w:r>
              <w:rPr>
                <w:rFonts w:hint="eastAsia" w:ascii="Times New Roman" w:hAnsi="Times New Roman" w:cs="Times New Roman"/>
                <w:bCs/>
                <w:color w:val="auto"/>
                <w:sz w:val="21"/>
                <w:szCs w:val="21"/>
              </w:rPr>
              <w:t>/a）</w:t>
            </w:r>
          </w:p>
        </w:tc>
        <w:tc>
          <w:tcPr>
            <w:tcW w:w="914" w:type="dxa"/>
            <w:vAlign w:val="center"/>
          </w:tcPr>
          <w:p w14:paraId="6878A346">
            <w:pPr>
              <w:pStyle w:val="39"/>
              <w:jc w:val="center"/>
              <w:rPr>
                <w:rFonts w:ascii="Times New Roman" w:hAnsi="Times New Roman" w:cs="Times New Roman"/>
                <w:sz w:val="21"/>
                <w:szCs w:val="21"/>
              </w:rPr>
            </w:pPr>
            <w:r>
              <w:rPr>
                <w:rFonts w:ascii="Times New Roman" w:hAnsi="Times New Roman" w:cs="Times New Roman"/>
                <w:sz w:val="21"/>
                <w:szCs w:val="21"/>
              </w:rPr>
              <w:t>COD</w:t>
            </w:r>
          </w:p>
        </w:tc>
        <w:tc>
          <w:tcPr>
            <w:tcW w:w="733" w:type="dxa"/>
            <w:vAlign w:val="center"/>
          </w:tcPr>
          <w:p w14:paraId="75463708">
            <w:pPr>
              <w:pStyle w:val="39"/>
              <w:jc w:val="center"/>
              <w:rPr>
                <w:rFonts w:ascii="Times New Roman" w:hAnsi="Times New Roman" w:cs="Times New Roman"/>
                <w:sz w:val="21"/>
                <w:szCs w:val="21"/>
              </w:rPr>
            </w:pPr>
            <w:r>
              <w:rPr>
                <w:rFonts w:ascii="Times New Roman" w:hAnsi="Times New Roman" w:cs="Times New Roman"/>
                <w:sz w:val="21"/>
                <w:szCs w:val="21"/>
              </w:rPr>
              <w:t>300</w:t>
            </w:r>
          </w:p>
        </w:tc>
        <w:tc>
          <w:tcPr>
            <w:tcW w:w="1066" w:type="dxa"/>
            <w:vAlign w:val="center"/>
          </w:tcPr>
          <w:p w14:paraId="5625E685">
            <w:pPr>
              <w:pStyle w:val="39"/>
              <w:jc w:val="center"/>
              <w:rPr>
                <w:rFonts w:ascii="Times New Roman" w:hAnsi="Times New Roman" w:cs="Times New Roman"/>
                <w:sz w:val="21"/>
                <w:szCs w:val="21"/>
              </w:rPr>
            </w:pPr>
            <w:r>
              <w:rPr>
                <w:rFonts w:hint="eastAsia" w:ascii="Times New Roman" w:hAnsi="Times New Roman" w:cs="Times New Roman"/>
                <w:sz w:val="21"/>
                <w:szCs w:val="21"/>
              </w:rPr>
              <w:t>0.3366</w:t>
            </w:r>
          </w:p>
        </w:tc>
        <w:tc>
          <w:tcPr>
            <w:tcW w:w="884" w:type="dxa"/>
            <w:vMerge w:val="restart"/>
            <w:vAlign w:val="center"/>
          </w:tcPr>
          <w:p w14:paraId="11746EAB">
            <w:pPr>
              <w:pStyle w:val="39"/>
              <w:jc w:val="center"/>
              <w:rPr>
                <w:rFonts w:ascii="Times New Roman" w:hAnsi="Times New Roman" w:cs="Times New Roman"/>
                <w:sz w:val="21"/>
                <w:szCs w:val="21"/>
              </w:rPr>
            </w:pPr>
            <w:r>
              <w:rPr>
                <w:rFonts w:ascii="Times New Roman" w:hAnsi="Times New Roman" w:cs="Times New Roman"/>
                <w:sz w:val="21"/>
                <w:szCs w:val="21"/>
              </w:rPr>
              <w:t>化粪池</w:t>
            </w:r>
          </w:p>
        </w:tc>
        <w:tc>
          <w:tcPr>
            <w:tcW w:w="773" w:type="dxa"/>
            <w:vAlign w:val="center"/>
          </w:tcPr>
          <w:p w14:paraId="2CA012D7">
            <w:pPr>
              <w:pStyle w:val="39"/>
              <w:jc w:val="center"/>
              <w:rPr>
                <w:rFonts w:ascii="Times New Roman" w:hAnsi="Times New Roman" w:cs="Times New Roman"/>
                <w:sz w:val="21"/>
                <w:szCs w:val="21"/>
              </w:rPr>
            </w:pPr>
            <w:r>
              <w:rPr>
                <w:rFonts w:hint="eastAsia" w:ascii="Times New Roman" w:hAnsi="Times New Roman" w:cs="Times New Roman"/>
                <w:sz w:val="21"/>
                <w:szCs w:val="21"/>
              </w:rPr>
              <w:t>250</w:t>
            </w:r>
          </w:p>
        </w:tc>
        <w:tc>
          <w:tcPr>
            <w:tcW w:w="825" w:type="dxa"/>
            <w:vAlign w:val="center"/>
          </w:tcPr>
          <w:p w14:paraId="2FA63E7A">
            <w:pPr>
              <w:pStyle w:val="39"/>
              <w:jc w:val="center"/>
              <w:rPr>
                <w:rFonts w:ascii="Times New Roman" w:hAnsi="Times New Roman" w:cs="Times New Roman"/>
                <w:sz w:val="21"/>
                <w:szCs w:val="21"/>
              </w:rPr>
            </w:pPr>
            <w:r>
              <w:rPr>
                <w:rFonts w:hint="eastAsia" w:ascii="Times New Roman" w:hAnsi="Times New Roman" w:cs="Times New Roman"/>
                <w:sz w:val="21"/>
                <w:szCs w:val="21"/>
              </w:rPr>
              <w:t xml:space="preserve">0.2805 </w:t>
            </w:r>
          </w:p>
        </w:tc>
        <w:tc>
          <w:tcPr>
            <w:tcW w:w="1069" w:type="dxa"/>
            <w:vAlign w:val="center"/>
          </w:tcPr>
          <w:p w14:paraId="0D6CA55E">
            <w:pPr>
              <w:pStyle w:val="39"/>
              <w:jc w:val="center"/>
              <w:rPr>
                <w:rFonts w:ascii="Times New Roman" w:hAnsi="Times New Roman" w:cs="Times New Roman"/>
                <w:sz w:val="21"/>
                <w:szCs w:val="21"/>
              </w:rPr>
            </w:pPr>
            <w:r>
              <w:rPr>
                <w:rFonts w:hint="eastAsia" w:ascii="Times New Roman" w:hAnsi="Times New Roman" w:cs="Times New Roman"/>
                <w:sz w:val="21"/>
                <w:szCs w:val="21"/>
              </w:rPr>
              <w:t>350</w:t>
            </w:r>
          </w:p>
        </w:tc>
        <w:tc>
          <w:tcPr>
            <w:tcW w:w="1261" w:type="dxa"/>
            <w:vMerge w:val="restart"/>
            <w:vAlign w:val="center"/>
          </w:tcPr>
          <w:p w14:paraId="7C5C68E0">
            <w:pPr>
              <w:pStyle w:val="39"/>
              <w:jc w:val="center"/>
              <w:rPr>
                <w:rFonts w:ascii="Times New Roman" w:hAnsi="Times New Roman" w:cs="Times New Roman"/>
                <w:sz w:val="21"/>
                <w:szCs w:val="21"/>
              </w:rPr>
            </w:pPr>
            <w:r>
              <w:rPr>
                <w:rFonts w:hint="eastAsia" w:ascii="Times New Roman" w:hAnsi="Times New Roman" w:cs="Times New Roman"/>
                <w:sz w:val="21"/>
                <w:szCs w:val="21"/>
              </w:rPr>
              <w:t>清丰中州水务有限公司第二污水处理厂，尾水排入潴龙河</w:t>
            </w:r>
          </w:p>
        </w:tc>
      </w:tr>
      <w:tr w14:paraId="1D41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7" w:type="dxa"/>
            <w:vMerge w:val="continue"/>
            <w:vAlign w:val="center"/>
          </w:tcPr>
          <w:p w14:paraId="1FC5D63A">
            <w:pPr>
              <w:pStyle w:val="39"/>
              <w:jc w:val="center"/>
              <w:rPr>
                <w:rFonts w:ascii="Times New Roman" w:hAnsi="Times New Roman" w:cs="Times New Roman"/>
                <w:sz w:val="21"/>
                <w:szCs w:val="21"/>
              </w:rPr>
            </w:pPr>
          </w:p>
        </w:tc>
        <w:tc>
          <w:tcPr>
            <w:tcW w:w="914" w:type="dxa"/>
            <w:vAlign w:val="center"/>
          </w:tcPr>
          <w:p w14:paraId="51DD2FFF">
            <w:pPr>
              <w:pStyle w:val="39"/>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733" w:type="dxa"/>
            <w:vAlign w:val="center"/>
          </w:tcPr>
          <w:p w14:paraId="170FEA67">
            <w:pPr>
              <w:pStyle w:val="39"/>
              <w:jc w:val="center"/>
              <w:rPr>
                <w:rFonts w:ascii="Times New Roman" w:hAnsi="Times New Roman" w:cs="Times New Roman"/>
                <w:sz w:val="21"/>
                <w:szCs w:val="21"/>
              </w:rPr>
            </w:pPr>
            <w:r>
              <w:rPr>
                <w:rFonts w:ascii="Times New Roman" w:hAnsi="Times New Roman" w:cs="Times New Roman"/>
                <w:sz w:val="21"/>
                <w:szCs w:val="21"/>
              </w:rPr>
              <w:t>150</w:t>
            </w:r>
          </w:p>
        </w:tc>
        <w:tc>
          <w:tcPr>
            <w:tcW w:w="1066" w:type="dxa"/>
            <w:vAlign w:val="center"/>
          </w:tcPr>
          <w:p w14:paraId="193FB93A">
            <w:pPr>
              <w:pStyle w:val="39"/>
              <w:jc w:val="center"/>
              <w:rPr>
                <w:rFonts w:ascii="Times New Roman" w:hAnsi="Times New Roman" w:cs="Times New Roman"/>
                <w:sz w:val="21"/>
                <w:szCs w:val="21"/>
              </w:rPr>
            </w:pPr>
            <w:r>
              <w:rPr>
                <w:rFonts w:hint="eastAsia" w:ascii="Times New Roman" w:hAnsi="Times New Roman" w:cs="Times New Roman"/>
                <w:sz w:val="21"/>
                <w:szCs w:val="21"/>
              </w:rPr>
              <w:t>0.1683</w:t>
            </w:r>
          </w:p>
        </w:tc>
        <w:tc>
          <w:tcPr>
            <w:tcW w:w="884" w:type="dxa"/>
            <w:vMerge w:val="continue"/>
            <w:vAlign w:val="center"/>
          </w:tcPr>
          <w:p w14:paraId="27C028B5">
            <w:pPr>
              <w:pStyle w:val="39"/>
              <w:jc w:val="center"/>
              <w:rPr>
                <w:rFonts w:ascii="Times New Roman" w:hAnsi="Times New Roman" w:cs="Times New Roman"/>
                <w:sz w:val="21"/>
                <w:szCs w:val="21"/>
              </w:rPr>
            </w:pPr>
          </w:p>
        </w:tc>
        <w:tc>
          <w:tcPr>
            <w:tcW w:w="773" w:type="dxa"/>
            <w:vAlign w:val="center"/>
          </w:tcPr>
          <w:p w14:paraId="413D18EB">
            <w:pPr>
              <w:pStyle w:val="39"/>
              <w:jc w:val="center"/>
              <w:rPr>
                <w:rFonts w:ascii="Times New Roman" w:hAnsi="Times New Roman" w:cs="Times New Roman"/>
                <w:sz w:val="21"/>
                <w:szCs w:val="21"/>
              </w:rPr>
            </w:pPr>
            <w:r>
              <w:rPr>
                <w:rFonts w:hint="eastAsia" w:ascii="Times New Roman" w:hAnsi="Times New Roman" w:cs="Times New Roman"/>
                <w:sz w:val="21"/>
                <w:szCs w:val="21"/>
              </w:rPr>
              <w:t>120</w:t>
            </w:r>
          </w:p>
        </w:tc>
        <w:tc>
          <w:tcPr>
            <w:tcW w:w="825" w:type="dxa"/>
            <w:vAlign w:val="center"/>
          </w:tcPr>
          <w:p w14:paraId="34324000">
            <w:pPr>
              <w:pStyle w:val="39"/>
              <w:jc w:val="center"/>
              <w:rPr>
                <w:rFonts w:ascii="Times New Roman" w:hAnsi="Times New Roman" w:cs="Times New Roman"/>
                <w:sz w:val="21"/>
                <w:szCs w:val="21"/>
              </w:rPr>
            </w:pPr>
            <w:r>
              <w:rPr>
                <w:rFonts w:hint="eastAsia" w:ascii="Times New Roman" w:hAnsi="Times New Roman" w:cs="Times New Roman"/>
                <w:sz w:val="21"/>
                <w:szCs w:val="21"/>
              </w:rPr>
              <w:t xml:space="preserve">0.1346 </w:t>
            </w:r>
          </w:p>
        </w:tc>
        <w:tc>
          <w:tcPr>
            <w:tcW w:w="1069" w:type="dxa"/>
            <w:vAlign w:val="center"/>
          </w:tcPr>
          <w:p w14:paraId="11532ECB">
            <w:pPr>
              <w:pStyle w:val="39"/>
              <w:jc w:val="center"/>
              <w:rPr>
                <w:rFonts w:ascii="Times New Roman" w:hAnsi="Times New Roman" w:cs="Times New Roman"/>
                <w:sz w:val="21"/>
                <w:szCs w:val="21"/>
              </w:rPr>
            </w:pPr>
            <w:r>
              <w:rPr>
                <w:rFonts w:hint="eastAsia" w:ascii="Times New Roman" w:hAnsi="Times New Roman" w:cs="Times New Roman"/>
                <w:sz w:val="21"/>
                <w:szCs w:val="21"/>
              </w:rPr>
              <w:t>170</w:t>
            </w:r>
          </w:p>
        </w:tc>
        <w:tc>
          <w:tcPr>
            <w:tcW w:w="1261" w:type="dxa"/>
            <w:vMerge w:val="continue"/>
            <w:vAlign w:val="center"/>
          </w:tcPr>
          <w:p w14:paraId="3BC9D201">
            <w:pPr>
              <w:pStyle w:val="39"/>
              <w:jc w:val="center"/>
              <w:rPr>
                <w:rFonts w:ascii="Times New Roman" w:hAnsi="Times New Roman" w:cs="Times New Roman"/>
                <w:sz w:val="21"/>
                <w:szCs w:val="21"/>
              </w:rPr>
            </w:pPr>
          </w:p>
        </w:tc>
      </w:tr>
      <w:tr w14:paraId="2ED4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continue"/>
            <w:vAlign w:val="center"/>
          </w:tcPr>
          <w:p w14:paraId="321C5022">
            <w:pPr>
              <w:pStyle w:val="39"/>
              <w:jc w:val="center"/>
              <w:rPr>
                <w:rFonts w:ascii="Times New Roman" w:hAnsi="Times New Roman" w:cs="Times New Roman"/>
                <w:sz w:val="21"/>
                <w:szCs w:val="21"/>
              </w:rPr>
            </w:pPr>
          </w:p>
        </w:tc>
        <w:tc>
          <w:tcPr>
            <w:tcW w:w="914" w:type="dxa"/>
            <w:vAlign w:val="center"/>
          </w:tcPr>
          <w:p w14:paraId="3CABA0B3">
            <w:pPr>
              <w:pStyle w:val="39"/>
              <w:jc w:val="center"/>
              <w:rPr>
                <w:rFonts w:ascii="Times New Roman" w:hAnsi="Times New Roman" w:cs="Times New Roman"/>
                <w:sz w:val="21"/>
                <w:szCs w:val="21"/>
              </w:rPr>
            </w:pPr>
            <w:r>
              <w:rPr>
                <w:rFonts w:ascii="Times New Roman" w:hAnsi="Times New Roman" w:cs="Times New Roman"/>
                <w:sz w:val="21"/>
                <w:szCs w:val="21"/>
              </w:rPr>
              <w:t>SS</w:t>
            </w:r>
          </w:p>
        </w:tc>
        <w:tc>
          <w:tcPr>
            <w:tcW w:w="733" w:type="dxa"/>
            <w:vAlign w:val="center"/>
          </w:tcPr>
          <w:p w14:paraId="620975B8">
            <w:pPr>
              <w:pStyle w:val="39"/>
              <w:jc w:val="center"/>
              <w:rPr>
                <w:rFonts w:ascii="Times New Roman" w:hAnsi="Times New Roman" w:cs="Times New Roman"/>
                <w:sz w:val="21"/>
                <w:szCs w:val="21"/>
              </w:rPr>
            </w:pPr>
            <w:r>
              <w:rPr>
                <w:rFonts w:hint="eastAsia" w:ascii="Times New Roman" w:hAnsi="Times New Roman" w:cs="Times New Roman"/>
                <w:sz w:val="21"/>
                <w:szCs w:val="21"/>
              </w:rPr>
              <w:t>200</w:t>
            </w:r>
          </w:p>
        </w:tc>
        <w:tc>
          <w:tcPr>
            <w:tcW w:w="1066" w:type="dxa"/>
            <w:vAlign w:val="center"/>
          </w:tcPr>
          <w:p w14:paraId="083D27D6">
            <w:pPr>
              <w:pStyle w:val="39"/>
              <w:jc w:val="center"/>
              <w:rPr>
                <w:rFonts w:ascii="Times New Roman" w:hAnsi="Times New Roman" w:cs="Times New Roman"/>
                <w:sz w:val="21"/>
                <w:szCs w:val="21"/>
              </w:rPr>
            </w:pPr>
            <w:r>
              <w:rPr>
                <w:rFonts w:hint="eastAsia" w:ascii="Times New Roman" w:hAnsi="Times New Roman" w:cs="Times New Roman"/>
                <w:sz w:val="21"/>
                <w:szCs w:val="21"/>
              </w:rPr>
              <w:t>0.2244</w:t>
            </w:r>
          </w:p>
        </w:tc>
        <w:tc>
          <w:tcPr>
            <w:tcW w:w="884" w:type="dxa"/>
            <w:vMerge w:val="continue"/>
            <w:vAlign w:val="center"/>
          </w:tcPr>
          <w:p w14:paraId="0258EF93">
            <w:pPr>
              <w:pStyle w:val="39"/>
              <w:jc w:val="center"/>
              <w:rPr>
                <w:rFonts w:ascii="Times New Roman" w:hAnsi="Times New Roman" w:cs="Times New Roman"/>
                <w:sz w:val="21"/>
                <w:szCs w:val="21"/>
              </w:rPr>
            </w:pPr>
          </w:p>
        </w:tc>
        <w:tc>
          <w:tcPr>
            <w:tcW w:w="773" w:type="dxa"/>
            <w:vAlign w:val="center"/>
          </w:tcPr>
          <w:p w14:paraId="73B24AE0">
            <w:pPr>
              <w:pStyle w:val="39"/>
              <w:jc w:val="center"/>
              <w:rPr>
                <w:rFonts w:ascii="Times New Roman" w:hAnsi="Times New Roman" w:cs="Times New Roman"/>
                <w:sz w:val="21"/>
                <w:szCs w:val="21"/>
              </w:rPr>
            </w:pPr>
            <w:r>
              <w:rPr>
                <w:rFonts w:hint="eastAsia" w:ascii="Times New Roman" w:hAnsi="Times New Roman" w:cs="Times New Roman"/>
                <w:sz w:val="21"/>
                <w:szCs w:val="21"/>
              </w:rPr>
              <w:t>160</w:t>
            </w:r>
          </w:p>
        </w:tc>
        <w:tc>
          <w:tcPr>
            <w:tcW w:w="825" w:type="dxa"/>
            <w:vAlign w:val="center"/>
          </w:tcPr>
          <w:p w14:paraId="5414745E">
            <w:pPr>
              <w:pStyle w:val="39"/>
              <w:jc w:val="center"/>
              <w:rPr>
                <w:rFonts w:ascii="Times New Roman" w:hAnsi="Times New Roman" w:cs="Times New Roman"/>
                <w:sz w:val="21"/>
                <w:szCs w:val="21"/>
              </w:rPr>
            </w:pPr>
            <w:r>
              <w:rPr>
                <w:rFonts w:hint="eastAsia" w:ascii="Times New Roman" w:hAnsi="Times New Roman" w:cs="Times New Roman"/>
                <w:sz w:val="21"/>
                <w:szCs w:val="21"/>
              </w:rPr>
              <w:t xml:space="preserve">0.1795 </w:t>
            </w:r>
          </w:p>
        </w:tc>
        <w:tc>
          <w:tcPr>
            <w:tcW w:w="1069" w:type="dxa"/>
            <w:vAlign w:val="center"/>
          </w:tcPr>
          <w:p w14:paraId="6C201D2E">
            <w:pPr>
              <w:pStyle w:val="39"/>
              <w:jc w:val="center"/>
              <w:rPr>
                <w:rFonts w:ascii="Times New Roman" w:hAnsi="Times New Roman" w:cs="Times New Roman"/>
                <w:sz w:val="21"/>
                <w:szCs w:val="21"/>
              </w:rPr>
            </w:pPr>
            <w:r>
              <w:rPr>
                <w:rFonts w:hint="eastAsia" w:ascii="Times New Roman" w:hAnsi="Times New Roman" w:cs="Times New Roman"/>
                <w:sz w:val="21"/>
                <w:szCs w:val="21"/>
              </w:rPr>
              <w:t>210</w:t>
            </w:r>
          </w:p>
        </w:tc>
        <w:tc>
          <w:tcPr>
            <w:tcW w:w="1261" w:type="dxa"/>
            <w:vMerge w:val="continue"/>
            <w:vAlign w:val="center"/>
          </w:tcPr>
          <w:p w14:paraId="563CAC05">
            <w:pPr>
              <w:pStyle w:val="39"/>
              <w:jc w:val="center"/>
              <w:rPr>
                <w:rFonts w:ascii="Times New Roman" w:hAnsi="Times New Roman" w:cs="Times New Roman"/>
                <w:sz w:val="21"/>
                <w:szCs w:val="21"/>
              </w:rPr>
            </w:pPr>
          </w:p>
        </w:tc>
      </w:tr>
      <w:tr w14:paraId="152D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continue"/>
            <w:vAlign w:val="center"/>
          </w:tcPr>
          <w:p w14:paraId="74C41847">
            <w:pPr>
              <w:pStyle w:val="39"/>
              <w:jc w:val="center"/>
              <w:rPr>
                <w:rFonts w:ascii="Times New Roman" w:hAnsi="Times New Roman" w:cs="Times New Roman"/>
                <w:sz w:val="21"/>
                <w:szCs w:val="21"/>
              </w:rPr>
            </w:pPr>
          </w:p>
        </w:tc>
        <w:tc>
          <w:tcPr>
            <w:tcW w:w="914" w:type="dxa"/>
            <w:vAlign w:val="center"/>
          </w:tcPr>
          <w:p w14:paraId="250287CA">
            <w:pPr>
              <w:pStyle w:val="39"/>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733" w:type="dxa"/>
            <w:vAlign w:val="center"/>
          </w:tcPr>
          <w:p w14:paraId="0828E25F">
            <w:pPr>
              <w:pStyle w:val="39"/>
              <w:jc w:val="center"/>
              <w:rPr>
                <w:rFonts w:ascii="Times New Roman" w:hAnsi="Times New Roman" w:cs="Times New Roman"/>
                <w:sz w:val="21"/>
                <w:szCs w:val="21"/>
              </w:rPr>
            </w:pPr>
            <w:r>
              <w:rPr>
                <w:rFonts w:ascii="Times New Roman" w:hAnsi="Times New Roman" w:cs="Times New Roman"/>
                <w:sz w:val="21"/>
                <w:szCs w:val="21"/>
              </w:rPr>
              <w:t>30</w:t>
            </w:r>
          </w:p>
        </w:tc>
        <w:tc>
          <w:tcPr>
            <w:tcW w:w="1066" w:type="dxa"/>
            <w:vAlign w:val="center"/>
          </w:tcPr>
          <w:p w14:paraId="49DE0E4A">
            <w:pPr>
              <w:pStyle w:val="39"/>
              <w:jc w:val="center"/>
              <w:rPr>
                <w:rFonts w:ascii="Times New Roman" w:hAnsi="Times New Roman" w:cs="Times New Roman"/>
                <w:sz w:val="21"/>
                <w:szCs w:val="21"/>
              </w:rPr>
            </w:pPr>
            <w:r>
              <w:rPr>
                <w:rFonts w:hint="eastAsia" w:ascii="Times New Roman" w:hAnsi="Times New Roman" w:cs="Times New Roman"/>
                <w:sz w:val="21"/>
                <w:szCs w:val="21"/>
              </w:rPr>
              <w:t>0.0337</w:t>
            </w:r>
          </w:p>
        </w:tc>
        <w:tc>
          <w:tcPr>
            <w:tcW w:w="884" w:type="dxa"/>
            <w:vMerge w:val="continue"/>
            <w:vAlign w:val="center"/>
          </w:tcPr>
          <w:p w14:paraId="523F27B8">
            <w:pPr>
              <w:pStyle w:val="39"/>
              <w:jc w:val="center"/>
              <w:rPr>
                <w:rFonts w:ascii="Times New Roman" w:hAnsi="Times New Roman" w:cs="Times New Roman"/>
                <w:sz w:val="21"/>
                <w:szCs w:val="21"/>
              </w:rPr>
            </w:pPr>
          </w:p>
        </w:tc>
        <w:tc>
          <w:tcPr>
            <w:tcW w:w="773" w:type="dxa"/>
            <w:vAlign w:val="center"/>
          </w:tcPr>
          <w:p w14:paraId="353FF429">
            <w:pPr>
              <w:pStyle w:val="39"/>
              <w:jc w:val="center"/>
              <w:rPr>
                <w:rFonts w:ascii="Times New Roman" w:hAnsi="Times New Roman" w:cs="Times New Roman"/>
                <w:sz w:val="21"/>
                <w:szCs w:val="21"/>
              </w:rPr>
            </w:pPr>
            <w:r>
              <w:rPr>
                <w:rFonts w:hint="eastAsia" w:ascii="Times New Roman" w:hAnsi="Times New Roman" w:cs="Times New Roman"/>
                <w:sz w:val="21"/>
                <w:szCs w:val="21"/>
              </w:rPr>
              <w:t>30</w:t>
            </w:r>
          </w:p>
        </w:tc>
        <w:tc>
          <w:tcPr>
            <w:tcW w:w="825" w:type="dxa"/>
            <w:vAlign w:val="center"/>
          </w:tcPr>
          <w:p w14:paraId="4CEB2730">
            <w:pPr>
              <w:pStyle w:val="39"/>
              <w:jc w:val="center"/>
              <w:rPr>
                <w:rFonts w:ascii="Times New Roman" w:hAnsi="Times New Roman" w:cs="Times New Roman"/>
                <w:sz w:val="21"/>
                <w:szCs w:val="21"/>
              </w:rPr>
            </w:pPr>
            <w:r>
              <w:rPr>
                <w:rFonts w:hint="eastAsia" w:ascii="Times New Roman" w:hAnsi="Times New Roman" w:cs="Times New Roman"/>
                <w:sz w:val="21"/>
                <w:szCs w:val="21"/>
              </w:rPr>
              <w:t xml:space="preserve">0.0337 </w:t>
            </w:r>
          </w:p>
        </w:tc>
        <w:tc>
          <w:tcPr>
            <w:tcW w:w="1069" w:type="dxa"/>
            <w:vAlign w:val="center"/>
          </w:tcPr>
          <w:p w14:paraId="4F27D220">
            <w:pPr>
              <w:pStyle w:val="39"/>
              <w:jc w:val="center"/>
              <w:rPr>
                <w:rFonts w:ascii="Times New Roman" w:hAnsi="Times New Roman" w:cs="Times New Roman"/>
                <w:sz w:val="21"/>
                <w:szCs w:val="21"/>
              </w:rPr>
            </w:pPr>
            <w:r>
              <w:rPr>
                <w:rFonts w:hint="eastAsia" w:ascii="Times New Roman" w:hAnsi="Times New Roman" w:cs="Times New Roman"/>
                <w:sz w:val="21"/>
                <w:szCs w:val="21"/>
              </w:rPr>
              <w:t>30</w:t>
            </w:r>
          </w:p>
        </w:tc>
        <w:tc>
          <w:tcPr>
            <w:tcW w:w="1261" w:type="dxa"/>
            <w:vMerge w:val="continue"/>
            <w:vAlign w:val="center"/>
          </w:tcPr>
          <w:p w14:paraId="1F50B2E2">
            <w:pPr>
              <w:pStyle w:val="39"/>
              <w:jc w:val="center"/>
              <w:rPr>
                <w:rFonts w:ascii="Times New Roman" w:hAnsi="Times New Roman" w:cs="Times New Roman"/>
                <w:sz w:val="21"/>
                <w:szCs w:val="21"/>
              </w:rPr>
            </w:pPr>
          </w:p>
        </w:tc>
      </w:tr>
    </w:tbl>
    <w:p w14:paraId="12969BFC">
      <w:pPr>
        <w:pStyle w:val="39"/>
        <w:spacing w:line="360" w:lineRule="auto"/>
        <w:ind w:left="420" w:leftChars="2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生产废水</w:t>
      </w:r>
    </w:p>
    <w:p w14:paraId="19691EC9">
      <w:pPr>
        <w:pStyle w:val="39"/>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水帘废水</w:t>
      </w:r>
      <w:r>
        <w:rPr>
          <w:rFonts w:ascii="Times New Roman" w:hAnsi="Times New Roman" w:cs="Times New Roman"/>
          <w:color w:val="auto"/>
        </w:rPr>
        <w:t>处理前后的污染物产生及排放情况见</w:t>
      </w:r>
      <w:r>
        <w:rPr>
          <w:rFonts w:hint="eastAsia" w:ascii="Times New Roman" w:hAnsi="Times New Roman" w:cs="Times New Roman"/>
          <w:color w:val="auto"/>
        </w:rPr>
        <w:t>下</w:t>
      </w:r>
      <w:r>
        <w:rPr>
          <w:rFonts w:ascii="Times New Roman" w:hAnsi="Times New Roman" w:cs="Times New Roman"/>
          <w:color w:val="auto"/>
        </w:rPr>
        <w:t>表</w:t>
      </w:r>
      <w:r>
        <w:rPr>
          <w:rFonts w:hint="eastAsia" w:ascii="Times New Roman" w:hAnsi="Times New Roman" w:cs="Times New Roman"/>
          <w:color w:val="auto"/>
        </w:rPr>
        <w:t>。</w:t>
      </w:r>
    </w:p>
    <w:p w14:paraId="07DDF1C5">
      <w:pPr>
        <w:pStyle w:val="39"/>
        <w:spacing w:line="360" w:lineRule="auto"/>
        <w:ind w:firstLine="480" w:firstLineChars="200"/>
        <w:rPr>
          <w:rFonts w:ascii="Times New Roman" w:hAnsi="Times New Roman" w:cs="Times New Roman"/>
          <w:color w:val="auto"/>
        </w:rPr>
      </w:pPr>
    </w:p>
    <w:p w14:paraId="2C5242C5">
      <w:pPr>
        <w:pStyle w:val="39"/>
        <w:spacing w:line="360" w:lineRule="auto"/>
        <w:ind w:firstLine="480" w:firstLineChars="200"/>
        <w:rPr>
          <w:rFonts w:ascii="Times New Roman" w:hAnsi="Times New Roman" w:cs="Times New Roman"/>
          <w:color w:val="auto"/>
        </w:rPr>
      </w:pPr>
    </w:p>
    <w:p w14:paraId="6C8494D1">
      <w:pPr>
        <w:pStyle w:val="17"/>
        <w:numPr>
          <w:ilvl w:val="0"/>
          <w:numId w:val="40"/>
        </w:numPr>
        <w:jc w:val="center"/>
        <w:rPr>
          <w:rFonts w:ascii="Times New Roman" w:hAnsi="Times New Roman" w:eastAsia="宋体" w:cs="Times New Roman"/>
          <w:b/>
          <w:bCs/>
          <w:szCs w:val="21"/>
        </w:rPr>
      </w:pPr>
      <w:r>
        <w:rPr>
          <w:rFonts w:hint="eastAsia" w:ascii="Times New Roman" w:hAnsi="Times New Roman" w:eastAsia="宋体" w:cs="Times New Roman"/>
          <w:b/>
          <w:bCs/>
          <w:szCs w:val="21"/>
        </w:rPr>
        <w:t xml:space="preserve"> 水帘废水处理前后污染物产生及排放情况</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80"/>
        <w:gridCol w:w="2166"/>
        <w:gridCol w:w="786"/>
        <w:gridCol w:w="892"/>
        <w:gridCol w:w="732"/>
        <w:gridCol w:w="885"/>
        <w:gridCol w:w="755"/>
        <w:gridCol w:w="867"/>
        <w:gridCol w:w="959"/>
      </w:tblGrid>
      <w:tr w14:paraId="1AB9B0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646" w:type="dxa"/>
            <w:gridSpan w:val="2"/>
            <w:tcBorders>
              <w:tl2br w:val="nil"/>
              <w:tr2bl w:val="nil"/>
            </w:tcBorders>
            <w:vAlign w:val="center"/>
          </w:tcPr>
          <w:p w14:paraId="4E06F38A">
            <w:pPr>
              <w:jc w:val="center"/>
              <w:rPr>
                <w:rFonts w:ascii="Times New Roman" w:hAnsi="Times New Roman" w:cs="Times New Roman"/>
                <w:color w:val="000000"/>
                <w:szCs w:val="21"/>
              </w:rPr>
            </w:pPr>
            <w:r>
              <w:rPr>
                <w:rFonts w:ascii="Times New Roman" w:hAnsi="Times New Roman" w:cs="Times New Roman"/>
                <w:color w:val="000000"/>
                <w:szCs w:val="21"/>
              </w:rPr>
              <w:t>名称</w:t>
            </w:r>
          </w:p>
        </w:tc>
        <w:tc>
          <w:tcPr>
            <w:tcW w:w="786" w:type="dxa"/>
            <w:tcBorders>
              <w:tl2br w:val="nil"/>
              <w:tr2bl w:val="nil"/>
            </w:tcBorders>
            <w:vAlign w:val="center"/>
          </w:tcPr>
          <w:p w14:paraId="4E35BF6A">
            <w:pPr>
              <w:jc w:val="center"/>
              <w:rPr>
                <w:rFonts w:ascii="Times New Roman" w:hAnsi="Times New Roman" w:cs="Times New Roman"/>
                <w:color w:val="000000"/>
                <w:szCs w:val="21"/>
              </w:rPr>
            </w:pPr>
            <w:r>
              <w:rPr>
                <w:rFonts w:ascii="Times New Roman" w:hAnsi="Times New Roman" w:cs="Times New Roman"/>
                <w:color w:val="000000"/>
                <w:szCs w:val="21"/>
              </w:rPr>
              <w:t>废水量t/a</w:t>
            </w:r>
          </w:p>
        </w:tc>
        <w:tc>
          <w:tcPr>
            <w:tcW w:w="892" w:type="dxa"/>
            <w:tcBorders>
              <w:tl2br w:val="nil"/>
              <w:tr2bl w:val="nil"/>
            </w:tcBorders>
            <w:vAlign w:val="center"/>
          </w:tcPr>
          <w:p w14:paraId="25083B99">
            <w:pPr>
              <w:jc w:val="center"/>
              <w:rPr>
                <w:rFonts w:ascii="Times New Roman" w:hAnsi="Times New Roman" w:cs="Times New Roman"/>
                <w:color w:val="000000"/>
                <w:szCs w:val="21"/>
              </w:rPr>
            </w:pPr>
            <w:r>
              <w:rPr>
                <w:rFonts w:ascii="Times New Roman" w:hAnsi="Times New Roman" w:cs="Times New Roman"/>
                <w:color w:val="000000"/>
                <w:szCs w:val="21"/>
              </w:rPr>
              <w:t>COD</w:t>
            </w:r>
          </w:p>
          <w:p w14:paraId="2B83CC89">
            <w:pPr>
              <w:jc w:val="center"/>
              <w:rPr>
                <w:rFonts w:ascii="Times New Roman" w:hAnsi="Times New Roman" w:cs="Times New Roman"/>
                <w:color w:val="000000"/>
                <w:szCs w:val="21"/>
              </w:rPr>
            </w:pPr>
            <w:r>
              <w:rPr>
                <w:rFonts w:ascii="Times New Roman" w:hAnsi="Times New Roman" w:cs="Times New Roman"/>
                <w:color w:val="000000"/>
                <w:szCs w:val="21"/>
              </w:rPr>
              <w:t>mg/L</w:t>
            </w:r>
          </w:p>
        </w:tc>
        <w:tc>
          <w:tcPr>
            <w:tcW w:w="732" w:type="dxa"/>
            <w:tcBorders>
              <w:tl2br w:val="nil"/>
              <w:tr2bl w:val="nil"/>
            </w:tcBorders>
            <w:vAlign w:val="center"/>
          </w:tcPr>
          <w:p w14:paraId="2CFE96B6">
            <w:pPr>
              <w:jc w:val="center"/>
              <w:rPr>
                <w:rFonts w:ascii="Times New Roman" w:hAnsi="Times New Roman" w:cs="Times New Roman"/>
                <w:color w:val="000000"/>
                <w:szCs w:val="21"/>
              </w:rPr>
            </w:pPr>
            <w:r>
              <w:rPr>
                <w:rFonts w:ascii="Times New Roman" w:hAnsi="Times New Roman" w:cs="Times New Roman"/>
                <w:color w:val="000000"/>
                <w:szCs w:val="21"/>
              </w:rPr>
              <w:t>氨氮mg/L</w:t>
            </w:r>
          </w:p>
        </w:tc>
        <w:tc>
          <w:tcPr>
            <w:tcW w:w="885" w:type="dxa"/>
            <w:tcBorders>
              <w:tl2br w:val="nil"/>
              <w:tr2bl w:val="nil"/>
            </w:tcBorders>
            <w:vAlign w:val="center"/>
          </w:tcPr>
          <w:p w14:paraId="78BA571B">
            <w:pPr>
              <w:jc w:val="center"/>
              <w:rPr>
                <w:rFonts w:ascii="Times New Roman" w:hAnsi="Times New Roman" w:eastAsia="宋体" w:cs="Times New Roman"/>
                <w:szCs w:val="21"/>
                <w:vertAlign w:val="subscript"/>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p w14:paraId="1D38EED8">
            <w:pPr>
              <w:jc w:val="center"/>
              <w:rPr>
                <w:rFonts w:ascii="Times New Roman" w:hAnsi="Times New Roman" w:cs="Times New Roman"/>
                <w:color w:val="000000"/>
                <w:szCs w:val="21"/>
              </w:rPr>
            </w:pPr>
            <w:r>
              <w:rPr>
                <w:rFonts w:ascii="Times New Roman" w:hAnsi="Times New Roman" w:cs="Times New Roman"/>
                <w:color w:val="000000"/>
                <w:szCs w:val="21"/>
              </w:rPr>
              <w:t>mg/L</w:t>
            </w:r>
          </w:p>
        </w:tc>
        <w:tc>
          <w:tcPr>
            <w:tcW w:w="755" w:type="dxa"/>
            <w:tcBorders>
              <w:tl2br w:val="nil"/>
              <w:tr2bl w:val="nil"/>
            </w:tcBorders>
            <w:vAlign w:val="center"/>
          </w:tcPr>
          <w:p w14:paraId="531E47EE">
            <w:pPr>
              <w:jc w:val="center"/>
              <w:rPr>
                <w:rFonts w:ascii="Times New Roman" w:hAnsi="Times New Roman" w:cs="Times New Roman"/>
                <w:color w:val="000000"/>
                <w:szCs w:val="21"/>
              </w:rPr>
            </w:pPr>
            <w:r>
              <w:rPr>
                <w:rFonts w:hint="eastAsia" w:ascii="Times New Roman" w:hAnsi="Times New Roman" w:cs="Times New Roman"/>
                <w:color w:val="000000"/>
                <w:szCs w:val="21"/>
              </w:rPr>
              <w:t>SS</w:t>
            </w:r>
          </w:p>
          <w:p w14:paraId="1C30B129">
            <w:pPr>
              <w:jc w:val="center"/>
              <w:rPr>
                <w:rFonts w:ascii="Times New Roman" w:hAnsi="Times New Roman" w:cs="Times New Roman"/>
                <w:color w:val="000000"/>
                <w:szCs w:val="21"/>
              </w:rPr>
            </w:pPr>
            <w:r>
              <w:rPr>
                <w:rFonts w:ascii="Times New Roman" w:hAnsi="Times New Roman" w:cs="Times New Roman"/>
                <w:color w:val="000000"/>
                <w:szCs w:val="21"/>
              </w:rPr>
              <w:t>mg/L</w:t>
            </w:r>
          </w:p>
        </w:tc>
        <w:tc>
          <w:tcPr>
            <w:tcW w:w="867" w:type="dxa"/>
            <w:tcBorders>
              <w:tl2br w:val="nil"/>
              <w:tr2bl w:val="nil"/>
            </w:tcBorders>
            <w:vAlign w:val="center"/>
          </w:tcPr>
          <w:p w14:paraId="14E364B8">
            <w:pPr>
              <w:jc w:val="center"/>
              <w:rPr>
                <w:rFonts w:ascii="Times New Roman" w:hAnsi="Times New Roman" w:cs="Times New Roman"/>
                <w:color w:val="000000"/>
                <w:szCs w:val="21"/>
              </w:rPr>
            </w:pPr>
            <w:r>
              <w:rPr>
                <w:rFonts w:ascii="Times New Roman" w:hAnsi="Times New Roman" w:cs="Times New Roman"/>
                <w:color w:val="000000"/>
                <w:szCs w:val="21"/>
              </w:rPr>
              <w:t>甲苯mg/L</w:t>
            </w:r>
          </w:p>
        </w:tc>
        <w:tc>
          <w:tcPr>
            <w:tcW w:w="959" w:type="dxa"/>
            <w:tcBorders>
              <w:tl2br w:val="nil"/>
              <w:tr2bl w:val="nil"/>
            </w:tcBorders>
            <w:vAlign w:val="center"/>
          </w:tcPr>
          <w:p w14:paraId="2612557A">
            <w:pPr>
              <w:jc w:val="center"/>
              <w:rPr>
                <w:rFonts w:ascii="Times New Roman" w:hAnsi="Times New Roman" w:cs="Times New Roman"/>
                <w:color w:val="000000"/>
                <w:szCs w:val="21"/>
              </w:rPr>
            </w:pPr>
            <w:r>
              <w:rPr>
                <w:rFonts w:ascii="Times New Roman" w:hAnsi="Times New Roman" w:cs="Times New Roman"/>
                <w:color w:val="000000"/>
                <w:szCs w:val="21"/>
              </w:rPr>
              <w:t>二甲苯mg/L</w:t>
            </w:r>
          </w:p>
        </w:tc>
      </w:tr>
      <w:tr w14:paraId="3C08D9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restart"/>
            <w:tcBorders>
              <w:tl2br w:val="nil"/>
              <w:tr2bl w:val="nil"/>
            </w:tcBorders>
            <w:vAlign w:val="center"/>
          </w:tcPr>
          <w:p w14:paraId="4A5B9CC0">
            <w:pPr>
              <w:jc w:val="center"/>
              <w:rPr>
                <w:rFonts w:ascii="Times New Roman" w:hAnsi="Times New Roman" w:cs="Times New Roman"/>
                <w:color w:val="000000"/>
                <w:szCs w:val="21"/>
              </w:rPr>
            </w:pPr>
            <w:r>
              <w:rPr>
                <w:rFonts w:hint="eastAsia" w:ascii="Times New Roman" w:hAnsi="Times New Roman" w:cs="Times New Roman"/>
                <w:color w:val="000000"/>
                <w:szCs w:val="21"/>
              </w:rPr>
              <w:t>水帘</w:t>
            </w:r>
            <w:r>
              <w:rPr>
                <w:rFonts w:ascii="Times New Roman" w:hAnsi="Times New Roman" w:cs="Times New Roman"/>
                <w:color w:val="000000"/>
                <w:szCs w:val="21"/>
              </w:rPr>
              <w:t>废水</w:t>
            </w:r>
          </w:p>
        </w:tc>
        <w:tc>
          <w:tcPr>
            <w:tcW w:w="2166" w:type="dxa"/>
            <w:tcBorders>
              <w:tl2br w:val="nil"/>
              <w:tr2bl w:val="nil"/>
            </w:tcBorders>
            <w:vAlign w:val="center"/>
          </w:tcPr>
          <w:p w14:paraId="41DF356C">
            <w:pPr>
              <w:jc w:val="center"/>
              <w:rPr>
                <w:rFonts w:ascii="Times New Roman" w:hAnsi="Times New Roman" w:cs="Times New Roman"/>
                <w:color w:val="000000"/>
                <w:szCs w:val="21"/>
              </w:rPr>
            </w:pPr>
            <w:r>
              <w:rPr>
                <w:rFonts w:ascii="Times New Roman" w:hAnsi="Times New Roman" w:cs="Times New Roman"/>
                <w:color w:val="000000"/>
                <w:szCs w:val="21"/>
              </w:rPr>
              <w:t>处理前</w:t>
            </w:r>
          </w:p>
        </w:tc>
        <w:tc>
          <w:tcPr>
            <w:tcW w:w="786" w:type="dxa"/>
            <w:tcBorders>
              <w:tl2br w:val="nil"/>
              <w:tr2bl w:val="nil"/>
            </w:tcBorders>
            <w:vAlign w:val="center"/>
          </w:tcPr>
          <w:p w14:paraId="6888B342">
            <w:pPr>
              <w:jc w:val="center"/>
              <w:rPr>
                <w:rFonts w:ascii="Times New Roman" w:hAnsi="Times New Roman" w:cs="Times New Roman"/>
                <w:color w:val="000000"/>
                <w:szCs w:val="21"/>
              </w:rPr>
            </w:pPr>
            <w:r>
              <w:rPr>
                <w:rFonts w:hint="eastAsia" w:ascii="Times New Roman" w:hAnsi="Times New Roman" w:cs="Times New Roman"/>
                <w:szCs w:val="21"/>
              </w:rPr>
              <w:t>420</w:t>
            </w:r>
          </w:p>
        </w:tc>
        <w:tc>
          <w:tcPr>
            <w:tcW w:w="892" w:type="dxa"/>
            <w:tcBorders>
              <w:tl2br w:val="nil"/>
              <w:tr2bl w:val="nil"/>
            </w:tcBorders>
            <w:vAlign w:val="center"/>
          </w:tcPr>
          <w:p w14:paraId="54C7B180">
            <w:pPr>
              <w:jc w:val="center"/>
              <w:rPr>
                <w:rFonts w:ascii="Times New Roman" w:hAnsi="Times New Roman" w:eastAsia="宋体" w:cs="Times New Roman"/>
                <w:color w:val="000000"/>
                <w:szCs w:val="21"/>
              </w:rPr>
            </w:pPr>
            <w:r>
              <w:rPr>
                <w:rFonts w:hint="eastAsia" w:ascii="Times New Roman" w:hAnsi="Times New Roman" w:cs="Times New Roman"/>
                <w:szCs w:val="21"/>
              </w:rPr>
              <w:t>976</w:t>
            </w:r>
          </w:p>
        </w:tc>
        <w:tc>
          <w:tcPr>
            <w:tcW w:w="732" w:type="dxa"/>
            <w:tcBorders>
              <w:tl2br w:val="nil"/>
              <w:tr2bl w:val="nil"/>
            </w:tcBorders>
            <w:vAlign w:val="center"/>
          </w:tcPr>
          <w:p w14:paraId="1199FDD8">
            <w:pPr>
              <w:jc w:val="center"/>
              <w:rPr>
                <w:rFonts w:ascii="Times New Roman" w:hAnsi="Times New Roman" w:eastAsia="宋体" w:cs="Times New Roman"/>
                <w:color w:val="000000"/>
                <w:szCs w:val="21"/>
              </w:rPr>
            </w:pPr>
            <w:r>
              <w:rPr>
                <w:rFonts w:hint="eastAsia" w:ascii="Times New Roman" w:hAnsi="Times New Roman" w:cs="Times New Roman"/>
                <w:color w:val="000000"/>
                <w:szCs w:val="21"/>
              </w:rPr>
              <w:t>12.5</w:t>
            </w:r>
          </w:p>
        </w:tc>
        <w:tc>
          <w:tcPr>
            <w:tcW w:w="885" w:type="dxa"/>
            <w:tcBorders>
              <w:tl2br w:val="nil"/>
              <w:tr2bl w:val="nil"/>
            </w:tcBorders>
            <w:vAlign w:val="center"/>
          </w:tcPr>
          <w:p w14:paraId="1ABE0112">
            <w:pPr>
              <w:jc w:val="center"/>
              <w:rPr>
                <w:rFonts w:ascii="Times New Roman" w:hAnsi="Times New Roman" w:cs="Times New Roman"/>
                <w:color w:val="000000"/>
                <w:szCs w:val="21"/>
              </w:rPr>
            </w:pPr>
            <w:r>
              <w:rPr>
                <w:rFonts w:hint="eastAsia" w:ascii="Times New Roman" w:hAnsi="Times New Roman" w:cs="Times New Roman"/>
                <w:color w:val="000000"/>
                <w:szCs w:val="21"/>
              </w:rPr>
              <w:t>148</w:t>
            </w:r>
          </w:p>
        </w:tc>
        <w:tc>
          <w:tcPr>
            <w:tcW w:w="755" w:type="dxa"/>
            <w:tcBorders>
              <w:tl2br w:val="nil"/>
              <w:tr2bl w:val="nil"/>
            </w:tcBorders>
            <w:vAlign w:val="center"/>
          </w:tcPr>
          <w:p w14:paraId="604B8F11">
            <w:pPr>
              <w:jc w:val="center"/>
              <w:rPr>
                <w:rFonts w:ascii="Times New Roman" w:hAnsi="Times New Roman" w:cs="Times New Roman"/>
                <w:color w:val="000000"/>
                <w:szCs w:val="21"/>
              </w:rPr>
            </w:pPr>
            <w:r>
              <w:rPr>
                <w:rFonts w:hint="eastAsia" w:ascii="Times New Roman" w:hAnsi="Times New Roman" w:cs="Times New Roman"/>
                <w:color w:val="000000"/>
                <w:szCs w:val="21"/>
              </w:rPr>
              <w:t>148</w:t>
            </w:r>
          </w:p>
        </w:tc>
        <w:tc>
          <w:tcPr>
            <w:tcW w:w="867" w:type="dxa"/>
            <w:tcBorders>
              <w:tl2br w:val="nil"/>
              <w:tr2bl w:val="nil"/>
            </w:tcBorders>
            <w:vAlign w:val="center"/>
          </w:tcPr>
          <w:p w14:paraId="031B7BDB">
            <w:pPr>
              <w:jc w:val="center"/>
              <w:rPr>
                <w:rFonts w:ascii="Times New Roman" w:hAnsi="Times New Roman" w:eastAsia="宋体" w:cs="Times New Roman"/>
                <w:color w:val="000000"/>
                <w:szCs w:val="21"/>
              </w:rPr>
            </w:pPr>
            <w:r>
              <w:rPr>
                <w:rFonts w:hint="eastAsia" w:ascii="Times New Roman" w:hAnsi="Times New Roman" w:cs="Times New Roman"/>
                <w:color w:val="000000"/>
                <w:szCs w:val="21"/>
              </w:rPr>
              <w:t>0.0043</w:t>
            </w:r>
          </w:p>
        </w:tc>
        <w:tc>
          <w:tcPr>
            <w:tcW w:w="957" w:type="dxa"/>
            <w:tcBorders>
              <w:tl2br w:val="nil"/>
              <w:tr2bl w:val="nil"/>
            </w:tcBorders>
            <w:vAlign w:val="center"/>
          </w:tcPr>
          <w:p w14:paraId="705A0A48">
            <w:pPr>
              <w:jc w:val="center"/>
              <w:rPr>
                <w:rFonts w:ascii="Times New Roman" w:hAnsi="Times New Roman" w:eastAsia="宋体" w:cs="Times New Roman"/>
                <w:color w:val="000000"/>
                <w:szCs w:val="21"/>
              </w:rPr>
            </w:pPr>
            <w:r>
              <w:rPr>
                <w:rFonts w:hint="eastAsia" w:ascii="Times New Roman" w:hAnsi="Times New Roman" w:cs="Times New Roman"/>
                <w:color w:val="000000"/>
                <w:szCs w:val="21"/>
              </w:rPr>
              <w:t>0.262</w:t>
            </w:r>
          </w:p>
        </w:tc>
      </w:tr>
      <w:tr w14:paraId="2F343C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630BEDD7">
            <w:pPr>
              <w:jc w:val="center"/>
              <w:rPr>
                <w:rFonts w:ascii="Times New Roman" w:hAnsi="Times New Roman" w:cs="Times New Roman"/>
                <w:color w:val="000000"/>
                <w:szCs w:val="21"/>
              </w:rPr>
            </w:pPr>
          </w:p>
        </w:tc>
        <w:tc>
          <w:tcPr>
            <w:tcW w:w="2166" w:type="dxa"/>
            <w:tcBorders>
              <w:tl2br w:val="nil"/>
              <w:tr2bl w:val="nil"/>
            </w:tcBorders>
            <w:vAlign w:val="center"/>
          </w:tcPr>
          <w:p w14:paraId="76F24CD0">
            <w:pPr>
              <w:jc w:val="center"/>
              <w:rPr>
                <w:rFonts w:ascii="Times New Roman" w:hAnsi="Times New Roman" w:cs="Times New Roman"/>
                <w:color w:val="000000"/>
                <w:szCs w:val="21"/>
              </w:rPr>
            </w:pPr>
            <w:r>
              <w:rPr>
                <w:rFonts w:ascii="Times New Roman" w:hAnsi="Times New Roman" w:cs="Times New Roman"/>
                <w:color w:val="000000"/>
                <w:szCs w:val="21"/>
              </w:rPr>
              <w:t>调节池去除效率%</w:t>
            </w:r>
          </w:p>
        </w:tc>
        <w:tc>
          <w:tcPr>
            <w:tcW w:w="786" w:type="dxa"/>
            <w:tcBorders>
              <w:tl2br w:val="nil"/>
              <w:tr2bl w:val="nil"/>
            </w:tcBorders>
            <w:vAlign w:val="center"/>
          </w:tcPr>
          <w:p w14:paraId="1D7F2064">
            <w:pPr>
              <w:jc w:val="center"/>
              <w:rPr>
                <w:rFonts w:ascii="Times New Roman" w:hAnsi="Times New Roman" w:eastAsia="宋体" w:cs="Times New Roman"/>
                <w:color w:val="000000"/>
                <w:szCs w:val="21"/>
              </w:rPr>
            </w:pPr>
            <w:r>
              <w:rPr>
                <w:rFonts w:ascii="Times New Roman" w:hAnsi="Times New Roman" w:cs="Times New Roman"/>
                <w:szCs w:val="21"/>
              </w:rPr>
              <w:t>/</w:t>
            </w:r>
          </w:p>
        </w:tc>
        <w:tc>
          <w:tcPr>
            <w:tcW w:w="892" w:type="dxa"/>
            <w:tcBorders>
              <w:tl2br w:val="nil"/>
              <w:tr2bl w:val="nil"/>
            </w:tcBorders>
            <w:vAlign w:val="center"/>
          </w:tcPr>
          <w:p w14:paraId="19C98907">
            <w:pPr>
              <w:jc w:val="center"/>
              <w:rPr>
                <w:rFonts w:ascii="Times New Roman" w:hAnsi="Times New Roman" w:eastAsia="宋体" w:cs="Times New Roman"/>
                <w:color w:val="000000"/>
                <w:szCs w:val="21"/>
              </w:rPr>
            </w:pPr>
            <w:r>
              <w:rPr>
                <w:rFonts w:hint="eastAsia" w:ascii="Times New Roman" w:hAnsi="Times New Roman" w:cs="Times New Roman"/>
                <w:szCs w:val="21"/>
              </w:rPr>
              <w:t>0</w:t>
            </w:r>
          </w:p>
        </w:tc>
        <w:tc>
          <w:tcPr>
            <w:tcW w:w="732" w:type="dxa"/>
            <w:tcBorders>
              <w:tl2br w:val="nil"/>
              <w:tr2bl w:val="nil"/>
            </w:tcBorders>
            <w:vAlign w:val="center"/>
          </w:tcPr>
          <w:p w14:paraId="64B14159">
            <w:pPr>
              <w:jc w:val="center"/>
              <w:rPr>
                <w:rFonts w:ascii="Times New Roman" w:hAnsi="Times New Roman" w:eastAsia="宋体" w:cs="Times New Roman"/>
                <w:color w:val="000000"/>
                <w:szCs w:val="21"/>
              </w:rPr>
            </w:pPr>
            <w:r>
              <w:rPr>
                <w:rFonts w:hint="eastAsia" w:ascii="Times New Roman" w:hAnsi="Times New Roman" w:cs="Times New Roman"/>
                <w:szCs w:val="21"/>
              </w:rPr>
              <w:t>0</w:t>
            </w:r>
          </w:p>
        </w:tc>
        <w:tc>
          <w:tcPr>
            <w:tcW w:w="885" w:type="dxa"/>
            <w:tcBorders>
              <w:tl2br w:val="nil"/>
              <w:tr2bl w:val="nil"/>
            </w:tcBorders>
            <w:vAlign w:val="center"/>
          </w:tcPr>
          <w:p w14:paraId="6524D61C">
            <w:pPr>
              <w:jc w:val="center"/>
              <w:rPr>
                <w:rFonts w:ascii="Times New Roman" w:hAnsi="Times New Roman" w:cs="Times New Roman"/>
                <w:color w:val="000000"/>
                <w:szCs w:val="21"/>
              </w:rPr>
            </w:pPr>
            <w:r>
              <w:rPr>
                <w:rFonts w:hint="eastAsia" w:ascii="Times New Roman" w:hAnsi="Times New Roman" w:cs="Times New Roman"/>
                <w:szCs w:val="21"/>
              </w:rPr>
              <w:t>0</w:t>
            </w:r>
          </w:p>
        </w:tc>
        <w:tc>
          <w:tcPr>
            <w:tcW w:w="755" w:type="dxa"/>
            <w:tcBorders>
              <w:tl2br w:val="nil"/>
              <w:tr2bl w:val="nil"/>
            </w:tcBorders>
            <w:vAlign w:val="center"/>
          </w:tcPr>
          <w:p w14:paraId="0534E36F">
            <w:pPr>
              <w:jc w:val="center"/>
              <w:rPr>
                <w:rFonts w:ascii="Times New Roman" w:hAnsi="Times New Roman" w:cs="Times New Roman"/>
                <w:color w:val="000000"/>
                <w:szCs w:val="21"/>
              </w:rPr>
            </w:pPr>
            <w:r>
              <w:rPr>
                <w:rFonts w:hint="eastAsia" w:ascii="Times New Roman" w:hAnsi="Times New Roman" w:cs="Times New Roman"/>
                <w:szCs w:val="21"/>
              </w:rPr>
              <w:t>0</w:t>
            </w:r>
          </w:p>
        </w:tc>
        <w:tc>
          <w:tcPr>
            <w:tcW w:w="867" w:type="dxa"/>
            <w:tcBorders>
              <w:tl2br w:val="nil"/>
              <w:tr2bl w:val="nil"/>
            </w:tcBorders>
            <w:vAlign w:val="center"/>
          </w:tcPr>
          <w:p w14:paraId="674D974C">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957" w:type="dxa"/>
            <w:tcBorders>
              <w:tl2br w:val="nil"/>
              <w:tr2bl w:val="nil"/>
            </w:tcBorders>
            <w:vAlign w:val="center"/>
          </w:tcPr>
          <w:p w14:paraId="2FBE423E">
            <w:pPr>
              <w:jc w:val="center"/>
              <w:rPr>
                <w:rFonts w:ascii="Times New Roman" w:hAnsi="Times New Roman" w:cs="Times New Roman"/>
                <w:color w:val="000000"/>
                <w:szCs w:val="21"/>
              </w:rPr>
            </w:pPr>
            <w:r>
              <w:rPr>
                <w:rFonts w:ascii="Times New Roman" w:hAnsi="Times New Roman" w:cs="Times New Roman"/>
                <w:color w:val="000000"/>
                <w:szCs w:val="21"/>
              </w:rPr>
              <w:t>0</w:t>
            </w:r>
          </w:p>
        </w:tc>
      </w:tr>
      <w:tr w14:paraId="52EA3A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397568E2">
            <w:pPr>
              <w:jc w:val="center"/>
              <w:rPr>
                <w:rFonts w:ascii="Times New Roman" w:hAnsi="Times New Roman" w:cs="Times New Roman"/>
                <w:color w:val="000000"/>
                <w:szCs w:val="21"/>
              </w:rPr>
            </w:pPr>
          </w:p>
        </w:tc>
        <w:tc>
          <w:tcPr>
            <w:tcW w:w="2166" w:type="dxa"/>
            <w:tcBorders>
              <w:tl2br w:val="nil"/>
              <w:tr2bl w:val="nil"/>
            </w:tcBorders>
            <w:vAlign w:val="center"/>
          </w:tcPr>
          <w:p w14:paraId="589AA6BB">
            <w:pPr>
              <w:jc w:val="center"/>
              <w:rPr>
                <w:rFonts w:ascii="Times New Roman" w:hAnsi="Times New Roman" w:eastAsia="宋体" w:cs="Times New Roman"/>
                <w:color w:val="000000"/>
                <w:szCs w:val="21"/>
              </w:rPr>
            </w:pPr>
            <w:r>
              <w:rPr>
                <w:rFonts w:ascii="Times New Roman" w:hAnsi="Times New Roman" w:cs="Times New Roman"/>
                <w:color w:val="000000"/>
                <w:szCs w:val="21"/>
              </w:rPr>
              <w:t>出水</w:t>
            </w:r>
          </w:p>
        </w:tc>
        <w:tc>
          <w:tcPr>
            <w:tcW w:w="786" w:type="dxa"/>
            <w:tcBorders>
              <w:tl2br w:val="nil"/>
              <w:tr2bl w:val="nil"/>
            </w:tcBorders>
            <w:vAlign w:val="center"/>
          </w:tcPr>
          <w:p w14:paraId="2717CF99">
            <w:pPr>
              <w:jc w:val="center"/>
              <w:rPr>
                <w:rFonts w:ascii="Times New Roman" w:hAnsi="Times New Roman" w:cs="Times New Roman"/>
                <w:color w:val="000000"/>
                <w:szCs w:val="21"/>
              </w:rPr>
            </w:pPr>
            <w:r>
              <w:rPr>
                <w:rFonts w:hint="eastAsia" w:ascii="Times New Roman" w:hAnsi="Times New Roman" w:cs="Times New Roman"/>
                <w:szCs w:val="21"/>
              </w:rPr>
              <w:t>420</w:t>
            </w:r>
          </w:p>
        </w:tc>
        <w:tc>
          <w:tcPr>
            <w:tcW w:w="892" w:type="dxa"/>
            <w:tcBorders>
              <w:tl2br w:val="nil"/>
              <w:tr2bl w:val="nil"/>
            </w:tcBorders>
            <w:vAlign w:val="center"/>
          </w:tcPr>
          <w:p w14:paraId="3BC2E708">
            <w:pPr>
              <w:jc w:val="center"/>
              <w:rPr>
                <w:rFonts w:ascii="Times New Roman" w:hAnsi="Times New Roman" w:eastAsia="宋体" w:cs="Times New Roman"/>
                <w:color w:val="000000"/>
                <w:szCs w:val="21"/>
              </w:rPr>
            </w:pPr>
            <w:r>
              <w:rPr>
                <w:rFonts w:hint="eastAsia" w:ascii="Times New Roman" w:hAnsi="Times New Roman" w:cs="Times New Roman"/>
                <w:szCs w:val="21"/>
              </w:rPr>
              <w:t>976</w:t>
            </w:r>
          </w:p>
        </w:tc>
        <w:tc>
          <w:tcPr>
            <w:tcW w:w="732" w:type="dxa"/>
            <w:tcBorders>
              <w:tl2br w:val="nil"/>
              <w:tr2bl w:val="nil"/>
            </w:tcBorders>
            <w:vAlign w:val="center"/>
          </w:tcPr>
          <w:p w14:paraId="0DBB6818">
            <w:pPr>
              <w:jc w:val="center"/>
              <w:rPr>
                <w:rFonts w:ascii="Times New Roman" w:hAnsi="Times New Roman" w:cs="Times New Roman"/>
                <w:color w:val="000000"/>
                <w:szCs w:val="21"/>
              </w:rPr>
            </w:pPr>
            <w:r>
              <w:rPr>
                <w:rFonts w:hint="eastAsia" w:ascii="Times New Roman" w:hAnsi="Times New Roman" w:cs="Times New Roman"/>
                <w:color w:val="000000"/>
                <w:szCs w:val="21"/>
              </w:rPr>
              <w:t>12.5</w:t>
            </w:r>
          </w:p>
        </w:tc>
        <w:tc>
          <w:tcPr>
            <w:tcW w:w="885" w:type="dxa"/>
            <w:tcBorders>
              <w:tl2br w:val="nil"/>
              <w:tr2bl w:val="nil"/>
            </w:tcBorders>
            <w:vAlign w:val="center"/>
          </w:tcPr>
          <w:p w14:paraId="6BCCD9A5">
            <w:pPr>
              <w:jc w:val="center"/>
              <w:rPr>
                <w:rFonts w:ascii="Times New Roman" w:hAnsi="Times New Roman" w:cs="Times New Roman"/>
                <w:color w:val="000000"/>
                <w:szCs w:val="21"/>
              </w:rPr>
            </w:pPr>
            <w:r>
              <w:rPr>
                <w:rFonts w:hint="eastAsia" w:ascii="Times New Roman" w:hAnsi="Times New Roman" w:cs="Times New Roman"/>
                <w:color w:val="000000"/>
                <w:szCs w:val="21"/>
              </w:rPr>
              <w:t>148</w:t>
            </w:r>
          </w:p>
        </w:tc>
        <w:tc>
          <w:tcPr>
            <w:tcW w:w="755" w:type="dxa"/>
            <w:tcBorders>
              <w:tl2br w:val="nil"/>
              <w:tr2bl w:val="nil"/>
            </w:tcBorders>
            <w:vAlign w:val="center"/>
          </w:tcPr>
          <w:p w14:paraId="5BFFD4DA">
            <w:pPr>
              <w:jc w:val="center"/>
              <w:rPr>
                <w:rFonts w:ascii="Times New Roman" w:hAnsi="Times New Roman" w:cs="Times New Roman"/>
                <w:color w:val="000000"/>
                <w:szCs w:val="21"/>
              </w:rPr>
            </w:pPr>
            <w:r>
              <w:rPr>
                <w:rFonts w:hint="eastAsia" w:ascii="Times New Roman" w:hAnsi="Times New Roman" w:cs="Times New Roman"/>
                <w:color w:val="000000"/>
                <w:szCs w:val="21"/>
              </w:rPr>
              <w:t>148</w:t>
            </w:r>
          </w:p>
        </w:tc>
        <w:tc>
          <w:tcPr>
            <w:tcW w:w="867" w:type="dxa"/>
            <w:tcBorders>
              <w:tl2br w:val="nil"/>
              <w:tr2bl w:val="nil"/>
            </w:tcBorders>
            <w:vAlign w:val="center"/>
          </w:tcPr>
          <w:p w14:paraId="7447FF83">
            <w:pPr>
              <w:jc w:val="center"/>
              <w:rPr>
                <w:rFonts w:ascii="Times New Roman" w:hAnsi="Times New Roman" w:cs="Times New Roman"/>
                <w:color w:val="000000"/>
                <w:szCs w:val="21"/>
              </w:rPr>
            </w:pPr>
            <w:r>
              <w:rPr>
                <w:rFonts w:hint="eastAsia" w:ascii="Times New Roman" w:hAnsi="Times New Roman" w:cs="Times New Roman"/>
                <w:color w:val="000000"/>
                <w:szCs w:val="21"/>
              </w:rPr>
              <w:t>0.0043</w:t>
            </w:r>
          </w:p>
        </w:tc>
        <w:tc>
          <w:tcPr>
            <w:tcW w:w="957" w:type="dxa"/>
            <w:tcBorders>
              <w:tl2br w:val="nil"/>
              <w:tr2bl w:val="nil"/>
            </w:tcBorders>
            <w:vAlign w:val="center"/>
          </w:tcPr>
          <w:p w14:paraId="5CB980A5">
            <w:pPr>
              <w:jc w:val="center"/>
              <w:rPr>
                <w:rFonts w:ascii="Times New Roman" w:hAnsi="Times New Roman" w:cs="Times New Roman"/>
                <w:color w:val="000000"/>
                <w:szCs w:val="21"/>
              </w:rPr>
            </w:pPr>
            <w:r>
              <w:rPr>
                <w:rFonts w:hint="eastAsia" w:ascii="Times New Roman" w:hAnsi="Times New Roman" w:cs="Times New Roman"/>
                <w:color w:val="000000"/>
                <w:szCs w:val="21"/>
              </w:rPr>
              <w:t>0.262</w:t>
            </w:r>
          </w:p>
        </w:tc>
      </w:tr>
      <w:tr w14:paraId="49E83D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68BBE745">
            <w:pPr>
              <w:jc w:val="center"/>
              <w:rPr>
                <w:rFonts w:ascii="Times New Roman" w:hAnsi="Times New Roman" w:cs="Times New Roman"/>
                <w:color w:val="000000"/>
                <w:szCs w:val="21"/>
              </w:rPr>
            </w:pPr>
          </w:p>
        </w:tc>
        <w:tc>
          <w:tcPr>
            <w:tcW w:w="2166" w:type="dxa"/>
            <w:tcBorders>
              <w:tl2br w:val="nil"/>
              <w:tr2bl w:val="nil"/>
            </w:tcBorders>
            <w:vAlign w:val="center"/>
          </w:tcPr>
          <w:p w14:paraId="6CBE1316">
            <w:pPr>
              <w:jc w:val="center"/>
              <w:rPr>
                <w:rFonts w:ascii="Times New Roman" w:hAnsi="Times New Roman" w:cs="Times New Roman"/>
                <w:color w:val="000000"/>
                <w:szCs w:val="21"/>
              </w:rPr>
            </w:pPr>
            <w:r>
              <w:rPr>
                <w:rFonts w:ascii="Times New Roman" w:hAnsi="Times New Roman" w:cs="Times New Roman"/>
                <w:color w:val="000000"/>
                <w:szCs w:val="21"/>
              </w:rPr>
              <w:t>混凝沉淀（投加药品）去除效率%</w:t>
            </w:r>
          </w:p>
        </w:tc>
        <w:tc>
          <w:tcPr>
            <w:tcW w:w="786" w:type="dxa"/>
            <w:tcBorders>
              <w:tl2br w:val="nil"/>
              <w:tr2bl w:val="nil"/>
            </w:tcBorders>
            <w:vAlign w:val="center"/>
          </w:tcPr>
          <w:p w14:paraId="75AF2964">
            <w:pPr>
              <w:jc w:val="center"/>
              <w:rPr>
                <w:rFonts w:ascii="Times New Roman" w:hAnsi="Times New Roman" w:eastAsia="宋体" w:cs="Times New Roman"/>
                <w:color w:val="000000"/>
                <w:szCs w:val="21"/>
              </w:rPr>
            </w:pPr>
            <w:r>
              <w:rPr>
                <w:rFonts w:ascii="Times New Roman" w:hAnsi="Times New Roman" w:cs="Times New Roman"/>
                <w:szCs w:val="21"/>
              </w:rPr>
              <w:t>/</w:t>
            </w:r>
          </w:p>
        </w:tc>
        <w:tc>
          <w:tcPr>
            <w:tcW w:w="892" w:type="dxa"/>
            <w:tcBorders>
              <w:tl2br w:val="nil"/>
              <w:tr2bl w:val="nil"/>
            </w:tcBorders>
            <w:vAlign w:val="center"/>
          </w:tcPr>
          <w:p w14:paraId="158C2606">
            <w:pPr>
              <w:jc w:val="center"/>
              <w:rPr>
                <w:rFonts w:ascii="Times New Roman" w:hAnsi="Times New Roman" w:cs="Times New Roman"/>
                <w:szCs w:val="21"/>
              </w:rPr>
            </w:pPr>
            <w:r>
              <w:rPr>
                <w:rFonts w:hint="eastAsia" w:ascii="Times New Roman" w:hAnsi="Times New Roman" w:cs="Times New Roman"/>
                <w:szCs w:val="21"/>
              </w:rPr>
              <w:t>30</w:t>
            </w:r>
          </w:p>
        </w:tc>
        <w:tc>
          <w:tcPr>
            <w:tcW w:w="732" w:type="dxa"/>
            <w:tcBorders>
              <w:tl2br w:val="nil"/>
              <w:tr2bl w:val="nil"/>
            </w:tcBorders>
            <w:vAlign w:val="center"/>
          </w:tcPr>
          <w:p w14:paraId="6EA660EC">
            <w:pPr>
              <w:jc w:val="center"/>
              <w:rPr>
                <w:rFonts w:ascii="Times New Roman" w:hAnsi="Times New Roman" w:eastAsia="宋体" w:cs="Times New Roman"/>
                <w:szCs w:val="21"/>
              </w:rPr>
            </w:pPr>
            <w:r>
              <w:rPr>
                <w:rFonts w:hint="eastAsia" w:ascii="Times New Roman" w:hAnsi="Times New Roman" w:cs="Times New Roman"/>
                <w:szCs w:val="21"/>
              </w:rPr>
              <w:t>15</w:t>
            </w:r>
          </w:p>
        </w:tc>
        <w:tc>
          <w:tcPr>
            <w:tcW w:w="885" w:type="dxa"/>
            <w:tcBorders>
              <w:tl2br w:val="nil"/>
              <w:tr2bl w:val="nil"/>
            </w:tcBorders>
            <w:vAlign w:val="center"/>
          </w:tcPr>
          <w:p w14:paraId="21DD6D5C">
            <w:pPr>
              <w:jc w:val="center"/>
              <w:rPr>
                <w:rFonts w:ascii="Times New Roman" w:hAnsi="Times New Roman" w:cs="Times New Roman"/>
                <w:szCs w:val="21"/>
              </w:rPr>
            </w:pPr>
            <w:r>
              <w:rPr>
                <w:rFonts w:hint="eastAsia" w:ascii="Times New Roman" w:hAnsi="Times New Roman" w:cs="Times New Roman"/>
                <w:szCs w:val="21"/>
              </w:rPr>
              <w:t>25</w:t>
            </w:r>
          </w:p>
        </w:tc>
        <w:tc>
          <w:tcPr>
            <w:tcW w:w="755" w:type="dxa"/>
            <w:tcBorders>
              <w:tl2br w:val="nil"/>
              <w:tr2bl w:val="nil"/>
            </w:tcBorders>
            <w:vAlign w:val="center"/>
          </w:tcPr>
          <w:p w14:paraId="3A22436B">
            <w:pPr>
              <w:jc w:val="center"/>
              <w:rPr>
                <w:rFonts w:ascii="Times New Roman" w:hAnsi="Times New Roman" w:cs="Times New Roman"/>
                <w:szCs w:val="21"/>
              </w:rPr>
            </w:pPr>
            <w:r>
              <w:rPr>
                <w:rFonts w:hint="eastAsia" w:ascii="Times New Roman" w:hAnsi="Times New Roman" w:cs="Times New Roman"/>
                <w:szCs w:val="21"/>
              </w:rPr>
              <w:t>40</w:t>
            </w:r>
          </w:p>
        </w:tc>
        <w:tc>
          <w:tcPr>
            <w:tcW w:w="867" w:type="dxa"/>
            <w:tcBorders>
              <w:tl2br w:val="nil"/>
              <w:tr2bl w:val="nil"/>
            </w:tcBorders>
            <w:vAlign w:val="center"/>
          </w:tcPr>
          <w:p w14:paraId="4F24A660">
            <w:pPr>
              <w:jc w:val="center"/>
              <w:rPr>
                <w:rFonts w:ascii="Times New Roman" w:hAnsi="Times New Roman" w:cs="Times New Roman"/>
                <w:szCs w:val="21"/>
              </w:rPr>
            </w:pPr>
            <w:r>
              <w:rPr>
                <w:rFonts w:ascii="Times New Roman" w:hAnsi="Times New Roman" w:cs="Times New Roman"/>
                <w:szCs w:val="21"/>
              </w:rPr>
              <w:t>15</w:t>
            </w:r>
          </w:p>
        </w:tc>
        <w:tc>
          <w:tcPr>
            <w:tcW w:w="957" w:type="dxa"/>
            <w:tcBorders>
              <w:tl2br w:val="nil"/>
              <w:tr2bl w:val="nil"/>
            </w:tcBorders>
            <w:vAlign w:val="center"/>
          </w:tcPr>
          <w:p w14:paraId="6DB4CC79">
            <w:pPr>
              <w:jc w:val="center"/>
              <w:rPr>
                <w:rFonts w:ascii="Times New Roman" w:hAnsi="Times New Roman" w:cs="Times New Roman"/>
                <w:szCs w:val="21"/>
              </w:rPr>
            </w:pPr>
            <w:r>
              <w:rPr>
                <w:rFonts w:ascii="Times New Roman" w:hAnsi="Times New Roman" w:cs="Times New Roman"/>
                <w:szCs w:val="21"/>
              </w:rPr>
              <w:t>15</w:t>
            </w:r>
          </w:p>
        </w:tc>
      </w:tr>
      <w:tr w14:paraId="58E31C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49F3A241">
            <w:pPr>
              <w:jc w:val="center"/>
              <w:rPr>
                <w:rFonts w:ascii="Times New Roman" w:hAnsi="Times New Roman" w:cs="Times New Roman"/>
                <w:color w:val="000000"/>
                <w:szCs w:val="21"/>
              </w:rPr>
            </w:pPr>
          </w:p>
        </w:tc>
        <w:tc>
          <w:tcPr>
            <w:tcW w:w="2166" w:type="dxa"/>
            <w:tcBorders>
              <w:tl2br w:val="nil"/>
              <w:tr2bl w:val="nil"/>
            </w:tcBorders>
            <w:vAlign w:val="center"/>
          </w:tcPr>
          <w:p w14:paraId="39F6DE6E">
            <w:pPr>
              <w:jc w:val="center"/>
              <w:rPr>
                <w:rFonts w:ascii="Times New Roman" w:hAnsi="Times New Roman" w:cs="Times New Roman"/>
                <w:color w:val="000000"/>
                <w:szCs w:val="21"/>
              </w:rPr>
            </w:pPr>
            <w:r>
              <w:rPr>
                <w:rFonts w:ascii="Times New Roman" w:hAnsi="Times New Roman" w:cs="Times New Roman"/>
                <w:color w:val="000000"/>
                <w:szCs w:val="21"/>
              </w:rPr>
              <w:t>出水</w:t>
            </w:r>
          </w:p>
        </w:tc>
        <w:tc>
          <w:tcPr>
            <w:tcW w:w="786" w:type="dxa"/>
            <w:tcBorders>
              <w:tl2br w:val="nil"/>
              <w:tr2bl w:val="nil"/>
            </w:tcBorders>
            <w:vAlign w:val="center"/>
          </w:tcPr>
          <w:p w14:paraId="37896FEF">
            <w:pPr>
              <w:jc w:val="center"/>
              <w:rPr>
                <w:rFonts w:ascii="Times New Roman" w:hAnsi="Times New Roman" w:eastAsia="宋体" w:cs="Times New Roman"/>
                <w:color w:val="000000"/>
                <w:szCs w:val="21"/>
              </w:rPr>
            </w:pPr>
            <w:r>
              <w:rPr>
                <w:rFonts w:hint="eastAsia" w:ascii="Times New Roman" w:hAnsi="Times New Roman" w:cs="Times New Roman"/>
                <w:szCs w:val="21"/>
              </w:rPr>
              <w:t>420</w:t>
            </w:r>
          </w:p>
        </w:tc>
        <w:tc>
          <w:tcPr>
            <w:tcW w:w="892" w:type="dxa"/>
            <w:tcBorders>
              <w:tl2br w:val="nil"/>
              <w:tr2bl w:val="nil"/>
            </w:tcBorders>
            <w:vAlign w:val="center"/>
          </w:tcPr>
          <w:p w14:paraId="49DFB38E">
            <w:pPr>
              <w:jc w:val="center"/>
              <w:rPr>
                <w:rFonts w:ascii="Times New Roman" w:hAnsi="Times New Roman" w:eastAsia="宋体" w:cs="Times New Roman"/>
                <w:szCs w:val="21"/>
              </w:rPr>
            </w:pPr>
            <w:r>
              <w:rPr>
                <w:rFonts w:hint="eastAsia" w:ascii="Times New Roman" w:hAnsi="Times New Roman" w:eastAsia="宋体" w:cs="Times New Roman"/>
                <w:szCs w:val="21"/>
              </w:rPr>
              <w:t>683.2</w:t>
            </w:r>
          </w:p>
        </w:tc>
        <w:tc>
          <w:tcPr>
            <w:tcW w:w="732" w:type="dxa"/>
            <w:tcBorders>
              <w:tl2br w:val="nil"/>
              <w:tr2bl w:val="nil"/>
            </w:tcBorders>
            <w:vAlign w:val="center"/>
          </w:tcPr>
          <w:p w14:paraId="034DD429">
            <w:pPr>
              <w:jc w:val="center"/>
              <w:rPr>
                <w:rFonts w:ascii="Times New Roman" w:hAnsi="Times New Roman" w:eastAsia="宋体" w:cs="Times New Roman"/>
                <w:szCs w:val="21"/>
              </w:rPr>
            </w:pPr>
            <w:r>
              <w:rPr>
                <w:rFonts w:hint="eastAsia" w:ascii="Times New Roman" w:hAnsi="Times New Roman" w:eastAsia="宋体" w:cs="Times New Roman"/>
                <w:szCs w:val="21"/>
              </w:rPr>
              <w:t>10.63</w:t>
            </w:r>
          </w:p>
        </w:tc>
        <w:tc>
          <w:tcPr>
            <w:tcW w:w="885" w:type="dxa"/>
            <w:tcBorders>
              <w:tl2br w:val="nil"/>
              <w:tr2bl w:val="nil"/>
            </w:tcBorders>
            <w:vAlign w:val="center"/>
          </w:tcPr>
          <w:p w14:paraId="39CD1CB3">
            <w:pPr>
              <w:jc w:val="center"/>
              <w:rPr>
                <w:rFonts w:ascii="Times New Roman" w:hAnsi="Times New Roman" w:eastAsia="宋体" w:cs="Times New Roman"/>
                <w:szCs w:val="21"/>
              </w:rPr>
            </w:pPr>
            <w:r>
              <w:rPr>
                <w:rFonts w:hint="eastAsia" w:ascii="Times New Roman" w:hAnsi="Times New Roman" w:eastAsia="宋体" w:cs="Times New Roman"/>
                <w:szCs w:val="21"/>
              </w:rPr>
              <w:t>111</w:t>
            </w:r>
          </w:p>
        </w:tc>
        <w:tc>
          <w:tcPr>
            <w:tcW w:w="755" w:type="dxa"/>
            <w:tcBorders>
              <w:tl2br w:val="nil"/>
              <w:tr2bl w:val="nil"/>
            </w:tcBorders>
            <w:vAlign w:val="center"/>
          </w:tcPr>
          <w:p w14:paraId="47116686">
            <w:pPr>
              <w:jc w:val="center"/>
              <w:rPr>
                <w:rFonts w:ascii="Times New Roman" w:hAnsi="Times New Roman" w:eastAsia="宋体" w:cs="Times New Roman"/>
                <w:szCs w:val="21"/>
              </w:rPr>
            </w:pPr>
            <w:r>
              <w:rPr>
                <w:rFonts w:hint="eastAsia" w:ascii="Times New Roman" w:hAnsi="Times New Roman" w:eastAsia="宋体" w:cs="Times New Roman"/>
                <w:szCs w:val="21"/>
              </w:rPr>
              <w:t>88.8</w:t>
            </w:r>
          </w:p>
        </w:tc>
        <w:tc>
          <w:tcPr>
            <w:tcW w:w="867" w:type="dxa"/>
            <w:tcBorders>
              <w:tl2br w:val="nil"/>
              <w:tr2bl w:val="nil"/>
            </w:tcBorders>
            <w:vAlign w:val="center"/>
          </w:tcPr>
          <w:p w14:paraId="2C270C4B">
            <w:pPr>
              <w:jc w:val="center"/>
              <w:rPr>
                <w:rFonts w:ascii="Times New Roman" w:hAnsi="Times New Roman" w:eastAsia="宋体" w:cs="Times New Roman"/>
                <w:szCs w:val="21"/>
              </w:rPr>
            </w:pPr>
            <w:r>
              <w:rPr>
                <w:rFonts w:hint="eastAsia" w:ascii="Times New Roman" w:hAnsi="Times New Roman" w:eastAsia="宋体" w:cs="Times New Roman"/>
                <w:szCs w:val="21"/>
              </w:rPr>
              <w:t>0.0037</w:t>
            </w:r>
          </w:p>
        </w:tc>
        <w:tc>
          <w:tcPr>
            <w:tcW w:w="957" w:type="dxa"/>
            <w:tcBorders>
              <w:tl2br w:val="nil"/>
              <w:tr2bl w:val="nil"/>
            </w:tcBorders>
            <w:vAlign w:val="center"/>
          </w:tcPr>
          <w:p w14:paraId="177F1426">
            <w:pPr>
              <w:jc w:val="center"/>
              <w:rPr>
                <w:rFonts w:ascii="Times New Roman" w:hAnsi="Times New Roman" w:eastAsia="宋体" w:cs="Times New Roman"/>
                <w:szCs w:val="21"/>
              </w:rPr>
            </w:pPr>
            <w:r>
              <w:rPr>
                <w:rFonts w:hint="eastAsia" w:ascii="Times New Roman" w:hAnsi="Times New Roman" w:eastAsia="宋体" w:cs="Times New Roman"/>
                <w:szCs w:val="21"/>
              </w:rPr>
              <w:t>0.223</w:t>
            </w:r>
          </w:p>
        </w:tc>
      </w:tr>
      <w:tr w14:paraId="26A757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611D0899">
            <w:pPr>
              <w:jc w:val="center"/>
              <w:rPr>
                <w:rFonts w:ascii="Times New Roman" w:hAnsi="Times New Roman" w:cs="Times New Roman"/>
                <w:color w:val="000000"/>
                <w:szCs w:val="21"/>
              </w:rPr>
            </w:pPr>
          </w:p>
        </w:tc>
        <w:tc>
          <w:tcPr>
            <w:tcW w:w="2166" w:type="dxa"/>
            <w:tcBorders>
              <w:tl2br w:val="nil"/>
              <w:tr2bl w:val="nil"/>
            </w:tcBorders>
            <w:vAlign w:val="center"/>
          </w:tcPr>
          <w:p w14:paraId="64ADBBB2">
            <w:pPr>
              <w:jc w:val="center"/>
              <w:rPr>
                <w:rFonts w:ascii="Times New Roman" w:hAnsi="Times New Roman" w:cs="Times New Roman"/>
                <w:color w:val="000000"/>
                <w:szCs w:val="21"/>
              </w:rPr>
            </w:pPr>
            <w:r>
              <w:rPr>
                <w:rFonts w:ascii="Times New Roman" w:hAnsi="Times New Roman" w:cs="Times New Roman"/>
                <w:color w:val="000000"/>
                <w:szCs w:val="21"/>
              </w:rPr>
              <w:t>fenton氧化处理（投加药品）去除效率%</w:t>
            </w:r>
          </w:p>
        </w:tc>
        <w:tc>
          <w:tcPr>
            <w:tcW w:w="786" w:type="dxa"/>
            <w:tcBorders>
              <w:tl2br w:val="nil"/>
              <w:tr2bl w:val="nil"/>
            </w:tcBorders>
            <w:vAlign w:val="center"/>
          </w:tcPr>
          <w:p w14:paraId="3C2BF5DE">
            <w:pPr>
              <w:jc w:val="center"/>
              <w:rPr>
                <w:rFonts w:ascii="Times New Roman" w:hAnsi="Times New Roman" w:eastAsia="宋体" w:cs="Times New Roman"/>
                <w:color w:val="000000"/>
                <w:szCs w:val="21"/>
              </w:rPr>
            </w:pPr>
            <w:r>
              <w:rPr>
                <w:rFonts w:ascii="Times New Roman" w:hAnsi="Times New Roman" w:cs="Times New Roman"/>
                <w:szCs w:val="21"/>
              </w:rPr>
              <w:t>/</w:t>
            </w:r>
          </w:p>
        </w:tc>
        <w:tc>
          <w:tcPr>
            <w:tcW w:w="892" w:type="dxa"/>
            <w:tcBorders>
              <w:tl2br w:val="nil"/>
              <w:tr2bl w:val="nil"/>
            </w:tcBorders>
            <w:vAlign w:val="center"/>
          </w:tcPr>
          <w:p w14:paraId="666C5B29">
            <w:pPr>
              <w:jc w:val="center"/>
              <w:rPr>
                <w:rFonts w:ascii="Times New Roman" w:hAnsi="Times New Roman" w:eastAsia="宋体" w:cs="Times New Roman"/>
                <w:color w:val="auto"/>
                <w:szCs w:val="21"/>
              </w:rPr>
            </w:pPr>
            <w:r>
              <w:rPr>
                <w:rFonts w:hint="eastAsia" w:ascii="Times New Roman" w:hAnsi="Times New Roman" w:cs="Times New Roman"/>
                <w:color w:val="auto"/>
                <w:szCs w:val="21"/>
              </w:rPr>
              <w:t>55</w:t>
            </w:r>
          </w:p>
        </w:tc>
        <w:tc>
          <w:tcPr>
            <w:tcW w:w="732" w:type="dxa"/>
            <w:tcBorders>
              <w:tl2br w:val="nil"/>
              <w:tr2bl w:val="nil"/>
            </w:tcBorders>
            <w:vAlign w:val="center"/>
          </w:tcPr>
          <w:p w14:paraId="611424AE">
            <w:pPr>
              <w:jc w:val="center"/>
              <w:rPr>
                <w:rFonts w:ascii="Times New Roman" w:hAnsi="Times New Roman" w:eastAsia="宋体" w:cs="Times New Roman"/>
                <w:color w:val="auto"/>
                <w:szCs w:val="21"/>
              </w:rPr>
            </w:pPr>
            <w:r>
              <w:rPr>
                <w:rFonts w:hint="eastAsia" w:ascii="Times New Roman" w:hAnsi="Times New Roman" w:cs="Times New Roman"/>
                <w:color w:val="auto"/>
                <w:szCs w:val="21"/>
              </w:rPr>
              <w:t>30</w:t>
            </w:r>
          </w:p>
        </w:tc>
        <w:tc>
          <w:tcPr>
            <w:tcW w:w="885" w:type="dxa"/>
            <w:tcBorders>
              <w:tl2br w:val="nil"/>
              <w:tr2bl w:val="nil"/>
            </w:tcBorders>
            <w:vAlign w:val="center"/>
          </w:tcPr>
          <w:p w14:paraId="5FA8C29D">
            <w:pPr>
              <w:jc w:val="center"/>
              <w:rPr>
                <w:rFonts w:ascii="Times New Roman" w:hAnsi="Times New Roman" w:cs="Times New Roman"/>
                <w:color w:val="auto"/>
                <w:szCs w:val="21"/>
              </w:rPr>
            </w:pPr>
            <w:r>
              <w:rPr>
                <w:rFonts w:hint="eastAsia" w:ascii="Times New Roman" w:hAnsi="Times New Roman" w:cs="Times New Roman"/>
                <w:color w:val="auto"/>
                <w:szCs w:val="21"/>
              </w:rPr>
              <w:t>45</w:t>
            </w:r>
          </w:p>
        </w:tc>
        <w:tc>
          <w:tcPr>
            <w:tcW w:w="755" w:type="dxa"/>
            <w:tcBorders>
              <w:tl2br w:val="nil"/>
              <w:tr2bl w:val="nil"/>
            </w:tcBorders>
            <w:vAlign w:val="center"/>
          </w:tcPr>
          <w:p w14:paraId="24859BCB">
            <w:pPr>
              <w:jc w:val="center"/>
              <w:rPr>
                <w:rFonts w:ascii="Times New Roman" w:hAnsi="Times New Roman" w:cs="Times New Roman"/>
                <w:color w:val="auto"/>
                <w:szCs w:val="21"/>
              </w:rPr>
            </w:pPr>
            <w:r>
              <w:rPr>
                <w:rFonts w:hint="eastAsia" w:ascii="Times New Roman" w:hAnsi="Times New Roman" w:cs="Times New Roman"/>
                <w:color w:val="auto"/>
                <w:szCs w:val="21"/>
              </w:rPr>
              <w:t>50</w:t>
            </w:r>
          </w:p>
        </w:tc>
        <w:tc>
          <w:tcPr>
            <w:tcW w:w="867" w:type="dxa"/>
            <w:tcBorders>
              <w:tl2br w:val="nil"/>
              <w:tr2bl w:val="nil"/>
            </w:tcBorders>
            <w:vAlign w:val="center"/>
          </w:tcPr>
          <w:p w14:paraId="5B788488">
            <w:pPr>
              <w:jc w:val="center"/>
              <w:rPr>
                <w:rFonts w:ascii="Times New Roman" w:hAnsi="Times New Roman" w:eastAsia="宋体" w:cs="Times New Roman"/>
                <w:color w:val="auto"/>
                <w:szCs w:val="21"/>
              </w:rPr>
            </w:pPr>
            <w:r>
              <w:rPr>
                <w:rFonts w:hint="eastAsia" w:ascii="Times New Roman" w:hAnsi="Times New Roman" w:cs="Times New Roman"/>
                <w:color w:val="auto"/>
                <w:szCs w:val="21"/>
              </w:rPr>
              <w:t>20</w:t>
            </w:r>
          </w:p>
        </w:tc>
        <w:tc>
          <w:tcPr>
            <w:tcW w:w="957" w:type="dxa"/>
            <w:tcBorders>
              <w:tl2br w:val="nil"/>
              <w:tr2bl w:val="nil"/>
            </w:tcBorders>
            <w:vAlign w:val="center"/>
          </w:tcPr>
          <w:p w14:paraId="39F79853">
            <w:pPr>
              <w:jc w:val="center"/>
              <w:rPr>
                <w:rFonts w:ascii="Times New Roman" w:hAnsi="Times New Roman" w:eastAsia="宋体" w:cs="Times New Roman"/>
                <w:color w:val="auto"/>
                <w:szCs w:val="21"/>
              </w:rPr>
            </w:pPr>
            <w:r>
              <w:rPr>
                <w:rFonts w:hint="eastAsia" w:ascii="Times New Roman" w:hAnsi="Times New Roman" w:cs="Times New Roman"/>
                <w:color w:val="auto"/>
                <w:szCs w:val="21"/>
              </w:rPr>
              <w:t>20</w:t>
            </w:r>
          </w:p>
        </w:tc>
      </w:tr>
      <w:tr w14:paraId="3B3EC5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4D883C9A">
            <w:pPr>
              <w:jc w:val="center"/>
              <w:rPr>
                <w:rFonts w:ascii="Times New Roman" w:hAnsi="Times New Roman" w:cs="Times New Roman"/>
                <w:color w:val="000000"/>
                <w:szCs w:val="21"/>
              </w:rPr>
            </w:pPr>
          </w:p>
        </w:tc>
        <w:tc>
          <w:tcPr>
            <w:tcW w:w="2166" w:type="dxa"/>
            <w:tcBorders>
              <w:tl2br w:val="nil"/>
              <w:tr2bl w:val="nil"/>
            </w:tcBorders>
            <w:vAlign w:val="center"/>
          </w:tcPr>
          <w:p w14:paraId="533B96B5">
            <w:pPr>
              <w:jc w:val="center"/>
              <w:rPr>
                <w:rFonts w:ascii="Times New Roman" w:hAnsi="Times New Roman" w:cs="Times New Roman"/>
                <w:color w:val="000000"/>
                <w:szCs w:val="21"/>
              </w:rPr>
            </w:pPr>
            <w:r>
              <w:rPr>
                <w:rFonts w:ascii="Times New Roman" w:hAnsi="Times New Roman" w:cs="Times New Roman"/>
                <w:color w:val="000000"/>
                <w:szCs w:val="21"/>
              </w:rPr>
              <w:t>出水</w:t>
            </w:r>
          </w:p>
        </w:tc>
        <w:tc>
          <w:tcPr>
            <w:tcW w:w="786" w:type="dxa"/>
            <w:tcBorders>
              <w:tl2br w:val="nil"/>
              <w:tr2bl w:val="nil"/>
            </w:tcBorders>
            <w:vAlign w:val="center"/>
          </w:tcPr>
          <w:p w14:paraId="3A6444FB">
            <w:pPr>
              <w:jc w:val="center"/>
              <w:rPr>
                <w:rFonts w:ascii="Times New Roman" w:hAnsi="Times New Roman" w:cs="Times New Roman"/>
                <w:szCs w:val="21"/>
              </w:rPr>
            </w:pPr>
            <w:r>
              <w:rPr>
                <w:rFonts w:hint="eastAsia" w:ascii="Times New Roman" w:hAnsi="Times New Roman" w:cs="Times New Roman"/>
                <w:szCs w:val="21"/>
              </w:rPr>
              <w:t>420</w:t>
            </w:r>
          </w:p>
        </w:tc>
        <w:tc>
          <w:tcPr>
            <w:tcW w:w="892" w:type="dxa"/>
            <w:tcBorders>
              <w:tl2br w:val="nil"/>
              <w:tr2bl w:val="nil"/>
            </w:tcBorders>
            <w:vAlign w:val="center"/>
          </w:tcPr>
          <w:p w14:paraId="681DE44A">
            <w:pPr>
              <w:jc w:val="center"/>
              <w:rPr>
                <w:rFonts w:ascii="Times New Roman" w:hAnsi="Times New Roman" w:cs="Times New Roman"/>
                <w:szCs w:val="21"/>
              </w:rPr>
            </w:pPr>
            <w:r>
              <w:rPr>
                <w:rFonts w:hint="eastAsia" w:ascii="Times New Roman" w:hAnsi="Times New Roman" w:cs="Times New Roman"/>
                <w:szCs w:val="21"/>
              </w:rPr>
              <w:t>307.44</w:t>
            </w:r>
          </w:p>
        </w:tc>
        <w:tc>
          <w:tcPr>
            <w:tcW w:w="732" w:type="dxa"/>
            <w:tcBorders>
              <w:tl2br w:val="nil"/>
              <w:tr2bl w:val="nil"/>
            </w:tcBorders>
            <w:vAlign w:val="center"/>
          </w:tcPr>
          <w:p w14:paraId="2452668A">
            <w:pPr>
              <w:jc w:val="center"/>
              <w:rPr>
                <w:rFonts w:ascii="Times New Roman" w:hAnsi="Times New Roman" w:cs="Times New Roman"/>
                <w:szCs w:val="21"/>
              </w:rPr>
            </w:pPr>
            <w:r>
              <w:rPr>
                <w:rFonts w:hint="eastAsia" w:ascii="Times New Roman" w:hAnsi="Times New Roman" w:cs="Times New Roman"/>
                <w:szCs w:val="21"/>
              </w:rPr>
              <w:t>7.4375</w:t>
            </w:r>
          </w:p>
        </w:tc>
        <w:tc>
          <w:tcPr>
            <w:tcW w:w="885" w:type="dxa"/>
            <w:tcBorders>
              <w:tl2br w:val="nil"/>
              <w:tr2bl w:val="nil"/>
            </w:tcBorders>
            <w:vAlign w:val="center"/>
          </w:tcPr>
          <w:p w14:paraId="4EFC8452">
            <w:pPr>
              <w:jc w:val="center"/>
              <w:rPr>
                <w:rFonts w:ascii="Times New Roman" w:hAnsi="Times New Roman" w:cs="Times New Roman"/>
                <w:szCs w:val="21"/>
              </w:rPr>
            </w:pPr>
            <w:r>
              <w:rPr>
                <w:rFonts w:hint="eastAsia" w:ascii="Times New Roman" w:hAnsi="Times New Roman" w:cs="Times New Roman"/>
                <w:szCs w:val="21"/>
              </w:rPr>
              <w:t>61.05</w:t>
            </w:r>
          </w:p>
        </w:tc>
        <w:tc>
          <w:tcPr>
            <w:tcW w:w="755" w:type="dxa"/>
            <w:tcBorders>
              <w:tl2br w:val="nil"/>
              <w:tr2bl w:val="nil"/>
            </w:tcBorders>
            <w:vAlign w:val="center"/>
          </w:tcPr>
          <w:p w14:paraId="43B8D68D">
            <w:pPr>
              <w:jc w:val="center"/>
              <w:rPr>
                <w:rFonts w:ascii="Times New Roman" w:hAnsi="Times New Roman" w:cs="Times New Roman"/>
                <w:szCs w:val="21"/>
              </w:rPr>
            </w:pPr>
            <w:r>
              <w:rPr>
                <w:rFonts w:hint="eastAsia" w:ascii="Times New Roman" w:hAnsi="Times New Roman" w:cs="Times New Roman"/>
                <w:szCs w:val="21"/>
              </w:rPr>
              <w:t>44.4</w:t>
            </w:r>
          </w:p>
        </w:tc>
        <w:tc>
          <w:tcPr>
            <w:tcW w:w="867" w:type="dxa"/>
            <w:tcBorders>
              <w:tl2br w:val="nil"/>
              <w:tr2bl w:val="nil"/>
            </w:tcBorders>
            <w:vAlign w:val="center"/>
          </w:tcPr>
          <w:p w14:paraId="03AAC439">
            <w:pPr>
              <w:jc w:val="center"/>
              <w:rPr>
                <w:rFonts w:ascii="Times New Roman" w:hAnsi="Times New Roman" w:cs="Times New Roman"/>
                <w:szCs w:val="21"/>
              </w:rPr>
            </w:pPr>
            <w:r>
              <w:rPr>
                <w:rFonts w:hint="eastAsia" w:ascii="Times New Roman" w:hAnsi="Times New Roman" w:cs="Times New Roman"/>
                <w:szCs w:val="21"/>
              </w:rPr>
              <w:t>0.002924</w:t>
            </w:r>
          </w:p>
        </w:tc>
        <w:tc>
          <w:tcPr>
            <w:tcW w:w="957" w:type="dxa"/>
            <w:tcBorders>
              <w:tl2br w:val="nil"/>
              <w:tr2bl w:val="nil"/>
            </w:tcBorders>
            <w:vAlign w:val="center"/>
          </w:tcPr>
          <w:p w14:paraId="422D0560">
            <w:pPr>
              <w:jc w:val="center"/>
              <w:rPr>
                <w:rFonts w:ascii="Times New Roman" w:hAnsi="Times New Roman" w:cs="Times New Roman"/>
                <w:szCs w:val="21"/>
              </w:rPr>
            </w:pPr>
            <w:r>
              <w:rPr>
                <w:rFonts w:hint="eastAsia" w:ascii="Times New Roman" w:hAnsi="Times New Roman" w:cs="Times New Roman"/>
                <w:szCs w:val="21"/>
              </w:rPr>
              <w:t>0.17816</w:t>
            </w:r>
          </w:p>
        </w:tc>
      </w:tr>
      <w:tr w14:paraId="3D2BA3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646" w:type="dxa"/>
            <w:gridSpan w:val="2"/>
            <w:tcBorders>
              <w:tl2br w:val="nil"/>
              <w:tr2bl w:val="nil"/>
            </w:tcBorders>
            <w:vAlign w:val="center"/>
          </w:tcPr>
          <w:p w14:paraId="7CE3EA12">
            <w:pPr>
              <w:jc w:val="center"/>
              <w:rPr>
                <w:rFonts w:ascii="Times New Roman" w:hAnsi="Times New Roman" w:eastAsia="宋体" w:cs="Times New Roman"/>
                <w:color w:val="000000"/>
                <w:szCs w:val="21"/>
              </w:rPr>
            </w:pPr>
            <w:r>
              <w:rPr>
                <w:rFonts w:ascii="Times New Roman" w:hAnsi="Times New Roman" w:cs="Times New Roman"/>
                <w:color w:val="000000"/>
                <w:szCs w:val="21"/>
              </w:rPr>
              <w:t>排放口排放</w:t>
            </w:r>
            <w:r>
              <w:rPr>
                <w:rFonts w:hint="eastAsia" w:ascii="Times New Roman" w:hAnsi="Times New Roman" w:cs="Times New Roman"/>
                <w:color w:val="000000"/>
                <w:szCs w:val="21"/>
              </w:rPr>
              <w:t>量（t/a）</w:t>
            </w:r>
          </w:p>
        </w:tc>
        <w:tc>
          <w:tcPr>
            <w:tcW w:w="786" w:type="dxa"/>
            <w:tcBorders>
              <w:tl2br w:val="nil"/>
              <w:tr2bl w:val="nil"/>
            </w:tcBorders>
            <w:vAlign w:val="center"/>
          </w:tcPr>
          <w:p w14:paraId="5AE96ECC">
            <w:pPr>
              <w:jc w:val="center"/>
              <w:rPr>
                <w:rFonts w:ascii="Times New Roman" w:hAnsi="Times New Roman" w:cs="Times New Roman"/>
                <w:szCs w:val="21"/>
              </w:rPr>
            </w:pPr>
            <w:r>
              <w:rPr>
                <w:rFonts w:hint="eastAsia" w:ascii="Times New Roman" w:hAnsi="Times New Roman" w:cs="Times New Roman"/>
                <w:szCs w:val="21"/>
              </w:rPr>
              <w:t>420</w:t>
            </w:r>
          </w:p>
        </w:tc>
        <w:tc>
          <w:tcPr>
            <w:tcW w:w="892" w:type="dxa"/>
            <w:tcBorders>
              <w:tl2br w:val="nil"/>
              <w:tr2bl w:val="nil"/>
            </w:tcBorders>
            <w:vAlign w:val="center"/>
          </w:tcPr>
          <w:p w14:paraId="3EB02ABA">
            <w:pPr>
              <w:jc w:val="center"/>
              <w:rPr>
                <w:rFonts w:ascii="Times New Roman" w:hAnsi="Times New Roman" w:cs="Times New Roman"/>
                <w:szCs w:val="21"/>
              </w:rPr>
            </w:pPr>
            <w:r>
              <w:rPr>
                <w:rFonts w:hint="eastAsia" w:ascii="Times New Roman" w:hAnsi="Times New Roman" w:cs="Times New Roman"/>
                <w:szCs w:val="21"/>
              </w:rPr>
              <w:t xml:space="preserve">0.1291 </w:t>
            </w:r>
          </w:p>
        </w:tc>
        <w:tc>
          <w:tcPr>
            <w:tcW w:w="732" w:type="dxa"/>
            <w:tcBorders>
              <w:tl2br w:val="nil"/>
              <w:tr2bl w:val="nil"/>
            </w:tcBorders>
            <w:vAlign w:val="center"/>
          </w:tcPr>
          <w:p w14:paraId="37C63DBF">
            <w:pPr>
              <w:jc w:val="center"/>
              <w:rPr>
                <w:rFonts w:ascii="Times New Roman" w:hAnsi="Times New Roman" w:cs="Times New Roman"/>
                <w:szCs w:val="21"/>
              </w:rPr>
            </w:pPr>
            <w:r>
              <w:rPr>
                <w:rFonts w:hint="eastAsia" w:ascii="Times New Roman" w:hAnsi="Times New Roman" w:cs="Times New Roman"/>
                <w:szCs w:val="21"/>
              </w:rPr>
              <w:t xml:space="preserve">0.0031 </w:t>
            </w:r>
          </w:p>
        </w:tc>
        <w:tc>
          <w:tcPr>
            <w:tcW w:w="885" w:type="dxa"/>
            <w:tcBorders>
              <w:tl2br w:val="nil"/>
              <w:tr2bl w:val="nil"/>
            </w:tcBorders>
            <w:vAlign w:val="center"/>
          </w:tcPr>
          <w:p w14:paraId="6734DFD0">
            <w:pPr>
              <w:jc w:val="center"/>
              <w:rPr>
                <w:rFonts w:ascii="Times New Roman" w:hAnsi="Times New Roman" w:cs="Times New Roman"/>
                <w:szCs w:val="21"/>
              </w:rPr>
            </w:pPr>
            <w:r>
              <w:rPr>
                <w:rFonts w:hint="eastAsia" w:ascii="Times New Roman" w:hAnsi="Times New Roman" w:cs="Times New Roman"/>
                <w:szCs w:val="21"/>
              </w:rPr>
              <w:t xml:space="preserve">0.0256 </w:t>
            </w:r>
          </w:p>
        </w:tc>
        <w:tc>
          <w:tcPr>
            <w:tcW w:w="755" w:type="dxa"/>
            <w:tcBorders>
              <w:tl2br w:val="nil"/>
              <w:tr2bl w:val="nil"/>
            </w:tcBorders>
            <w:vAlign w:val="center"/>
          </w:tcPr>
          <w:p w14:paraId="48BDF5E2">
            <w:pPr>
              <w:jc w:val="center"/>
              <w:rPr>
                <w:rFonts w:ascii="Times New Roman" w:hAnsi="Times New Roman" w:cs="Times New Roman"/>
                <w:szCs w:val="21"/>
              </w:rPr>
            </w:pPr>
            <w:r>
              <w:rPr>
                <w:rFonts w:hint="eastAsia" w:ascii="Times New Roman" w:hAnsi="Times New Roman" w:cs="Times New Roman"/>
                <w:szCs w:val="21"/>
              </w:rPr>
              <w:t xml:space="preserve">0.0186 </w:t>
            </w:r>
          </w:p>
        </w:tc>
        <w:tc>
          <w:tcPr>
            <w:tcW w:w="867" w:type="dxa"/>
            <w:tcBorders>
              <w:tl2br w:val="nil"/>
              <w:tr2bl w:val="nil"/>
            </w:tcBorders>
            <w:vAlign w:val="center"/>
          </w:tcPr>
          <w:p w14:paraId="4ED92559">
            <w:pPr>
              <w:jc w:val="center"/>
              <w:rPr>
                <w:rFonts w:ascii="Times New Roman" w:hAnsi="Times New Roman" w:cs="Times New Roman"/>
                <w:szCs w:val="21"/>
              </w:rPr>
            </w:pPr>
            <w:r>
              <w:rPr>
                <w:rFonts w:hint="eastAsia" w:ascii="Times New Roman" w:hAnsi="Times New Roman" w:cs="Times New Roman"/>
                <w:szCs w:val="21"/>
              </w:rPr>
              <w:t>0.0012</w:t>
            </w:r>
          </w:p>
          <w:p w14:paraId="026D159F">
            <w:pPr>
              <w:jc w:val="center"/>
              <w:rPr>
                <w:rFonts w:ascii="Times New Roman" w:hAnsi="Times New Roman" w:cs="Times New Roman"/>
                <w:szCs w:val="21"/>
              </w:rPr>
            </w:pPr>
            <w:r>
              <w:rPr>
                <w:rFonts w:hint="eastAsia" w:ascii="Times New Roman" w:hAnsi="Times New Roman" w:cs="Times New Roman"/>
                <w:szCs w:val="21"/>
              </w:rPr>
              <w:t xml:space="preserve">kg/a </w:t>
            </w:r>
          </w:p>
        </w:tc>
        <w:tc>
          <w:tcPr>
            <w:tcW w:w="959" w:type="dxa"/>
            <w:tcBorders>
              <w:tl2br w:val="nil"/>
              <w:tr2bl w:val="nil"/>
            </w:tcBorders>
            <w:vAlign w:val="center"/>
          </w:tcPr>
          <w:p w14:paraId="34379156">
            <w:pPr>
              <w:jc w:val="center"/>
              <w:rPr>
                <w:rFonts w:ascii="Times New Roman" w:hAnsi="Times New Roman" w:cs="Times New Roman"/>
                <w:szCs w:val="21"/>
              </w:rPr>
            </w:pPr>
            <w:r>
              <w:rPr>
                <w:rFonts w:hint="eastAsia" w:ascii="Times New Roman" w:hAnsi="Times New Roman" w:cs="Times New Roman"/>
                <w:szCs w:val="21"/>
              </w:rPr>
              <w:t>0.0748</w:t>
            </w:r>
          </w:p>
          <w:p w14:paraId="03945897">
            <w:pPr>
              <w:jc w:val="center"/>
              <w:rPr>
                <w:rFonts w:ascii="Times New Roman" w:hAnsi="Times New Roman" w:cs="Times New Roman"/>
                <w:szCs w:val="21"/>
              </w:rPr>
            </w:pPr>
            <w:r>
              <w:rPr>
                <w:rFonts w:hint="eastAsia" w:ascii="Times New Roman" w:hAnsi="Times New Roman" w:cs="Times New Roman"/>
                <w:szCs w:val="21"/>
              </w:rPr>
              <w:t xml:space="preserve">kg/a </w:t>
            </w:r>
          </w:p>
        </w:tc>
      </w:tr>
      <w:tr w14:paraId="6C4AFC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646" w:type="dxa"/>
            <w:gridSpan w:val="2"/>
            <w:tcBorders>
              <w:tl2br w:val="nil"/>
              <w:tr2bl w:val="nil"/>
            </w:tcBorders>
            <w:vAlign w:val="center"/>
          </w:tcPr>
          <w:p w14:paraId="35D31950">
            <w:pPr>
              <w:jc w:val="center"/>
              <w:rPr>
                <w:rFonts w:ascii="Times New Roman" w:hAnsi="Times New Roman" w:cs="Times New Roman"/>
                <w:color w:val="000000"/>
                <w:szCs w:val="21"/>
              </w:rPr>
            </w:pPr>
            <w:r>
              <w:rPr>
                <w:rFonts w:hint="eastAsia" w:ascii="Times New Roman" w:hAnsi="Times New Roman" w:cs="Times New Roman"/>
                <w:color w:val="000000"/>
                <w:szCs w:val="21"/>
              </w:rPr>
              <w:t>清丰中州水务有限公司第二污水处理厂</w:t>
            </w:r>
            <w:r>
              <w:rPr>
                <w:rFonts w:ascii="Times New Roman" w:hAnsi="Times New Roman" w:cs="Times New Roman"/>
                <w:color w:val="000000"/>
                <w:szCs w:val="21"/>
              </w:rPr>
              <w:t>设计进水水质要求</w:t>
            </w:r>
          </w:p>
        </w:tc>
        <w:tc>
          <w:tcPr>
            <w:tcW w:w="786" w:type="dxa"/>
            <w:tcBorders>
              <w:tl2br w:val="nil"/>
              <w:tr2bl w:val="nil"/>
            </w:tcBorders>
            <w:vAlign w:val="center"/>
          </w:tcPr>
          <w:p w14:paraId="515786FE">
            <w:pPr>
              <w:jc w:val="center"/>
              <w:rPr>
                <w:rFonts w:ascii="Times New Roman" w:hAnsi="Times New Roman" w:eastAsia="宋体" w:cs="Times New Roman"/>
                <w:color w:val="000000"/>
                <w:szCs w:val="21"/>
              </w:rPr>
            </w:pPr>
            <w:r>
              <w:rPr>
                <w:rFonts w:ascii="Times New Roman" w:hAnsi="Times New Roman" w:cs="Times New Roman"/>
                <w:color w:val="000000"/>
                <w:szCs w:val="21"/>
              </w:rPr>
              <w:t>/</w:t>
            </w:r>
          </w:p>
        </w:tc>
        <w:tc>
          <w:tcPr>
            <w:tcW w:w="892" w:type="dxa"/>
            <w:tcBorders>
              <w:tl2br w:val="nil"/>
              <w:tr2bl w:val="nil"/>
            </w:tcBorders>
            <w:vAlign w:val="center"/>
          </w:tcPr>
          <w:p w14:paraId="5F7914C2">
            <w:pPr>
              <w:jc w:val="center"/>
              <w:rPr>
                <w:rFonts w:ascii="Times New Roman" w:hAnsi="Times New Roman" w:eastAsia="宋体" w:cs="Times New Roman"/>
                <w:color w:val="000000"/>
                <w:szCs w:val="21"/>
              </w:rPr>
            </w:pPr>
            <w:r>
              <w:rPr>
                <w:rFonts w:ascii="Times New Roman" w:hAnsi="Times New Roman" w:cs="Times New Roman"/>
                <w:color w:val="000000"/>
                <w:szCs w:val="21"/>
              </w:rPr>
              <w:t>350</w:t>
            </w:r>
          </w:p>
        </w:tc>
        <w:tc>
          <w:tcPr>
            <w:tcW w:w="732" w:type="dxa"/>
            <w:tcBorders>
              <w:tl2br w:val="nil"/>
              <w:tr2bl w:val="nil"/>
            </w:tcBorders>
            <w:vAlign w:val="center"/>
          </w:tcPr>
          <w:p w14:paraId="47029D8E">
            <w:pPr>
              <w:jc w:val="center"/>
              <w:rPr>
                <w:rFonts w:ascii="Times New Roman" w:hAnsi="Times New Roman" w:eastAsia="宋体" w:cs="Times New Roman"/>
                <w:color w:val="000000"/>
                <w:szCs w:val="21"/>
              </w:rPr>
            </w:pPr>
            <w:r>
              <w:rPr>
                <w:rFonts w:ascii="Times New Roman" w:hAnsi="Times New Roman" w:cs="Times New Roman"/>
                <w:color w:val="000000"/>
                <w:szCs w:val="21"/>
              </w:rPr>
              <w:t>30</w:t>
            </w:r>
          </w:p>
        </w:tc>
        <w:tc>
          <w:tcPr>
            <w:tcW w:w="885" w:type="dxa"/>
            <w:tcBorders>
              <w:tl2br w:val="nil"/>
              <w:tr2bl w:val="nil"/>
            </w:tcBorders>
            <w:vAlign w:val="center"/>
          </w:tcPr>
          <w:p w14:paraId="73B534EC">
            <w:pPr>
              <w:jc w:val="center"/>
              <w:rPr>
                <w:rFonts w:ascii="Times New Roman" w:hAnsi="Times New Roman" w:cs="Times New Roman"/>
                <w:color w:val="000000"/>
                <w:szCs w:val="21"/>
              </w:rPr>
            </w:pPr>
            <w:r>
              <w:rPr>
                <w:rFonts w:hint="eastAsia" w:ascii="Times New Roman" w:hAnsi="Times New Roman" w:cs="Times New Roman"/>
                <w:color w:val="000000"/>
                <w:szCs w:val="21"/>
              </w:rPr>
              <w:t>170</w:t>
            </w:r>
          </w:p>
        </w:tc>
        <w:tc>
          <w:tcPr>
            <w:tcW w:w="755" w:type="dxa"/>
            <w:tcBorders>
              <w:tl2br w:val="nil"/>
              <w:tr2bl w:val="nil"/>
            </w:tcBorders>
            <w:vAlign w:val="center"/>
          </w:tcPr>
          <w:p w14:paraId="45EF1EBA">
            <w:pPr>
              <w:jc w:val="center"/>
              <w:rPr>
                <w:rFonts w:ascii="Times New Roman" w:hAnsi="Times New Roman" w:cs="Times New Roman"/>
                <w:color w:val="000000"/>
                <w:szCs w:val="21"/>
              </w:rPr>
            </w:pPr>
            <w:r>
              <w:rPr>
                <w:rFonts w:hint="eastAsia" w:ascii="Times New Roman" w:hAnsi="Times New Roman" w:cs="Times New Roman"/>
                <w:color w:val="000000"/>
                <w:szCs w:val="21"/>
              </w:rPr>
              <w:t>210</w:t>
            </w:r>
          </w:p>
        </w:tc>
        <w:tc>
          <w:tcPr>
            <w:tcW w:w="867" w:type="dxa"/>
            <w:tcBorders>
              <w:tl2br w:val="nil"/>
              <w:tr2bl w:val="nil"/>
            </w:tcBorders>
            <w:vAlign w:val="center"/>
          </w:tcPr>
          <w:p w14:paraId="2B5C5BED">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959" w:type="dxa"/>
            <w:tcBorders>
              <w:tl2br w:val="nil"/>
              <w:tr2bl w:val="nil"/>
            </w:tcBorders>
            <w:vAlign w:val="center"/>
          </w:tcPr>
          <w:p w14:paraId="4EF9CA04">
            <w:pPr>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7F3491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646" w:type="dxa"/>
            <w:gridSpan w:val="2"/>
            <w:tcBorders>
              <w:tl2br w:val="nil"/>
              <w:tr2bl w:val="nil"/>
            </w:tcBorders>
            <w:vAlign w:val="center"/>
          </w:tcPr>
          <w:p w14:paraId="241CF4F9">
            <w:pPr>
              <w:jc w:val="center"/>
              <w:rPr>
                <w:rFonts w:ascii="Times New Roman" w:hAnsi="Times New Roman" w:eastAsia="宋体" w:cs="Times New Roman"/>
                <w:color w:val="000000"/>
                <w:szCs w:val="21"/>
              </w:rPr>
            </w:pPr>
            <w:r>
              <w:rPr>
                <w:rFonts w:ascii="Times New Roman" w:hAnsi="Times New Roman" w:cs="Times New Roman"/>
                <w:color w:val="000000"/>
                <w:szCs w:val="21"/>
              </w:rPr>
              <w:t>《污水综合排放标准》（GB8978-1996）表4三级标准</w:t>
            </w:r>
          </w:p>
        </w:tc>
        <w:tc>
          <w:tcPr>
            <w:tcW w:w="786" w:type="dxa"/>
            <w:tcBorders>
              <w:tl2br w:val="nil"/>
              <w:tr2bl w:val="nil"/>
            </w:tcBorders>
            <w:vAlign w:val="center"/>
          </w:tcPr>
          <w:p w14:paraId="7B2FF36A">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892" w:type="dxa"/>
            <w:tcBorders>
              <w:tl2br w:val="nil"/>
              <w:tr2bl w:val="nil"/>
            </w:tcBorders>
            <w:vAlign w:val="center"/>
          </w:tcPr>
          <w:p w14:paraId="1865EBF6">
            <w:pPr>
              <w:jc w:val="center"/>
              <w:rPr>
                <w:rFonts w:ascii="Times New Roman" w:hAnsi="Times New Roman" w:cs="Times New Roman"/>
                <w:color w:val="000000"/>
                <w:szCs w:val="21"/>
              </w:rPr>
            </w:pPr>
            <w:r>
              <w:rPr>
                <w:rFonts w:ascii="Times New Roman" w:hAnsi="Times New Roman" w:cs="Times New Roman"/>
                <w:color w:val="000000"/>
                <w:szCs w:val="21"/>
              </w:rPr>
              <w:t>500</w:t>
            </w:r>
          </w:p>
        </w:tc>
        <w:tc>
          <w:tcPr>
            <w:tcW w:w="732" w:type="dxa"/>
            <w:tcBorders>
              <w:tl2br w:val="nil"/>
              <w:tr2bl w:val="nil"/>
            </w:tcBorders>
            <w:vAlign w:val="center"/>
          </w:tcPr>
          <w:p w14:paraId="72AE823A">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885" w:type="dxa"/>
            <w:tcBorders>
              <w:tl2br w:val="nil"/>
              <w:tr2bl w:val="nil"/>
            </w:tcBorders>
            <w:vAlign w:val="center"/>
          </w:tcPr>
          <w:p w14:paraId="52BFE9B9">
            <w:pPr>
              <w:jc w:val="center"/>
              <w:rPr>
                <w:rFonts w:ascii="Times New Roman" w:hAnsi="Times New Roman" w:cs="Times New Roman"/>
                <w:color w:val="000000"/>
                <w:szCs w:val="21"/>
              </w:rPr>
            </w:pPr>
            <w:r>
              <w:rPr>
                <w:rFonts w:hint="eastAsia" w:ascii="Times New Roman" w:hAnsi="Times New Roman" w:cs="Times New Roman"/>
                <w:color w:val="000000"/>
                <w:szCs w:val="21"/>
              </w:rPr>
              <w:t>300</w:t>
            </w:r>
          </w:p>
        </w:tc>
        <w:tc>
          <w:tcPr>
            <w:tcW w:w="755" w:type="dxa"/>
            <w:tcBorders>
              <w:tl2br w:val="nil"/>
              <w:tr2bl w:val="nil"/>
            </w:tcBorders>
            <w:vAlign w:val="center"/>
          </w:tcPr>
          <w:p w14:paraId="4C47C4C9">
            <w:pPr>
              <w:jc w:val="center"/>
              <w:rPr>
                <w:rFonts w:ascii="Times New Roman" w:hAnsi="Times New Roman" w:cs="Times New Roman"/>
                <w:color w:val="000000"/>
                <w:szCs w:val="21"/>
              </w:rPr>
            </w:pPr>
            <w:r>
              <w:rPr>
                <w:rFonts w:hint="eastAsia" w:ascii="Times New Roman" w:hAnsi="Times New Roman" w:cs="Times New Roman"/>
                <w:color w:val="000000"/>
                <w:szCs w:val="21"/>
              </w:rPr>
              <w:t>400</w:t>
            </w:r>
          </w:p>
        </w:tc>
        <w:tc>
          <w:tcPr>
            <w:tcW w:w="867" w:type="dxa"/>
            <w:tcBorders>
              <w:tl2br w:val="nil"/>
              <w:tr2bl w:val="nil"/>
            </w:tcBorders>
            <w:vAlign w:val="center"/>
          </w:tcPr>
          <w:p w14:paraId="1DCEDD98">
            <w:pPr>
              <w:jc w:val="center"/>
              <w:rPr>
                <w:rFonts w:ascii="Times New Roman" w:hAnsi="Times New Roman" w:cs="Times New Roman"/>
                <w:color w:val="000000"/>
                <w:szCs w:val="21"/>
              </w:rPr>
            </w:pPr>
            <w:r>
              <w:rPr>
                <w:rFonts w:ascii="Times New Roman" w:hAnsi="Times New Roman" w:cs="Times New Roman"/>
                <w:color w:val="000000"/>
                <w:szCs w:val="21"/>
              </w:rPr>
              <w:t>0.5</w:t>
            </w:r>
          </w:p>
        </w:tc>
        <w:tc>
          <w:tcPr>
            <w:tcW w:w="959" w:type="dxa"/>
            <w:tcBorders>
              <w:tl2br w:val="nil"/>
              <w:tr2bl w:val="nil"/>
            </w:tcBorders>
            <w:vAlign w:val="center"/>
          </w:tcPr>
          <w:p w14:paraId="2812832A">
            <w:pPr>
              <w:jc w:val="center"/>
              <w:rPr>
                <w:rFonts w:ascii="Times New Roman" w:hAnsi="Times New Roman" w:cs="Times New Roman"/>
                <w:color w:val="000000"/>
                <w:szCs w:val="21"/>
              </w:rPr>
            </w:pPr>
            <w:r>
              <w:rPr>
                <w:rFonts w:ascii="Times New Roman" w:hAnsi="Times New Roman" w:cs="Times New Roman"/>
                <w:color w:val="000000"/>
                <w:szCs w:val="21"/>
              </w:rPr>
              <w:t>1.0</w:t>
            </w:r>
          </w:p>
        </w:tc>
      </w:tr>
    </w:tbl>
    <w:p w14:paraId="70DAC082">
      <w:pPr>
        <w:pStyle w:val="39"/>
        <w:snapToGrid w:val="0"/>
        <w:spacing w:line="360" w:lineRule="auto"/>
        <w:ind w:firstLine="480" w:firstLineChars="200"/>
        <w:rPr>
          <w:rFonts w:ascii="Times New Roman" w:hAnsi="Times New Roman" w:cs="Times New Roman"/>
          <w:color w:val="0000FF"/>
          <w:u w:val="single"/>
        </w:rPr>
      </w:pPr>
      <w:r>
        <w:rPr>
          <w:rFonts w:ascii="Times New Roman" w:hAnsi="Times New Roman" w:cs="Times New Roman"/>
        </w:rPr>
        <w:t>由上表可知，</w:t>
      </w:r>
      <w:r>
        <w:rPr>
          <w:rFonts w:hint="eastAsia" w:ascii="Times New Roman" w:hAnsi="Times New Roman" w:cs="Times New Roman"/>
        </w:rPr>
        <w:t>水帘废水</w:t>
      </w:r>
      <w:r>
        <w:rPr>
          <w:rFonts w:ascii="Times New Roman" w:hAnsi="Times New Roman" w:cs="Times New Roman"/>
        </w:rPr>
        <w:t>经处理后</w:t>
      </w:r>
      <w:r>
        <w:rPr>
          <w:rFonts w:hint="eastAsia" w:ascii="Times New Roman" w:hAnsi="Times New Roman" w:cs="Times New Roman"/>
        </w:rPr>
        <w:t>各污染物浓度满足清丰中州水务有限公司第二污水处理厂设计进水水质要求</w:t>
      </w:r>
      <w:r>
        <w:rPr>
          <w:rFonts w:ascii="Times New Roman" w:hAnsi="Times New Roman" w:cs="Times New Roman"/>
        </w:rPr>
        <w:t>。</w:t>
      </w:r>
    </w:p>
    <w:p w14:paraId="583A8D31">
      <w:pPr>
        <w:pStyle w:val="5"/>
        <w:numPr>
          <w:ilvl w:val="3"/>
          <w:numId w:val="39"/>
        </w:numPr>
        <w:adjustRightInd w:val="0"/>
        <w:snapToGrid w:val="0"/>
      </w:pPr>
      <w:r>
        <w:rPr>
          <w:rFonts w:hint="eastAsia"/>
        </w:rPr>
        <w:t>厂区废水总排口污染物排放情况</w:t>
      </w:r>
    </w:p>
    <w:p w14:paraId="12C42A47">
      <w:pPr>
        <w:pStyle w:val="39"/>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通过</w:t>
      </w:r>
      <w:r>
        <w:rPr>
          <w:rFonts w:hint="eastAsia" w:ascii="Times New Roman" w:hAnsi="Times New Roman" w:cs="Times New Roman"/>
          <w:color w:val="auto"/>
        </w:rPr>
        <w:t>厂区废水总排口</w:t>
      </w:r>
      <w:r>
        <w:rPr>
          <w:rFonts w:ascii="Times New Roman" w:hAnsi="Times New Roman" w:cs="Times New Roman"/>
          <w:color w:val="auto"/>
        </w:rPr>
        <w:t>排放的污水包括生活污水、</w:t>
      </w:r>
      <w:r>
        <w:rPr>
          <w:rFonts w:hint="eastAsia" w:ascii="Times New Roman" w:hAnsi="Times New Roman" w:cs="Times New Roman"/>
          <w:color w:val="auto"/>
        </w:rPr>
        <w:t>水帘废水。</w:t>
      </w:r>
      <w:r>
        <w:rPr>
          <w:rFonts w:ascii="Times New Roman" w:hAnsi="Times New Roman" w:cs="Times New Roman"/>
        </w:rPr>
        <w:t>本项目</w:t>
      </w:r>
      <w:r>
        <w:rPr>
          <w:rFonts w:hint="eastAsia" w:ascii="Times New Roman" w:hAnsi="Times New Roman" w:cs="Times New Roman"/>
        </w:rPr>
        <w:t>厂区废水总排口</w:t>
      </w:r>
      <w:r>
        <w:rPr>
          <w:rFonts w:ascii="Times New Roman" w:hAnsi="Times New Roman" w:cs="Times New Roman"/>
        </w:rPr>
        <w:t>各个污染物</w:t>
      </w:r>
      <w:r>
        <w:rPr>
          <w:rFonts w:hint="eastAsia" w:ascii="Times New Roman" w:hAnsi="Times New Roman" w:cs="Times New Roman"/>
          <w:color w:val="auto"/>
        </w:rPr>
        <w:t>排放量见下表，平均接管浓度见下</w:t>
      </w:r>
      <w:r>
        <w:rPr>
          <w:rFonts w:ascii="Times New Roman" w:hAnsi="Times New Roman" w:cs="Times New Roman"/>
          <w:color w:val="auto"/>
        </w:rPr>
        <w:t>表。</w:t>
      </w:r>
    </w:p>
    <w:p w14:paraId="2A87E99E">
      <w:pPr>
        <w:pStyle w:val="17"/>
        <w:numPr>
          <w:ilvl w:val="0"/>
          <w:numId w:val="40"/>
        </w:num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 xml:space="preserve"> </w:t>
      </w:r>
      <w:r>
        <w:rPr>
          <w:rFonts w:hint="eastAsia" w:ascii="Times New Roman" w:hAnsi="Times New Roman" w:cs="Times New Roman"/>
          <w:b/>
          <w:bCs/>
          <w:color w:val="auto"/>
          <w:szCs w:val="21"/>
        </w:rPr>
        <w:t>厂区废水总排口污染物</w:t>
      </w:r>
      <w:r>
        <w:rPr>
          <w:rFonts w:ascii="Times New Roman" w:hAnsi="Times New Roman" w:cs="Times New Roman"/>
          <w:b/>
          <w:bCs/>
          <w:color w:val="auto"/>
          <w:szCs w:val="21"/>
        </w:rPr>
        <w:t>排放量核算</w:t>
      </w:r>
      <w:r>
        <w:rPr>
          <w:rFonts w:hint="eastAsia" w:ascii="Times New Roman" w:hAnsi="Times New Roman" w:cs="Times New Roman"/>
          <w:b/>
          <w:bCs/>
          <w:color w:val="auto"/>
          <w:szCs w:val="21"/>
        </w:rPr>
        <w:t>（单位：t/a，pH值无量纲）</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582"/>
        <w:gridCol w:w="1580"/>
        <w:gridCol w:w="1367"/>
        <w:gridCol w:w="2192"/>
      </w:tblGrid>
      <w:tr w14:paraId="3E90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Align w:val="center"/>
          </w:tcPr>
          <w:p w14:paraId="48D387C8">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控制指标</w:t>
            </w:r>
          </w:p>
        </w:tc>
        <w:tc>
          <w:tcPr>
            <w:tcW w:w="1582" w:type="dxa"/>
            <w:vAlign w:val="center"/>
          </w:tcPr>
          <w:p w14:paraId="14AF1412">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生活废水</w:t>
            </w:r>
          </w:p>
        </w:tc>
        <w:tc>
          <w:tcPr>
            <w:tcW w:w="1580" w:type="dxa"/>
            <w:vAlign w:val="center"/>
          </w:tcPr>
          <w:p w14:paraId="51EA663B">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水帘废水</w:t>
            </w:r>
          </w:p>
        </w:tc>
        <w:tc>
          <w:tcPr>
            <w:tcW w:w="1367" w:type="dxa"/>
            <w:vAlign w:val="center"/>
          </w:tcPr>
          <w:p w14:paraId="520F5711">
            <w:pPr>
              <w:pStyle w:val="39"/>
              <w:tabs>
                <w:tab w:val="center" w:pos="957"/>
              </w:tabs>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合计</w:t>
            </w:r>
          </w:p>
        </w:tc>
        <w:tc>
          <w:tcPr>
            <w:tcW w:w="2192" w:type="dxa"/>
            <w:vAlign w:val="center"/>
          </w:tcPr>
          <w:p w14:paraId="2FBE15C0">
            <w:pPr>
              <w:pStyle w:val="39"/>
              <w:tabs>
                <w:tab w:val="center" w:pos="957"/>
              </w:tabs>
              <w:jc w:val="center"/>
              <w:rPr>
                <w:rFonts w:ascii="Times New Roman" w:hAnsi="Times New Roman" w:cs="Times New Roman"/>
                <w:color w:val="auto"/>
                <w:sz w:val="21"/>
                <w:szCs w:val="21"/>
              </w:rPr>
            </w:pPr>
            <w:r>
              <w:rPr>
                <w:rFonts w:hint="eastAsia"/>
                <w:color w:val="auto"/>
                <w:sz w:val="21"/>
                <w:szCs w:val="21"/>
              </w:rPr>
              <w:t>污染物排放监控位置</w:t>
            </w:r>
          </w:p>
        </w:tc>
      </w:tr>
      <w:tr w14:paraId="4E19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Align w:val="center"/>
          </w:tcPr>
          <w:p w14:paraId="311CA740">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pH值（无量纲）</w:t>
            </w:r>
          </w:p>
        </w:tc>
        <w:tc>
          <w:tcPr>
            <w:tcW w:w="1582" w:type="dxa"/>
            <w:vAlign w:val="center"/>
          </w:tcPr>
          <w:p w14:paraId="3D13051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1580" w:type="dxa"/>
            <w:vAlign w:val="center"/>
          </w:tcPr>
          <w:p w14:paraId="711EF822">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1367" w:type="dxa"/>
            <w:vAlign w:val="center"/>
          </w:tcPr>
          <w:p w14:paraId="7A7E8B64">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2192" w:type="dxa"/>
            <w:vMerge w:val="restart"/>
            <w:vAlign w:val="center"/>
          </w:tcPr>
          <w:p w14:paraId="1CED8F97">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企业废水总排口</w:t>
            </w:r>
          </w:p>
        </w:tc>
      </w:tr>
      <w:tr w14:paraId="3A12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Align w:val="center"/>
          </w:tcPr>
          <w:p w14:paraId="55125C6A">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化学需氧量</w:t>
            </w:r>
          </w:p>
        </w:tc>
        <w:tc>
          <w:tcPr>
            <w:tcW w:w="1582" w:type="dxa"/>
            <w:vAlign w:val="center"/>
          </w:tcPr>
          <w:p w14:paraId="20073405">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0.2805</w:t>
            </w:r>
          </w:p>
        </w:tc>
        <w:tc>
          <w:tcPr>
            <w:tcW w:w="1580" w:type="dxa"/>
            <w:vAlign w:val="center"/>
          </w:tcPr>
          <w:p w14:paraId="4EC41628">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0.1291</w:t>
            </w:r>
          </w:p>
        </w:tc>
        <w:tc>
          <w:tcPr>
            <w:tcW w:w="1367" w:type="dxa"/>
            <w:vAlign w:val="center"/>
          </w:tcPr>
          <w:p w14:paraId="2879B57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0.4096</w:t>
            </w:r>
          </w:p>
        </w:tc>
        <w:tc>
          <w:tcPr>
            <w:tcW w:w="2192" w:type="dxa"/>
            <w:vMerge w:val="continue"/>
            <w:vAlign w:val="center"/>
          </w:tcPr>
          <w:p w14:paraId="1B5A73CF">
            <w:pPr>
              <w:pStyle w:val="39"/>
              <w:jc w:val="center"/>
              <w:rPr>
                <w:rFonts w:ascii="Times New Roman" w:hAnsi="Times New Roman" w:cs="Times New Roman"/>
                <w:color w:val="auto"/>
                <w:sz w:val="21"/>
                <w:szCs w:val="21"/>
              </w:rPr>
            </w:pPr>
          </w:p>
        </w:tc>
      </w:tr>
      <w:tr w14:paraId="0F52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801" w:type="dxa"/>
            <w:vAlign w:val="center"/>
          </w:tcPr>
          <w:p w14:paraId="0399E46A">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氨氮</w:t>
            </w:r>
          </w:p>
        </w:tc>
        <w:tc>
          <w:tcPr>
            <w:tcW w:w="1582" w:type="dxa"/>
            <w:vAlign w:val="center"/>
          </w:tcPr>
          <w:p w14:paraId="50EAC43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0.0337</w:t>
            </w:r>
          </w:p>
        </w:tc>
        <w:tc>
          <w:tcPr>
            <w:tcW w:w="1580" w:type="dxa"/>
            <w:vAlign w:val="center"/>
          </w:tcPr>
          <w:p w14:paraId="01C0FCD3">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0.0031</w:t>
            </w:r>
          </w:p>
        </w:tc>
        <w:tc>
          <w:tcPr>
            <w:tcW w:w="1367" w:type="dxa"/>
            <w:vAlign w:val="center"/>
          </w:tcPr>
          <w:p w14:paraId="22D7CEF3">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0.0368</w:t>
            </w:r>
          </w:p>
        </w:tc>
        <w:tc>
          <w:tcPr>
            <w:tcW w:w="2192" w:type="dxa"/>
            <w:vMerge w:val="continue"/>
            <w:vAlign w:val="center"/>
          </w:tcPr>
          <w:p w14:paraId="0A0304ED">
            <w:pPr>
              <w:pStyle w:val="39"/>
              <w:jc w:val="center"/>
              <w:rPr>
                <w:rFonts w:ascii="Times New Roman" w:hAnsi="Times New Roman" w:cs="Times New Roman"/>
                <w:color w:val="auto"/>
                <w:sz w:val="21"/>
                <w:szCs w:val="21"/>
              </w:rPr>
            </w:pPr>
          </w:p>
        </w:tc>
      </w:tr>
      <w:tr w14:paraId="36C3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801" w:type="dxa"/>
            <w:vAlign w:val="center"/>
          </w:tcPr>
          <w:p w14:paraId="5C8AB7A0">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BOD</w:t>
            </w:r>
            <w:r>
              <w:rPr>
                <w:rFonts w:ascii="Times New Roman" w:hAnsi="Times New Roman" w:cs="Times New Roman"/>
                <w:color w:val="auto"/>
                <w:sz w:val="21"/>
                <w:szCs w:val="21"/>
                <w:vertAlign w:val="subscript"/>
              </w:rPr>
              <w:t>5</w:t>
            </w:r>
          </w:p>
        </w:tc>
        <w:tc>
          <w:tcPr>
            <w:tcW w:w="1582" w:type="dxa"/>
            <w:vAlign w:val="center"/>
          </w:tcPr>
          <w:p w14:paraId="165667B1">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0.1346</w:t>
            </w:r>
          </w:p>
        </w:tc>
        <w:tc>
          <w:tcPr>
            <w:tcW w:w="1580" w:type="dxa"/>
            <w:vAlign w:val="center"/>
          </w:tcPr>
          <w:p w14:paraId="1DBF3F4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0.0256</w:t>
            </w:r>
          </w:p>
        </w:tc>
        <w:tc>
          <w:tcPr>
            <w:tcW w:w="1367" w:type="dxa"/>
            <w:vAlign w:val="center"/>
          </w:tcPr>
          <w:p w14:paraId="1449EA1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0.1602</w:t>
            </w:r>
          </w:p>
        </w:tc>
        <w:tc>
          <w:tcPr>
            <w:tcW w:w="2192" w:type="dxa"/>
            <w:vMerge w:val="continue"/>
            <w:vAlign w:val="center"/>
          </w:tcPr>
          <w:p w14:paraId="297F1A7A">
            <w:pPr>
              <w:pStyle w:val="39"/>
              <w:jc w:val="center"/>
              <w:rPr>
                <w:rFonts w:ascii="Times New Roman" w:hAnsi="Times New Roman" w:cs="Times New Roman"/>
                <w:color w:val="auto"/>
                <w:sz w:val="21"/>
                <w:szCs w:val="21"/>
              </w:rPr>
            </w:pPr>
          </w:p>
        </w:tc>
      </w:tr>
      <w:tr w14:paraId="1BDC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1" w:type="dxa"/>
            <w:vAlign w:val="center"/>
          </w:tcPr>
          <w:p w14:paraId="5BED11F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SS</w:t>
            </w:r>
          </w:p>
        </w:tc>
        <w:tc>
          <w:tcPr>
            <w:tcW w:w="1582" w:type="dxa"/>
            <w:vAlign w:val="center"/>
          </w:tcPr>
          <w:p w14:paraId="790E09F7">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0.1795</w:t>
            </w:r>
          </w:p>
        </w:tc>
        <w:tc>
          <w:tcPr>
            <w:tcW w:w="1580" w:type="dxa"/>
            <w:vAlign w:val="center"/>
          </w:tcPr>
          <w:p w14:paraId="6225B03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0.0186</w:t>
            </w:r>
          </w:p>
        </w:tc>
        <w:tc>
          <w:tcPr>
            <w:tcW w:w="1367" w:type="dxa"/>
            <w:vAlign w:val="center"/>
          </w:tcPr>
          <w:p w14:paraId="5557B922">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0.1981</w:t>
            </w:r>
          </w:p>
        </w:tc>
        <w:tc>
          <w:tcPr>
            <w:tcW w:w="2192" w:type="dxa"/>
            <w:vMerge w:val="continue"/>
            <w:vAlign w:val="center"/>
          </w:tcPr>
          <w:p w14:paraId="616B3CE3">
            <w:pPr>
              <w:pStyle w:val="39"/>
              <w:jc w:val="center"/>
              <w:rPr>
                <w:rFonts w:ascii="Times New Roman" w:hAnsi="Times New Roman" w:cs="Times New Roman"/>
                <w:color w:val="auto"/>
                <w:sz w:val="21"/>
                <w:szCs w:val="21"/>
              </w:rPr>
            </w:pPr>
          </w:p>
        </w:tc>
      </w:tr>
      <w:tr w14:paraId="0EC2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Align w:val="center"/>
          </w:tcPr>
          <w:p w14:paraId="4ECFDC4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甲苯</w:t>
            </w:r>
          </w:p>
        </w:tc>
        <w:tc>
          <w:tcPr>
            <w:tcW w:w="1582" w:type="dxa"/>
            <w:vAlign w:val="center"/>
          </w:tcPr>
          <w:p w14:paraId="147466B7">
            <w:pPr>
              <w:autoSpaceDE w:val="0"/>
              <w:autoSpaceDN w:val="0"/>
              <w:adjustRightInd w:val="0"/>
              <w:jc w:val="center"/>
              <w:rPr>
                <w:rFonts w:ascii="Times New Roman" w:hAnsi="Times New Roman" w:cs="Times New Roman"/>
                <w:color w:val="auto"/>
                <w:szCs w:val="21"/>
              </w:rPr>
            </w:pPr>
            <w:r>
              <w:rPr>
                <w:rFonts w:hint="eastAsia" w:ascii="Times New Roman" w:hAnsi="Times New Roman" w:cs="Times New Roman"/>
                <w:color w:val="auto"/>
                <w:szCs w:val="21"/>
              </w:rPr>
              <w:t>/</w:t>
            </w:r>
          </w:p>
        </w:tc>
        <w:tc>
          <w:tcPr>
            <w:tcW w:w="1580" w:type="dxa"/>
            <w:vAlign w:val="center"/>
          </w:tcPr>
          <w:p w14:paraId="51390F25">
            <w:pPr>
              <w:autoSpaceDE w:val="0"/>
              <w:autoSpaceDN w:val="0"/>
              <w:adjustRightInd w:val="0"/>
              <w:jc w:val="center"/>
              <w:rPr>
                <w:rFonts w:ascii="Times New Roman" w:hAnsi="Times New Roman" w:cs="Times New Roman"/>
                <w:color w:val="auto"/>
                <w:szCs w:val="21"/>
              </w:rPr>
            </w:pPr>
            <w:r>
              <w:rPr>
                <w:rFonts w:hint="eastAsia" w:ascii="Times New Roman" w:hAnsi="Times New Roman" w:cs="Times New Roman"/>
                <w:color w:val="auto"/>
                <w:szCs w:val="21"/>
              </w:rPr>
              <w:t>0.0012kg/a</w:t>
            </w:r>
          </w:p>
        </w:tc>
        <w:tc>
          <w:tcPr>
            <w:tcW w:w="1367" w:type="dxa"/>
            <w:vAlign w:val="center"/>
          </w:tcPr>
          <w:p w14:paraId="4C7DB835">
            <w:pPr>
              <w:autoSpaceDE w:val="0"/>
              <w:autoSpaceDN w:val="0"/>
              <w:adjustRightInd w:val="0"/>
              <w:jc w:val="center"/>
              <w:rPr>
                <w:rFonts w:ascii="Times New Roman" w:hAnsi="Times New Roman" w:cs="Times New Roman"/>
                <w:color w:val="auto"/>
                <w:szCs w:val="21"/>
              </w:rPr>
            </w:pPr>
            <w:r>
              <w:rPr>
                <w:rFonts w:hint="eastAsia" w:ascii="Times New Roman" w:hAnsi="Times New Roman" w:cs="Times New Roman"/>
                <w:color w:val="auto"/>
                <w:szCs w:val="21"/>
              </w:rPr>
              <w:t>0.0012kg/a</w:t>
            </w:r>
          </w:p>
        </w:tc>
        <w:tc>
          <w:tcPr>
            <w:tcW w:w="2192" w:type="dxa"/>
            <w:vMerge w:val="continue"/>
            <w:vAlign w:val="center"/>
          </w:tcPr>
          <w:p w14:paraId="2AAE2C5E">
            <w:pPr>
              <w:pStyle w:val="39"/>
              <w:jc w:val="center"/>
              <w:rPr>
                <w:rFonts w:ascii="Times New Roman" w:hAnsi="Times New Roman" w:cs="Times New Roman"/>
                <w:color w:val="auto"/>
                <w:sz w:val="21"/>
                <w:szCs w:val="21"/>
              </w:rPr>
            </w:pPr>
          </w:p>
        </w:tc>
      </w:tr>
      <w:tr w14:paraId="703C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Align w:val="center"/>
          </w:tcPr>
          <w:p w14:paraId="2ED873D0">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二甲苯</w:t>
            </w:r>
          </w:p>
        </w:tc>
        <w:tc>
          <w:tcPr>
            <w:tcW w:w="1582" w:type="dxa"/>
            <w:vAlign w:val="center"/>
          </w:tcPr>
          <w:p w14:paraId="005EB075">
            <w:pPr>
              <w:autoSpaceDE w:val="0"/>
              <w:autoSpaceDN w:val="0"/>
              <w:adjustRightInd w:val="0"/>
              <w:jc w:val="center"/>
              <w:rPr>
                <w:rFonts w:ascii="Times New Roman" w:hAnsi="Times New Roman" w:cs="Times New Roman"/>
                <w:color w:val="auto"/>
                <w:szCs w:val="21"/>
              </w:rPr>
            </w:pPr>
            <w:r>
              <w:rPr>
                <w:rFonts w:hint="eastAsia" w:ascii="Times New Roman" w:hAnsi="Times New Roman" w:cs="Times New Roman"/>
                <w:color w:val="auto"/>
                <w:szCs w:val="21"/>
              </w:rPr>
              <w:t>/</w:t>
            </w:r>
          </w:p>
        </w:tc>
        <w:tc>
          <w:tcPr>
            <w:tcW w:w="1580" w:type="dxa"/>
            <w:vAlign w:val="center"/>
          </w:tcPr>
          <w:p w14:paraId="41899075">
            <w:pPr>
              <w:autoSpaceDE w:val="0"/>
              <w:autoSpaceDN w:val="0"/>
              <w:adjustRightInd w:val="0"/>
              <w:jc w:val="center"/>
              <w:rPr>
                <w:rFonts w:ascii="Times New Roman" w:hAnsi="Times New Roman" w:cs="Times New Roman"/>
                <w:color w:val="auto"/>
                <w:szCs w:val="21"/>
              </w:rPr>
            </w:pPr>
            <w:r>
              <w:rPr>
                <w:rFonts w:hint="eastAsia" w:ascii="Times New Roman" w:hAnsi="Times New Roman" w:cs="Times New Roman"/>
                <w:color w:val="auto"/>
                <w:szCs w:val="21"/>
              </w:rPr>
              <w:t>0.0748kg/a</w:t>
            </w:r>
          </w:p>
        </w:tc>
        <w:tc>
          <w:tcPr>
            <w:tcW w:w="1367" w:type="dxa"/>
            <w:vAlign w:val="center"/>
          </w:tcPr>
          <w:p w14:paraId="17F88990">
            <w:pPr>
              <w:autoSpaceDE w:val="0"/>
              <w:autoSpaceDN w:val="0"/>
              <w:adjustRightInd w:val="0"/>
              <w:jc w:val="center"/>
              <w:rPr>
                <w:rFonts w:ascii="Times New Roman" w:hAnsi="Times New Roman" w:cs="Times New Roman"/>
                <w:color w:val="auto"/>
                <w:szCs w:val="21"/>
              </w:rPr>
            </w:pPr>
            <w:r>
              <w:rPr>
                <w:rFonts w:hint="eastAsia" w:ascii="Times New Roman" w:hAnsi="Times New Roman" w:cs="Times New Roman"/>
                <w:color w:val="auto"/>
                <w:szCs w:val="21"/>
              </w:rPr>
              <w:t>0.0748kg/a</w:t>
            </w:r>
          </w:p>
        </w:tc>
        <w:tc>
          <w:tcPr>
            <w:tcW w:w="2192" w:type="dxa"/>
            <w:vMerge w:val="continue"/>
            <w:vAlign w:val="center"/>
          </w:tcPr>
          <w:p w14:paraId="038E51AB">
            <w:pPr>
              <w:pStyle w:val="39"/>
              <w:jc w:val="center"/>
              <w:rPr>
                <w:rFonts w:ascii="Times New Roman" w:hAnsi="Times New Roman" w:cs="Times New Roman"/>
                <w:color w:val="auto"/>
                <w:sz w:val="21"/>
                <w:szCs w:val="21"/>
              </w:rPr>
            </w:pPr>
          </w:p>
        </w:tc>
      </w:tr>
    </w:tbl>
    <w:p w14:paraId="4556469D">
      <w:pPr>
        <w:pStyle w:val="17"/>
        <w:numPr>
          <w:ilvl w:val="0"/>
          <w:numId w:val="40"/>
        </w:numPr>
        <w:jc w:val="center"/>
        <w:rPr>
          <w:rFonts w:ascii="Times New Roman" w:hAnsi="Times New Roman" w:cs="Times New Roman"/>
          <w:b/>
          <w:bCs/>
          <w:color w:val="auto"/>
          <w:szCs w:val="21"/>
        </w:rPr>
      </w:pPr>
      <w:r>
        <w:rPr>
          <w:rFonts w:hint="eastAsia" w:ascii="Times New Roman" w:hAnsi="Times New Roman" w:cs="Times New Roman"/>
          <w:b/>
          <w:bCs/>
          <w:color w:val="auto"/>
          <w:szCs w:val="21"/>
        </w:rPr>
        <w:t xml:space="preserve"> 厂区废水总排口</w:t>
      </w:r>
      <w:r>
        <w:rPr>
          <w:rFonts w:ascii="Times New Roman" w:hAnsi="Times New Roman" w:cs="Times New Roman"/>
          <w:b/>
          <w:bCs/>
          <w:color w:val="auto"/>
          <w:szCs w:val="21"/>
        </w:rPr>
        <w:t>各个污染物浓度</w:t>
      </w:r>
      <w:r>
        <w:rPr>
          <w:rFonts w:hint="eastAsia" w:ascii="Times New Roman" w:hAnsi="Times New Roman" w:cs="Times New Roman"/>
          <w:b/>
          <w:bCs/>
          <w:color w:val="auto"/>
          <w:szCs w:val="21"/>
        </w:rPr>
        <w:t>及接管量</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652"/>
        <w:gridCol w:w="1698"/>
        <w:gridCol w:w="1959"/>
      </w:tblGrid>
      <w:tr w14:paraId="0CE5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2213" w:type="dxa"/>
            <w:tcBorders>
              <w:bottom w:val="single" w:color="000000" w:sz="4" w:space="0"/>
            </w:tcBorders>
            <w:vAlign w:val="center"/>
          </w:tcPr>
          <w:p w14:paraId="793C1064">
            <w:pPr>
              <w:pStyle w:val="39"/>
              <w:jc w:val="center"/>
              <w:rPr>
                <w:color w:val="auto"/>
                <w:sz w:val="21"/>
                <w:szCs w:val="21"/>
              </w:rPr>
            </w:pPr>
            <w:r>
              <w:rPr>
                <w:rFonts w:hint="eastAsia"/>
                <w:color w:val="auto"/>
                <w:sz w:val="21"/>
                <w:szCs w:val="21"/>
              </w:rPr>
              <w:t>控制指标</w:t>
            </w:r>
          </w:p>
        </w:tc>
        <w:tc>
          <w:tcPr>
            <w:tcW w:w="2652" w:type="dxa"/>
            <w:tcBorders>
              <w:bottom w:val="single" w:color="000000" w:sz="4" w:space="0"/>
            </w:tcBorders>
            <w:vAlign w:val="center"/>
          </w:tcPr>
          <w:p w14:paraId="37E613CE">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平均接管浓度（mg/L）</w:t>
            </w:r>
          </w:p>
        </w:tc>
        <w:tc>
          <w:tcPr>
            <w:tcW w:w="1698" w:type="dxa"/>
            <w:tcBorders>
              <w:bottom w:val="single" w:color="000000" w:sz="4" w:space="0"/>
            </w:tcBorders>
            <w:vAlign w:val="center"/>
          </w:tcPr>
          <w:p w14:paraId="18BB8A82">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接管量（t/a）</w:t>
            </w:r>
          </w:p>
        </w:tc>
        <w:tc>
          <w:tcPr>
            <w:tcW w:w="1959" w:type="dxa"/>
            <w:tcBorders>
              <w:bottom w:val="single" w:color="000000" w:sz="4" w:space="0"/>
            </w:tcBorders>
            <w:vAlign w:val="center"/>
          </w:tcPr>
          <w:p w14:paraId="3D4708D8">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接管标准（mg/L）</w:t>
            </w:r>
          </w:p>
        </w:tc>
      </w:tr>
      <w:tr w14:paraId="10A3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1F6BEAB4">
            <w:pPr>
              <w:pStyle w:val="39"/>
              <w:jc w:val="center"/>
              <w:rPr>
                <w:color w:val="auto"/>
                <w:sz w:val="21"/>
                <w:szCs w:val="21"/>
              </w:rPr>
            </w:pPr>
            <w:r>
              <w:rPr>
                <w:rFonts w:hint="eastAsia"/>
                <w:color w:val="auto"/>
                <w:sz w:val="21"/>
                <w:szCs w:val="21"/>
              </w:rPr>
              <w:t>废水量</w:t>
            </w:r>
          </w:p>
        </w:tc>
        <w:tc>
          <w:tcPr>
            <w:tcW w:w="4350" w:type="dxa"/>
            <w:gridSpan w:val="2"/>
            <w:vAlign w:val="center"/>
          </w:tcPr>
          <w:p w14:paraId="2594A3E4">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5.14</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/d，</w:t>
            </w:r>
            <w:r>
              <w:rPr>
                <w:rFonts w:hint="eastAsia" w:ascii="Times New Roman" w:hAnsi="Times New Roman" w:cs="Times New Roman"/>
                <w:color w:val="auto"/>
                <w:sz w:val="21"/>
                <w:szCs w:val="21"/>
              </w:rPr>
              <w:t>1542</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/a</w:t>
            </w:r>
          </w:p>
        </w:tc>
        <w:tc>
          <w:tcPr>
            <w:tcW w:w="1959" w:type="dxa"/>
            <w:vAlign w:val="center"/>
          </w:tcPr>
          <w:p w14:paraId="2F218B34">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14:paraId="058F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6D51104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pH值（无量纲）</w:t>
            </w:r>
          </w:p>
        </w:tc>
        <w:tc>
          <w:tcPr>
            <w:tcW w:w="4350" w:type="dxa"/>
            <w:gridSpan w:val="2"/>
            <w:vAlign w:val="center"/>
          </w:tcPr>
          <w:p w14:paraId="1AE10D8F">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6~9</w:t>
            </w:r>
          </w:p>
        </w:tc>
        <w:tc>
          <w:tcPr>
            <w:tcW w:w="1959" w:type="dxa"/>
            <w:vAlign w:val="center"/>
          </w:tcPr>
          <w:p w14:paraId="0CDB1567">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6~9</w:t>
            </w:r>
          </w:p>
        </w:tc>
      </w:tr>
      <w:tr w14:paraId="530B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2213" w:type="dxa"/>
            <w:vAlign w:val="center"/>
          </w:tcPr>
          <w:p w14:paraId="6357AEE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化学需氧量</w:t>
            </w:r>
          </w:p>
        </w:tc>
        <w:tc>
          <w:tcPr>
            <w:tcW w:w="2652" w:type="dxa"/>
            <w:vAlign w:val="center"/>
          </w:tcPr>
          <w:p w14:paraId="723806D1">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265.63 </w:t>
            </w:r>
          </w:p>
        </w:tc>
        <w:tc>
          <w:tcPr>
            <w:tcW w:w="1698" w:type="dxa"/>
            <w:vAlign w:val="center"/>
          </w:tcPr>
          <w:p w14:paraId="48026691">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0.4096</w:t>
            </w:r>
          </w:p>
        </w:tc>
        <w:tc>
          <w:tcPr>
            <w:tcW w:w="1959" w:type="dxa"/>
            <w:vAlign w:val="center"/>
          </w:tcPr>
          <w:p w14:paraId="06F86B87">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w:t>
            </w:r>
            <w:r>
              <w:rPr>
                <w:rFonts w:ascii="Times New Roman" w:hAnsi="Times New Roman" w:cs="Times New Roman"/>
                <w:color w:val="auto"/>
                <w:sz w:val="21"/>
                <w:szCs w:val="21"/>
              </w:rPr>
              <w:t>50</w:t>
            </w:r>
          </w:p>
        </w:tc>
      </w:tr>
      <w:tr w14:paraId="5B57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213" w:type="dxa"/>
            <w:vAlign w:val="center"/>
          </w:tcPr>
          <w:p w14:paraId="0EB799F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氨氮</w:t>
            </w:r>
          </w:p>
        </w:tc>
        <w:tc>
          <w:tcPr>
            <w:tcW w:w="2652" w:type="dxa"/>
            <w:vAlign w:val="center"/>
          </w:tcPr>
          <w:p w14:paraId="3F1CFE39">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23.87 </w:t>
            </w:r>
          </w:p>
        </w:tc>
        <w:tc>
          <w:tcPr>
            <w:tcW w:w="1698" w:type="dxa"/>
            <w:vAlign w:val="center"/>
          </w:tcPr>
          <w:p w14:paraId="49A6CC92">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0.0368</w:t>
            </w:r>
          </w:p>
        </w:tc>
        <w:tc>
          <w:tcPr>
            <w:tcW w:w="1959" w:type="dxa"/>
            <w:vAlign w:val="center"/>
          </w:tcPr>
          <w:p w14:paraId="405AB968">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30</w:t>
            </w:r>
          </w:p>
        </w:tc>
      </w:tr>
      <w:tr w14:paraId="76F8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57423F5C">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BOD</w:t>
            </w:r>
            <w:r>
              <w:rPr>
                <w:rFonts w:ascii="Times New Roman" w:hAnsi="Times New Roman" w:cs="Times New Roman"/>
                <w:color w:val="auto"/>
                <w:sz w:val="21"/>
                <w:szCs w:val="21"/>
                <w:vertAlign w:val="subscript"/>
              </w:rPr>
              <w:t>5</w:t>
            </w:r>
          </w:p>
        </w:tc>
        <w:tc>
          <w:tcPr>
            <w:tcW w:w="2652" w:type="dxa"/>
            <w:vAlign w:val="center"/>
          </w:tcPr>
          <w:p w14:paraId="4EA83F4E">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103.89 </w:t>
            </w:r>
          </w:p>
        </w:tc>
        <w:tc>
          <w:tcPr>
            <w:tcW w:w="1698" w:type="dxa"/>
            <w:vAlign w:val="center"/>
          </w:tcPr>
          <w:p w14:paraId="570022D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0.1602</w:t>
            </w:r>
          </w:p>
        </w:tc>
        <w:tc>
          <w:tcPr>
            <w:tcW w:w="1959" w:type="dxa"/>
            <w:vAlign w:val="center"/>
          </w:tcPr>
          <w:p w14:paraId="0EAD8B65">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170</w:t>
            </w:r>
          </w:p>
        </w:tc>
      </w:tr>
      <w:tr w14:paraId="64DB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2E7E64F0">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SS</w:t>
            </w:r>
          </w:p>
        </w:tc>
        <w:tc>
          <w:tcPr>
            <w:tcW w:w="2652" w:type="dxa"/>
            <w:vAlign w:val="center"/>
          </w:tcPr>
          <w:p w14:paraId="0D61071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128.47 </w:t>
            </w:r>
          </w:p>
        </w:tc>
        <w:tc>
          <w:tcPr>
            <w:tcW w:w="1698" w:type="dxa"/>
            <w:vAlign w:val="center"/>
          </w:tcPr>
          <w:p w14:paraId="3FFAFA9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0.1981</w:t>
            </w:r>
          </w:p>
        </w:tc>
        <w:tc>
          <w:tcPr>
            <w:tcW w:w="1959" w:type="dxa"/>
            <w:vAlign w:val="center"/>
          </w:tcPr>
          <w:p w14:paraId="6B6368D9">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210</w:t>
            </w:r>
          </w:p>
        </w:tc>
      </w:tr>
      <w:tr w14:paraId="5620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4A0D0CC7">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甲苯</w:t>
            </w:r>
          </w:p>
        </w:tc>
        <w:tc>
          <w:tcPr>
            <w:tcW w:w="2652" w:type="dxa"/>
            <w:vAlign w:val="center"/>
          </w:tcPr>
          <w:p w14:paraId="2191F59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0.0008 </w:t>
            </w:r>
          </w:p>
        </w:tc>
        <w:tc>
          <w:tcPr>
            <w:tcW w:w="1698" w:type="dxa"/>
            <w:vAlign w:val="center"/>
          </w:tcPr>
          <w:p w14:paraId="2E98A368">
            <w:pPr>
              <w:autoSpaceDE w:val="0"/>
              <w:autoSpaceDN w:val="0"/>
              <w:adjustRightInd w:val="0"/>
              <w:jc w:val="center"/>
              <w:rPr>
                <w:rFonts w:ascii="Times New Roman" w:hAnsi="Times New Roman" w:eastAsia="宋体" w:cs="Times New Roman"/>
                <w:color w:val="auto"/>
                <w:szCs w:val="21"/>
              </w:rPr>
            </w:pPr>
            <w:r>
              <w:rPr>
                <w:rFonts w:hint="eastAsia" w:ascii="Times New Roman" w:hAnsi="Times New Roman" w:cs="Times New Roman"/>
                <w:color w:val="auto"/>
                <w:szCs w:val="21"/>
              </w:rPr>
              <w:t>0.0012kg/a</w:t>
            </w:r>
          </w:p>
        </w:tc>
        <w:tc>
          <w:tcPr>
            <w:tcW w:w="1959" w:type="dxa"/>
            <w:vAlign w:val="center"/>
          </w:tcPr>
          <w:p w14:paraId="4CBE7CD5">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r w14:paraId="380D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3BE94822">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二甲苯</w:t>
            </w:r>
          </w:p>
        </w:tc>
        <w:tc>
          <w:tcPr>
            <w:tcW w:w="2652" w:type="dxa"/>
            <w:vAlign w:val="center"/>
          </w:tcPr>
          <w:p w14:paraId="6B9451B9">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0.0485 </w:t>
            </w:r>
          </w:p>
        </w:tc>
        <w:tc>
          <w:tcPr>
            <w:tcW w:w="1698" w:type="dxa"/>
            <w:vAlign w:val="center"/>
          </w:tcPr>
          <w:p w14:paraId="392F2182">
            <w:pPr>
              <w:autoSpaceDE w:val="0"/>
              <w:autoSpaceDN w:val="0"/>
              <w:adjustRightInd w:val="0"/>
              <w:jc w:val="center"/>
              <w:rPr>
                <w:rFonts w:ascii="Times New Roman" w:hAnsi="Times New Roman" w:cs="Times New Roman"/>
                <w:color w:val="auto"/>
                <w:szCs w:val="21"/>
              </w:rPr>
            </w:pPr>
            <w:r>
              <w:rPr>
                <w:rFonts w:hint="eastAsia" w:ascii="Times New Roman" w:hAnsi="Times New Roman" w:cs="Times New Roman"/>
                <w:color w:val="auto"/>
                <w:szCs w:val="21"/>
              </w:rPr>
              <w:t>0.0748kg/a</w:t>
            </w:r>
          </w:p>
        </w:tc>
        <w:tc>
          <w:tcPr>
            <w:tcW w:w="1959" w:type="dxa"/>
            <w:vAlign w:val="center"/>
          </w:tcPr>
          <w:p w14:paraId="68928A2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bl>
    <w:p w14:paraId="7F4C84A4">
      <w:pPr>
        <w:pStyle w:val="4"/>
        <w:numPr>
          <w:ilvl w:val="2"/>
          <w:numId w:val="39"/>
        </w:numPr>
        <w:tabs>
          <w:tab w:val="clear" w:pos="0"/>
        </w:tabs>
        <w:snapToGrid w:val="0"/>
      </w:pPr>
      <w:r>
        <w:rPr>
          <w:rFonts w:hint="eastAsia"/>
        </w:rPr>
        <w:t>营运期噪声源强</w:t>
      </w:r>
    </w:p>
    <w:p w14:paraId="4A977568">
      <w:pPr>
        <w:pStyle w:val="5"/>
        <w:numPr>
          <w:ilvl w:val="3"/>
          <w:numId w:val="39"/>
        </w:numPr>
        <w:snapToGrid w:val="0"/>
      </w:pPr>
      <w:r>
        <w:rPr>
          <w:rFonts w:hint="eastAsia"/>
        </w:rPr>
        <w:t>噪声源强</w:t>
      </w:r>
    </w:p>
    <w:p w14:paraId="4B309BE5">
      <w:pPr>
        <w:pStyle w:val="41"/>
        <w:snapToGrid w:val="0"/>
        <w:ind w:firstLine="480"/>
        <w:sectPr>
          <w:headerReference r:id="rId12" w:type="default"/>
          <w:pgSz w:w="11906" w:h="16838"/>
          <w:pgMar w:top="1440" w:right="1800" w:bottom="1440" w:left="1800" w:header="851" w:footer="992" w:gutter="0"/>
          <w:pgNumType w:fmt="decimal"/>
          <w:cols w:space="425" w:num="1"/>
          <w:docGrid w:type="lines" w:linePitch="312" w:charSpace="0"/>
        </w:sectPr>
      </w:pPr>
      <w:r>
        <w:rPr>
          <w:rFonts w:hint="eastAsia"/>
        </w:rPr>
        <w:t>本项目营运期噪声主要来自于精密推台锯、砂光机、封边机、空压机、木线机、排钻、侧孔机、立铣机、打砂机等。据类别调查分析，本项目营运期室内、主要噪声源及声源强度见下表。</w:t>
      </w:r>
    </w:p>
    <w:p w14:paraId="2B080F58">
      <w:pPr>
        <w:pStyle w:val="17"/>
        <w:numPr>
          <w:ilvl w:val="0"/>
          <w:numId w:val="40"/>
        </w:numPr>
        <w:jc w:val="center"/>
        <w:rPr>
          <w:rFonts w:ascii="Times New Roman" w:hAnsi="Times New Roman" w:cs="Times New Roman"/>
          <w:b/>
          <w:bCs/>
          <w:szCs w:val="21"/>
        </w:rPr>
      </w:pPr>
      <w:r>
        <w:rPr>
          <w:rFonts w:hint="eastAsia" w:ascii="Times New Roman" w:hAnsi="Times New Roman" w:cs="Times New Roman"/>
          <w:b/>
          <w:bCs/>
          <w:szCs w:val="21"/>
        </w:rPr>
        <w:t xml:space="preserve"> 本项目室内噪声源强</w:t>
      </w:r>
    </w:p>
    <w:tbl>
      <w:tblPr>
        <w:tblStyle w:val="30"/>
        <w:tblW w:w="13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452"/>
        <w:gridCol w:w="694"/>
        <w:gridCol w:w="673"/>
        <w:gridCol w:w="574"/>
        <w:gridCol w:w="632"/>
        <w:gridCol w:w="632"/>
        <w:gridCol w:w="632"/>
        <w:gridCol w:w="524"/>
        <w:gridCol w:w="525"/>
        <w:gridCol w:w="524"/>
        <w:gridCol w:w="525"/>
        <w:gridCol w:w="517"/>
        <w:gridCol w:w="518"/>
        <w:gridCol w:w="517"/>
        <w:gridCol w:w="520"/>
        <w:gridCol w:w="500"/>
        <w:gridCol w:w="499"/>
        <w:gridCol w:w="500"/>
        <w:gridCol w:w="499"/>
        <w:gridCol w:w="532"/>
        <w:gridCol w:w="533"/>
        <w:gridCol w:w="533"/>
        <w:gridCol w:w="534"/>
        <w:gridCol w:w="737"/>
      </w:tblGrid>
      <w:tr w14:paraId="6729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399" w:type="dxa"/>
            <w:vMerge w:val="restart"/>
            <w:shd w:val="clear" w:color="auto" w:fill="auto"/>
            <w:vAlign w:val="center"/>
          </w:tcPr>
          <w:p w14:paraId="2B6111B0">
            <w:pPr>
              <w:jc w:val="center"/>
              <w:rPr>
                <w:rFonts w:ascii="Times New Roman" w:hAnsi="Times New Roman" w:cs="Times New Roman"/>
                <w:bCs/>
                <w:szCs w:val="21"/>
              </w:rPr>
            </w:pPr>
            <w:bookmarkStart w:id="112" w:name="PT_6"/>
            <w:r>
              <w:rPr>
                <w:rFonts w:ascii="Times New Roman" w:hAnsi="Times New Roman" w:cs="Times New Roman"/>
                <w:bCs/>
                <w:szCs w:val="21"/>
              </w:rPr>
              <w:t>序号</w:t>
            </w:r>
          </w:p>
        </w:tc>
        <w:tc>
          <w:tcPr>
            <w:tcW w:w="452" w:type="dxa"/>
            <w:vMerge w:val="restart"/>
            <w:shd w:val="clear" w:color="auto" w:fill="auto"/>
            <w:vAlign w:val="center"/>
          </w:tcPr>
          <w:p w14:paraId="0CA59FAE">
            <w:pPr>
              <w:jc w:val="center"/>
              <w:rPr>
                <w:rFonts w:ascii="Times New Roman" w:hAnsi="Times New Roman" w:cs="Times New Roman"/>
                <w:bCs/>
                <w:szCs w:val="21"/>
              </w:rPr>
            </w:pPr>
            <w:r>
              <w:rPr>
                <w:rFonts w:ascii="Times New Roman" w:hAnsi="Times New Roman" w:cs="Times New Roman"/>
                <w:bCs/>
                <w:szCs w:val="21"/>
              </w:rPr>
              <w:t>建筑物名称</w:t>
            </w:r>
          </w:p>
        </w:tc>
        <w:tc>
          <w:tcPr>
            <w:tcW w:w="694" w:type="dxa"/>
            <w:vMerge w:val="restart"/>
            <w:shd w:val="clear" w:color="auto" w:fill="auto"/>
            <w:vAlign w:val="center"/>
          </w:tcPr>
          <w:p w14:paraId="5F4B6825">
            <w:pPr>
              <w:jc w:val="center"/>
              <w:rPr>
                <w:rFonts w:ascii="Times New Roman" w:hAnsi="Times New Roman" w:cs="Times New Roman"/>
                <w:bCs/>
                <w:szCs w:val="21"/>
              </w:rPr>
            </w:pPr>
            <w:r>
              <w:rPr>
                <w:rFonts w:ascii="Times New Roman" w:hAnsi="Times New Roman" w:cs="Times New Roman"/>
                <w:bCs/>
                <w:szCs w:val="21"/>
              </w:rPr>
              <w:t>声源名称</w:t>
            </w:r>
          </w:p>
        </w:tc>
        <w:tc>
          <w:tcPr>
            <w:tcW w:w="673" w:type="dxa"/>
            <w:shd w:val="clear" w:color="auto" w:fill="auto"/>
            <w:vAlign w:val="center"/>
          </w:tcPr>
          <w:p w14:paraId="558BC9AF">
            <w:pPr>
              <w:jc w:val="center"/>
              <w:rPr>
                <w:rFonts w:ascii="Times New Roman" w:hAnsi="Times New Roman" w:cs="Times New Roman"/>
                <w:bCs/>
                <w:szCs w:val="21"/>
              </w:rPr>
            </w:pPr>
            <w:r>
              <w:rPr>
                <w:rFonts w:ascii="Times New Roman" w:hAnsi="Times New Roman" w:cs="Times New Roman"/>
                <w:bCs/>
                <w:szCs w:val="21"/>
              </w:rPr>
              <w:t>声源源强</w:t>
            </w:r>
          </w:p>
        </w:tc>
        <w:tc>
          <w:tcPr>
            <w:tcW w:w="574" w:type="dxa"/>
            <w:vMerge w:val="restart"/>
            <w:shd w:val="clear" w:color="auto" w:fill="auto"/>
            <w:vAlign w:val="center"/>
          </w:tcPr>
          <w:p w14:paraId="18810AA8">
            <w:pPr>
              <w:jc w:val="center"/>
              <w:rPr>
                <w:rFonts w:ascii="Times New Roman" w:hAnsi="Times New Roman" w:cs="Times New Roman"/>
                <w:bCs/>
                <w:szCs w:val="21"/>
              </w:rPr>
            </w:pPr>
            <w:r>
              <w:rPr>
                <w:rFonts w:ascii="Times New Roman" w:hAnsi="Times New Roman" w:cs="Times New Roman"/>
                <w:bCs/>
                <w:szCs w:val="21"/>
              </w:rPr>
              <w:t>声源控制措施</w:t>
            </w:r>
          </w:p>
        </w:tc>
        <w:tc>
          <w:tcPr>
            <w:tcW w:w="1896" w:type="dxa"/>
            <w:gridSpan w:val="3"/>
            <w:shd w:val="clear" w:color="auto" w:fill="auto"/>
            <w:vAlign w:val="center"/>
          </w:tcPr>
          <w:p w14:paraId="11ADADDD">
            <w:pPr>
              <w:jc w:val="center"/>
              <w:rPr>
                <w:rFonts w:ascii="Times New Roman" w:hAnsi="Times New Roman" w:cs="Times New Roman"/>
                <w:bCs/>
                <w:szCs w:val="21"/>
              </w:rPr>
            </w:pPr>
            <w:r>
              <w:rPr>
                <w:rFonts w:ascii="Times New Roman" w:hAnsi="Times New Roman" w:cs="Times New Roman"/>
                <w:bCs/>
                <w:szCs w:val="21"/>
              </w:rPr>
              <w:t>空间相对位置/m</w:t>
            </w:r>
          </w:p>
        </w:tc>
        <w:tc>
          <w:tcPr>
            <w:tcW w:w="2098" w:type="dxa"/>
            <w:gridSpan w:val="4"/>
            <w:shd w:val="clear" w:color="auto" w:fill="auto"/>
            <w:vAlign w:val="center"/>
          </w:tcPr>
          <w:p w14:paraId="13EA9EBA">
            <w:pPr>
              <w:jc w:val="center"/>
              <w:rPr>
                <w:rFonts w:ascii="Times New Roman" w:hAnsi="Times New Roman" w:cs="Times New Roman"/>
                <w:bCs/>
                <w:szCs w:val="21"/>
              </w:rPr>
            </w:pPr>
            <w:r>
              <w:rPr>
                <w:rFonts w:ascii="Times New Roman" w:hAnsi="Times New Roman" w:cs="Times New Roman"/>
                <w:bCs/>
                <w:szCs w:val="21"/>
              </w:rPr>
              <w:t>距室内边界距离/m</w:t>
            </w:r>
          </w:p>
        </w:tc>
        <w:tc>
          <w:tcPr>
            <w:tcW w:w="2072" w:type="dxa"/>
            <w:gridSpan w:val="4"/>
            <w:shd w:val="clear" w:color="auto" w:fill="auto"/>
            <w:vAlign w:val="center"/>
          </w:tcPr>
          <w:p w14:paraId="141B1562">
            <w:pPr>
              <w:jc w:val="center"/>
              <w:rPr>
                <w:rFonts w:ascii="Times New Roman" w:hAnsi="Times New Roman" w:cs="Times New Roman"/>
                <w:bCs/>
                <w:szCs w:val="21"/>
              </w:rPr>
            </w:pPr>
            <w:r>
              <w:rPr>
                <w:rFonts w:ascii="Times New Roman" w:hAnsi="Times New Roman" w:cs="Times New Roman"/>
                <w:bCs/>
                <w:szCs w:val="21"/>
              </w:rPr>
              <w:t>室内边界声级/dB(A)</w:t>
            </w:r>
          </w:p>
        </w:tc>
        <w:tc>
          <w:tcPr>
            <w:tcW w:w="1998" w:type="dxa"/>
            <w:gridSpan w:val="4"/>
            <w:shd w:val="clear" w:color="auto" w:fill="auto"/>
            <w:vAlign w:val="center"/>
          </w:tcPr>
          <w:p w14:paraId="020997A6">
            <w:pPr>
              <w:jc w:val="center"/>
              <w:rPr>
                <w:rFonts w:ascii="Times New Roman" w:hAnsi="Times New Roman" w:cs="Times New Roman"/>
                <w:bCs/>
                <w:color w:val="auto"/>
                <w:szCs w:val="21"/>
              </w:rPr>
            </w:pPr>
            <w:r>
              <w:rPr>
                <w:rFonts w:ascii="Times New Roman" w:hAnsi="Times New Roman" w:cs="Times New Roman"/>
                <w:bCs/>
                <w:color w:val="auto"/>
                <w:szCs w:val="21"/>
              </w:rPr>
              <w:t>建筑物插入损失/dB(A)</w:t>
            </w:r>
            <w:bookmarkStart w:id="113" w:name="PT_10"/>
            <w:bookmarkEnd w:id="113"/>
          </w:p>
        </w:tc>
        <w:tc>
          <w:tcPr>
            <w:tcW w:w="2869" w:type="dxa"/>
            <w:gridSpan w:val="5"/>
            <w:shd w:val="clear" w:color="auto" w:fill="auto"/>
            <w:vAlign w:val="center"/>
          </w:tcPr>
          <w:p w14:paraId="09C91163">
            <w:pPr>
              <w:jc w:val="center"/>
              <w:rPr>
                <w:rFonts w:ascii="Times New Roman" w:hAnsi="Times New Roman" w:cs="Times New Roman"/>
                <w:bCs/>
                <w:szCs w:val="21"/>
              </w:rPr>
            </w:pPr>
            <w:r>
              <w:rPr>
                <w:rFonts w:ascii="Times New Roman" w:hAnsi="Times New Roman" w:cs="Times New Roman"/>
                <w:bCs/>
                <w:szCs w:val="21"/>
              </w:rPr>
              <w:t>建筑物外噪声声压级/dB(A)</w:t>
            </w:r>
          </w:p>
        </w:tc>
      </w:tr>
      <w:tr w14:paraId="07E9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vMerge w:val="continue"/>
            <w:shd w:val="clear" w:color="auto" w:fill="auto"/>
            <w:tcMar>
              <w:top w:w="0" w:type="dxa"/>
              <w:left w:w="0" w:type="dxa"/>
              <w:bottom w:w="0" w:type="dxa"/>
              <w:right w:w="0" w:type="dxa"/>
            </w:tcMar>
            <w:vAlign w:val="center"/>
          </w:tcPr>
          <w:p w14:paraId="77AE8F73">
            <w:pPr>
              <w:jc w:val="center"/>
              <w:rPr>
                <w:rFonts w:ascii="Times New Roman" w:hAnsi="Times New Roman" w:cs="Times New Roman"/>
                <w:bCs/>
                <w:szCs w:val="21"/>
              </w:rPr>
            </w:pPr>
          </w:p>
        </w:tc>
        <w:tc>
          <w:tcPr>
            <w:tcW w:w="452" w:type="dxa"/>
            <w:vMerge w:val="continue"/>
            <w:shd w:val="clear" w:color="auto" w:fill="auto"/>
            <w:tcMar>
              <w:top w:w="0" w:type="dxa"/>
              <w:left w:w="0" w:type="dxa"/>
              <w:bottom w:w="0" w:type="dxa"/>
              <w:right w:w="0" w:type="dxa"/>
            </w:tcMar>
            <w:vAlign w:val="center"/>
          </w:tcPr>
          <w:p w14:paraId="278B5D64">
            <w:pPr>
              <w:jc w:val="center"/>
              <w:rPr>
                <w:rFonts w:ascii="Times New Roman" w:hAnsi="Times New Roman" w:cs="Times New Roman"/>
                <w:bCs/>
                <w:szCs w:val="21"/>
              </w:rPr>
            </w:pPr>
          </w:p>
        </w:tc>
        <w:tc>
          <w:tcPr>
            <w:tcW w:w="694" w:type="dxa"/>
            <w:vMerge w:val="continue"/>
            <w:shd w:val="clear" w:color="auto" w:fill="auto"/>
            <w:tcMar>
              <w:top w:w="0" w:type="dxa"/>
              <w:left w:w="0" w:type="dxa"/>
              <w:bottom w:w="0" w:type="dxa"/>
              <w:right w:w="0" w:type="dxa"/>
            </w:tcMar>
            <w:vAlign w:val="center"/>
          </w:tcPr>
          <w:p w14:paraId="3C0195A5">
            <w:pPr>
              <w:jc w:val="center"/>
              <w:rPr>
                <w:rFonts w:ascii="Times New Roman" w:hAnsi="Times New Roman" w:cs="Times New Roman"/>
                <w:bCs/>
                <w:szCs w:val="21"/>
              </w:rPr>
            </w:pPr>
          </w:p>
        </w:tc>
        <w:tc>
          <w:tcPr>
            <w:tcW w:w="673" w:type="dxa"/>
            <w:shd w:val="clear" w:color="auto" w:fill="auto"/>
            <w:tcMar>
              <w:top w:w="0" w:type="dxa"/>
              <w:left w:w="0" w:type="dxa"/>
              <w:bottom w:w="0" w:type="dxa"/>
              <w:right w:w="0" w:type="dxa"/>
            </w:tcMar>
            <w:vAlign w:val="center"/>
          </w:tcPr>
          <w:p w14:paraId="2E085920">
            <w:pPr>
              <w:jc w:val="center"/>
              <w:rPr>
                <w:rFonts w:ascii="Times New Roman" w:hAnsi="Times New Roman" w:cs="Times New Roman"/>
                <w:bCs/>
                <w:szCs w:val="21"/>
              </w:rPr>
            </w:pPr>
            <w:r>
              <w:rPr>
                <w:rFonts w:ascii="Times New Roman" w:hAnsi="Times New Roman" w:cs="Times New Roman"/>
                <w:bCs/>
                <w:szCs w:val="21"/>
              </w:rPr>
              <w:t>声功率级/dB(A)</w:t>
            </w:r>
          </w:p>
        </w:tc>
        <w:tc>
          <w:tcPr>
            <w:tcW w:w="574" w:type="dxa"/>
            <w:vMerge w:val="continue"/>
            <w:shd w:val="clear" w:color="auto" w:fill="auto"/>
            <w:tcMar>
              <w:top w:w="0" w:type="dxa"/>
              <w:left w:w="0" w:type="dxa"/>
              <w:bottom w:w="0" w:type="dxa"/>
              <w:right w:w="0" w:type="dxa"/>
            </w:tcMar>
            <w:vAlign w:val="center"/>
          </w:tcPr>
          <w:p w14:paraId="3EA8ED09">
            <w:pPr>
              <w:jc w:val="center"/>
              <w:rPr>
                <w:rFonts w:ascii="Times New Roman" w:hAnsi="Times New Roman" w:cs="Times New Roman"/>
                <w:bCs/>
                <w:szCs w:val="21"/>
              </w:rPr>
            </w:pPr>
          </w:p>
        </w:tc>
        <w:tc>
          <w:tcPr>
            <w:tcW w:w="632" w:type="dxa"/>
            <w:shd w:val="clear" w:color="auto" w:fill="auto"/>
            <w:tcMar>
              <w:top w:w="0" w:type="dxa"/>
              <w:left w:w="0" w:type="dxa"/>
              <w:bottom w:w="0" w:type="dxa"/>
              <w:right w:w="0" w:type="dxa"/>
            </w:tcMar>
            <w:vAlign w:val="center"/>
          </w:tcPr>
          <w:p w14:paraId="632A3A3F">
            <w:pPr>
              <w:jc w:val="center"/>
              <w:rPr>
                <w:rFonts w:ascii="Times New Roman" w:hAnsi="Times New Roman" w:cs="Times New Roman"/>
                <w:bCs/>
                <w:szCs w:val="21"/>
              </w:rPr>
            </w:pPr>
            <w:r>
              <w:rPr>
                <w:rFonts w:ascii="Times New Roman" w:hAnsi="Times New Roman" w:cs="Times New Roman"/>
                <w:bCs/>
                <w:szCs w:val="21"/>
              </w:rPr>
              <w:t>X</w:t>
            </w:r>
          </w:p>
        </w:tc>
        <w:tc>
          <w:tcPr>
            <w:tcW w:w="632" w:type="dxa"/>
            <w:shd w:val="clear" w:color="auto" w:fill="auto"/>
            <w:tcMar>
              <w:top w:w="0" w:type="dxa"/>
              <w:left w:w="0" w:type="dxa"/>
              <w:bottom w:w="0" w:type="dxa"/>
              <w:right w:w="0" w:type="dxa"/>
            </w:tcMar>
            <w:vAlign w:val="center"/>
          </w:tcPr>
          <w:p w14:paraId="08ACA647">
            <w:pPr>
              <w:jc w:val="center"/>
              <w:rPr>
                <w:rFonts w:ascii="Times New Roman" w:hAnsi="Times New Roman" w:cs="Times New Roman"/>
                <w:bCs/>
                <w:szCs w:val="21"/>
              </w:rPr>
            </w:pPr>
            <w:r>
              <w:rPr>
                <w:rFonts w:ascii="Times New Roman" w:hAnsi="Times New Roman" w:cs="Times New Roman"/>
                <w:bCs/>
                <w:szCs w:val="21"/>
              </w:rPr>
              <w:t>Y</w:t>
            </w:r>
          </w:p>
        </w:tc>
        <w:tc>
          <w:tcPr>
            <w:tcW w:w="632" w:type="dxa"/>
            <w:shd w:val="clear" w:color="auto" w:fill="auto"/>
            <w:tcMar>
              <w:top w:w="0" w:type="dxa"/>
              <w:left w:w="0" w:type="dxa"/>
              <w:bottom w:w="0" w:type="dxa"/>
              <w:right w:w="0" w:type="dxa"/>
            </w:tcMar>
            <w:vAlign w:val="center"/>
          </w:tcPr>
          <w:p w14:paraId="78B48D5A">
            <w:pPr>
              <w:jc w:val="center"/>
              <w:rPr>
                <w:rFonts w:ascii="Times New Roman" w:hAnsi="Times New Roman" w:cs="Times New Roman"/>
                <w:bCs/>
                <w:szCs w:val="21"/>
              </w:rPr>
            </w:pPr>
            <w:r>
              <w:rPr>
                <w:rFonts w:ascii="Times New Roman" w:hAnsi="Times New Roman" w:cs="Times New Roman"/>
                <w:bCs/>
                <w:szCs w:val="21"/>
              </w:rPr>
              <w:t>Z</w:t>
            </w:r>
          </w:p>
        </w:tc>
        <w:tc>
          <w:tcPr>
            <w:tcW w:w="524" w:type="dxa"/>
            <w:shd w:val="clear" w:color="auto" w:fill="auto"/>
            <w:tcMar>
              <w:top w:w="0" w:type="dxa"/>
              <w:left w:w="0" w:type="dxa"/>
              <w:bottom w:w="0" w:type="dxa"/>
              <w:right w:w="0" w:type="dxa"/>
            </w:tcMar>
            <w:vAlign w:val="center"/>
          </w:tcPr>
          <w:p w14:paraId="04A34994">
            <w:pPr>
              <w:jc w:val="center"/>
              <w:rPr>
                <w:rFonts w:ascii="Times New Roman" w:hAnsi="Times New Roman" w:cs="Times New Roman"/>
                <w:bCs/>
                <w:szCs w:val="21"/>
              </w:rPr>
            </w:pPr>
            <w:r>
              <w:rPr>
                <w:rFonts w:ascii="Times New Roman" w:hAnsi="Times New Roman" w:cs="Times New Roman"/>
                <w:bCs/>
                <w:szCs w:val="21"/>
              </w:rPr>
              <w:t>东</w:t>
            </w:r>
          </w:p>
        </w:tc>
        <w:tc>
          <w:tcPr>
            <w:tcW w:w="525" w:type="dxa"/>
            <w:shd w:val="clear" w:color="auto" w:fill="auto"/>
            <w:tcMar>
              <w:top w:w="0" w:type="dxa"/>
              <w:left w:w="0" w:type="dxa"/>
              <w:bottom w:w="0" w:type="dxa"/>
              <w:right w:w="0" w:type="dxa"/>
            </w:tcMar>
            <w:vAlign w:val="center"/>
          </w:tcPr>
          <w:p w14:paraId="45B8DA9A">
            <w:pPr>
              <w:jc w:val="center"/>
              <w:rPr>
                <w:rFonts w:ascii="Times New Roman" w:hAnsi="Times New Roman" w:cs="Times New Roman"/>
                <w:bCs/>
                <w:szCs w:val="21"/>
              </w:rPr>
            </w:pPr>
            <w:r>
              <w:rPr>
                <w:rFonts w:ascii="Times New Roman" w:hAnsi="Times New Roman" w:cs="Times New Roman"/>
                <w:bCs/>
                <w:szCs w:val="21"/>
              </w:rPr>
              <w:t>南</w:t>
            </w:r>
          </w:p>
        </w:tc>
        <w:tc>
          <w:tcPr>
            <w:tcW w:w="524" w:type="dxa"/>
            <w:shd w:val="clear" w:color="auto" w:fill="auto"/>
            <w:tcMar>
              <w:top w:w="0" w:type="dxa"/>
              <w:left w:w="0" w:type="dxa"/>
              <w:bottom w:w="0" w:type="dxa"/>
              <w:right w:w="0" w:type="dxa"/>
            </w:tcMar>
            <w:vAlign w:val="center"/>
          </w:tcPr>
          <w:p w14:paraId="4C076C00">
            <w:pPr>
              <w:jc w:val="center"/>
              <w:rPr>
                <w:rFonts w:ascii="Times New Roman" w:hAnsi="Times New Roman" w:cs="Times New Roman"/>
                <w:bCs/>
                <w:szCs w:val="21"/>
              </w:rPr>
            </w:pPr>
            <w:r>
              <w:rPr>
                <w:rFonts w:ascii="Times New Roman" w:hAnsi="Times New Roman" w:cs="Times New Roman"/>
                <w:bCs/>
                <w:szCs w:val="21"/>
              </w:rPr>
              <w:t>西</w:t>
            </w:r>
          </w:p>
        </w:tc>
        <w:tc>
          <w:tcPr>
            <w:tcW w:w="525" w:type="dxa"/>
            <w:shd w:val="clear" w:color="auto" w:fill="auto"/>
            <w:tcMar>
              <w:top w:w="0" w:type="dxa"/>
              <w:left w:w="0" w:type="dxa"/>
              <w:bottom w:w="0" w:type="dxa"/>
              <w:right w:w="0" w:type="dxa"/>
            </w:tcMar>
            <w:vAlign w:val="center"/>
          </w:tcPr>
          <w:p w14:paraId="77582AA9">
            <w:pPr>
              <w:jc w:val="center"/>
              <w:rPr>
                <w:rFonts w:ascii="Times New Roman" w:hAnsi="Times New Roman" w:cs="Times New Roman"/>
                <w:bCs/>
                <w:szCs w:val="21"/>
              </w:rPr>
            </w:pPr>
            <w:r>
              <w:rPr>
                <w:rFonts w:ascii="Times New Roman" w:hAnsi="Times New Roman" w:cs="Times New Roman"/>
                <w:bCs/>
                <w:szCs w:val="21"/>
              </w:rPr>
              <w:t>北</w:t>
            </w:r>
          </w:p>
        </w:tc>
        <w:tc>
          <w:tcPr>
            <w:tcW w:w="517" w:type="dxa"/>
            <w:shd w:val="clear" w:color="auto" w:fill="auto"/>
            <w:tcMar>
              <w:top w:w="0" w:type="dxa"/>
              <w:left w:w="0" w:type="dxa"/>
              <w:bottom w:w="0" w:type="dxa"/>
              <w:right w:w="0" w:type="dxa"/>
            </w:tcMar>
            <w:vAlign w:val="center"/>
          </w:tcPr>
          <w:p w14:paraId="284E0B61">
            <w:pPr>
              <w:jc w:val="center"/>
              <w:rPr>
                <w:rFonts w:ascii="Times New Roman" w:hAnsi="Times New Roman" w:cs="Times New Roman"/>
                <w:bCs/>
                <w:szCs w:val="21"/>
              </w:rPr>
            </w:pPr>
            <w:r>
              <w:rPr>
                <w:rFonts w:ascii="Times New Roman" w:hAnsi="Times New Roman" w:cs="Times New Roman"/>
                <w:bCs/>
                <w:szCs w:val="21"/>
              </w:rPr>
              <w:t>东</w:t>
            </w:r>
          </w:p>
        </w:tc>
        <w:tc>
          <w:tcPr>
            <w:tcW w:w="518" w:type="dxa"/>
            <w:shd w:val="clear" w:color="auto" w:fill="auto"/>
            <w:tcMar>
              <w:top w:w="0" w:type="dxa"/>
              <w:left w:w="0" w:type="dxa"/>
              <w:bottom w:w="0" w:type="dxa"/>
              <w:right w:w="0" w:type="dxa"/>
            </w:tcMar>
            <w:vAlign w:val="center"/>
          </w:tcPr>
          <w:p w14:paraId="480F9298">
            <w:pPr>
              <w:jc w:val="center"/>
              <w:rPr>
                <w:rFonts w:ascii="Times New Roman" w:hAnsi="Times New Roman" w:cs="Times New Roman"/>
                <w:bCs/>
                <w:szCs w:val="21"/>
              </w:rPr>
            </w:pPr>
            <w:r>
              <w:rPr>
                <w:rFonts w:ascii="Times New Roman" w:hAnsi="Times New Roman" w:cs="Times New Roman"/>
                <w:bCs/>
                <w:szCs w:val="21"/>
              </w:rPr>
              <w:t>南</w:t>
            </w:r>
          </w:p>
        </w:tc>
        <w:tc>
          <w:tcPr>
            <w:tcW w:w="517" w:type="dxa"/>
            <w:shd w:val="clear" w:color="auto" w:fill="auto"/>
            <w:tcMar>
              <w:top w:w="0" w:type="dxa"/>
              <w:left w:w="0" w:type="dxa"/>
              <w:bottom w:w="0" w:type="dxa"/>
              <w:right w:w="0" w:type="dxa"/>
            </w:tcMar>
            <w:vAlign w:val="center"/>
          </w:tcPr>
          <w:p w14:paraId="769BC86B">
            <w:pPr>
              <w:jc w:val="center"/>
              <w:rPr>
                <w:rFonts w:ascii="Times New Roman" w:hAnsi="Times New Roman" w:cs="Times New Roman"/>
                <w:bCs/>
                <w:szCs w:val="21"/>
              </w:rPr>
            </w:pPr>
            <w:r>
              <w:rPr>
                <w:rFonts w:ascii="Times New Roman" w:hAnsi="Times New Roman" w:cs="Times New Roman"/>
                <w:bCs/>
                <w:szCs w:val="21"/>
              </w:rPr>
              <w:t>西</w:t>
            </w:r>
          </w:p>
        </w:tc>
        <w:tc>
          <w:tcPr>
            <w:tcW w:w="520" w:type="dxa"/>
            <w:shd w:val="clear" w:color="auto" w:fill="auto"/>
            <w:tcMar>
              <w:top w:w="0" w:type="dxa"/>
              <w:left w:w="0" w:type="dxa"/>
              <w:bottom w:w="0" w:type="dxa"/>
              <w:right w:w="0" w:type="dxa"/>
            </w:tcMar>
            <w:vAlign w:val="center"/>
          </w:tcPr>
          <w:p w14:paraId="70840F57">
            <w:pPr>
              <w:jc w:val="center"/>
              <w:rPr>
                <w:rFonts w:ascii="Times New Roman" w:hAnsi="Times New Roman" w:cs="Times New Roman"/>
                <w:bCs/>
                <w:szCs w:val="21"/>
              </w:rPr>
            </w:pPr>
            <w:r>
              <w:rPr>
                <w:rFonts w:ascii="Times New Roman" w:hAnsi="Times New Roman" w:cs="Times New Roman"/>
                <w:bCs/>
                <w:szCs w:val="21"/>
              </w:rPr>
              <w:t>北</w:t>
            </w:r>
          </w:p>
        </w:tc>
        <w:tc>
          <w:tcPr>
            <w:tcW w:w="500" w:type="dxa"/>
            <w:shd w:val="clear" w:color="auto" w:fill="auto"/>
            <w:tcMar>
              <w:top w:w="0" w:type="dxa"/>
              <w:left w:w="0" w:type="dxa"/>
              <w:bottom w:w="0" w:type="dxa"/>
              <w:right w:w="0" w:type="dxa"/>
            </w:tcMar>
            <w:vAlign w:val="center"/>
          </w:tcPr>
          <w:p w14:paraId="3702EDF4">
            <w:pPr>
              <w:jc w:val="center"/>
              <w:rPr>
                <w:rFonts w:ascii="Times New Roman" w:hAnsi="Times New Roman" w:cs="Times New Roman"/>
                <w:bCs/>
                <w:color w:val="auto"/>
                <w:szCs w:val="21"/>
              </w:rPr>
            </w:pPr>
            <w:r>
              <w:rPr>
                <w:rFonts w:ascii="Times New Roman" w:hAnsi="Times New Roman" w:cs="Times New Roman"/>
                <w:bCs/>
                <w:color w:val="auto"/>
                <w:szCs w:val="21"/>
              </w:rPr>
              <w:t>东</w:t>
            </w:r>
          </w:p>
        </w:tc>
        <w:tc>
          <w:tcPr>
            <w:tcW w:w="499" w:type="dxa"/>
            <w:shd w:val="clear" w:color="auto" w:fill="auto"/>
            <w:tcMar>
              <w:top w:w="0" w:type="dxa"/>
              <w:left w:w="0" w:type="dxa"/>
              <w:bottom w:w="0" w:type="dxa"/>
              <w:right w:w="0" w:type="dxa"/>
            </w:tcMar>
            <w:vAlign w:val="center"/>
          </w:tcPr>
          <w:p w14:paraId="7BE7F548">
            <w:pPr>
              <w:jc w:val="center"/>
              <w:rPr>
                <w:rFonts w:ascii="Times New Roman" w:hAnsi="Times New Roman" w:cs="Times New Roman"/>
                <w:bCs/>
                <w:color w:val="auto"/>
                <w:szCs w:val="21"/>
              </w:rPr>
            </w:pPr>
            <w:r>
              <w:rPr>
                <w:rFonts w:ascii="Times New Roman" w:hAnsi="Times New Roman" w:cs="Times New Roman"/>
                <w:bCs/>
                <w:color w:val="auto"/>
                <w:szCs w:val="21"/>
              </w:rPr>
              <w:t>南</w:t>
            </w:r>
          </w:p>
        </w:tc>
        <w:tc>
          <w:tcPr>
            <w:tcW w:w="500" w:type="dxa"/>
            <w:shd w:val="clear" w:color="auto" w:fill="auto"/>
            <w:tcMar>
              <w:top w:w="0" w:type="dxa"/>
              <w:left w:w="0" w:type="dxa"/>
              <w:bottom w:w="0" w:type="dxa"/>
              <w:right w:w="0" w:type="dxa"/>
            </w:tcMar>
            <w:vAlign w:val="center"/>
          </w:tcPr>
          <w:p w14:paraId="1AC21814">
            <w:pPr>
              <w:jc w:val="center"/>
              <w:rPr>
                <w:rFonts w:ascii="Times New Roman" w:hAnsi="Times New Roman" w:cs="Times New Roman"/>
                <w:bCs/>
                <w:color w:val="auto"/>
                <w:szCs w:val="21"/>
              </w:rPr>
            </w:pPr>
            <w:r>
              <w:rPr>
                <w:rFonts w:ascii="Times New Roman" w:hAnsi="Times New Roman" w:cs="Times New Roman"/>
                <w:bCs/>
                <w:color w:val="auto"/>
                <w:szCs w:val="21"/>
              </w:rPr>
              <w:t>西</w:t>
            </w:r>
          </w:p>
        </w:tc>
        <w:tc>
          <w:tcPr>
            <w:tcW w:w="499" w:type="dxa"/>
            <w:shd w:val="clear" w:color="auto" w:fill="auto"/>
            <w:tcMar>
              <w:top w:w="0" w:type="dxa"/>
              <w:left w:w="0" w:type="dxa"/>
              <w:bottom w:w="0" w:type="dxa"/>
              <w:right w:w="0" w:type="dxa"/>
            </w:tcMar>
            <w:vAlign w:val="center"/>
          </w:tcPr>
          <w:p w14:paraId="5335E8B3">
            <w:pPr>
              <w:jc w:val="center"/>
              <w:rPr>
                <w:rFonts w:ascii="Times New Roman" w:hAnsi="Times New Roman" w:cs="Times New Roman"/>
                <w:bCs/>
                <w:color w:val="auto"/>
                <w:szCs w:val="21"/>
              </w:rPr>
            </w:pPr>
            <w:r>
              <w:rPr>
                <w:rFonts w:ascii="Times New Roman" w:hAnsi="Times New Roman" w:cs="Times New Roman"/>
                <w:bCs/>
                <w:color w:val="auto"/>
                <w:szCs w:val="21"/>
              </w:rPr>
              <w:t>北</w:t>
            </w:r>
          </w:p>
        </w:tc>
        <w:tc>
          <w:tcPr>
            <w:tcW w:w="532" w:type="dxa"/>
            <w:shd w:val="clear" w:color="auto" w:fill="auto"/>
            <w:tcMar>
              <w:top w:w="0" w:type="dxa"/>
              <w:left w:w="0" w:type="dxa"/>
              <w:bottom w:w="0" w:type="dxa"/>
              <w:right w:w="0" w:type="dxa"/>
            </w:tcMar>
            <w:vAlign w:val="center"/>
          </w:tcPr>
          <w:p w14:paraId="7442F8F5">
            <w:pPr>
              <w:jc w:val="center"/>
              <w:rPr>
                <w:rFonts w:ascii="Times New Roman" w:hAnsi="Times New Roman" w:cs="Times New Roman"/>
                <w:bCs/>
                <w:szCs w:val="21"/>
              </w:rPr>
            </w:pPr>
            <w:r>
              <w:rPr>
                <w:rFonts w:ascii="Times New Roman" w:hAnsi="Times New Roman" w:cs="Times New Roman"/>
                <w:bCs/>
                <w:szCs w:val="21"/>
              </w:rPr>
              <w:t>东</w:t>
            </w:r>
          </w:p>
        </w:tc>
        <w:tc>
          <w:tcPr>
            <w:tcW w:w="533" w:type="dxa"/>
            <w:shd w:val="clear" w:color="auto" w:fill="auto"/>
            <w:tcMar>
              <w:top w:w="0" w:type="dxa"/>
              <w:left w:w="0" w:type="dxa"/>
              <w:bottom w:w="0" w:type="dxa"/>
              <w:right w:w="0" w:type="dxa"/>
            </w:tcMar>
            <w:vAlign w:val="center"/>
          </w:tcPr>
          <w:p w14:paraId="51EEA073">
            <w:pPr>
              <w:jc w:val="center"/>
              <w:rPr>
                <w:rFonts w:ascii="Times New Roman" w:hAnsi="Times New Roman" w:cs="Times New Roman"/>
                <w:bCs/>
                <w:szCs w:val="21"/>
              </w:rPr>
            </w:pPr>
            <w:r>
              <w:rPr>
                <w:rFonts w:ascii="Times New Roman" w:hAnsi="Times New Roman" w:cs="Times New Roman"/>
                <w:bCs/>
                <w:szCs w:val="21"/>
              </w:rPr>
              <w:t>南</w:t>
            </w:r>
          </w:p>
        </w:tc>
        <w:tc>
          <w:tcPr>
            <w:tcW w:w="533" w:type="dxa"/>
            <w:shd w:val="clear" w:color="auto" w:fill="auto"/>
            <w:tcMar>
              <w:top w:w="0" w:type="dxa"/>
              <w:left w:w="0" w:type="dxa"/>
              <w:bottom w:w="0" w:type="dxa"/>
              <w:right w:w="0" w:type="dxa"/>
            </w:tcMar>
            <w:vAlign w:val="center"/>
          </w:tcPr>
          <w:p w14:paraId="65E26E3B">
            <w:pPr>
              <w:jc w:val="center"/>
              <w:rPr>
                <w:rFonts w:ascii="Times New Roman" w:hAnsi="Times New Roman" w:cs="Times New Roman"/>
                <w:bCs/>
                <w:szCs w:val="21"/>
              </w:rPr>
            </w:pPr>
            <w:r>
              <w:rPr>
                <w:rFonts w:ascii="Times New Roman" w:hAnsi="Times New Roman" w:cs="Times New Roman"/>
                <w:bCs/>
                <w:szCs w:val="21"/>
              </w:rPr>
              <w:t>西</w:t>
            </w:r>
          </w:p>
        </w:tc>
        <w:tc>
          <w:tcPr>
            <w:tcW w:w="534" w:type="dxa"/>
            <w:shd w:val="clear" w:color="auto" w:fill="auto"/>
            <w:tcMar>
              <w:top w:w="0" w:type="dxa"/>
              <w:left w:w="0" w:type="dxa"/>
              <w:bottom w:w="0" w:type="dxa"/>
              <w:right w:w="0" w:type="dxa"/>
            </w:tcMar>
            <w:vAlign w:val="center"/>
          </w:tcPr>
          <w:p w14:paraId="0CF04D25">
            <w:pPr>
              <w:jc w:val="center"/>
              <w:rPr>
                <w:rFonts w:ascii="Times New Roman" w:hAnsi="Times New Roman" w:cs="Times New Roman"/>
                <w:bCs/>
                <w:szCs w:val="21"/>
              </w:rPr>
            </w:pPr>
            <w:r>
              <w:rPr>
                <w:rFonts w:ascii="Times New Roman" w:hAnsi="Times New Roman" w:cs="Times New Roman"/>
                <w:bCs/>
                <w:szCs w:val="21"/>
              </w:rPr>
              <w:t>北</w:t>
            </w:r>
          </w:p>
        </w:tc>
        <w:tc>
          <w:tcPr>
            <w:tcW w:w="737" w:type="dxa"/>
            <w:shd w:val="clear" w:color="auto" w:fill="auto"/>
            <w:tcMar>
              <w:top w:w="0" w:type="dxa"/>
              <w:left w:w="0" w:type="dxa"/>
              <w:bottom w:w="0" w:type="dxa"/>
              <w:right w:w="0" w:type="dxa"/>
            </w:tcMar>
            <w:vAlign w:val="center"/>
          </w:tcPr>
          <w:p w14:paraId="7672FF34">
            <w:pPr>
              <w:jc w:val="center"/>
              <w:rPr>
                <w:rFonts w:ascii="Times New Roman" w:hAnsi="Times New Roman" w:cs="Times New Roman"/>
                <w:bCs/>
                <w:szCs w:val="21"/>
              </w:rPr>
            </w:pPr>
            <w:r>
              <w:rPr>
                <w:rFonts w:ascii="Times New Roman" w:hAnsi="Times New Roman" w:cs="Times New Roman"/>
                <w:bCs/>
                <w:szCs w:val="21"/>
              </w:rPr>
              <w:t>建筑物外距离</w:t>
            </w:r>
          </w:p>
        </w:tc>
      </w:tr>
      <w:tr w14:paraId="0586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4032D3B8">
            <w:pPr>
              <w:jc w:val="center"/>
              <w:rPr>
                <w:rFonts w:ascii="Times New Roman" w:hAnsi="Times New Roman" w:cs="Times New Roman"/>
                <w:szCs w:val="21"/>
              </w:rPr>
            </w:pPr>
            <w:r>
              <w:rPr>
                <w:rFonts w:ascii="Times New Roman" w:hAnsi="Times New Roman" w:eastAsia="Arial" w:cs="Times New Roman"/>
                <w:szCs w:val="21"/>
              </w:rPr>
              <w:t>1</w:t>
            </w:r>
          </w:p>
        </w:tc>
        <w:tc>
          <w:tcPr>
            <w:tcW w:w="452" w:type="dxa"/>
            <w:vMerge w:val="restart"/>
            <w:shd w:val="clear" w:color="auto" w:fill="auto"/>
            <w:tcMar>
              <w:top w:w="0" w:type="dxa"/>
              <w:left w:w="0" w:type="dxa"/>
              <w:bottom w:w="0" w:type="dxa"/>
              <w:right w:w="0" w:type="dxa"/>
            </w:tcMar>
            <w:vAlign w:val="center"/>
          </w:tcPr>
          <w:p w14:paraId="7C32D9F1">
            <w:pPr>
              <w:jc w:val="center"/>
              <w:rPr>
                <w:rFonts w:ascii="Times New Roman" w:hAnsi="Times New Roman" w:cs="Times New Roman"/>
                <w:szCs w:val="21"/>
              </w:rPr>
            </w:pPr>
            <w:r>
              <w:rPr>
                <w:rFonts w:ascii="Times New Roman" w:hAnsi="Times New Roman" w:eastAsia="宋体" w:cs="Times New Roman"/>
                <w:szCs w:val="21"/>
              </w:rPr>
              <w:t>生产车间</w:t>
            </w:r>
          </w:p>
        </w:tc>
        <w:tc>
          <w:tcPr>
            <w:tcW w:w="694" w:type="dxa"/>
            <w:shd w:val="clear" w:color="auto" w:fill="auto"/>
            <w:tcMar>
              <w:top w:w="0" w:type="dxa"/>
              <w:left w:w="0" w:type="dxa"/>
              <w:bottom w:w="0" w:type="dxa"/>
              <w:right w:w="0" w:type="dxa"/>
            </w:tcMar>
            <w:vAlign w:val="center"/>
          </w:tcPr>
          <w:p w14:paraId="2498E50B">
            <w:pPr>
              <w:jc w:val="center"/>
              <w:rPr>
                <w:rFonts w:ascii="Times New Roman" w:hAnsi="Times New Roman" w:cs="Times New Roman"/>
                <w:szCs w:val="21"/>
              </w:rPr>
            </w:pPr>
            <w:r>
              <w:rPr>
                <w:rFonts w:ascii="Times New Roman" w:hAnsi="Times New Roman" w:eastAsia="Arial" w:cs="Times New Roman"/>
                <w:szCs w:val="21"/>
              </w:rPr>
              <w:t>推台锯</w:t>
            </w:r>
          </w:p>
        </w:tc>
        <w:tc>
          <w:tcPr>
            <w:tcW w:w="673" w:type="dxa"/>
            <w:shd w:val="clear" w:color="auto" w:fill="auto"/>
            <w:tcMar>
              <w:top w:w="0" w:type="dxa"/>
              <w:left w:w="0" w:type="dxa"/>
              <w:bottom w:w="0" w:type="dxa"/>
              <w:right w:w="0" w:type="dxa"/>
            </w:tcMar>
            <w:vAlign w:val="center"/>
          </w:tcPr>
          <w:p w14:paraId="0D249632">
            <w:pPr>
              <w:jc w:val="center"/>
              <w:rPr>
                <w:rFonts w:ascii="Times New Roman" w:hAnsi="Times New Roman" w:cs="Times New Roman"/>
                <w:szCs w:val="21"/>
              </w:rPr>
            </w:pPr>
            <w:r>
              <w:rPr>
                <w:rFonts w:ascii="Times New Roman" w:hAnsi="Times New Roman" w:eastAsia="Arial" w:cs="Times New Roman"/>
                <w:szCs w:val="21"/>
              </w:rPr>
              <w:t>85</w:t>
            </w:r>
          </w:p>
        </w:tc>
        <w:tc>
          <w:tcPr>
            <w:tcW w:w="574" w:type="dxa"/>
            <w:vMerge w:val="restart"/>
            <w:shd w:val="clear" w:color="auto" w:fill="auto"/>
            <w:tcMar>
              <w:top w:w="0" w:type="dxa"/>
              <w:left w:w="0" w:type="dxa"/>
              <w:bottom w:w="0" w:type="dxa"/>
              <w:right w:w="0" w:type="dxa"/>
            </w:tcMar>
            <w:vAlign w:val="center"/>
          </w:tcPr>
          <w:p w14:paraId="223ABE34">
            <w:pPr>
              <w:jc w:val="center"/>
              <w:rPr>
                <w:rFonts w:ascii="Times New Roman" w:hAnsi="Times New Roman" w:cs="Times New Roman"/>
                <w:szCs w:val="21"/>
              </w:rPr>
            </w:pPr>
            <w:r>
              <w:rPr>
                <w:rFonts w:ascii="Times New Roman" w:hAnsi="Times New Roman" w:cs="Times New Roman"/>
                <w:szCs w:val="21"/>
              </w:rPr>
              <w:t>厂房隔声、基础减震</w:t>
            </w:r>
          </w:p>
        </w:tc>
        <w:tc>
          <w:tcPr>
            <w:tcW w:w="632" w:type="dxa"/>
            <w:shd w:val="clear" w:color="auto" w:fill="auto"/>
            <w:tcMar>
              <w:top w:w="0" w:type="dxa"/>
              <w:left w:w="0" w:type="dxa"/>
              <w:bottom w:w="0" w:type="dxa"/>
              <w:right w:w="0" w:type="dxa"/>
            </w:tcMar>
            <w:vAlign w:val="center"/>
          </w:tcPr>
          <w:p w14:paraId="3D508540">
            <w:pPr>
              <w:jc w:val="center"/>
              <w:rPr>
                <w:rFonts w:ascii="Times New Roman" w:hAnsi="Times New Roman" w:cs="Times New Roman"/>
                <w:szCs w:val="21"/>
              </w:rPr>
            </w:pPr>
            <w:r>
              <w:rPr>
                <w:rFonts w:ascii="Times New Roman" w:hAnsi="Times New Roman" w:eastAsia="Arial" w:cs="Times New Roman"/>
                <w:szCs w:val="21"/>
              </w:rPr>
              <w:t>21.8</w:t>
            </w:r>
          </w:p>
        </w:tc>
        <w:tc>
          <w:tcPr>
            <w:tcW w:w="632" w:type="dxa"/>
            <w:shd w:val="clear" w:color="auto" w:fill="auto"/>
            <w:tcMar>
              <w:top w:w="0" w:type="dxa"/>
              <w:left w:w="0" w:type="dxa"/>
              <w:bottom w:w="0" w:type="dxa"/>
              <w:right w:w="0" w:type="dxa"/>
            </w:tcMar>
            <w:vAlign w:val="center"/>
          </w:tcPr>
          <w:p w14:paraId="517529B6">
            <w:pPr>
              <w:jc w:val="center"/>
              <w:rPr>
                <w:rFonts w:ascii="Times New Roman" w:hAnsi="Times New Roman" w:cs="Times New Roman"/>
                <w:szCs w:val="21"/>
              </w:rPr>
            </w:pPr>
            <w:r>
              <w:rPr>
                <w:rFonts w:ascii="Times New Roman" w:hAnsi="Times New Roman" w:eastAsia="Arial" w:cs="Times New Roman"/>
                <w:szCs w:val="21"/>
              </w:rPr>
              <w:t>-14.6</w:t>
            </w:r>
          </w:p>
        </w:tc>
        <w:tc>
          <w:tcPr>
            <w:tcW w:w="632" w:type="dxa"/>
            <w:shd w:val="clear" w:color="auto" w:fill="auto"/>
            <w:tcMar>
              <w:top w:w="0" w:type="dxa"/>
              <w:left w:w="0" w:type="dxa"/>
              <w:bottom w:w="0" w:type="dxa"/>
              <w:right w:w="0" w:type="dxa"/>
            </w:tcMar>
            <w:vAlign w:val="center"/>
          </w:tcPr>
          <w:p w14:paraId="40A6AE14">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01D57264">
            <w:pPr>
              <w:jc w:val="center"/>
              <w:rPr>
                <w:rFonts w:ascii="Times New Roman" w:hAnsi="Times New Roman" w:cs="Times New Roman"/>
                <w:szCs w:val="21"/>
              </w:rPr>
            </w:pPr>
            <w:r>
              <w:rPr>
                <w:rFonts w:ascii="Times New Roman" w:hAnsi="Times New Roman" w:eastAsia="Arial" w:cs="Times New Roman"/>
                <w:szCs w:val="21"/>
              </w:rPr>
              <w:t>63.5</w:t>
            </w:r>
          </w:p>
        </w:tc>
        <w:tc>
          <w:tcPr>
            <w:tcW w:w="525" w:type="dxa"/>
            <w:shd w:val="clear" w:color="auto" w:fill="auto"/>
            <w:tcMar>
              <w:top w:w="0" w:type="dxa"/>
              <w:left w:w="0" w:type="dxa"/>
              <w:bottom w:w="0" w:type="dxa"/>
              <w:right w:w="0" w:type="dxa"/>
            </w:tcMar>
            <w:vAlign w:val="center"/>
          </w:tcPr>
          <w:p w14:paraId="3F3EC73D">
            <w:pPr>
              <w:jc w:val="center"/>
              <w:rPr>
                <w:rFonts w:ascii="Times New Roman" w:hAnsi="Times New Roman" w:cs="Times New Roman"/>
                <w:szCs w:val="21"/>
              </w:rPr>
            </w:pPr>
            <w:r>
              <w:rPr>
                <w:rFonts w:ascii="Times New Roman" w:hAnsi="Times New Roman" w:eastAsia="Arial" w:cs="Times New Roman"/>
                <w:szCs w:val="21"/>
              </w:rPr>
              <w:t>11.1</w:t>
            </w:r>
          </w:p>
        </w:tc>
        <w:tc>
          <w:tcPr>
            <w:tcW w:w="524" w:type="dxa"/>
            <w:shd w:val="clear" w:color="auto" w:fill="auto"/>
            <w:tcMar>
              <w:top w:w="0" w:type="dxa"/>
              <w:left w:w="0" w:type="dxa"/>
              <w:bottom w:w="0" w:type="dxa"/>
              <w:right w:w="0" w:type="dxa"/>
            </w:tcMar>
            <w:vAlign w:val="center"/>
          </w:tcPr>
          <w:p w14:paraId="27E924D8">
            <w:pPr>
              <w:jc w:val="center"/>
              <w:rPr>
                <w:rFonts w:ascii="Times New Roman" w:hAnsi="Times New Roman" w:cs="Times New Roman"/>
                <w:szCs w:val="21"/>
              </w:rPr>
            </w:pPr>
            <w:r>
              <w:rPr>
                <w:rFonts w:ascii="Times New Roman" w:hAnsi="Times New Roman" w:eastAsia="Arial" w:cs="Times New Roman"/>
                <w:szCs w:val="21"/>
              </w:rPr>
              <w:t>111.5</w:t>
            </w:r>
          </w:p>
        </w:tc>
        <w:tc>
          <w:tcPr>
            <w:tcW w:w="525" w:type="dxa"/>
            <w:shd w:val="clear" w:color="auto" w:fill="auto"/>
            <w:tcMar>
              <w:top w:w="0" w:type="dxa"/>
              <w:left w:w="0" w:type="dxa"/>
              <w:bottom w:w="0" w:type="dxa"/>
              <w:right w:w="0" w:type="dxa"/>
            </w:tcMar>
            <w:vAlign w:val="center"/>
          </w:tcPr>
          <w:p w14:paraId="7920F7FB">
            <w:pPr>
              <w:jc w:val="center"/>
              <w:rPr>
                <w:rFonts w:ascii="Times New Roman" w:hAnsi="Times New Roman" w:cs="Times New Roman"/>
                <w:szCs w:val="21"/>
              </w:rPr>
            </w:pPr>
            <w:r>
              <w:rPr>
                <w:rFonts w:ascii="Times New Roman" w:hAnsi="Times New Roman" w:eastAsia="Arial" w:cs="Times New Roman"/>
                <w:szCs w:val="21"/>
              </w:rPr>
              <w:t>32.1</w:t>
            </w:r>
          </w:p>
        </w:tc>
        <w:tc>
          <w:tcPr>
            <w:tcW w:w="517" w:type="dxa"/>
            <w:shd w:val="clear" w:color="auto" w:fill="auto"/>
            <w:tcMar>
              <w:top w:w="0" w:type="dxa"/>
              <w:left w:w="0" w:type="dxa"/>
              <w:bottom w:w="0" w:type="dxa"/>
              <w:right w:w="0" w:type="dxa"/>
            </w:tcMar>
            <w:vAlign w:val="center"/>
          </w:tcPr>
          <w:p w14:paraId="5B9F5AC4">
            <w:pPr>
              <w:jc w:val="center"/>
              <w:rPr>
                <w:rFonts w:ascii="Times New Roman" w:hAnsi="Times New Roman" w:cs="Times New Roman"/>
                <w:szCs w:val="21"/>
              </w:rPr>
            </w:pPr>
            <w:r>
              <w:rPr>
                <w:rFonts w:ascii="Times New Roman" w:hAnsi="Times New Roman" w:eastAsia="Arial" w:cs="Times New Roman"/>
                <w:szCs w:val="21"/>
              </w:rPr>
              <w:t>65.8</w:t>
            </w:r>
          </w:p>
        </w:tc>
        <w:tc>
          <w:tcPr>
            <w:tcW w:w="518" w:type="dxa"/>
            <w:shd w:val="clear" w:color="auto" w:fill="auto"/>
            <w:tcMar>
              <w:top w:w="0" w:type="dxa"/>
              <w:left w:w="0" w:type="dxa"/>
              <w:bottom w:w="0" w:type="dxa"/>
              <w:right w:w="0" w:type="dxa"/>
            </w:tcMar>
            <w:vAlign w:val="center"/>
          </w:tcPr>
          <w:p w14:paraId="2AA0BE3F">
            <w:pPr>
              <w:jc w:val="center"/>
              <w:rPr>
                <w:rFonts w:ascii="Times New Roman" w:hAnsi="Times New Roman" w:cs="Times New Roman"/>
                <w:szCs w:val="21"/>
              </w:rPr>
            </w:pPr>
            <w:r>
              <w:rPr>
                <w:rFonts w:ascii="Times New Roman" w:hAnsi="Times New Roman" w:eastAsia="Arial" w:cs="Times New Roman"/>
                <w:szCs w:val="21"/>
              </w:rPr>
              <w:t>66.0</w:t>
            </w:r>
          </w:p>
        </w:tc>
        <w:tc>
          <w:tcPr>
            <w:tcW w:w="517" w:type="dxa"/>
            <w:shd w:val="clear" w:color="auto" w:fill="auto"/>
            <w:tcMar>
              <w:top w:w="0" w:type="dxa"/>
              <w:left w:w="0" w:type="dxa"/>
              <w:bottom w:w="0" w:type="dxa"/>
              <w:right w:w="0" w:type="dxa"/>
            </w:tcMar>
            <w:vAlign w:val="center"/>
          </w:tcPr>
          <w:p w14:paraId="6BE90905">
            <w:pPr>
              <w:jc w:val="center"/>
              <w:rPr>
                <w:rFonts w:ascii="Times New Roman" w:hAnsi="Times New Roman" w:cs="Times New Roman"/>
                <w:szCs w:val="21"/>
              </w:rPr>
            </w:pPr>
            <w:r>
              <w:rPr>
                <w:rFonts w:ascii="Times New Roman" w:hAnsi="Times New Roman" w:eastAsia="Arial" w:cs="Times New Roman"/>
                <w:szCs w:val="21"/>
              </w:rPr>
              <w:t>65.8</w:t>
            </w:r>
          </w:p>
        </w:tc>
        <w:tc>
          <w:tcPr>
            <w:tcW w:w="520" w:type="dxa"/>
            <w:shd w:val="clear" w:color="auto" w:fill="auto"/>
            <w:tcMar>
              <w:top w:w="0" w:type="dxa"/>
              <w:left w:w="0" w:type="dxa"/>
              <w:bottom w:w="0" w:type="dxa"/>
              <w:right w:w="0" w:type="dxa"/>
            </w:tcMar>
            <w:vAlign w:val="center"/>
          </w:tcPr>
          <w:p w14:paraId="7E322FBE">
            <w:pPr>
              <w:jc w:val="center"/>
              <w:rPr>
                <w:rFonts w:ascii="Times New Roman" w:hAnsi="Times New Roman" w:cs="Times New Roman"/>
                <w:szCs w:val="21"/>
              </w:rPr>
            </w:pPr>
            <w:r>
              <w:rPr>
                <w:rFonts w:ascii="Times New Roman" w:hAnsi="Times New Roman" w:eastAsia="Arial" w:cs="Times New Roman"/>
                <w:szCs w:val="21"/>
              </w:rPr>
              <w:t>65.8</w:t>
            </w:r>
          </w:p>
        </w:tc>
        <w:tc>
          <w:tcPr>
            <w:tcW w:w="500" w:type="dxa"/>
            <w:shd w:val="clear" w:color="auto" w:fill="auto"/>
            <w:tcMar>
              <w:top w:w="0" w:type="dxa"/>
              <w:left w:w="0" w:type="dxa"/>
              <w:bottom w:w="0" w:type="dxa"/>
              <w:right w:w="0" w:type="dxa"/>
            </w:tcMar>
            <w:vAlign w:val="center"/>
          </w:tcPr>
          <w:p w14:paraId="4AD0D471">
            <w:pPr>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470AAC9A">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6F42A6DD">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7E2B6AC8">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386AC931">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3" w:type="dxa"/>
            <w:shd w:val="clear" w:color="auto" w:fill="auto"/>
            <w:tcMar>
              <w:top w:w="0" w:type="dxa"/>
              <w:left w:w="0" w:type="dxa"/>
              <w:bottom w:w="0" w:type="dxa"/>
              <w:right w:w="0" w:type="dxa"/>
            </w:tcMar>
            <w:vAlign w:val="center"/>
          </w:tcPr>
          <w:p w14:paraId="679218C8">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41</w:t>
            </w:r>
          </w:p>
        </w:tc>
        <w:tc>
          <w:tcPr>
            <w:tcW w:w="533" w:type="dxa"/>
            <w:shd w:val="clear" w:color="auto" w:fill="auto"/>
            <w:tcMar>
              <w:top w:w="0" w:type="dxa"/>
              <w:left w:w="0" w:type="dxa"/>
              <w:bottom w:w="0" w:type="dxa"/>
              <w:right w:w="0" w:type="dxa"/>
            </w:tcMar>
            <w:vAlign w:val="center"/>
          </w:tcPr>
          <w:p w14:paraId="6E6BE88D">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4" w:type="dxa"/>
            <w:shd w:val="clear" w:color="auto" w:fill="auto"/>
            <w:tcMar>
              <w:top w:w="0" w:type="dxa"/>
              <w:left w:w="0" w:type="dxa"/>
              <w:bottom w:w="0" w:type="dxa"/>
              <w:right w:w="0" w:type="dxa"/>
            </w:tcMar>
            <w:vAlign w:val="center"/>
          </w:tcPr>
          <w:p w14:paraId="23CCFDD9">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737" w:type="dxa"/>
            <w:shd w:val="clear" w:color="auto" w:fill="auto"/>
            <w:tcMar>
              <w:top w:w="0" w:type="dxa"/>
              <w:left w:w="0" w:type="dxa"/>
              <w:bottom w:w="0" w:type="dxa"/>
              <w:right w:w="0" w:type="dxa"/>
            </w:tcMar>
            <w:vAlign w:val="center"/>
          </w:tcPr>
          <w:p w14:paraId="09C86EC9">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0B16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450290AE">
            <w:pPr>
              <w:jc w:val="center"/>
              <w:rPr>
                <w:rFonts w:ascii="Times New Roman" w:hAnsi="Times New Roman" w:cs="Times New Roman"/>
                <w:szCs w:val="21"/>
              </w:rPr>
            </w:pPr>
            <w:r>
              <w:rPr>
                <w:rFonts w:ascii="Times New Roman" w:hAnsi="Times New Roman" w:eastAsia="Arial" w:cs="Times New Roman"/>
                <w:szCs w:val="21"/>
              </w:rPr>
              <w:t>2</w:t>
            </w:r>
          </w:p>
        </w:tc>
        <w:tc>
          <w:tcPr>
            <w:tcW w:w="452" w:type="dxa"/>
            <w:vMerge w:val="continue"/>
            <w:shd w:val="clear" w:color="auto" w:fill="auto"/>
            <w:tcMar>
              <w:top w:w="0" w:type="dxa"/>
              <w:left w:w="0" w:type="dxa"/>
              <w:bottom w:w="0" w:type="dxa"/>
              <w:right w:w="0" w:type="dxa"/>
            </w:tcMar>
            <w:vAlign w:val="center"/>
          </w:tcPr>
          <w:p w14:paraId="4FA23FE6">
            <w:pPr>
              <w:jc w:val="center"/>
              <w:rPr>
                <w:rFonts w:ascii="Times New Roman" w:hAnsi="Times New Roman" w:cs="Times New Roman"/>
                <w:szCs w:val="21"/>
              </w:rPr>
            </w:pPr>
          </w:p>
        </w:tc>
        <w:tc>
          <w:tcPr>
            <w:tcW w:w="694" w:type="dxa"/>
            <w:shd w:val="clear" w:color="auto" w:fill="auto"/>
            <w:tcMar>
              <w:top w:w="0" w:type="dxa"/>
              <w:left w:w="0" w:type="dxa"/>
              <w:bottom w:w="0" w:type="dxa"/>
              <w:right w:w="0" w:type="dxa"/>
            </w:tcMar>
            <w:vAlign w:val="center"/>
          </w:tcPr>
          <w:p w14:paraId="0BBF5385">
            <w:pPr>
              <w:jc w:val="center"/>
              <w:rPr>
                <w:rFonts w:ascii="Times New Roman" w:hAnsi="Times New Roman" w:cs="Times New Roman"/>
                <w:szCs w:val="21"/>
              </w:rPr>
            </w:pPr>
            <w:r>
              <w:rPr>
                <w:rFonts w:ascii="Times New Roman" w:hAnsi="Times New Roman" w:eastAsia="Arial" w:cs="Times New Roman"/>
                <w:szCs w:val="21"/>
              </w:rPr>
              <w:t>砂光机</w:t>
            </w:r>
          </w:p>
        </w:tc>
        <w:tc>
          <w:tcPr>
            <w:tcW w:w="673" w:type="dxa"/>
            <w:shd w:val="clear" w:color="auto" w:fill="auto"/>
            <w:tcMar>
              <w:top w:w="0" w:type="dxa"/>
              <w:left w:w="0" w:type="dxa"/>
              <w:bottom w:w="0" w:type="dxa"/>
              <w:right w:w="0" w:type="dxa"/>
            </w:tcMar>
            <w:vAlign w:val="center"/>
          </w:tcPr>
          <w:p w14:paraId="1AEC080B">
            <w:pPr>
              <w:jc w:val="center"/>
              <w:rPr>
                <w:rFonts w:ascii="Times New Roman" w:hAnsi="Times New Roman" w:cs="Times New Roman"/>
                <w:szCs w:val="21"/>
              </w:rPr>
            </w:pPr>
            <w:r>
              <w:rPr>
                <w:rFonts w:ascii="Times New Roman" w:hAnsi="Times New Roman" w:eastAsia="Arial" w:cs="Times New Roman"/>
                <w:szCs w:val="21"/>
              </w:rPr>
              <w:t>85</w:t>
            </w:r>
          </w:p>
        </w:tc>
        <w:tc>
          <w:tcPr>
            <w:tcW w:w="574" w:type="dxa"/>
            <w:vMerge w:val="continue"/>
            <w:shd w:val="clear" w:color="auto" w:fill="auto"/>
            <w:tcMar>
              <w:top w:w="0" w:type="dxa"/>
              <w:left w:w="0" w:type="dxa"/>
              <w:bottom w:w="0" w:type="dxa"/>
              <w:right w:w="0" w:type="dxa"/>
            </w:tcMar>
            <w:vAlign w:val="center"/>
          </w:tcPr>
          <w:p w14:paraId="7571C440">
            <w:pPr>
              <w:jc w:val="center"/>
              <w:rPr>
                <w:rFonts w:ascii="Times New Roman" w:hAnsi="Times New Roman" w:cs="Times New Roman"/>
                <w:szCs w:val="21"/>
              </w:rPr>
            </w:pPr>
          </w:p>
        </w:tc>
        <w:tc>
          <w:tcPr>
            <w:tcW w:w="632" w:type="dxa"/>
            <w:shd w:val="clear" w:color="auto" w:fill="auto"/>
            <w:tcMar>
              <w:top w:w="0" w:type="dxa"/>
              <w:left w:w="0" w:type="dxa"/>
              <w:bottom w:w="0" w:type="dxa"/>
              <w:right w:w="0" w:type="dxa"/>
            </w:tcMar>
            <w:vAlign w:val="center"/>
          </w:tcPr>
          <w:p w14:paraId="4DB0A55D">
            <w:pPr>
              <w:jc w:val="center"/>
              <w:rPr>
                <w:rFonts w:ascii="Times New Roman" w:hAnsi="Times New Roman" w:cs="Times New Roman"/>
                <w:szCs w:val="21"/>
              </w:rPr>
            </w:pPr>
            <w:r>
              <w:rPr>
                <w:rFonts w:ascii="Times New Roman" w:hAnsi="Times New Roman" w:eastAsia="Arial" w:cs="Times New Roman"/>
                <w:szCs w:val="21"/>
              </w:rPr>
              <w:t>8</w:t>
            </w:r>
          </w:p>
        </w:tc>
        <w:tc>
          <w:tcPr>
            <w:tcW w:w="632" w:type="dxa"/>
            <w:shd w:val="clear" w:color="auto" w:fill="auto"/>
            <w:tcMar>
              <w:top w:w="0" w:type="dxa"/>
              <w:left w:w="0" w:type="dxa"/>
              <w:bottom w:w="0" w:type="dxa"/>
              <w:right w:w="0" w:type="dxa"/>
            </w:tcMar>
            <w:vAlign w:val="center"/>
          </w:tcPr>
          <w:p w14:paraId="6BEF1C1D">
            <w:pPr>
              <w:jc w:val="center"/>
              <w:rPr>
                <w:rFonts w:ascii="Times New Roman" w:hAnsi="Times New Roman" w:cs="Times New Roman"/>
                <w:szCs w:val="21"/>
              </w:rPr>
            </w:pPr>
            <w:r>
              <w:rPr>
                <w:rFonts w:ascii="Times New Roman" w:hAnsi="Times New Roman" w:eastAsia="Arial" w:cs="Times New Roman"/>
                <w:szCs w:val="21"/>
              </w:rPr>
              <w:t>-14.6</w:t>
            </w:r>
          </w:p>
        </w:tc>
        <w:tc>
          <w:tcPr>
            <w:tcW w:w="632" w:type="dxa"/>
            <w:shd w:val="clear" w:color="auto" w:fill="auto"/>
            <w:tcMar>
              <w:top w:w="0" w:type="dxa"/>
              <w:left w:w="0" w:type="dxa"/>
              <w:bottom w:w="0" w:type="dxa"/>
              <w:right w:w="0" w:type="dxa"/>
            </w:tcMar>
            <w:vAlign w:val="center"/>
          </w:tcPr>
          <w:p w14:paraId="79FB6A06">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59FC6B26">
            <w:pPr>
              <w:jc w:val="center"/>
              <w:rPr>
                <w:rFonts w:ascii="Times New Roman" w:hAnsi="Times New Roman" w:cs="Times New Roman"/>
                <w:szCs w:val="21"/>
              </w:rPr>
            </w:pPr>
            <w:r>
              <w:rPr>
                <w:rFonts w:ascii="Times New Roman" w:hAnsi="Times New Roman" w:eastAsia="Arial" w:cs="Times New Roman"/>
                <w:szCs w:val="21"/>
              </w:rPr>
              <w:t>77.1</w:t>
            </w:r>
          </w:p>
        </w:tc>
        <w:tc>
          <w:tcPr>
            <w:tcW w:w="525" w:type="dxa"/>
            <w:shd w:val="clear" w:color="auto" w:fill="auto"/>
            <w:tcMar>
              <w:top w:w="0" w:type="dxa"/>
              <w:left w:w="0" w:type="dxa"/>
              <w:bottom w:w="0" w:type="dxa"/>
              <w:right w:w="0" w:type="dxa"/>
            </w:tcMar>
            <w:vAlign w:val="center"/>
          </w:tcPr>
          <w:p w14:paraId="4252981E">
            <w:pPr>
              <w:jc w:val="center"/>
              <w:rPr>
                <w:rFonts w:ascii="Times New Roman" w:hAnsi="Times New Roman" w:cs="Times New Roman"/>
                <w:szCs w:val="21"/>
              </w:rPr>
            </w:pPr>
            <w:r>
              <w:rPr>
                <w:rFonts w:ascii="Times New Roman" w:hAnsi="Times New Roman" w:eastAsia="Arial" w:cs="Times New Roman"/>
                <w:szCs w:val="21"/>
              </w:rPr>
              <w:t>9.0</w:t>
            </w:r>
          </w:p>
        </w:tc>
        <w:tc>
          <w:tcPr>
            <w:tcW w:w="524" w:type="dxa"/>
            <w:shd w:val="clear" w:color="auto" w:fill="auto"/>
            <w:tcMar>
              <w:top w:w="0" w:type="dxa"/>
              <w:left w:w="0" w:type="dxa"/>
              <w:bottom w:w="0" w:type="dxa"/>
              <w:right w:w="0" w:type="dxa"/>
            </w:tcMar>
            <w:vAlign w:val="center"/>
          </w:tcPr>
          <w:p w14:paraId="3233CEB3">
            <w:pPr>
              <w:jc w:val="center"/>
              <w:rPr>
                <w:rFonts w:ascii="Times New Roman" w:hAnsi="Times New Roman" w:cs="Times New Roman"/>
                <w:szCs w:val="21"/>
              </w:rPr>
            </w:pPr>
            <w:r>
              <w:rPr>
                <w:rFonts w:ascii="Times New Roman" w:hAnsi="Times New Roman" w:eastAsia="Arial" w:cs="Times New Roman"/>
                <w:szCs w:val="21"/>
              </w:rPr>
              <w:t>97.9</w:t>
            </w:r>
          </w:p>
        </w:tc>
        <w:tc>
          <w:tcPr>
            <w:tcW w:w="525" w:type="dxa"/>
            <w:shd w:val="clear" w:color="auto" w:fill="auto"/>
            <w:tcMar>
              <w:top w:w="0" w:type="dxa"/>
              <w:left w:w="0" w:type="dxa"/>
              <w:bottom w:w="0" w:type="dxa"/>
              <w:right w:w="0" w:type="dxa"/>
            </w:tcMar>
            <w:vAlign w:val="center"/>
          </w:tcPr>
          <w:p w14:paraId="511510B7">
            <w:pPr>
              <w:jc w:val="center"/>
              <w:rPr>
                <w:rFonts w:ascii="Times New Roman" w:hAnsi="Times New Roman" w:cs="Times New Roman"/>
                <w:szCs w:val="21"/>
              </w:rPr>
            </w:pPr>
            <w:r>
              <w:rPr>
                <w:rFonts w:ascii="Times New Roman" w:hAnsi="Times New Roman" w:eastAsia="Arial" w:cs="Times New Roman"/>
                <w:szCs w:val="21"/>
              </w:rPr>
              <w:t>34.3</w:t>
            </w:r>
          </w:p>
        </w:tc>
        <w:tc>
          <w:tcPr>
            <w:tcW w:w="517" w:type="dxa"/>
            <w:shd w:val="clear" w:color="auto" w:fill="auto"/>
            <w:tcMar>
              <w:top w:w="0" w:type="dxa"/>
              <w:left w:w="0" w:type="dxa"/>
              <w:bottom w:w="0" w:type="dxa"/>
              <w:right w:w="0" w:type="dxa"/>
            </w:tcMar>
            <w:vAlign w:val="center"/>
          </w:tcPr>
          <w:p w14:paraId="4579C69D">
            <w:pPr>
              <w:jc w:val="center"/>
              <w:rPr>
                <w:rFonts w:ascii="Times New Roman" w:hAnsi="Times New Roman" w:cs="Times New Roman"/>
                <w:szCs w:val="21"/>
              </w:rPr>
            </w:pPr>
            <w:r>
              <w:rPr>
                <w:rFonts w:ascii="Times New Roman" w:hAnsi="Times New Roman" w:eastAsia="Arial" w:cs="Times New Roman"/>
                <w:szCs w:val="21"/>
              </w:rPr>
              <w:t>65.8</w:t>
            </w:r>
          </w:p>
        </w:tc>
        <w:tc>
          <w:tcPr>
            <w:tcW w:w="518" w:type="dxa"/>
            <w:shd w:val="clear" w:color="auto" w:fill="auto"/>
            <w:tcMar>
              <w:top w:w="0" w:type="dxa"/>
              <w:left w:w="0" w:type="dxa"/>
              <w:bottom w:w="0" w:type="dxa"/>
              <w:right w:w="0" w:type="dxa"/>
            </w:tcMar>
            <w:vAlign w:val="center"/>
          </w:tcPr>
          <w:p w14:paraId="2129CB21">
            <w:pPr>
              <w:jc w:val="center"/>
              <w:rPr>
                <w:rFonts w:ascii="Times New Roman" w:hAnsi="Times New Roman" w:cs="Times New Roman"/>
                <w:szCs w:val="21"/>
              </w:rPr>
            </w:pPr>
            <w:r>
              <w:rPr>
                <w:rFonts w:ascii="Times New Roman" w:hAnsi="Times New Roman" w:eastAsia="Arial" w:cs="Times New Roman"/>
                <w:szCs w:val="21"/>
              </w:rPr>
              <w:t>66.1</w:t>
            </w:r>
          </w:p>
        </w:tc>
        <w:tc>
          <w:tcPr>
            <w:tcW w:w="517" w:type="dxa"/>
            <w:shd w:val="clear" w:color="auto" w:fill="auto"/>
            <w:tcMar>
              <w:top w:w="0" w:type="dxa"/>
              <w:left w:w="0" w:type="dxa"/>
              <w:bottom w:w="0" w:type="dxa"/>
              <w:right w:w="0" w:type="dxa"/>
            </w:tcMar>
            <w:vAlign w:val="center"/>
          </w:tcPr>
          <w:p w14:paraId="78228EF4">
            <w:pPr>
              <w:jc w:val="center"/>
              <w:rPr>
                <w:rFonts w:ascii="Times New Roman" w:hAnsi="Times New Roman" w:cs="Times New Roman"/>
                <w:szCs w:val="21"/>
              </w:rPr>
            </w:pPr>
            <w:r>
              <w:rPr>
                <w:rFonts w:ascii="Times New Roman" w:hAnsi="Times New Roman" w:eastAsia="Arial" w:cs="Times New Roman"/>
                <w:szCs w:val="21"/>
              </w:rPr>
              <w:t>65.8</w:t>
            </w:r>
          </w:p>
        </w:tc>
        <w:tc>
          <w:tcPr>
            <w:tcW w:w="520" w:type="dxa"/>
            <w:shd w:val="clear" w:color="auto" w:fill="auto"/>
            <w:tcMar>
              <w:top w:w="0" w:type="dxa"/>
              <w:left w:w="0" w:type="dxa"/>
              <w:bottom w:w="0" w:type="dxa"/>
              <w:right w:w="0" w:type="dxa"/>
            </w:tcMar>
            <w:vAlign w:val="center"/>
          </w:tcPr>
          <w:p w14:paraId="69B90B22">
            <w:pPr>
              <w:jc w:val="center"/>
              <w:rPr>
                <w:rFonts w:ascii="Times New Roman" w:hAnsi="Times New Roman" w:cs="Times New Roman"/>
                <w:szCs w:val="21"/>
              </w:rPr>
            </w:pPr>
            <w:r>
              <w:rPr>
                <w:rFonts w:ascii="Times New Roman" w:hAnsi="Times New Roman" w:eastAsia="Arial" w:cs="Times New Roman"/>
                <w:szCs w:val="21"/>
              </w:rPr>
              <w:t>65.8</w:t>
            </w:r>
          </w:p>
        </w:tc>
        <w:tc>
          <w:tcPr>
            <w:tcW w:w="500" w:type="dxa"/>
            <w:shd w:val="clear" w:color="auto" w:fill="auto"/>
            <w:tcMar>
              <w:top w:w="0" w:type="dxa"/>
              <w:left w:w="0" w:type="dxa"/>
              <w:bottom w:w="0" w:type="dxa"/>
              <w:right w:w="0" w:type="dxa"/>
            </w:tcMar>
            <w:vAlign w:val="center"/>
          </w:tcPr>
          <w:p w14:paraId="01E338F6">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62B98B67">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3FE21409">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5FA0B9C9">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07CB7133">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3" w:type="dxa"/>
            <w:shd w:val="clear" w:color="auto" w:fill="auto"/>
            <w:tcMar>
              <w:top w:w="0" w:type="dxa"/>
              <w:left w:w="0" w:type="dxa"/>
              <w:bottom w:w="0" w:type="dxa"/>
              <w:right w:w="0" w:type="dxa"/>
            </w:tcMar>
            <w:vAlign w:val="center"/>
          </w:tcPr>
          <w:p w14:paraId="077FAFAB">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41.1</w:t>
            </w:r>
          </w:p>
        </w:tc>
        <w:tc>
          <w:tcPr>
            <w:tcW w:w="533" w:type="dxa"/>
            <w:shd w:val="clear" w:color="auto" w:fill="auto"/>
            <w:tcMar>
              <w:top w:w="0" w:type="dxa"/>
              <w:left w:w="0" w:type="dxa"/>
              <w:bottom w:w="0" w:type="dxa"/>
              <w:right w:w="0" w:type="dxa"/>
            </w:tcMar>
            <w:vAlign w:val="center"/>
          </w:tcPr>
          <w:p w14:paraId="0BBE1476">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4" w:type="dxa"/>
            <w:shd w:val="clear" w:color="auto" w:fill="auto"/>
            <w:tcMar>
              <w:top w:w="0" w:type="dxa"/>
              <w:left w:w="0" w:type="dxa"/>
              <w:bottom w:w="0" w:type="dxa"/>
              <w:right w:w="0" w:type="dxa"/>
            </w:tcMar>
            <w:vAlign w:val="center"/>
          </w:tcPr>
          <w:p w14:paraId="4F1639FD">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737" w:type="dxa"/>
            <w:shd w:val="clear" w:color="auto" w:fill="auto"/>
            <w:tcMar>
              <w:top w:w="0" w:type="dxa"/>
              <w:left w:w="0" w:type="dxa"/>
              <w:bottom w:w="0" w:type="dxa"/>
              <w:right w:w="0" w:type="dxa"/>
            </w:tcMar>
            <w:vAlign w:val="center"/>
          </w:tcPr>
          <w:p w14:paraId="0981896C">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7171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31F825B7">
            <w:pPr>
              <w:jc w:val="center"/>
              <w:rPr>
                <w:rFonts w:ascii="Times New Roman" w:hAnsi="Times New Roman" w:cs="Times New Roman"/>
                <w:szCs w:val="21"/>
              </w:rPr>
            </w:pPr>
            <w:r>
              <w:rPr>
                <w:rFonts w:ascii="Times New Roman" w:hAnsi="Times New Roman" w:eastAsia="Arial" w:cs="Times New Roman"/>
                <w:szCs w:val="21"/>
              </w:rPr>
              <w:t>3</w:t>
            </w:r>
          </w:p>
        </w:tc>
        <w:tc>
          <w:tcPr>
            <w:tcW w:w="452" w:type="dxa"/>
            <w:vMerge w:val="continue"/>
            <w:shd w:val="clear" w:color="auto" w:fill="auto"/>
            <w:tcMar>
              <w:top w:w="0" w:type="dxa"/>
              <w:left w:w="0" w:type="dxa"/>
              <w:bottom w:w="0" w:type="dxa"/>
              <w:right w:w="0" w:type="dxa"/>
            </w:tcMar>
            <w:vAlign w:val="center"/>
          </w:tcPr>
          <w:p w14:paraId="4E713038">
            <w:pPr>
              <w:jc w:val="center"/>
              <w:rPr>
                <w:rFonts w:ascii="Times New Roman" w:hAnsi="Times New Roman" w:cs="Times New Roman"/>
                <w:szCs w:val="21"/>
              </w:rPr>
            </w:pPr>
          </w:p>
        </w:tc>
        <w:tc>
          <w:tcPr>
            <w:tcW w:w="694" w:type="dxa"/>
            <w:shd w:val="clear" w:color="auto" w:fill="auto"/>
            <w:tcMar>
              <w:top w:w="0" w:type="dxa"/>
              <w:left w:w="0" w:type="dxa"/>
              <w:bottom w:w="0" w:type="dxa"/>
              <w:right w:w="0" w:type="dxa"/>
            </w:tcMar>
            <w:vAlign w:val="center"/>
          </w:tcPr>
          <w:p w14:paraId="7600D5BA">
            <w:pPr>
              <w:jc w:val="center"/>
              <w:rPr>
                <w:rFonts w:ascii="Times New Roman" w:hAnsi="Times New Roman" w:cs="Times New Roman"/>
                <w:szCs w:val="21"/>
              </w:rPr>
            </w:pPr>
            <w:r>
              <w:rPr>
                <w:rFonts w:ascii="Times New Roman" w:hAnsi="Times New Roman" w:eastAsia="Arial" w:cs="Times New Roman"/>
                <w:szCs w:val="21"/>
              </w:rPr>
              <w:t>封边机</w:t>
            </w:r>
          </w:p>
        </w:tc>
        <w:tc>
          <w:tcPr>
            <w:tcW w:w="673" w:type="dxa"/>
            <w:shd w:val="clear" w:color="auto" w:fill="auto"/>
            <w:tcMar>
              <w:top w:w="0" w:type="dxa"/>
              <w:left w:w="0" w:type="dxa"/>
              <w:bottom w:w="0" w:type="dxa"/>
              <w:right w:w="0" w:type="dxa"/>
            </w:tcMar>
            <w:vAlign w:val="center"/>
          </w:tcPr>
          <w:p w14:paraId="374DFB1C">
            <w:pPr>
              <w:jc w:val="center"/>
              <w:rPr>
                <w:rFonts w:ascii="Times New Roman" w:hAnsi="Times New Roman" w:cs="Times New Roman"/>
                <w:szCs w:val="21"/>
              </w:rPr>
            </w:pPr>
            <w:r>
              <w:rPr>
                <w:rFonts w:ascii="Times New Roman" w:hAnsi="Times New Roman" w:eastAsia="Arial" w:cs="Times New Roman"/>
                <w:szCs w:val="21"/>
              </w:rPr>
              <w:t>80</w:t>
            </w:r>
          </w:p>
        </w:tc>
        <w:tc>
          <w:tcPr>
            <w:tcW w:w="574" w:type="dxa"/>
            <w:vMerge w:val="continue"/>
            <w:shd w:val="clear" w:color="auto" w:fill="auto"/>
            <w:tcMar>
              <w:top w:w="0" w:type="dxa"/>
              <w:left w:w="0" w:type="dxa"/>
              <w:bottom w:w="0" w:type="dxa"/>
              <w:right w:w="0" w:type="dxa"/>
            </w:tcMar>
            <w:vAlign w:val="center"/>
          </w:tcPr>
          <w:p w14:paraId="293B109D">
            <w:pPr>
              <w:jc w:val="center"/>
              <w:rPr>
                <w:rFonts w:ascii="Times New Roman" w:hAnsi="Times New Roman" w:cs="Times New Roman"/>
                <w:szCs w:val="21"/>
              </w:rPr>
            </w:pPr>
          </w:p>
        </w:tc>
        <w:tc>
          <w:tcPr>
            <w:tcW w:w="632" w:type="dxa"/>
            <w:shd w:val="clear" w:color="auto" w:fill="auto"/>
            <w:tcMar>
              <w:top w:w="0" w:type="dxa"/>
              <w:left w:w="0" w:type="dxa"/>
              <w:bottom w:w="0" w:type="dxa"/>
              <w:right w:w="0" w:type="dxa"/>
            </w:tcMar>
            <w:vAlign w:val="center"/>
          </w:tcPr>
          <w:p w14:paraId="1535125E">
            <w:pPr>
              <w:jc w:val="center"/>
              <w:rPr>
                <w:rFonts w:ascii="Times New Roman" w:hAnsi="Times New Roman" w:cs="Times New Roman"/>
                <w:szCs w:val="21"/>
              </w:rPr>
            </w:pPr>
            <w:r>
              <w:rPr>
                <w:rFonts w:ascii="Times New Roman" w:hAnsi="Times New Roman" w:eastAsia="Arial" w:cs="Times New Roman"/>
                <w:szCs w:val="21"/>
              </w:rPr>
              <w:t>16.5</w:t>
            </w:r>
          </w:p>
        </w:tc>
        <w:tc>
          <w:tcPr>
            <w:tcW w:w="632" w:type="dxa"/>
            <w:shd w:val="clear" w:color="auto" w:fill="auto"/>
            <w:tcMar>
              <w:top w:w="0" w:type="dxa"/>
              <w:left w:w="0" w:type="dxa"/>
              <w:bottom w:w="0" w:type="dxa"/>
              <w:right w:w="0" w:type="dxa"/>
            </w:tcMar>
            <w:vAlign w:val="center"/>
          </w:tcPr>
          <w:p w14:paraId="7CEA7699">
            <w:pPr>
              <w:jc w:val="center"/>
              <w:rPr>
                <w:rFonts w:ascii="Times New Roman" w:hAnsi="Times New Roman" w:cs="Times New Roman"/>
                <w:szCs w:val="21"/>
              </w:rPr>
            </w:pPr>
            <w:r>
              <w:rPr>
                <w:rFonts w:ascii="Times New Roman" w:hAnsi="Times New Roman" w:eastAsia="Arial" w:cs="Times New Roman"/>
                <w:szCs w:val="21"/>
              </w:rPr>
              <w:t>-2.8</w:t>
            </w:r>
          </w:p>
        </w:tc>
        <w:tc>
          <w:tcPr>
            <w:tcW w:w="632" w:type="dxa"/>
            <w:shd w:val="clear" w:color="auto" w:fill="auto"/>
            <w:tcMar>
              <w:top w:w="0" w:type="dxa"/>
              <w:left w:w="0" w:type="dxa"/>
              <w:bottom w:w="0" w:type="dxa"/>
              <w:right w:w="0" w:type="dxa"/>
            </w:tcMar>
            <w:vAlign w:val="center"/>
          </w:tcPr>
          <w:p w14:paraId="2752333E">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59D465BB">
            <w:pPr>
              <w:jc w:val="center"/>
              <w:rPr>
                <w:rFonts w:ascii="Times New Roman" w:hAnsi="Times New Roman" w:cs="Times New Roman"/>
                <w:szCs w:val="21"/>
              </w:rPr>
            </w:pPr>
            <w:r>
              <w:rPr>
                <w:rFonts w:ascii="Times New Roman" w:hAnsi="Times New Roman" w:eastAsia="Arial" w:cs="Times New Roman"/>
                <w:szCs w:val="21"/>
              </w:rPr>
              <w:t>70.6</w:t>
            </w:r>
          </w:p>
        </w:tc>
        <w:tc>
          <w:tcPr>
            <w:tcW w:w="525" w:type="dxa"/>
            <w:shd w:val="clear" w:color="auto" w:fill="auto"/>
            <w:tcMar>
              <w:top w:w="0" w:type="dxa"/>
              <w:left w:w="0" w:type="dxa"/>
              <w:bottom w:w="0" w:type="dxa"/>
              <w:right w:w="0" w:type="dxa"/>
            </w:tcMar>
            <w:vAlign w:val="center"/>
          </w:tcPr>
          <w:p w14:paraId="3C9787CE">
            <w:pPr>
              <w:jc w:val="center"/>
              <w:rPr>
                <w:rFonts w:ascii="Times New Roman" w:hAnsi="Times New Roman" w:cs="Times New Roman"/>
                <w:szCs w:val="21"/>
              </w:rPr>
            </w:pPr>
            <w:r>
              <w:rPr>
                <w:rFonts w:ascii="Times New Roman" w:hAnsi="Times New Roman" w:eastAsia="Arial" w:cs="Times New Roman"/>
                <w:szCs w:val="21"/>
              </w:rPr>
              <w:t>22.0</w:t>
            </w:r>
          </w:p>
        </w:tc>
        <w:tc>
          <w:tcPr>
            <w:tcW w:w="524" w:type="dxa"/>
            <w:shd w:val="clear" w:color="auto" w:fill="auto"/>
            <w:tcMar>
              <w:top w:w="0" w:type="dxa"/>
              <w:left w:w="0" w:type="dxa"/>
              <w:bottom w:w="0" w:type="dxa"/>
              <w:right w:w="0" w:type="dxa"/>
            </w:tcMar>
            <w:vAlign w:val="center"/>
          </w:tcPr>
          <w:p w14:paraId="280135A1">
            <w:pPr>
              <w:jc w:val="center"/>
              <w:rPr>
                <w:rFonts w:ascii="Times New Roman" w:hAnsi="Times New Roman" w:cs="Times New Roman"/>
                <w:szCs w:val="21"/>
              </w:rPr>
            </w:pPr>
            <w:r>
              <w:rPr>
                <w:rFonts w:ascii="Times New Roman" w:hAnsi="Times New Roman" w:eastAsia="Arial" w:cs="Times New Roman"/>
                <w:szCs w:val="21"/>
              </w:rPr>
              <w:t>104.3</w:t>
            </w:r>
          </w:p>
        </w:tc>
        <w:tc>
          <w:tcPr>
            <w:tcW w:w="525" w:type="dxa"/>
            <w:shd w:val="clear" w:color="auto" w:fill="auto"/>
            <w:tcMar>
              <w:top w:w="0" w:type="dxa"/>
              <w:left w:w="0" w:type="dxa"/>
              <w:bottom w:w="0" w:type="dxa"/>
              <w:right w:w="0" w:type="dxa"/>
            </w:tcMar>
            <w:vAlign w:val="center"/>
          </w:tcPr>
          <w:p w14:paraId="7CA98E5C">
            <w:pPr>
              <w:jc w:val="center"/>
              <w:rPr>
                <w:rFonts w:ascii="Times New Roman" w:hAnsi="Times New Roman" w:cs="Times New Roman"/>
                <w:szCs w:val="21"/>
              </w:rPr>
            </w:pPr>
            <w:r>
              <w:rPr>
                <w:rFonts w:ascii="Times New Roman" w:hAnsi="Times New Roman" w:eastAsia="Arial" w:cs="Times New Roman"/>
                <w:szCs w:val="21"/>
              </w:rPr>
              <w:t>21.3</w:t>
            </w:r>
          </w:p>
        </w:tc>
        <w:tc>
          <w:tcPr>
            <w:tcW w:w="517" w:type="dxa"/>
            <w:shd w:val="clear" w:color="auto" w:fill="auto"/>
            <w:tcMar>
              <w:top w:w="0" w:type="dxa"/>
              <w:left w:w="0" w:type="dxa"/>
              <w:bottom w:w="0" w:type="dxa"/>
              <w:right w:w="0" w:type="dxa"/>
            </w:tcMar>
            <w:vAlign w:val="center"/>
          </w:tcPr>
          <w:p w14:paraId="3C7F815B">
            <w:pPr>
              <w:jc w:val="center"/>
              <w:rPr>
                <w:rFonts w:ascii="Times New Roman" w:hAnsi="Times New Roman" w:cs="Times New Roman"/>
                <w:szCs w:val="21"/>
              </w:rPr>
            </w:pPr>
            <w:r>
              <w:rPr>
                <w:rFonts w:ascii="Times New Roman" w:hAnsi="Times New Roman" w:eastAsia="Arial" w:cs="Times New Roman"/>
                <w:szCs w:val="21"/>
              </w:rPr>
              <w:t>60.8</w:t>
            </w:r>
          </w:p>
        </w:tc>
        <w:tc>
          <w:tcPr>
            <w:tcW w:w="518" w:type="dxa"/>
            <w:shd w:val="clear" w:color="auto" w:fill="auto"/>
            <w:tcMar>
              <w:top w:w="0" w:type="dxa"/>
              <w:left w:w="0" w:type="dxa"/>
              <w:bottom w:w="0" w:type="dxa"/>
              <w:right w:w="0" w:type="dxa"/>
            </w:tcMar>
            <w:vAlign w:val="center"/>
          </w:tcPr>
          <w:p w14:paraId="6C9CDA47">
            <w:pPr>
              <w:jc w:val="center"/>
              <w:rPr>
                <w:rFonts w:ascii="Times New Roman" w:hAnsi="Times New Roman" w:cs="Times New Roman"/>
                <w:szCs w:val="21"/>
              </w:rPr>
            </w:pPr>
            <w:r>
              <w:rPr>
                <w:rFonts w:ascii="Times New Roman" w:hAnsi="Times New Roman" w:eastAsia="Arial" w:cs="Times New Roman"/>
                <w:szCs w:val="21"/>
              </w:rPr>
              <w:t>60.8</w:t>
            </w:r>
          </w:p>
        </w:tc>
        <w:tc>
          <w:tcPr>
            <w:tcW w:w="517" w:type="dxa"/>
            <w:shd w:val="clear" w:color="auto" w:fill="auto"/>
            <w:tcMar>
              <w:top w:w="0" w:type="dxa"/>
              <w:left w:w="0" w:type="dxa"/>
              <w:bottom w:w="0" w:type="dxa"/>
              <w:right w:w="0" w:type="dxa"/>
            </w:tcMar>
            <w:vAlign w:val="center"/>
          </w:tcPr>
          <w:p w14:paraId="40EA2D08">
            <w:pPr>
              <w:jc w:val="center"/>
              <w:rPr>
                <w:rFonts w:ascii="Times New Roman" w:hAnsi="Times New Roman" w:cs="Times New Roman"/>
                <w:szCs w:val="21"/>
              </w:rPr>
            </w:pPr>
            <w:r>
              <w:rPr>
                <w:rFonts w:ascii="Times New Roman" w:hAnsi="Times New Roman" w:eastAsia="Arial" w:cs="Times New Roman"/>
                <w:szCs w:val="21"/>
              </w:rPr>
              <w:t>60.8</w:t>
            </w:r>
          </w:p>
        </w:tc>
        <w:tc>
          <w:tcPr>
            <w:tcW w:w="520" w:type="dxa"/>
            <w:shd w:val="clear" w:color="auto" w:fill="auto"/>
            <w:tcMar>
              <w:top w:w="0" w:type="dxa"/>
              <w:left w:w="0" w:type="dxa"/>
              <w:bottom w:w="0" w:type="dxa"/>
              <w:right w:w="0" w:type="dxa"/>
            </w:tcMar>
            <w:vAlign w:val="center"/>
          </w:tcPr>
          <w:p w14:paraId="69548866">
            <w:pPr>
              <w:jc w:val="center"/>
              <w:rPr>
                <w:rFonts w:ascii="Times New Roman" w:hAnsi="Times New Roman" w:cs="Times New Roman"/>
                <w:szCs w:val="21"/>
              </w:rPr>
            </w:pPr>
            <w:r>
              <w:rPr>
                <w:rFonts w:ascii="Times New Roman" w:hAnsi="Times New Roman" w:eastAsia="Arial" w:cs="Times New Roman"/>
                <w:szCs w:val="21"/>
              </w:rPr>
              <w:t>60.8</w:t>
            </w:r>
          </w:p>
        </w:tc>
        <w:tc>
          <w:tcPr>
            <w:tcW w:w="500" w:type="dxa"/>
            <w:shd w:val="clear" w:color="auto" w:fill="auto"/>
            <w:tcMar>
              <w:top w:w="0" w:type="dxa"/>
              <w:left w:w="0" w:type="dxa"/>
              <w:bottom w:w="0" w:type="dxa"/>
              <w:right w:w="0" w:type="dxa"/>
            </w:tcMar>
            <w:vAlign w:val="center"/>
          </w:tcPr>
          <w:p w14:paraId="353CCFA2">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757E70E4">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593ACA6E">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216CD4B3">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5E83E11B">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3" w:type="dxa"/>
            <w:shd w:val="clear" w:color="auto" w:fill="auto"/>
            <w:tcMar>
              <w:top w:w="0" w:type="dxa"/>
              <w:left w:w="0" w:type="dxa"/>
              <w:bottom w:w="0" w:type="dxa"/>
              <w:right w:w="0" w:type="dxa"/>
            </w:tcMar>
            <w:vAlign w:val="center"/>
          </w:tcPr>
          <w:p w14:paraId="3CFCBA1F">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3" w:type="dxa"/>
            <w:shd w:val="clear" w:color="auto" w:fill="auto"/>
            <w:tcMar>
              <w:top w:w="0" w:type="dxa"/>
              <w:left w:w="0" w:type="dxa"/>
              <w:bottom w:w="0" w:type="dxa"/>
              <w:right w:w="0" w:type="dxa"/>
            </w:tcMar>
            <w:vAlign w:val="center"/>
          </w:tcPr>
          <w:p w14:paraId="09EF971D">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4" w:type="dxa"/>
            <w:shd w:val="clear" w:color="auto" w:fill="auto"/>
            <w:tcMar>
              <w:top w:w="0" w:type="dxa"/>
              <w:left w:w="0" w:type="dxa"/>
              <w:bottom w:w="0" w:type="dxa"/>
              <w:right w:w="0" w:type="dxa"/>
            </w:tcMar>
            <w:vAlign w:val="center"/>
          </w:tcPr>
          <w:p w14:paraId="7B39C561">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737" w:type="dxa"/>
            <w:shd w:val="clear" w:color="auto" w:fill="auto"/>
            <w:tcMar>
              <w:top w:w="0" w:type="dxa"/>
              <w:left w:w="0" w:type="dxa"/>
              <w:bottom w:w="0" w:type="dxa"/>
              <w:right w:w="0" w:type="dxa"/>
            </w:tcMar>
            <w:vAlign w:val="center"/>
          </w:tcPr>
          <w:p w14:paraId="18D19009">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3B8E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3C879FDD">
            <w:pPr>
              <w:jc w:val="center"/>
              <w:rPr>
                <w:rFonts w:ascii="Times New Roman" w:hAnsi="Times New Roman" w:cs="Times New Roman"/>
                <w:szCs w:val="21"/>
              </w:rPr>
            </w:pPr>
            <w:r>
              <w:rPr>
                <w:rFonts w:ascii="Times New Roman" w:hAnsi="Times New Roman" w:eastAsia="Arial" w:cs="Times New Roman"/>
                <w:szCs w:val="21"/>
              </w:rPr>
              <w:t>4</w:t>
            </w:r>
          </w:p>
        </w:tc>
        <w:tc>
          <w:tcPr>
            <w:tcW w:w="452" w:type="dxa"/>
            <w:vMerge w:val="continue"/>
            <w:shd w:val="clear" w:color="auto" w:fill="auto"/>
            <w:tcMar>
              <w:top w:w="0" w:type="dxa"/>
              <w:left w:w="0" w:type="dxa"/>
              <w:bottom w:w="0" w:type="dxa"/>
              <w:right w:w="0" w:type="dxa"/>
            </w:tcMar>
            <w:vAlign w:val="center"/>
          </w:tcPr>
          <w:p w14:paraId="4D3E0628">
            <w:pPr>
              <w:jc w:val="center"/>
              <w:rPr>
                <w:rFonts w:ascii="Times New Roman" w:hAnsi="Times New Roman" w:cs="Times New Roman"/>
                <w:szCs w:val="21"/>
              </w:rPr>
            </w:pPr>
          </w:p>
        </w:tc>
        <w:tc>
          <w:tcPr>
            <w:tcW w:w="694" w:type="dxa"/>
            <w:shd w:val="clear" w:color="auto" w:fill="auto"/>
            <w:tcMar>
              <w:top w:w="0" w:type="dxa"/>
              <w:left w:w="0" w:type="dxa"/>
              <w:bottom w:w="0" w:type="dxa"/>
              <w:right w:w="0" w:type="dxa"/>
            </w:tcMar>
            <w:vAlign w:val="center"/>
          </w:tcPr>
          <w:p w14:paraId="1DE9C428">
            <w:pPr>
              <w:jc w:val="center"/>
              <w:rPr>
                <w:rFonts w:ascii="Times New Roman" w:hAnsi="Times New Roman" w:cs="Times New Roman"/>
                <w:szCs w:val="21"/>
              </w:rPr>
            </w:pPr>
            <w:r>
              <w:rPr>
                <w:rFonts w:ascii="Times New Roman" w:hAnsi="Times New Roman" w:eastAsia="Arial" w:cs="Times New Roman"/>
                <w:szCs w:val="21"/>
              </w:rPr>
              <w:t>空压机</w:t>
            </w:r>
          </w:p>
        </w:tc>
        <w:tc>
          <w:tcPr>
            <w:tcW w:w="673" w:type="dxa"/>
            <w:shd w:val="clear" w:color="auto" w:fill="auto"/>
            <w:tcMar>
              <w:top w:w="0" w:type="dxa"/>
              <w:left w:w="0" w:type="dxa"/>
              <w:bottom w:w="0" w:type="dxa"/>
              <w:right w:w="0" w:type="dxa"/>
            </w:tcMar>
            <w:vAlign w:val="center"/>
          </w:tcPr>
          <w:p w14:paraId="63FB1A5A">
            <w:pPr>
              <w:jc w:val="center"/>
              <w:rPr>
                <w:rFonts w:ascii="Times New Roman" w:hAnsi="Times New Roman" w:cs="Times New Roman"/>
                <w:szCs w:val="21"/>
              </w:rPr>
            </w:pPr>
            <w:r>
              <w:rPr>
                <w:rFonts w:ascii="Times New Roman" w:hAnsi="Times New Roman" w:eastAsia="Arial" w:cs="Times New Roman"/>
                <w:szCs w:val="21"/>
              </w:rPr>
              <w:t>85</w:t>
            </w:r>
          </w:p>
        </w:tc>
        <w:tc>
          <w:tcPr>
            <w:tcW w:w="574" w:type="dxa"/>
            <w:vMerge w:val="continue"/>
            <w:shd w:val="clear" w:color="auto" w:fill="auto"/>
            <w:tcMar>
              <w:top w:w="0" w:type="dxa"/>
              <w:left w:w="0" w:type="dxa"/>
              <w:bottom w:w="0" w:type="dxa"/>
              <w:right w:w="0" w:type="dxa"/>
            </w:tcMar>
            <w:vAlign w:val="center"/>
          </w:tcPr>
          <w:p w14:paraId="54797EF6">
            <w:pPr>
              <w:jc w:val="center"/>
              <w:rPr>
                <w:rFonts w:ascii="Times New Roman" w:hAnsi="Times New Roman" w:cs="Times New Roman"/>
                <w:szCs w:val="21"/>
              </w:rPr>
            </w:pPr>
          </w:p>
        </w:tc>
        <w:tc>
          <w:tcPr>
            <w:tcW w:w="632" w:type="dxa"/>
            <w:shd w:val="clear" w:color="auto" w:fill="auto"/>
            <w:tcMar>
              <w:top w:w="0" w:type="dxa"/>
              <w:left w:w="0" w:type="dxa"/>
              <w:bottom w:w="0" w:type="dxa"/>
              <w:right w:w="0" w:type="dxa"/>
            </w:tcMar>
            <w:vAlign w:val="center"/>
          </w:tcPr>
          <w:p w14:paraId="1EFFEC51">
            <w:pPr>
              <w:jc w:val="center"/>
              <w:rPr>
                <w:rFonts w:ascii="Times New Roman" w:hAnsi="Times New Roman" w:cs="Times New Roman"/>
                <w:szCs w:val="21"/>
              </w:rPr>
            </w:pPr>
            <w:r>
              <w:rPr>
                <w:rFonts w:ascii="Times New Roman" w:hAnsi="Times New Roman" w:eastAsia="Arial" w:cs="Times New Roman"/>
                <w:szCs w:val="21"/>
              </w:rPr>
              <w:t>-79.6</w:t>
            </w:r>
          </w:p>
        </w:tc>
        <w:tc>
          <w:tcPr>
            <w:tcW w:w="632" w:type="dxa"/>
            <w:shd w:val="clear" w:color="auto" w:fill="auto"/>
            <w:tcMar>
              <w:top w:w="0" w:type="dxa"/>
              <w:left w:w="0" w:type="dxa"/>
              <w:bottom w:w="0" w:type="dxa"/>
              <w:right w:w="0" w:type="dxa"/>
            </w:tcMar>
            <w:vAlign w:val="center"/>
          </w:tcPr>
          <w:p w14:paraId="30773B57">
            <w:pPr>
              <w:jc w:val="center"/>
              <w:rPr>
                <w:rFonts w:ascii="Times New Roman" w:hAnsi="Times New Roman" w:cs="Times New Roman"/>
                <w:szCs w:val="21"/>
              </w:rPr>
            </w:pPr>
            <w:r>
              <w:rPr>
                <w:rFonts w:ascii="Times New Roman" w:hAnsi="Times New Roman" w:eastAsia="Arial" w:cs="Times New Roman"/>
                <w:szCs w:val="21"/>
              </w:rPr>
              <w:t>-2.1</w:t>
            </w:r>
          </w:p>
        </w:tc>
        <w:tc>
          <w:tcPr>
            <w:tcW w:w="632" w:type="dxa"/>
            <w:shd w:val="clear" w:color="auto" w:fill="auto"/>
            <w:tcMar>
              <w:top w:w="0" w:type="dxa"/>
              <w:left w:w="0" w:type="dxa"/>
              <w:bottom w:w="0" w:type="dxa"/>
              <w:right w:w="0" w:type="dxa"/>
            </w:tcMar>
            <w:vAlign w:val="center"/>
          </w:tcPr>
          <w:p w14:paraId="7277CB7F">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5897521F">
            <w:pPr>
              <w:jc w:val="center"/>
              <w:rPr>
                <w:rFonts w:ascii="Times New Roman" w:hAnsi="Times New Roman" w:cs="Times New Roman"/>
                <w:szCs w:val="21"/>
              </w:rPr>
            </w:pPr>
            <w:r>
              <w:rPr>
                <w:rFonts w:ascii="Times New Roman" w:hAnsi="Times New Roman" w:eastAsia="Arial" w:cs="Times New Roman"/>
                <w:szCs w:val="21"/>
              </w:rPr>
              <w:t>165.5</w:t>
            </w:r>
          </w:p>
        </w:tc>
        <w:tc>
          <w:tcPr>
            <w:tcW w:w="525" w:type="dxa"/>
            <w:shd w:val="clear" w:color="auto" w:fill="auto"/>
            <w:tcMar>
              <w:top w:w="0" w:type="dxa"/>
              <w:left w:w="0" w:type="dxa"/>
              <w:bottom w:w="0" w:type="dxa"/>
              <w:right w:w="0" w:type="dxa"/>
            </w:tcMar>
            <w:vAlign w:val="center"/>
          </w:tcPr>
          <w:p w14:paraId="5D9F4397">
            <w:pPr>
              <w:jc w:val="center"/>
              <w:rPr>
                <w:rFonts w:ascii="Times New Roman" w:hAnsi="Times New Roman" w:cs="Times New Roman"/>
                <w:szCs w:val="21"/>
              </w:rPr>
            </w:pPr>
            <w:r>
              <w:rPr>
                <w:rFonts w:ascii="Times New Roman" w:hAnsi="Times New Roman" w:eastAsia="Arial" w:cs="Times New Roman"/>
                <w:szCs w:val="21"/>
              </w:rPr>
              <w:t>7.8</w:t>
            </w:r>
          </w:p>
        </w:tc>
        <w:tc>
          <w:tcPr>
            <w:tcW w:w="524" w:type="dxa"/>
            <w:shd w:val="clear" w:color="auto" w:fill="auto"/>
            <w:tcMar>
              <w:top w:w="0" w:type="dxa"/>
              <w:left w:w="0" w:type="dxa"/>
              <w:bottom w:w="0" w:type="dxa"/>
              <w:right w:w="0" w:type="dxa"/>
            </w:tcMar>
            <w:vAlign w:val="center"/>
          </w:tcPr>
          <w:p w14:paraId="4B3A8C5B">
            <w:pPr>
              <w:jc w:val="center"/>
              <w:rPr>
                <w:rFonts w:ascii="Times New Roman" w:hAnsi="Times New Roman" w:cs="Times New Roman"/>
                <w:szCs w:val="21"/>
              </w:rPr>
            </w:pPr>
            <w:r>
              <w:rPr>
                <w:rFonts w:ascii="Times New Roman" w:hAnsi="Times New Roman" w:eastAsia="Arial" w:cs="Times New Roman"/>
                <w:szCs w:val="21"/>
              </w:rPr>
              <w:t>9.4</w:t>
            </w:r>
          </w:p>
        </w:tc>
        <w:tc>
          <w:tcPr>
            <w:tcW w:w="525" w:type="dxa"/>
            <w:shd w:val="clear" w:color="auto" w:fill="auto"/>
            <w:tcMar>
              <w:top w:w="0" w:type="dxa"/>
              <w:left w:w="0" w:type="dxa"/>
              <w:bottom w:w="0" w:type="dxa"/>
              <w:right w:w="0" w:type="dxa"/>
            </w:tcMar>
            <w:vAlign w:val="center"/>
          </w:tcPr>
          <w:p w14:paraId="6430112E">
            <w:pPr>
              <w:jc w:val="center"/>
              <w:rPr>
                <w:rFonts w:ascii="Times New Roman" w:hAnsi="Times New Roman" w:cs="Times New Roman"/>
                <w:szCs w:val="21"/>
              </w:rPr>
            </w:pPr>
            <w:r>
              <w:rPr>
                <w:rFonts w:ascii="Times New Roman" w:hAnsi="Times New Roman" w:eastAsia="Arial" w:cs="Times New Roman"/>
                <w:szCs w:val="21"/>
              </w:rPr>
              <w:t>35.3</w:t>
            </w:r>
          </w:p>
        </w:tc>
        <w:tc>
          <w:tcPr>
            <w:tcW w:w="517" w:type="dxa"/>
            <w:shd w:val="clear" w:color="auto" w:fill="auto"/>
            <w:tcMar>
              <w:top w:w="0" w:type="dxa"/>
              <w:left w:w="0" w:type="dxa"/>
              <w:bottom w:w="0" w:type="dxa"/>
              <w:right w:w="0" w:type="dxa"/>
            </w:tcMar>
            <w:vAlign w:val="center"/>
          </w:tcPr>
          <w:p w14:paraId="31DD92A4">
            <w:pPr>
              <w:jc w:val="center"/>
              <w:rPr>
                <w:rFonts w:ascii="Times New Roman" w:hAnsi="Times New Roman" w:cs="Times New Roman"/>
                <w:szCs w:val="21"/>
              </w:rPr>
            </w:pPr>
            <w:r>
              <w:rPr>
                <w:rFonts w:ascii="Times New Roman" w:hAnsi="Times New Roman" w:eastAsia="Arial" w:cs="Times New Roman"/>
                <w:szCs w:val="21"/>
              </w:rPr>
              <w:t>65.8</w:t>
            </w:r>
          </w:p>
        </w:tc>
        <w:tc>
          <w:tcPr>
            <w:tcW w:w="518" w:type="dxa"/>
            <w:shd w:val="clear" w:color="auto" w:fill="auto"/>
            <w:tcMar>
              <w:top w:w="0" w:type="dxa"/>
              <w:left w:w="0" w:type="dxa"/>
              <w:bottom w:w="0" w:type="dxa"/>
              <w:right w:w="0" w:type="dxa"/>
            </w:tcMar>
            <w:vAlign w:val="center"/>
          </w:tcPr>
          <w:p w14:paraId="0B6C1A54">
            <w:pPr>
              <w:jc w:val="center"/>
              <w:rPr>
                <w:rFonts w:ascii="Times New Roman" w:hAnsi="Times New Roman" w:cs="Times New Roman"/>
                <w:szCs w:val="21"/>
              </w:rPr>
            </w:pPr>
            <w:r>
              <w:rPr>
                <w:rFonts w:ascii="Times New Roman" w:hAnsi="Times New Roman" w:eastAsia="Arial" w:cs="Times New Roman"/>
                <w:szCs w:val="21"/>
              </w:rPr>
              <w:t>66.2</w:t>
            </w:r>
          </w:p>
        </w:tc>
        <w:tc>
          <w:tcPr>
            <w:tcW w:w="517" w:type="dxa"/>
            <w:shd w:val="clear" w:color="auto" w:fill="auto"/>
            <w:tcMar>
              <w:top w:w="0" w:type="dxa"/>
              <w:left w:w="0" w:type="dxa"/>
              <w:bottom w:w="0" w:type="dxa"/>
              <w:right w:w="0" w:type="dxa"/>
            </w:tcMar>
            <w:vAlign w:val="center"/>
          </w:tcPr>
          <w:p w14:paraId="06E3B87A">
            <w:pPr>
              <w:jc w:val="center"/>
              <w:rPr>
                <w:rFonts w:ascii="Times New Roman" w:hAnsi="Times New Roman" w:cs="Times New Roman"/>
                <w:szCs w:val="21"/>
              </w:rPr>
            </w:pPr>
            <w:r>
              <w:rPr>
                <w:rFonts w:ascii="Times New Roman" w:hAnsi="Times New Roman" w:eastAsia="Arial" w:cs="Times New Roman"/>
                <w:szCs w:val="21"/>
              </w:rPr>
              <w:t>66.1</w:t>
            </w:r>
          </w:p>
        </w:tc>
        <w:tc>
          <w:tcPr>
            <w:tcW w:w="520" w:type="dxa"/>
            <w:shd w:val="clear" w:color="auto" w:fill="auto"/>
            <w:tcMar>
              <w:top w:w="0" w:type="dxa"/>
              <w:left w:w="0" w:type="dxa"/>
              <w:bottom w:w="0" w:type="dxa"/>
              <w:right w:w="0" w:type="dxa"/>
            </w:tcMar>
            <w:vAlign w:val="center"/>
          </w:tcPr>
          <w:p w14:paraId="30C38BD2">
            <w:pPr>
              <w:jc w:val="center"/>
              <w:rPr>
                <w:rFonts w:ascii="Times New Roman" w:hAnsi="Times New Roman" w:cs="Times New Roman"/>
                <w:szCs w:val="21"/>
              </w:rPr>
            </w:pPr>
            <w:r>
              <w:rPr>
                <w:rFonts w:ascii="Times New Roman" w:hAnsi="Times New Roman" w:eastAsia="Arial" w:cs="Times New Roman"/>
                <w:szCs w:val="21"/>
              </w:rPr>
              <w:t>65.8</w:t>
            </w:r>
          </w:p>
        </w:tc>
        <w:tc>
          <w:tcPr>
            <w:tcW w:w="500" w:type="dxa"/>
            <w:shd w:val="clear" w:color="auto" w:fill="auto"/>
            <w:tcMar>
              <w:top w:w="0" w:type="dxa"/>
              <w:left w:w="0" w:type="dxa"/>
              <w:bottom w:w="0" w:type="dxa"/>
              <w:right w:w="0" w:type="dxa"/>
            </w:tcMar>
            <w:vAlign w:val="center"/>
          </w:tcPr>
          <w:p w14:paraId="0300E886">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4DE0E9D2">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63AC5087">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57BD1797">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4504D3C7">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3" w:type="dxa"/>
            <w:shd w:val="clear" w:color="auto" w:fill="auto"/>
            <w:tcMar>
              <w:top w:w="0" w:type="dxa"/>
              <w:left w:w="0" w:type="dxa"/>
              <w:bottom w:w="0" w:type="dxa"/>
              <w:right w:w="0" w:type="dxa"/>
            </w:tcMar>
            <w:vAlign w:val="center"/>
          </w:tcPr>
          <w:p w14:paraId="0C4E89CF">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41.2</w:t>
            </w:r>
          </w:p>
        </w:tc>
        <w:tc>
          <w:tcPr>
            <w:tcW w:w="533" w:type="dxa"/>
            <w:shd w:val="clear" w:color="auto" w:fill="auto"/>
            <w:tcMar>
              <w:top w:w="0" w:type="dxa"/>
              <w:left w:w="0" w:type="dxa"/>
              <w:bottom w:w="0" w:type="dxa"/>
              <w:right w:w="0" w:type="dxa"/>
            </w:tcMar>
            <w:vAlign w:val="center"/>
          </w:tcPr>
          <w:p w14:paraId="6E3DECD3">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41.1</w:t>
            </w:r>
          </w:p>
        </w:tc>
        <w:tc>
          <w:tcPr>
            <w:tcW w:w="534" w:type="dxa"/>
            <w:shd w:val="clear" w:color="auto" w:fill="auto"/>
            <w:tcMar>
              <w:top w:w="0" w:type="dxa"/>
              <w:left w:w="0" w:type="dxa"/>
              <w:bottom w:w="0" w:type="dxa"/>
              <w:right w:w="0" w:type="dxa"/>
            </w:tcMar>
            <w:vAlign w:val="center"/>
          </w:tcPr>
          <w:p w14:paraId="67C4E02E">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737" w:type="dxa"/>
            <w:shd w:val="clear" w:color="auto" w:fill="auto"/>
            <w:tcMar>
              <w:top w:w="0" w:type="dxa"/>
              <w:left w:w="0" w:type="dxa"/>
              <w:bottom w:w="0" w:type="dxa"/>
              <w:right w:w="0" w:type="dxa"/>
            </w:tcMar>
            <w:vAlign w:val="center"/>
          </w:tcPr>
          <w:p w14:paraId="379E73EE">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2318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57D6AE18">
            <w:pPr>
              <w:jc w:val="center"/>
              <w:rPr>
                <w:rFonts w:ascii="Times New Roman" w:hAnsi="Times New Roman" w:cs="Times New Roman"/>
                <w:szCs w:val="21"/>
              </w:rPr>
            </w:pPr>
            <w:r>
              <w:rPr>
                <w:rFonts w:ascii="Times New Roman" w:hAnsi="Times New Roman" w:eastAsia="Arial" w:cs="Times New Roman"/>
                <w:szCs w:val="21"/>
              </w:rPr>
              <w:t>5</w:t>
            </w:r>
          </w:p>
        </w:tc>
        <w:tc>
          <w:tcPr>
            <w:tcW w:w="452" w:type="dxa"/>
            <w:vMerge w:val="continue"/>
            <w:shd w:val="clear" w:color="auto" w:fill="auto"/>
            <w:tcMar>
              <w:top w:w="0" w:type="dxa"/>
              <w:left w:w="0" w:type="dxa"/>
              <w:bottom w:w="0" w:type="dxa"/>
              <w:right w:w="0" w:type="dxa"/>
            </w:tcMar>
            <w:vAlign w:val="center"/>
          </w:tcPr>
          <w:p w14:paraId="68C782F9">
            <w:pPr>
              <w:jc w:val="center"/>
              <w:rPr>
                <w:rFonts w:ascii="Times New Roman" w:hAnsi="Times New Roman" w:cs="Times New Roman"/>
                <w:szCs w:val="21"/>
              </w:rPr>
            </w:pPr>
          </w:p>
        </w:tc>
        <w:tc>
          <w:tcPr>
            <w:tcW w:w="694" w:type="dxa"/>
            <w:shd w:val="clear" w:color="auto" w:fill="auto"/>
            <w:tcMar>
              <w:top w:w="0" w:type="dxa"/>
              <w:left w:w="0" w:type="dxa"/>
              <w:bottom w:w="0" w:type="dxa"/>
              <w:right w:w="0" w:type="dxa"/>
            </w:tcMar>
            <w:vAlign w:val="center"/>
          </w:tcPr>
          <w:p w14:paraId="6FCFE5CD">
            <w:pPr>
              <w:jc w:val="center"/>
              <w:rPr>
                <w:rFonts w:ascii="Times New Roman" w:hAnsi="Times New Roman" w:cs="Times New Roman"/>
                <w:szCs w:val="21"/>
              </w:rPr>
            </w:pPr>
            <w:r>
              <w:rPr>
                <w:rFonts w:ascii="Times New Roman" w:hAnsi="Times New Roman" w:eastAsia="Arial" w:cs="Times New Roman"/>
                <w:szCs w:val="21"/>
              </w:rPr>
              <w:t>木线机</w:t>
            </w:r>
          </w:p>
        </w:tc>
        <w:tc>
          <w:tcPr>
            <w:tcW w:w="673" w:type="dxa"/>
            <w:shd w:val="clear" w:color="auto" w:fill="auto"/>
            <w:tcMar>
              <w:top w:w="0" w:type="dxa"/>
              <w:left w:w="0" w:type="dxa"/>
              <w:bottom w:w="0" w:type="dxa"/>
              <w:right w:w="0" w:type="dxa"/>
            </w:tcMar>
            <w:vAlign w:val="center"/>
          </w:tcPr>
          <w:p w14:paraId="5ED52DE7">
            <w:pPr>
              <w:jc w:val="center"/>
              <w:rPr>
                <w:rFonts w:ascii="Times New Roman" w:hAnsi="Times New Roman" w:cs="Times New Roman"/>
                <w:szCs w:val="21"/>
              </w:rPr>
            </w:pPr>
            <w:r>
              <w:rPr>
                <w:rFonts w:ascii="Times New Roman" w:hAnsi="Times New Roman" w:eastAsia="Arial" w:cs="Times New Roman"/>
                <w:szCs w:val="21"/>
              </w:rPr>
              <w:t>75</w:t>
            </w:r>
          </w:p>
        </w:tc>
        <w:tc>
          <w:tcPr>
            <w:tcW w:w="574" w:type="dxa"/>
            <w:vMerge w:val="continue"/>
            <w:shd w:val="clear" w:color="auto" w:fill="auto"/>
            <w:tcMar>
              <w:top w:w="0" w:type="dxa"/>
              <w:left w:w="0" w:type="dxa"/>
              <w:bottom w:w="0" w:type="dxa"/>
              <w:right w:w="0" w:type="dxa"/>
            </w:tcMar>
            <w:vAlign w:val="center"/>
          </w:tcPr>
          <w:p w14:paraId="7F62EDD3">
            <w:pPr>
              <w:jc w:val="center"/>
              <w:rPr>
                <w:rFonts w:ascii="Times New Roman" w:hAnsi="Times New Roman" w:cs="Times New Roman"/>
                <w:szCs w:val="21"/>
              </w:rPr>
            </w:pPr>
          </w:p>
        </w:tc>
        <w:tc>
          <w:tcPr>
            <w:tcW w:w="632" w:type="dxa"/>
            <w:shd w:val="clear" w:color="auto" w:fill="auto"/>
            <w:tcMar>
              <w:top w:w="0" w:type="dxa"/>
              <w:left w:w="0" w:type="dxa"/>
              <w:bottom w:w="0" w:type="dxa"/>
              <w:right w:w="0" w:type="dxa"/>
            </w:tcMar>
            <w:vAlign w:val="center"/>
          </w:tcPr>
          <w:p w14:paraId="1687C38D">
            <w:pPr>
              <w:jc w:val="center"/>
              <w:rPr>
                <w:rFonts w:ascii="Times New Roman" w:hAnsi="Times New Roman" w:cs="Times New Roman"/>
                <w:szCs w:val="21"/>
              </w:rPr>
            </w:pPr>
            <w:r>
              <w:rPr>
                <w:rFonts w:ascii="Times New Roman" w:hAnsi="Times New Roman" w:eastAsia="Arial" w:cs="Times New Roman"/>
                <w:szCs w:val="21"/>
              </w:rPr>
              <w:t>-15.5</w:t>
            </w:r>
          </w:p>
        </w:tc>
        <w:tc>
          <w:tcPr>
            <w:tcW w:w="632" w:type="dxa"/>
            <w:shd w:val="clear" w:color="auto" w:fill="auto"/>
            <w:tcMar>
              <w:top w:w="0" w:type="dxa"/>
              <w:left w:w="0" w:type="dxa"/>
              <w:bottom w:w="0" w:type="dxa"/>
              <w:right w:w="0" w:type="dxa"/>
            </w:tcMar>
            <w:vAlign w:val="center"/>
          </w:tcPr>
          <w:p w14:paraId="5449D9FB">
            <w:pPr>
              <w:jc w:val="center"/>
              <w:rPr>
                <w:rFonts w:ascii="Times New Roman" w:hAnsi="Times New Roman" w:cs="Times New Roman"/>
                <w:szCs w:val="21"/>
              </w:rPr>
            </w:pPr>
            <w:r>
              <w:rPr>
                <w:rFonts w:ascii="Times New Roman" w:hAnsi="Times New Roman" w:eastAsia="Arial" w:cs="Times New Roman"/>
                <w:szCs w:val="21"/>
              </w:rPr>
              <w:t>-1.1</w:t>
            </w:r>
          </w:p>
        </w:tc>
        <w:tc>
          <w:tcPr>
            <w:tcW w:w="632" w:type="dxa"/>
            <w:shd w:val="clear" w:color="auto" w:fill="auto"/>
            <w:tcMar>
              <w:top w:w="0" w:type="dxa"/>
              <w:left w:w="0" w:type="dxa"/>
              <w:bottom w:w="0" w:type="dxa"/>
              <w:right w:w="0" w:type="dxa"/>
            </w:tcMar>
            <w:vAlign w:val="center"/>
          </w:tcPr>
          <w:p w14:paraId="0D664A8F">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1215526A">
            <w:pPr>
              <w:jc w:val="center"/>
              <w:rPr>
                <w:rFonts w:ascii="Times New Roman" w:hAnsi="Times New Roman" w:cs="Times New Roman"/>
                <w:szCs w:val="21"/>
              </w:rPr>
            </w:pPr>
            <w:r>
              <w:rPr>
                <w:rFonts w:ascii="Times New Roman" w:hAnsi="Times New Roman" w:eastAsia="Arial" w:cs="Times New Roman"/>
                <w:szCs w:val="21"/>
              </w:rPr>
              <w:t>102.5</w:t>
            </w:r>
          </w:p>
        </w:tc>
        <w:tc>
          <w:tcPr>
            <w:tcW w:w="525" w:type="dxa"/>
            <w:shd w:val="clear" w:color="auto" w:fill="auto"/>
            <w:tcMar>
              <w:top w:w="0" w:type="dxa"/>
              <w:left w:w="0" w:type="dxa"/>
              <w:bottom w:w="0" w:type="dxa"/>
              <w:right w:w="0" w:type="dxa"/>
            </w:tcMar>
            <w:vAlign w:val="center"/>
          </w:tcPr>
          <w:p w14:paraId="16C401C4">
            <w:pPr>
              <w:jc w:val="center"/>
              <w:rPr>
                <w:rFonts w:ascii="Times New Roman" w:hAnsi="Times New Roman" w:cs="Times New Roman"/>
                <w:szCs w:val="21"/>
              </w:rPr>
            </w:pPr>
            <w:r>
              <w:rPr>
                <w:rFonts w:ascii="Times New Roman" w:hAnsi="Times New Roman" w:eastAsia="Arial" w:cs="Times New Roman"/>
                <w:szCs w:val="21"/>
              </w:rPr>
              <w:t>18.7</w:t>
            </w:r>
          </w:p>
        </w:tc>
        <w:tc>
          <w:tcPr>
            <w:tcW w:w="524" w:type="dxa"/>
            <w:shd w:val="clear" w:color="auto" w:fill="auto"/>
            <w:tcMar>
              <w:top w:w="0" w:type="dxa"/>
              <w:left w:w="0" w:type="dxa"/>
              <w:bottom w:w="0" w:type="dxa"/>
              <w:right w:w="0" w:type="dxa"/>
            </w:tcMar>
            <w:vAlign w:val="center"/>
          </w:tcPr>
          <w:p w14:paraId="6B86C410">
            <w:pPr>
              <w:jc w:val="center"/>
              <w:rPr>
                <w:rFonts w:ascii="Times New Roman" w:hAnsi="Times New Roman" w:cs="Times New Roman"/>
                <w:szCs w:val="21"/>
              </w:rPr>
            </w:pPr>
            <w:r>
              <w:rPr>
                <w:rFonts w:ascii="Times New Roman" w:hAnsi="Times New Roman" w:eastAsia="Arial" w:cs="Times New Roman"/>
                <w:szCs w:val="21"/>
              </w:rPr>
              <w:t>72.5</w:t>
            </w:r>
          </w:p>
        </w:tc>
        <w:tc>
          <w:tcPr>
            <w:tcW w:w="525" w:type="dxa"/>
            <w:shd w:val="clear" w:color="auto" w:fill="auto"/>
            <w:tcMar>
              <w:top w:w="0" w:type="dxa"/>
              <w:left w:w="0" w:type="dxa"/>
              <w:bottom w:w="0" w:type="dxa"/>
              <w:right w:w="0" w:type="dxa"/>
            </w:tcMar>
            <w:vAlign w:val="center"/>
          </w:tcPr>
          <w:p w14:paraId="472758A9">
            <w:pPr>
              <w:jc w:val="center"/>
              <w:rPr>
                <w:rFonts w:ascii="Times New Roman" w:hAnsi="Times New Roman" w:cs="Times New Roman"/>
                <w:szCs w:val="21"/>
              </w:rPr>
            </w:pPr>
            <w:r>
              <w:rPr>
                <w:rFonts w:ascii="Times New Roman" w:hAnsi="Times New Roman" w:eastAsia="Arial" w:cs="Times New Roman"/>
                <w:szCs w:val="21"/>
              </w:rPr>
              <w:t>24.5</w:t>
            </w:r>
          </w:p>
        </w:tc>
        <w:tc>
          <w:tcPr>
            <w:tcW w:w="517" w:type="dxa"/>
            <w:shd w:val="clear" w:color="auto" w:fill="auto"/>
            <w:tcMar>
              <w:top w:w="0" w:type="dxa"/>
              <w:left w:w="0" w:type="dxa"/>
              <w:bottom w:w="0" w:type="dxa"/>
              <w:right w:w="0" w:type="dxa"/>
            </w:tcMar>
            <w:vAlign w:val="center"/>
          </w:tcPr>
          <w:p w14:paraId="10B448E5">
            <w:pPr>
              <w:jc w:val="center"/>
              <w:rPr>
                <w:rFonts w:ascii="Times New Roman" w:hAnsi="Times New Roman" w:cs="Times New Roman"/>
                <w:szCs w:val="21"/>
              </w:rPr>
            </w:pPr>
            <w:r>
              <w:rPr>
                <w:rFonts w:ascii="Times New Roman" w:hAnsi="Times New Roman" w:eastAsia="Arial" w:cs="Times New Roman"/>
                <w:szCs w:val="21"/>
              </w:rPr>
              <w:t>55.8</w:t>
            </w:r>
          </w:p>
        </w:tc>
        <w:tc>
          <w:tcPr>
            <w:tcW w:w="518" w:type="dxa"/>
            <w:shd w:val="clear" w:color="auto" w:fill="auto"/>
            <w:tcMar>
              <w:top w:w="0" w:type="dxa"/>
              <w:left w:w="0" w:type="dxa"/>
              <w:bottom w:w="0" w:type="dxa"/>
              <w:right w:w="0" w:type="dxa"/>
            </w:tcMar>
            <w:vAlign w:val="center"/>
          </w:tcPr>
          <w:p w14:paraId="333F06E6">
            <w:pPr>
              <w:jc w:val="center"/>
              <w:rPr>
                <w:rFonts w:ascii="Times New Roman" w:hAnsi="Times New Roman" w:cs="Times New Roman"/>
                <w:szCs w:val="21"/>
              </w:rPr>
            </w:pPr>
            <w:r>
              <w:rPr>
                <w:rFonts w:ascii="Times New Roman" w:hAnsi="Times New Roman" w:eastAsia="Arial" w:cs="Times New Roman"/>
                <w:szCs w:val="21"/>
              </w:rPr>
              <w:t>55.9</w:t>
            </w:r>
          </w:p>
        </w:tc>
        <w:tc>
          <w:tcPr>
            <w:tcW w:w="517" w:type="dxa"/>
            <w:shd w:val="clear" w:color="auto" w:fill="auto"/>
            <w:tcMar>
              <w:top w:w="0" w:type="dxa"/>
              <w:left w:w="0" w:type="dxa"/>
              <w:bottom w:w="0" w:type="dxa"/>
              <w:right w:w="0" w:type="dxa"/>
            </w:tcMar>
            <w:vAlign w:val="center"/>
          </w:tcPr>
          <w:p w14:paraId="735A9133">
            <w:pPr>
              <w:jc w:val="center"/>
              <w:rPr>
                <w:rFonts w:ascii="Times New Roman" w:hAnsi="Times New Roman" w:cs="Times New Roman"/>
                <w:szCs w:val="21"/>
              </w:rPr>
            </w:pPr>
            <w:r>
              <w:rPr>
                <w:rFonts w:ascii="Times New Roman" w:hAnsi="Times New Roman" w:eastAsia="Arial" w:cs="Times New Roman"/>
                <w:szCs w:val="21"/>
              </w:rPr>
              <w:t>55.8</w:t>
            </w:r>
          </w:p>
        </w:tc>
        <w:tc>
          <w:tcPr>
            <w:tcW w:w="520" w:type="dxa"/>
            <w:shd w:val="clear" w:color="auto" w:fill="auto"/>
            <w:tcMar>
              <w:top w:w="0" w:type="dxa"/>
              <w:left w:w="0" w:type="dxa"/>
              <w:bottom w:w="0" w:type="dxa"/>
              <w:right w:w="0" w:type="dxa"/>
            </w:tcMar>
            <w:vAlign w:val="center"/>
          </w:tcPr>
          <w:p w14:paraId="4B81B81A">
            <w:pPr>
              <w:jc w:val="center"/>
              <w:rPr>
                <w:rFonts w:ascii="Times New Roman" w:hAnsi="Times New Roman" w:cs="Times New Roman"/>
                <w:szCs w:val="21"/>
              </w:rPr>
            </w:pPr>
            <w:r>
              <w:rPr>
                <w:rFonts w:ascii="Times New Roman" w:hAnsi="Times New Roman" w:eastAsia="Arial" w:cs="Times New Roman"/>
                <w:szCs w:val="21"/>
              </w:rPr>
              <w:t>55.8</w:t>
            </w:r>
          </w:p>
        </w:tc>
        <w:tc>
          <w:tcPr>
            <w:tcW w:w="500" w:type="dxa"/>
            <w:shd w:val="clear" w:color="auto" w:fill="auto"/>
            <w:tcMar>
              <w:top w:w="0" w:type="dxa"/>
              <w:left w:w="0" w:type="dxa"/>
              <w:bottom w:w="0" w:type="dxa"/>
              <w:right w:w="0" w:type="dxa"/>
            </w:tcMar>
            <w:vAlign w:val="center"/>
          </w:tcPr>
          <w:p w14:paraId="05BFCCCD">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2DE9F58C">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3711B6B5">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50CFA0EC">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38FDA66E">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30.8</w:t>
            </w:r>
          </w:p>
        </w:tc>
        <w:tc>
          <w:tcPr>
            <w:tcW w:w="533" w:type="dxa"/>
            <w:shd w:val="clear" w:color="auto" w:fill="auto"/>
            <w:tcMar>
              <w:top w:w="0" w:type="dxa"/>
              <w:left w:w="0" w:type="dxa"/>
              <w:bottom w:w="0" w:type="dxa"/>
              <w:right w:w="0" w:type="dxa"/>
            </w:tcMar>
            <w:vAlign w:val="center"/>
          </w:tcPr>
          <w:p w14:paraId="3D98B2B9">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30.9</w:t>
            </w:r>
          </w:p>
        </w:tc>
        <w:tc>
          <w:tcPr>
            <w:tcW w:w="533" w:type="dxa"/>
            <w:shd w:val="clear" w:color="auto" w:fill="auto"/>
            <w:tcMar>
              <w:top w:w="0" w:type="dxa"/>
              <w:left w:w="0" w:type="dxa"/>
              <w:bottom w:w="0" w:type="dxa"/>
              <w:right w:w="0" w:type="dxa"/>
            </w:tcMar>
            <w:vAlign w:val="center"/>
          </w:tcPr>
          <w:p w14:paraId="22D52807">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30.8</w:t>
            </w:r>
          </w:p>
        </w:tc>
        <w:tc>
          <w:tcPr>
            <w:tcW w:w="534" w:type="dxa"/>
            <w:shd w:val="clear" w:color="auto" w:fill="auto"/>
            <w:tcMar>
              <w:top w:w="0" w:type="dxa"/>
              <w:left w:w="0" w:type="dxa"/>
              <w:bottom w:w="0" w:type="dxa"/>
              <w:right w:w="0" w:type="dxa"/>
            </w:tcMar>
            <w:vAlign w:val="center"/>
          </w:tcPr>
          <w:p w14:paraId="66967D1F">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30.8</w:t>
            </w:r>
          </w:p>
        </w:tc>
        <w:tc>
          <w:tcPr>
            <w:tcW w:w="737" w:type="dxa"/>
            <w:shd w:val="clear" w:color="auto" w:fill="auto"/>
            <w:tcMar>
              <w:top w:w="0" w:type="dxa"/>
              <w:left w:w="0" w:type="dxa"/>
              <w:bottom w:w="0" w:type="dxa"/>
              <w:right w:w="0" w:type="dxa"/>
            </w:tcMar>
            <w:vAlign w:val="center"/>
          </w:tcPr>
          <w:p w14:paraId="1BD0914F">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71F7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6078FD2F">
            <w:pPr>
              <w:jc w:val="center"/>
              <w:rPr>
                <w:rFonts w:ascii="Times New Roman" w:hAnsi="Times New Roman" w:cs="Times New Roman"/>
                <w:szCs w:val="21"/>
              </w:rPr>
            </w:pPr>
            <w:r>
              <w:rPr>
                <w:rFonts w:ascii="Times New Roman" w:hAnsi="Times New Roman" w:eastAsia="Arial" w:cs="Times New Roman"/>
                <w:szCs w:val="21"/>
              </w:rPr>
              <w:t>6</w:t>
            </w:r>
          </w:p>
        </w:tc>
        <w:tc>
          <w:tcPr>
            <w:tcW w:w="452" w:type="dxa"/>
            <w:vMerge w:val="continue"/>
            <w:shd w:val="clear" w:color="auto" w:fill="auto"/>
            <w:tcMar>
              <w:top w:w="0" w:type="dxa"/>
              <w:left w:w="0" w:type="dxa"/>
              <w:bottom w:w="0" w:type="dxa"/>
              <w:right w:w="0" w:type="dxa"/>
            </w:tcMar>
            <w:vAlign w:val="center"/>
          </w:tcPr>
          <w:p w14:paraId="58A5C8AA">
            <w:pPr>
              <w:jc w:val="center"/>
              <w:rPr>
                <w:rFonts w:ascii="Times New Roman" w:hAnsi="Times New Roman" w:cs="Times New Roman"/>
                <w:szCs w:val="21"/>
              </w:rPr>
            </w:pPr>
          </w:p>
        </w:tc>
        <w:tc>
          <w:tcPr>
            <w:tcW w:w="694" w:type="dxa"/>
            <w:shd w:val="clear" w:color="auto" w:fill="auto"/>
            <w:tcMar>
              <w:top w:w="0" w:type="dxa"/>
              <w:left w:w="0" w:type="dxa"/>
              <w:bottom w:w="0" w:type="dxa"/>
              <w:right w:w="0" w:type="dxa"/>
            </w:tcMar>
            <w:vAlign w:val="center"/>
          </w:tcPr>
          <w:p w14:paraId="639B7BE8">
            <w:pPr>
              <w:jc w:val="center"/>
              <w:rPr>
                <w:rFonts w:ascii="Times New Roman" w:hAnsi="Times New Roman" w:cs="Times New Roman"/>
                <w:szCs w:val="21"/>
              </w:rPr>
            </w:pPr>
            <w:r>
              <w:rPr>
                <w:rFonts w:ascii="Times New Roman" w:hAnsi="Times New Roman" w:eastAsia="Arial" w:cs="Times New Roman"/>
                <w:szCs w:val="21"/>
              </w:rPr>
              <w:t>排钻</w:t>
            </w:r>
          </w:p>
        </w:tc>
        <w:tc>
          <w:tcPr>
            <w:tcW w:w="673" w:type="dxa"/>
            <w:shd w:val="clear" w:color="auto" w:fill="auto"/>
            <w:tcMar>
              <w:top w:w="0" w:type="dxa"/>
              <w:left w:w="0" w:type="dxa"/>
              <w:bottom w:w="0" w:type="dxa"/>
              <w:right w:w="0" w:type="dxa"/>
            </w:tcMar>
            <w:vAlign w:val="center"/>
          </w:tcPr>
          <w:p w14:paraId="41DF602E">
            <w:pPr>
              <w:jc w:val="center"/>
              <w:rPr>
                <w:rFonts w:ascii="Times New Roman" w:hAnsi="Times New Roman" w:cs="Times New Roman"/>
                <w:szCs w:val="21"/>
              </w:rPr>
            </w:pPr>
            <w:r>
              <w:rPr>
                <w:rFonts w:ascii="Times New Roman" w:hAnsi="Times New Roman" w:eastAsia="Arial" w:cs="Times New Roman"/>
                <w:szCs w:val="21"/>
              </w:rPr>
              <w:t>85</w:t>
            </w:r>
          </w:p>
        </w:tc>
        <w:tc>
          <w:tcPr>
            <w:tcW w:w="574" w:type="dxa"/>
            <w:vMerge w:val="continue"/>
            <w:shd w:val="clear" w:color="auto" w:fill="auto"/>
            <w:tcMar>
              <w:top w:w="0" w:type="dxa"/>
              <w:left w:w="0" w:type="dxa"/>
              <w:bottom w:w="0" w:type="dxa"/>
              <w:right w:w="0" w:type="dxa"/>
            </w:tcMar>
            <w:vAlign w:val="center"/>
          </w:tcPr>
          <w:p w14:paraId="4DE201EA">
            <w:pPr>
              <w:jc w:val="center"/>
              <w:rPr>
                <w:rFonts w:ascii="Times New Roman" w:hAnsi="Times New Roman" w:cs="Times New Roman"/>
                <w:szCs w:val="21"/>
              </w:rPr>
            </w:pPr>
          </w:p>
        </w:tc>
        <w:tc>
          <w:tcPr>
            <w:tcW w:w="632" w:type="dxa"/>
            <w:shd w:val="clear" w:color="auto" w:fill="auto"/>
            <w:tcMar>
              <w:top w:w="0" w:type="dxa"/>
              <w:left w:w="0" w:type="dxa"/>
              <w:bottom w:w="0" w:type="dxa"/>
              <w:right w:w="0" w:type="dxa"/>
            </w:tcMar>
            <w:vAlign w:val="center"/>
          </w:tcPr>
          <w:p w14:paraId="7C2E90B3">
            <w:pPr>
              <w:jc w:val="center"/>
              <w:rPr>
                <w:rFonts w:ascii="Times New Roman" w:hAnsi="Times New Roman" w:cs="Times New Roman"/>
                <w:szCs w:val="21"/>
              </w:rPr>
            </w:pPr>
            <w:r>
              <w:rPr>
                <w:rFonts w:ascii="Times New Roman" w:hAnsi="Times New Roman" w:eastAsia="Arial" w:cs="Times New Roman"/>
                <w:szCs w:val="21"/>
              </w:rPr>
              <w:t>-45.2</w:t>
            </w:r>
          </w:p>
        </w:tc>
        <w:tc>
          <w:tcPr>
            <w:tcW w:w="632" w:type="dxa"/>
            <w:shd w:val="clear" w:color="auto" w:fill="auto"/>
            <w:tcMar>
              <w:top w:w="0" w:type="dxa"/>
              <w:left w:w="0" w:type="dxa"/>
              <w:bottom w:w="0" w:type="dxa"/>
              <w:right w:w="0" w:type="dxa"/>
            </w:tcMar>
            <w:vAlign w:val="center"/>
          </w:tcPr>
          <w:p w14:paraId="675D1F15">
            <w:pPr>
              <w:jc w:val="center"/>
              <w:rPr>
                <w:rFonts w:ascii="Times New Roman" w:hAnsi="Times New Roman" w:cs="Times New Roman"/>
                <w:szCs w:val="21"/>
              </w:rPr>
            </w:pPr>
            <w:r>
              <w:rPr>
                <w:rFonts w:ascii="Times New Roman" w:hAnsi="Times New Roman" w:eastAsia="Arial" w:cs="Times New Roman"/>
                <w:szCs w:val="21"/>
              </w:rPr>
              <w:t>7.6</w:t>
            </w:r>
          </w:p>
        </w:tc>
        <w:tc>
          <w:tcPr>
            <w:tcW w:w="632" w:type="dxa"/>
            <w:shd w:val="clear" w:color="auto" w:fill="auto"/>
            <w:tcMar>
              <w:top w:w="0" w:type="dxa"/>
              <w:left w:w="0" w:type="dxa"/>
              <w:bottom w:w="0" w:type="dxa"/>
              <w:right w:w="0" w:type="dxa"/>
            </w:tcMar>
            <w:vAlign w:val="center"/>
          </w:tcPr>
          <w:p w14:paraId="34749BC0">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103CE84A">
            <w:pPr>
              <w:jc w:val="center"/>
              <w:rPr>
                <w:rFonts w:ascii="Times New Roman" w:hAnsi="Times New Roman" w:cs="Times New Roman"/>
                <w:szCs w:val="21"/>
              </w:rPr>
            </w:pPr>
            <w:r>
              <w:rPr>
                <w:rFonts w:ascii="Times New Roman" w:hAnsi="Times New Roman" w:eastAsia="Arial" w:cs="Times New Roman"/>
                <w:szCs w:val="21"/>
              </w:rPr>
              <w:t>133.2</w:t>
            </w:r>
          </w:p>
        </w:tc>
        <w:tc>
          <w:tcPr>
            <w:tcW w:w="525" w:type="dxa"/>
            <w:shd w:val="clear" w:color="auto" w:fill="auto"/>
            <w:tcMar>
              <w:top w:w="0" w:type="dxa"/>
              <w:left w:w="0" w:type="dxa"/>
              <w:bottom w:w="0" w:type="dxa"/>
              <w:right w:w="0" w:type="dxa"/>
            </w:tcMar>
            <w:vAlign w:val="center"/>
          </w:tcPr>
          <w:p w14:paraId="0A0BF85B">
            <w:pPr>
              <w:jc w:val="center"/>
              <w:rPr>
                <w:rFonts w:ascii="Times New Roman" w:hAnsi="Times New Roman" w:cs="Times New Roman"/>
                <w:szCs w:val="21"/>
              </w:rPr>
            </w:pPr>
            <w:r>
              <w:rPr>
                <w:rFonts w:ascii="Times New Roman" w:hAnsi="Times New Roman" w:eastAsia="Arial" w:cs="Times New Roman"/>
                <w:szCs w:val="21"/>
              </w:rPr>
              <w:t>22.7</w:t>
            </w:r>
          </w:p>
        </w:tc>
        <w:tc>
          <w:tcPr>
            <w:tcW w:w="524" w:type="dxa"/>
            <w:shd w:val="clear" w:color="auto" w:fill="auto"/>
            <w:tcMar>
              <w:top w:w="0" w:type="dxa"/>
              <w:left w:w="0" w:type="dxa"/>
              <w:bottom w:w="0" w:type="dxa"/>
              <w:right w:w="0" w:type="dxa"/>
            </w:tcMar>
            <w:vAlign w:val="center"/>
          </w:tcPr>
          <w:p w14:paraId="16DD6154">
            <w:pPr>
              <w:jc w:val="center"/>
              <w:rPr>
                <w:rFonts w:ascii="Times New Roman" w:hAnsi="Times New Roman" w:cs="Times New Roman"/>
                <w:szCs w:val="21"/>
              </w:rPr>
            </w:pPr>
            <w:r>
              <w:rPr>
                <w:rFonts w:ascii="Times New Roman" w:hAnsi="Times New Roman" w:eastAsia="Arial" w:cs="Times New Roman"/>
                <w:szCs w:val="21"/>
              </w:rPr>
              <w:t>41.8</w:t>
            </w:r>
          </w:p>
        </w:tc>
        <w:tc>
          <w:tcPr>
            <w:tcW w:w="525" w:type="dxa"/>
            <w:shd w:val="clear" w:color="auto" w:fill="auto"/>
            <w:tcMar>
              <w:top w:w="0" w:type="dxa"/>
              <w:left w:w="0" w:type="dxa"/>
              <w:bottom w:w="0" w:type="dxa"/>
              <w:right w:w="0" w:type="dxa"/>
            </w:tcMar>
            <w:vAlign w:val="center"/>
          </w:tcPr>
          <w:p w14:paraId="3910B5CD">
            <w:pPr>
              <w:jc w:val="center"/>
              <w:rPr>
                <w:rFonts w:ascii="Times New Roman" w:hAnsi="Times New Roman" w:cs="Times New Roman"/>
                <w:szCs w:val="21"/>
              </w:rPr>
            </w:pPr>
            <w:r>
              <w:rPr>
                <w:rFonts w:ascii="Times New Roman" w:hAnsi="Times New Roman" w:eastAsia="Arial" w:cs="Times New Roman"/>
                <w:szCs w:val="21"/>
              </w:rPr>
              <w:t>20.5</w:t>
            </w:r>
          </w:p>
        </w:tc>
        <w:tc>
          <w:tcPr>
            <w:tcW w:w="517" w:type="dxa"/>
            <w:shd w:val="clear" w:color="auto" w:fill="auto"/>
            <w:tcMar>
              <w:top w:w="0" w:type="dxa"/>
              <w:left w:w="0" w:type="dxa"/>
              <w:bottom w:w="0" w:type="dxa"/>
              <w:right w:w="0" w:type="dxa"/>
            </w:tcMar>
            <w:vAlign w:val="center"/>
          </w:tcPr>
          <w:p w14:paraId="1506877D">
            <w:pPr>
              <w:jc w:val="center"/>
              <w:rPr>
                <w:rFonts w:ascii="Times New Roman" w:hAnsi="Times New Roman" w:cs="Times New Roman"/>
                <w:szCs w:val="21"/>
              </w:rPr>
            </w:pPr>
            <w:r>
              <w:rPr>
                <w:rFonts w:ascii="Times New Roman" w:hAnsi="Times New Roman" w:eastAsia="Arial" w:cs="Times New Roman"/>
                <w:szCs w:val="21"/>
              </w:rPr>
              <w:t>65.8</w:t>
            </w:r>
          </w:p>
        </w:tc>
        <w:tc>
          <w:tcPr>
            <w:tcW w:w="518" w:type="dxa"/>
            <w:shd w:val="clear" w:color="auto" w:fill="auto"/>
            <w:tcMar>
              <w:top w:w="0" w:type="dxa"/>
              <w:left w:w="0" w:type="dxa"/>
              <w:bottom w:w="0" w:type="dxa"/>
              <w:right w:w="0" w:type="dxa"/>
            </w:tcMar>
            <w:vAlign w:val="center"/>
          </w:tcPr>
          <w:p w14:paraId="05978FE6">
            <w:pPr>
              <w:jc w:val="center"/>
              <w:rPr>
                <w:rFonts w:ascii="Times New Roman" w:hAnsi="Times New Roman" w:cs="Times New Roman"/>
                <w:szCs w:val="21"/>
              </w:rPr>
            </w:pPr>
            <w:r>
              <w:rPr>
                <w:rFonts w:ascii="Times New Roman" w:hAnsi="Times New Roman" w:eastAsia="Arial" w:cs="Times New Roman"/>
                <w:szCs w:val="21"/>
              </w:rPr>
              <w:t>65.8</w:t>
            </w:r>
          </w:p>
        </w:tc>
        <w:tc>
          <w:tcPr>
            <w:tcW w:w="517" w:type="dxa"/>
            <w:shd w:val="clear" w:color="auto" w:fill="auto"/>
            <w:tcMar>
              <w:top w:w="0" w:type="dxa"/>
              <w:left w:w="0" w:type="dxa"/>
              <w:bottom w:w="0" w:type="dxa"/>
              <w:right w:w="0" w:type="dxa"/>
            </w:tcMar>
            <w:vAlign w:val="center"/>
          </w:tcPr>
          <w:p w14:paraId="326496F9">
            <w:pPr>
              <w:jc w:val="center"/>
              <w:rPr>
                <w:rFonts w:ascii="Times New Roman" w:hAnsi="Times New Roman" w:cs="Times New Roman"/>
                <w:szCs w:val="21"/>
              </w:rPr>
            </w:pPr>
            <w:r>
              <w:rPr>
                <w:rFonts w:ascii="Times New Roman" w:hAnsi="Times New Roman" w:eastAsia="Arial" w:cs="Times New Roman"/>
                <w:szCs w:val="21"/>
              </w:rPr>
              <w:t>65.8</w:t>
            </w:r>
          </w:p>
        </w:tc>
        <w:tc>
          <w:tcPr>
            <w:tcW w:w="520" w:type="dxa"/>
            <w:shd w:val="clear" w:color="auto" w:fill="auto"/>
            <w:tcMar>
              <w:top w:w="0" w:type="dxa"/>
              <w:left w:w="0" w:type="dxa"/>
              <w:bottom w:w="0" w:type="dxa"/>
              <w:right w:w="0" w:type="dxa"/>
            </w:tcMar>
            <w:vAlign w:val="center"/>
          </w:tcPr>
          <w:p w14:paraId="18277260">
            <w:pPr>
              <w:jc w:val="center"/>
              <w:rPr>
                <w:rFonts w:ascii="Times New Roman" w:hAnsi="Times New Roman" w:cs="Times New Roman"/>
                <w:szCs w:val="21"/>
              </w:rPr>
            </w:pPr>
            <w:r>
              <w:rPr>
                <w:rFonts w:ascii="Times New Roman" w:hAnsi="Times New Roman" w:eastAsia="Arial" w:cs="Times New Roman"/>
                <w:szCs w:val="21"/>
              </w:rPr>
              <w:t>65.8</w:t>
            </w:r>
          </w:p>
        </w:tc>
        <w:tc>
          <w:tcPr>
            <w:tcW w:w="500" w:type="dxa"/>
            <w:shd w:val="clear" w:color="auto" w:fill="auto"/>
            <w:tcMar>
              <w:top w:w="0" w:type="dxa"/>
              <w:left w:w="0" w:type="dxa"/>
              <w:bottom w:w="0" w:type="dxa"/>
              <w:right w:w="0" w:type="dxa"/>
            </w:tcMar>
            <w:vAlign w:val="center"/>
          </w:tcPr>
          <w:p w14:paraId="453539E1">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5C9C990B">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46A9C52E">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17F06E66">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5DA32C3A">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3" w:type="dxa"/>
            <w:shd w:val="clear" w:color="auto" w:fill="auto"/>
            <w:tcMar>
              <w:top w:w="0" w:type="dxa"/>
              <w:left w:w="0" w:type="dxa"/>
              <w:bottom w:w="0" w:type="dxa"/>
              <w:right w:w="0" w:type="dxa"/>
            </w:tcMar>
            <w:vAlign w:val="center"/>
          </w:tcPr>
          <w:p w14:paraId="56A491F8">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3" w:type="dxa"/>
            <w:shd w:val="clear" w:color="auto" w:fill="auto"/>
            <w:tcMar>
              <w:top w:w="0" w:type="dxa"/>
              <w:left w:w="0" w:type="dxa"/>
              <w:bottom w:w="0" w:type="dxa"/>
              <w:right w:w="0" w:type="dxa"/>
            </w:tcMar>
            <w:vAlign w:val="center"/>
          </w:tcPr>
          <w:p w14:paraId="755FEE05">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4" w:type="dxa"/>
            <w:shd w:val="clear" w:color="auto" w:fill="auto"/>
            <w:tcMar>
              <w:top w:w="0" w:type="dxa"/>
              <w:left w:w="0" w:type="dxa"/>
              <w:bottom w:w="0" w:type="dxa"/>
              <w:right w:w="0" w:type="dxa"/>
            </w:tcMar>
            <w:vAlign w:val="center"/>
          </w:tcPr>
          <w:p w14:paraId="64123810">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737" w:type="dxa"/>
            <w:shd w:val="clear" w:color="auto" w:fill="auto"/>
            <w:tcMar>
              <w:top w:w="0" w:type="dxa"/>
              <w:left w:w="0" w:type="dxa"/>
              <w:bottom w:w="0" w:type="dxa"/>
              <w:right w:w="0" w:type="dxa"/>
            </w:tcMar>
            <w:vAlign w:val="center"/>
          </w:tcPr>
          <w:p w14:paraId="70AB73C6">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1424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7EE5FFC8">
            <w:pPr>
              <w:jc w:val="center"/>
              <w:rPr>
                <w:rFonts w:ascii="Times New Roman" w:hAnsi="Times New Roman" w:cs="Times New Roman"/>
                <w:szCs w:val="21"/>
              </w:rPr>
            </w:pPr>
            <w:r>
              <w:rPr>
                <w:rFonts w:ascii="Times New Roman" w:hAnsi="Times New Roman" w:eastAsia="Arial" w:cs="Times New Roman"/>
                <w:szCs w:val="21"/>
              </w:rPr>
              <w:t>7</w:t>
            </w:r>
          </w:p>
        </w:tc>
        <w:tc>
          <w:tcPr>
            <w:tcW w:w="452" w:type="dxa"/>
            <w:vMerge w:val="continue"/>
            <w:shd w:val="clear" w:color="auto" w:fill="auto"/>
            <w:tcMar>
              <w:top w:w="0" w:type="dxa"/>
              <w:left w:w="0" w:type="dxa"/>
              <w:bottom w:w="0" w:type="dxa"/>
              <w:right w:w="0" w:type="dxa"/>
            </w:tcMar>
            <w:vAlign w:val="center"/>
          </w:tcPr>
          <w:p w14:paraId="7BAE22C9">
            <w:pPr>
              <w:jc w:val="center"/>
              <w:rPr>
                <w:rFonts w:ascii="Times New Roman" w:hAnsi="Times New Roman" w:cs="Times New Roman"/>
                <w:szCs w:val="21"/>
              </w:rPr>
            </w:pPr>
          </w:p>
        </w:tc>
        <w:tc>
          <w:tcPr>
            <w:tcW w:w="694" w:type="dxa"/>
            <w:shd w:val="clear" w:color="auto" w:fill="auto"/>
            <w:tcMar>
              <w:top w:w="0" w:type="dxa"/>
              <w:left w:w="0" w:type="dxa"/>
              <w:bottom w:w="0" w:type="dxa"/>
              <w:right w:w="0" w:type="dxa"/>
            </w:tcMar>
            <w:vAlign w:val="center"/>
          </w:tcPr>
          <w:p w14:paraId="3A4355F7">
            <w:pPr>
              <w:jc w:val="center"/>
              <w:rPr>
                <w:rFonts w:ascii="Times New Roman" w:hAnsi="Times New Roman" w:cs="Times New Roman"/>
                <w:szCs w:val="21"/>
              </w:rPr>
            </w:pPr>
            <w:r>
              <w:rPr>
                <w:rFonts w:ascii="Times New Roman" w:hAnsi="Times New Roman" w:eastAsia="Arial" w:cs="Times New Roman"/>
                <w:szCs w:val="21"/>
              </w:rPr>
              <w:t>侧孔机</w:t>
            </w:r>
          </w:p>
        </w:tc>
        <w:tc>
          <w:tcPr>
            <w:tcW w:w="673" w:type="dxa"/>
            <w:shd w:val="clear" w:color="auto" w:fill="auto"/>
            <w:tcMar>
              <w:top w:w="0" w:type="dxa"/>
              <w:left w:w="0" w:type="dxa"/>
              <w:bottom w:w="0" w:type="dxa"/>
              <w:right w:w="0" w:type="dxa"/>
            </w:tcMar>
            <w:vAlign w:val="center"/>
          </w:tcPr>
          <w:p w14:paraId="4BADA895">
            <w:pPr>
              <w:jc w:val="center"/>
              <w:rPr>
                <w:rFonts w:ascii="Times New Roman" w:hAnsi="Times New Roman" w:cs="Times New Roman"/>
                <w:szCs w:val="21"/>
              </w:rPr>
            </w:pPr>
            <w:r>
              <w:rPr>
                <w:rFonts w:ascii="Times New Roman" w:hAnsi="Times New Roman" w:eastAsia="Arial" w:cs="Times New Roman"/>
                <w:szCs w:val="21"/>
              </w:rPr>
              <w:t>80</w:t>
            </w:r>
          </w:p>
        </w:tc>
        <w:tc>
          <w:tcPr>
            <w:tcW w:w="574" w:type="dxa"/>
            <w:vMerge w:val="continue"/>
            <w:shd w:val="clear" w:color="auto" w:fill="auto"/>
            <w:tcMar>
              <w:top w:w="0" w:type="dxa"/>
              <w:left w:w="0" w:type="dxa"/>
              <w:bottom w:w="0" w:type="dxa"/>
              <w:right w:w="0" w:type="dxa"/>
            </w:tcMar>
            <w:vAlign w:val="center"/>
          </w:tcPr>
          <w:p w14:paraId="7056348C">
            <w:pPr>
              <w:jc w:val="center"/>
              <w:rPr>
                <w:rFonts w:ascii="Times New Roman" w:hAnsi="Times New Roman" w:cs="Times New Roman"/>
                <w:szCs w:val="21"/>
              </w:rPr>
            </w:pPr>
          </w:p>
        </w:tc>
        <w:tc>
          <w:tcPr>
            <w:tcW w:w="632" w:type="dxa"/>
            <w:shd w:val="clear" w:color="auto" w:fill="auto"/>
            <w:tcMar>
              <w:top w:w="0" w:type="dxa"/>
              <w:left w:w="0" w:type="dxa"/>
              <w:bottom w:w="0" w:type="dxa"/>
              <w:right w:w="0" w:type="dxa"/>
            </w:tcMar>
            <w:vAlign w:val="center"/>
          </w:tcPr>
          <w:p w14:paraId="57FA69A1">
            <w:pPr>
              <w:jc w:val="center"/>
              <w:rPr>
                <w:rFonts w:ascii="Times New Roman" w:hAnsi="Times New Roman" w:cs="Times New Roman"/>
                <w:szCs w:val="21"/>
              </w:rPr>
            </w:pPr>
            <w:r>
              <w:rPr>
                <w:rFonts w:ascii="Times New Roman" w:hAnsi="Times New Roman" w:eastAsia="Arial" w:cs="Times New Roman"/>
                <w:szCs w:val="21"/>
              </w:rPr>
              <w:t>35.3</w:t>
            </w:r>
          </w:p>
        </w:tc>
        <w:tc>
          <w:tcPr>
            <w:tcW w:w="632" w:type="dxa"/>
            <w:shd w:val="clear" w:color="auto" w:fill="auto"/>
            <w:tcMar>
              <w:top w:w="0" w:type="dxa"/>
              <w:left w:w="0" w:type="dxa"/>
              <w:bottom w:w="0" w:type="dxa"/>
              <w:right w:w="0" w:type="dxa"/>
            </w:tcMar>
            <w:vAlign w:val="center"/>
          </w:tcPr>
          <w:p w14:paraId="23D60D57">
            <w:pPr>
              <w:jc w:val="center"/>
              <w:rPr>
                <w:rFonts w:ascii="Times New Roman" w:hAnsi="Times New Roman" w:cs="Times New Roman"/>
                <w:szCs w:val="21"/>
              </w:rPr>
            </w:pPr>
            <w:r>
              <w:rPr>
                <w:rFonts w:ascii="Times New Roman" w:hAnsi="Times New Roman" w:eastAsia="Arial" w:cs="Times New Roman"/>
                <w:szCs w:val="21"/>
              </w:rPr>
              <w:t>-4</w:t>
            </w:r>
          </w:p>
        </w:tc>
        <w:tc>
          <w:tcPr>
            <w:tcW w:w="632" w:type="dxa"/>
            <w:shd w:val="clear" w:color="auto" w:fill="auto"/>
            <w:tcMar>
              <w:top w:w="0" w:type="dxa"/>
              <w:left w:w="0" w:type="dxa"/>
              <w:bottom w:w="0" w:type="dxa"/>
              <w:right w:w="0" w:type="dxa"/>
            </w:tcMar>
            <w:vAlign w:val="center"/>
          </w:tcPr>
          <w:p w14:paraId="283FA333">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09F8A9C9">
            <w:pPr>
              <w:jc w:val="center"/>
              <w:rPr>
                <w:rFonts w:ascii="Times New Roman" w:hAnsi="Times New Roman" w:cs="Times New Roman"/>
                <w:szCs w:val="21"/>
              </w:rPr>
            </w:pPr>
            <w:r>
              <w:rPr>
                <w:rFonts w:ascii="Times New Roman" w:hAnsi="Times New Roman" w:eastAsia="Arial" w:cs="Times New Roman"/>
                <w:szCs w:val="21"/>
              </w:rPr>
              <w:t>51.9</w:t>
            </w:r>
          </w:p>
        </w:tc>
        <w:tc>
          <w:tcPr>
            <w:tcW w:w="525" w:type="dxa"/>
            <w:shd w:val="clear" w:color="auto" w:fill="auto"/>
            <w:tcMar>
              <w:top w:w="0" w:type="dxa"/>
              <w:left w:w="0" w:type="dxa"/>
              <w:bottom w:w="0" w:type="dxa"/>
              <w:right w:w="0" w:type="dxa"/>
            </w:tcMar>
            <w:vAlign w:val="center"/>
          </w:tcPr>
          <w:p w14:paraId="12E651EC">
            <w:pPr>
              <w:jc w:val="center"/>
              <w:rPr>
                <w:rFonts w:ascii="Times New Roman" w:hAnsi="Times New Roman" w:cs="Times New Roman"/>
                <w:szCs w:val="21"/>
              </w:rPr>
            </w:pPr>
            <w:r>
              <w:rPr>
                <w:rFonts w:ascii="Times New Roman" w:hAnsi="Times New Roman" w:eastAsia="Arial" w:cs="Times New Roman"/>
                <w:szCs w:val="21"/>
              </w:rPr>
              <w:t>23.7</w:t>
            </w:r>
          </w:p>
        </w:tc>
        <w:tc>
          <w:tcPr>
            <w:tcW w:w="524" w:type="dxa"/>
            <w:shd w:val="clear" w:color="auto" w:fill="auto"/>
            <w:tcMar>
              <w:top w:w="0" w:type="dxa"/>
              <w:left w:w="0" w:type="dxa"/>
              <w:bottom w:w="0" w:type="dxa"/>
              <w:right w:w="0" w:type="dxa"/>
            </w:tcMar>
            <w:vAlign w:val="center"/>
          </w:tcPr>
          <w:p w14:paraId="2CB10DC3">
            <w:pPr>
              <w:jc w:val="center"/>
              <w:rPr>
                <w:rFonts w:ascii="Times New Roman" w:hAnsi="Times New Roman" w:cs="Times New Roman"/>
                <w:szCs w:val="21"/>
              </w:rPr>
            </w:pPr>
            <w:r>
              <w:rPr>
                <w:rFonts w:ascii="Times New Roman" w:hAnsi="Times New Roman" w:eastAsia="Arial" w:cs="Times New Roman"/>
                <w:szCs w:val="21"/>
              </w:rPr>
              <w:t>123.1</w:t>
            </w:r>
          </w:p>
        </w:tc>
        <w:tc>
          <w:tcPr>
            <w:tcW w:w="525" w:type="dxa"/>
            <w:shd w:val="clear" w:color="auto" w:fill="auto"/>
            <w:tcMar>
              <w:top w:w="0" w:type="dxa"/>
              <w:left w:w="0" w:type="dxa"/>
              <w:bottom w:w="0" w:type="dxa"/>
              <w:right w:w="0" w:type="dxa"/>
            </w:tcMar>
            <w:vAlign w:val="center"/>
          </w:tcPr>
          <w:p w14:paraId="62D13B72">
            <w:pPr>
              <w:jc w:val="center"/>
              <w:rPr>
                <w:rFonts w:ascii="Times New Roman" w:hAnsi="Times New Roman" w:cs="Times New Roman"/>
                <w:szCs w:val="21"/>
              </w:rPr>
            </w:pPr>
            <w:r>
              <w:rPr>
                <w:rFonts w:ascii="Times New Roman" w:hAnsi="Times New Roman" w:eastAsia="Arial" w:cs="Times New Roman"/>
                <w:szCs w:val="21"/>
              </w:rPr>
              <w:t>19.6</w:t>
            </w:r>
          </w:p>
        </w:tc>
        <w:tc>
          <w:tcPr>
            <w:tcW w:w="517" w:type="dxa"/>
            <w:shd w:val="clear" w:color="auto" w:fill="auto"/>
            <w:tcMar>
              <w:top w:w="0" w:type="dxa"/>
              <w:left w:w="0" w:type="dxa"/>
              <w:bottom w:w="0" w:type="dxa"/>
              <w:right w:w="0" w:type="dxa"/>
            </w:tcMar>
            <w:vAlign w:val="center"/>
          </w:tcPr>
          <w:p w14:paraId="0D3D037D">
            <w:pPr>
              <w:jc w:val="center"/>
              <w:rPr>
                <w:rFonts w:ascii="Times New Roman" w:hAnsi="Times New Roman" w:cs="Times New Roman"/>
                <w:szCs w:val="21"/>
              </w:rPr>
            </w:pPr>
            <w:r>
              <w:rPr>
                <w:rFonts w:ascii="Times New Roman" w:hAnsi="Times New Roman" w:eastAsia="Arial" w:cs="Times New Roman"/>
                <w:szCs w:val="21"/>
              </w:rPr>
              <w:t>60.8</w:t>
            </w:r>
          </w:p>
        </w:tc>
        <w:tc>
          <w:tcPr>
            <w:tcW w:w="518" w:type="dxa"/>
            <w:shd w:val="clear" w:color="auto" w:fill="auto"/>
            <w:tcMar>
              <w:top w:w="0" w:type="dxa"/>
              <w:left w:w="0" w:type="dxa"/>
              <w:bottom w:w="0" w:type="dxa"/>
              <w:right w:w="0" w:type="dxa"/>
            </w:tcMar>
            <w:vAlign w:val="center"/>
          </w:tcPr>
          <w:p w14:paraId="456D418F">
            <w:pPr>
              <w:jc w:val="center"/>
              <w:rPr>
                <w:rFonts w:ascii="Times New Roman" w:hAnsi="Times New Roman" w:cs="Times New Roman"/>
                <w:szCs w:val="21"/>
              </w:rPr>
            </w:pPr>
            <w:r>
              <w:rPr>
                <w:rFonts w:ascii="Times New Roman" w:hAnsi="Times New Roman" w:eastAsia="Arial" w:cs="Times New Roman"/>
                <w:szCs w:val="21"/>
              </w:rPr>
              <w:t>60.8</w:t>
            </w:r>
          </w:p>
        </w:tc>
        <w:tc>
          <w:tcPr>
            <w:tcW w:w="517" w:type="dxa"/>
            <w:shd w:val="clear" w:color="auto" w:fill="auto"/>
            <w:tcMar>
              <w:top w:w="0" w:type="dxa"/>
              <w:left w:w="0" w:type="dxa"/>
              <w:bottom w:w="0" w:type="dxa"/>
              <w:right w:w="0" w:type="dxa"/>
            </w:tcMar>
            <w:vAlign w:val="center"/>
          </w:tcPr>
          <w:p w14:paraId="15CA58DB">
            <w:pPr>
              <w:jc w:val="center"/>
              <w:rPr>
                <w:rFonts w:ascii="Times New Roman" w:hAnsi="Times New Roman" w:cs="Times New Roman"/>
                <w:szCs w:val="21"/>
              </w:rPr>
            </w:pPr>
            <w:r>
              <w:rPr>
                <w:rFonts w:ascii="Times New Roman" w:hAnsi="Times New Roman" w:eastAsia="Arial" w:cs="Times New Roman"/>
                <w:szCs w:val="21"/>
              </w:rPr>
              <w:t>60.8</w:t>
            </w:r>
          </w:p>
        </w:tc>
        <w:tc>
          <w:tcPr>
            <w:tcW w:w="520" w:type="dxa"/>
            <w:shd w:val="clear" w:color="auto" w:fill="auto"/>
            <w:tcMar>
              <w:top w:w="0" w:type="dxa"/>
              <w:left w:w="0" w:type="dxa"/>
              <w:bottom w:w="0" w:type="dxa"/>
              <w:right w:w="0" w:type="dxa"/>
            </w:tcMar>
            <w:vAlign w:val="center"/>
          </w:tcPr>
          <w:p w14:paraId="088B7E66">
            <w:pPr>
              <w:jc w:val="center"/>
              <w:rPr>
                <w:rFonts w:ascii="Times New Roman" w:hAnsi="Times New Roman" w:cs="Times New Roman"/>
                <w:szCs w:val="21"/>
              </w:rPr>
            </w:pPr>
            <w:r>
              <w:rPr>
                <w:rFonts w:ascii="Times New Roman" w:hAnsi="Times New Roman" w:eastAsia="Arial" w:cs="Times New Roman"/>
                <w:szCs w:val="21"/>
              </w:rPr>
              <w:t>60.9</w:t>
            </w:r>
          </w:p>
        </w:tc>
        <w:tc>
          <w:tcPr>
            <w:tcW w:w="500" w:type="dxa"/>
            <w:shd w:val="clear" w:color="auto" w:fill="auto"/>
            <w:tcMar>
              <w:top w:w="0" w:type="dxa"/>
              <w:left w:w="0" w:type="dxa"/>
              <w:bottom w:w="0" w:type="dxa"/>
              <w:right w:w="0" w:type="dxa"/>
            </w:tcMar>
            <w:vAlign w:val="center"/>
          </w:tcPr>
          <w:p w14:paraId="3FB0E198">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6FD274C7">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2FCB81DD">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7071CDF0">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1137C4A8">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3" w:type="dxa"/>
            <w:shd w:val="clear" w:color="auto" w:fill="auto"/>
            <w:tcMar>
              <w:top w:w="0" w:type="dxa"/>
              <w:left w:w="0" w:type="dxa"/>
              <w:bottom w:w="0" w:type="dxa"/>
              <w:right w:w="0" w:type="dxa"/>
            </w:tcMar>
            <w:vAlign w:val="center"/>
          </w:tcPr>
          <w:p w14:paraId="680A73B7">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3" w:type="dxa"/>
            <w:shd w:val="clear" w:color="auto" w:fill="auto"/>
            <w:tcMar>
              <w:top w:w="0" w:type="dxa"/>
              <w:left w:w="0" w:type="dxa"/>
              <w:bottom w:w="0" w:type="dxa"/>
              <w:right w:w="0" w:type="dxa"/>
            </w:tcMar>
            <w:vAlign w:val="center"/>
          </w:tcPr>
          <w:p w14:paraId="620430EF">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4" w:type="dxa"/>
            <w:shd w:val="clear" w:color="auto" w:fill="auto"/>
            <w:tcMar>
              <w:top w:w="0" w:type="dxa"/>
              <w:left w:w="0" w:type="dxa"/>
              <w:bottom w:w="0" w:type="dxa"/>
              <w:right w:w="0" w:type="dxa"/>
            </w:tcMar>
            <w:vAlign w:val="center"/>
          </w:tcPr>
          <w:p w14:paraId="77EBF95D">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35.9</w:t>
            </w:r>
          </w:p>
        </w:tc>
        <w:tc>
          <w:tcPr>
            <w:tcW w:w="737" w:type="dxa"/>
            <w:shd w:val="clear" w:color="auto" w:fill="auto"/>
            <w:tcMar>
              <w:top w:w="0" w:type="dxa"/>
              <w:left w:w="0" w:type="dxa"/>
              <w:bottom w:w="0" w:type="dxa"/>
              <w:right w:w="0" w:type="dxa"/>
            </w:tcMar>
            <w:vAlign w:val="center"/>
          </w:tcPr>
          <w:p w14:paraId="740A131C">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14AB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2A7DF029">
            <w:pPr>
              <w:jc w:val="center"/>
              <w:rPr>
                <w:rFonts w:ascii="Times New Roman" w:hAnsi="Times New Roman" w:cs="Times New Roman"/>
                <w:szCs w:val="21"/>
              </w:rPr>
            </w:pPr>
            <w:r>
              <w:rPr>
                <w:rFonts w:ascii="Times New Roman" w:hAnsi="Times New Roman" w:eastAsia="Arial" w:cs="Times New Roman"/>
                <w:szCs w:val="21"/>
              </w:rPr>
              <w:t>8</w:t>
            </w:r>
          </w:p>
        </w:tc>
        <w:tc>
          <w:tcPr>
            <w:tcW w:w="452" w:type="dxa"/>
            <w:vMerge w:val="continue"/>
            <w:shd w:val="clear" w:color="auto" w:fill="auto"/>
            <w:tcMar>
              <w:top w:w="0" w:type="dxa"/>
              <w:left w:w="0" w:type="dxa"/>
              <w:bottom w:w="0" w:type="dxa"/>
              <w:right w:w="0" w:type="dxa"/>
            </w:tcMar>
            <w:vAlign w:val="center"/>
          </w:tcPr>
          <w:p w14:paraId="646D6C78">
            <w:pPr>
              <w:jc w:val="center"/>
              <w:rPr>
                <w:rFonts w:ascii="Times New Roman" w:hAnsi="Times New Roman" w:cs="Times New Roman"/>
                <w:szCs w:val="21"/>
              </w:rPr>
            </w:pPr>
          </w:p>
        </w:tc>
        <w:tc>
          <w:tcPr>
            <w:tcW w:w="694" w:type="dxa"/>
            <w:shd w:val="clear" w:color="auto" w:fill="auto"/>
            <w:tcMar>
              <w:top w:w="0" w:type="dxa"/>
              <w:left w:w="0" w:type="dxa"/>
              <w:bottom w:w="0" w:type="dxa"/>
              <w:right w:w="0" w:type="dxa"/>
            </w:tcMar>
            <w:vAlign w:val="center"/>
          </w:tcPr>
          <w:p w14:paraId="77E0E01E">
            <w:pPr>
              <w:jc w:val="center"/>
              <w:rPr>
                <w:rFonts w:ascii="Times New Roman" w:hAnsi="Times New Roman" w:cs="Times New Roman"/>
                <w:szCs w:val="21"/>
              </w:rPr>
            </w:pPr>
            <w:r>
              <w:rPr>
                <w:rFonts w:ascii="Times New Roman" w:hAnsi="Times New Roman" w:eastAsia="Arial" w:cs="Times New Roman"/>
                <w:szCs w:val="21"/>
              </w:rPr>
              <w:t>立铣机</w:t>
            </w:r>
          </w:p>
        </w:tc>
        <w:tc>
          <w:tcPr>
            <w:tcW w:w="673" w:type="dxa"/>
            <w:shd w:val="clear" w:color="auto" w:fill="auto"/>
            <w:tcMar>
              <w:top w:w="0" w:type="dxa"/>
              <w:left w:w="0" w:type="dxa"/>
              <w:bottom w:w="0" w:type="dxa"/>
              <w:right w:w="0" w:type="dxa"/>
            </w:tcMar>
            <w:vAlign w:val="center"/>
          </w:tcPr>
          <w:p w14:paraId="1758FE0A">
            <w:pPr>
              <w:jc w:val="center"/>
              <w:rPr>
                <w:rFonts w:ascii="Times New Roman" w:hAnsi="Times New Roman" w:cs="Times New Roman"/>
                <w:szCs w:val="21"/>
              </w:rPr>
            </w:pPr>
            <w:r>
              <w:rPr>
                <w:rFonts w:ascii="Times New Roman" w:hAnsi="Times New Roman" w:eastAsia="Arial" w:cs="Times New Roman"/>
                <w:szCs w:val="21"/>
              </w:rPr>
              <w:t>80</w:t>
            </w:r>
          </w:p>
        </w:tc>
        <w:tc>
          <w:tcPr>
            <w:tcW w:w="574" w:type="dxa"/>
            <w:vMerge w:val="continue"/>
            <w:shd w:val="clear" w:color="auto" w:fill="auto"/>
            <w:tcMar>
              <w:top w:w="0" w:type="dxa"/>
              <w:left w:w="0" w:type="dxa"/>
              <w:bottom w:w="0" w:type="dxa"/>
              <w:right w:w="0" w:type="dxa"/>
            </w:tcMar>
            <w:vAlign w:val="center"/>
          </w:tcPr>
          <w:p w14:paraId="77C42B83">
            <w:pPr>
              <w:jc w:val="center"/>
              <w:rPr>
                <w:rFonts w:ascii="Times New Roman" w:hAnsi="Times New Roman" w:cs="Times New Roman"/>
                <w:szCs w:val="21"/>
              </w:rPr>
            </w:pPr>
          </w:p>
        </w:tc>
        <w:tc>
          <w:tcPr>
            <w:tcW w:w="632" w:type="dxa"/>
            <w:shd w:val="clear" w:color="auto" w:fill="auto"/>
            <w:tcMar>
              <w:top w:w="0" w:type="dxa"/>
              <w:left w:w="0" w:type="dxa"/>
              <w:bottom w:w="0" w:type="dxa"/>
              <w:right w:w="0" w:type="dxa"/>
            </w:tcMar>
            <w:vAlign w:val="center"/>
          </w:tcPr>
          <w:p w14:paraId="503A1A07">
            <w:pPr>
              <w:jc w:val="center"/>
              <w:rPr>
                <w:rFonts w:ascii="Times New Roman" w:hAnsi="Times New Roman" w:cs="Times New Roman"/>
                <w:szCs w:val="21"/>
              </w:rPr>
            </w:pPr>
            <w:r>
              <w:rPr>
                <w:rFonts w:ascii="Times New Roman" w:hAnsi="Times New Roman" w:eastAsia="Arial" w:cs="Times New Roman"/>
                <w:szCs w:val="21"/>
              </w:rPr>
              <w:t>3.9</w:t>
            </w:r>
          </w:p>
        </w:tc>
        <w:tc>
          <w:tcPr>
            <w:tcW w:w="632" w:type="dxa"/>
            <w:shd w:val="clear" w:color="auto" w:fill="auto"/>
            <w:tcMar>
              <w:top w:w="0" w:type="dxa"/>
              <w:left w:w="0" w:type="dxa"/>
              <w:bottom w:w="0" w:type="dxa"/>
              <w:right w:w="0" w:type="dxa"/>
            </w:tcMar>
            <w:vAlign w:val="center"/>
          </w:tcPr>
          <w:p w14:paraId="2DFF6624">
            <w:pPr>
              <w:jc w:val="center"/>
              <w:rPr>
                <w:rFonts w:ascii="Times New Roman" w:hAnsi="Times New Roman" w:cs="Times New Roman"/>
                <w:szCs w:val="21"/>
              </w:rPr>
            </w:pPr>
            <w:r>
              <w:rPr>
                <w:rFonts w:ascii="Times New Roman" w:hAnsi="Times New Roman" w:eastAsia="Arial" w:cs="Times New Roman"/>
                <w:szCs w:val="21"/>
              </w:rPr>
              <w:t>0.1</w:t>
            </w:r>
          </w:p>
        </w:tc>
        <w:tc>
          <w:tcPr>
            <w:tcW w:w="632" w:type="dxa"/>
            <w:shd w:val="clear" w:color="auto" w:fill="auto"/>
            <w:tcMar>
              <w:top w:w="0" w:type="dxa"/>
              <w:left w:w="0" w:type="dxa"/>
              <w:bottom w:w="0" w:type="dxa"/>
              <w:right w:w="0" w:type="dxa"/>
            </w:tcMar>
            <w:vAlign w:val="center"/>
          </w:tcPr>
          <w:p w14:paraId="3548B4FE">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791E72C2">
            <w:pPr>
              <w:jc w:val="center"/>
              <w:rPr>
                <w:rFonts w:ascii="Times New Roman" w:hAnsi="Times New Roman" w:cs="Times New Roman"/>
                <w:szCs w:val="21"/>
              </w:rPr>
            </w:pPr>
            <w:r>
              <w:rPr>
                <w:rFonts w:ascii="Times New Roman" w:hAnsi="Times New Roman" w:eastAsia="Arial" w:cs="Times New Roman"/>
                <w:szCs w:val="21"/>
              </w:rPr>
              <w:t>83.5</w:t>
            </w:r>
          </w:p>
        </w:tc>
        <w:tc>
          <w:tcPr>
            <w:tcW w:w="525" w:type="dxa"/>
            <w:shd w:val="clear" w:color="auto" w:fill="auto"/>
            <w:tcMar>
              <w:top w:w="0" w:type="dxa"/>
              <w:left w:w="0" w:type="dxa"/>
              <w:bottom w:w="0" w:type="dxa"/>
              <w:right w:w="0" w:type="dxa"/>
            </w:tcMar>
            <w:vAlign w:val="center"/>
          </w:tcPr>
          <w:p w14:paraId="74D6BE25">
            <w:pPr>
              <w:jc w:val="center"/>
              <w:rPr>
                <w:rFonts w:ascii="Times New Roman" w:hAnsi="Times New Roman" w:cs="Times New Roman"/>
                <w:szCs w:val="21"/>
              </w:rPr>
            </w:pPr>
            <w:r>
              <w:rPr>
                <w:rFonts w:ascii="Times New Roman" w:hAnsi="Times New Roman" w:eastAsia="Arial" w:cs="Times New Roman"/>
                <w:szCs w:val="21"/>
              </w:rPr>
              <w:t>22.9</w:t>
            </w:r>
          </w:p>
        </w:tc>
        <w:tc>
          <w:tcPr>
            <w:tcW w:w="524" w:type="dxa"/>
            <w:shd w:val="clear" w:color="auto" w:fill="auto"/>
            <w:tcMar>
              <w:top w:w="0" w:type="dxa"/>
              <w:left w:w="0" w:type="dxa"/>
              <w:bottom w:w="0" w:type="dxa"/>
              <w:right w:w="0" w:type="dxa"/>
            </w:tcMar>
            <w:vAlign w:val="center"/>
          </w:tcPr>
          <w:p w14:paraId="0C20FDC1">
            <w:pPr>
              <w:jc w:val="center"/>
              <w:rPr>
                <w:rFonts w:ascii="Times New Roman" w:hAnsi="Times New Roman" w:cs="Times New Roman"/>
                <w:szCs w:val="21"/>
              </w:rPr>
            </w:pPr>
            <w:r>
              <w:rPr>
                <w:rFonts w:ascii="Times New Roman" w:hAnsi="Times New Roman" w:eastAsia="Arial" w:cs="Times New Roman"/>
                <w:szCs w:val="21"/>
              </w:rPr>
              <w:t>91.4</w:t>
            </w:r>
          </w:p>
        </w:tc>
        <w:tc>
          <w:tcPr>
            <w:tcW w:w="525" w:type="dxa"/>
            <w:shd w:val="clear" w:color="auto" w:fill="auto"/>
            <w:tcMar>
              <w:top w:w="0" w:type="dxa"/>
              <w:left w:w="0" w:type="dxa"/>
              <w:bottom w:w="0" w:type="dxa"/>
              <w:right w:w="0" w:type="dxa"/>
            </w:tcMar>
            <w:vAlign w:val="center"/>
          </w:tcPr>
          <w:p w14:paraId="02A52E91">
            <w:pPr>
              <w:jc w:val="center"/>
              <w:rPr>
                <w:rFonts w:ascii="Times New Roman" w:hAnsi="Times New Roman" w:cs="Times New Roman"/>
                <w:szCs w:val="21"/>
              </w:rPr>
            </w:pPr>
            <w:r>
              <w:rPr>
                <w:rFonts w:ascii="Times New Roman" w:hAnsi="Times New Roman" w:eastAsia="Arial" w:cs="Times New Roman"/>
                <w:szCs w:val="21"/>
              </w:rPr>
              <w:t>20.4</w:t>
            </w:r>
          </w:p>
        </w:tc>
        <w:tc>
          <w:tcPr>
            <w:tcW w:w="517" w:type="dxa"/>
            <w:shd w:val="clear" w:color="auto" w:fill="auto"/>
            <w:tcMar>
              <w:top w:w="0" w:type="dxa"/>
              <w:left w:w="0" w:type="dxa"/>
              <w:bottom w:w="0" w:type="dxa"/>
              <w:right w:w="0" w:type="dxa"/>
            </w:tcMar>
            <w:vAlign w:val="center"/>
          </w:tcPr>
          <w:p w14:paraId="19BDE97C">
            <w:pPr>
              <w:jc w:val="center"/>
              <w:rPr>
                <w:rFonts w:ascii="Times New Roman" w:hAnsi="Times New Roman" w:cs="Times New Roman"/>
                <w:szCs w:val="21"/>
              </w:rPr>
            </w:pPr>
            <w:r>
              <w:rPr>
                <w:rFonts w:ascii="Times New Roman" w:hAnsi="Times New Roman" w:eastAsia="Arial" w:cs="Times New Roman"/>
                <w:szCs w:val="21"/>
              </w:rPr>
              <w:t>60.8</w:t>
            </w:r>
          </w:p>
        </w:tc>
        <w:tc>
          <w:tcPr>
            <w:tcW w:w="518" w:type="dxa"/>
            <w:shd w:val="clear" w:color="auto" w:fill="auto"/>
            <w:tcMar>
              <w:top w:w="0" w:type="dxa"/>
              <w:left w:w="0" w:type="dxa"/>
              <w:bottom w:w="0" w:type="dxa"/>
              <w:right w:w="0" w:type="dxa"/>
            </w:tcMar>
            <w:vAlign w:val="center"/>
          </w:tcPr>
          <w:p w14:paraId="7ECFABEE">
            <w:pPr>
              <w:jc w:val="center"/>
              <w:rPr>
                <w:rFonts w:ascii="Times New Roman" w:hAnsi="Times New Roman" w:cs="Times New Roman"/>
                <w:szCs w:val="21"/>
              </w:rPr>
            </w:pPr>
            <w:r>
              <w:rPr>
                <w:rFonts w:ascii="Times New Roman" w:hAnsi="Times New Roman" w:eastAsia="Arial" w:cs="Times New Roman"/>
                <w:szCs w:val="21"/>
              </w:rPr>
              <w:t>60.8</w:t>
            </w:r>
          </w:p>
        </w:tc>
        <w:tc>
          <w:tcPr>
            <w:tcW w:w="517" w:type="dxa"/>
            <w:shd w:val="clear" w:color="auto" w:fill="auto"/>
            <w:tcMar>
              <w:top w:w="0" w:type="dxa"/>
              <w:left w:w="0" w:type="dxa"/>
              <w:bottom w:w="0" w:type="dxa"/>
              <w:right w:w="0" w:type="dxa"/>
            </w:tcMar>
            <w:vAlign w:val="center"/>
          </w:tcPr>
          <w:p w14:paraId="606DC0C1">
            <w:pPr>
              <w:jc w:val="center"/>
              <w:rPr>
                <w:rFonts w:ascii="Times New Roman" w:hAnsi="Times New Roman" w:cs="Times New Roman"/>
                <w:szCs w:val="21"/>
              </w:rPr>
            </w:pPr>
            <w:r>
              <w:rPr>
                <w:rFonts w:ascii="Times New Roman" w:hAnsi="Times New Roman" w:eastAsia="Arial" w:cs="Times New Roman"/>
                <w:szCs w:val="21"/>
              </w:rPr>
              <w:t>60.8</w:t>
            </w:r>
          </w:p>
        </w:tc>
        <w:tc>
          <w:tcPr>
            <w:tcW w:w="520" w:type="dxa"/>
            <w:shd w:val="clear" w:color="auto" w:fill="auto"/>
            <w:tcMar>
              <w:top w:w="0" w:type="dxa"/>
              <w:left w:w="0" w:type="dxa"/>
              <w:bottom w:w="0" w:type="dxa"/>
              <w:right w:w="0" w:type="dxa"/>
            </w:tcMar>
            <w:vAlign w:val="center"/>
          </w:tcPr>
          <w:p w14:paraId="25302F66">
            <w:pPr>
              <w:jc w:val="center"/>
              <w:rPr>
                <w:rFonts w:ascii="Times New Roman" w:hAnsi="Times New Roman" w:cs="Times New Roman"/>
                <w:szCs w:val="21"/>
              </w:rPr>
            </w:pPr>
            <w:r>
              <w:rPr>
                <w:rFonts w:ascii="Times New Roman" w:hAnsi="Times New Roman" w:eastAsia="Arial" w:cs="Times New Roman"/>
                <w:szCs w:val="21"/>
              </w:rPr>
              <w:t>60.8</w:t>
            </w:r>
          </w:p>
        </w:tc>
        <w:tc>
          <w:tcPr>
            <w:tcW w:w="500" w:type="dxa"/>
            <w:shd w:val="clear" w:color="auto" w:fill="auto"/>
            <w:tcMar>
              <w:top w:w="0" w:type="dxa"/>
              <w:left w:w="0" w:type="dxa"/>
              <w:bottom w:w="0" w:type="dxa"/>
              <w:right w:w="0" w:type="dxa"/>
            </w:tcMar>
            <w:vAlign w:val="center"/>
          </w:tcPr>
          <w:p w14:paraId="4D62818A">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62C7ACD8">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211209FB">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3B809A48">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25CFD72A">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3" w:type="dxa"/>
            <w:shd w:val="clear" w:color="auto" w:fill="auto"/>
            <w:tcMar>
              <w:top w:w="0" w:type="dxa"/>
              <w:left w:w="0" w:type="dxa"/>
              <w:bottom w:w="0" w:type="dxa"/>
              <w:right w:w="0" w:type="dxa"/>
            </w:tcMar>
            <w:vAlign w:val="center"/>
          </w:tcPr>
          <w:p w14:paraId="6109C03B">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3" w:type="dxa"/>
            <w:shd w:val="clear" w:color="auto" w:fill="auto"/>
            <w:tcMar>
              <w:top w:w="0" w:type="dxa"/>
              <w:left w:w="0" w:type="dxa"/>
              <w:bottom w:w="0" w:type="dxa"/>
              <w:right w:w="0" w:type="dxa"/>
            </w:tcMar>
            <w:vAlign w:val="center"/>
          </w:tcPr>
          <w:p w14:paraId="6B4C65FF">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4" w:type="dxa"/>
            <w:shd w:val="clear" w:color="auto" w:fill="auto"/>
            <w:tcMar>
              <w:top w:w="0" w:type="dxa"/>
              <w:left w:w="0" w:type="dxa"/>
              <w:bottom w:w="0" w:type="dxa"/>
              <w:right w:w="0" w:type="dxa"/>
            </w:tcMar>
            <w:vAlign w:val="center"/>
          </w:tcPr>
          <w:p w14:paraId="7E46C9B2">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737" w:type="dxa"/>
            <w:shd w:val="clear" w:color="auto" w:fill="auto"/>
            <w:tcMar>
              <w:top w:w="0" w:type="dxa"/>
              <w:left w:w="0" w:type="dxa"/>
              <w:bottom w:w="0" w:type="dxa"/>
              <w:right w:w="0" w:type="dxa"/>
            </w:tcMar>
            <w:vAlign w:val="center"/>
          </w:tcPr>
          <w:p w14:paraId="1B76E7B0">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71EF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1E3DF8A1">
            <w:pPr>
              <w:jc w:val="center"/>
              <w:rPr>
                <w:rFonts w:ascii="Times New Roman" w:hAnsi="Times New Roman" w:cs="Times New Roman"/>
                <w:szCs w:val="21"/>
              </w:rPr>
            </w:pPr>
            <w:r>
              <w:rPr>
                <w:rFonts w:ascii="Times New Roman" w:hAnsi="Times New Roman" w:eastAsia="Arial" w:cs="Times New Roman"/>
                <w:szCs w:val="21"/>
              </w:rPr>
              <w:t>9</w:t>
            </w:r>
          </w:p>
        </w:tc>
        <w:tc>
          <w:tcPr>
            <w:tcW w:w="452" w:type="dxa"/>
            <w:vMerge w:val="continue"/>
            <w:shd w:val="clear" w:color="auto" w:fill="auto"/>
            <w:tcMar>
              <w:top w:w="0" w:type="dxa"/>
              <w:left w:w="0" w:type="dxa"/>
              <w:bottom w:w="0" w:type="dxa"/>
              <w:right w:w="0" w:type="dxa"/>
            </w:tcMar>
            <w:vAlign w:val="center"/>
          </w:tcPr>
          <w:p w14:paraId="13227E8B">
            <w:pPr>
              <w:jc w:val="center"/>
              <w:rPr>
                <w:rFonts w:ascii="Times New Roman" w:hAnsi="Times New Roman" w:cs="Times New Roman"/>
                <w:szCs w:val="21"/>
              </w:rPr>
            </w:pPr>
          </w:p>
        </w:tc>
        <w:tc>
          <w:tcPr>
            <w:tcW w:w="694" w:type="dxa"/>
            <w:shd w:val="clear" w:color="auto" w:fill="auto"/>
            <w:tcMar>
              <w:top w:w="0" w:type="dxa"/>
              <w:left w:w="0" w:type="dxa"/>
              <w:bottom w:w="0" w:type="dxa"/>
              <w:right w:w="0" w:type="dxa"/>
            </w:tcMar>
            <w:vAlign w:val="center"/>
          </w:tcPr>
          <w:p w14:paraId="2B156C63">
            <w:pPr>
              <w:jc w:val="center"/>
              <w:rPr>
                <w:rFonts w:ascii="Times New Roman" w:hAnsi="Times New Roman" w:cs="Times New Roman"/>
                <w:szCs w:val="21"/>
              </w:rPr>
            </w:pPr>
            <w:r>
              <w:rPr>
                <w:rFonts w:ascii="Times New Roman" w:hAnsi="Times New Roman" w:eastAsia="Arial" w:cs="Times New Roman"/>
                <w:szCs w:val="21"/>
              </w:rPr>
              <w:t>打砂机</w:t>
            </w:r>
          </w:p>
        </w:tc>
        <w:tc>
          <w:tcPr>
            <w:tcW w:w="673" w:type="dxa"/>
            <w:shd w:val="clear" w:color="auto" w:fill="auto"/>
            <w:tcMar>
              <w:top w:w="0" w:type="dxa"/>
              <w:left w:w="0" w:type="dxa"/>
              <w:bottom w:w="0" w:type="dxa"/>
              <w:right w:w="0" w:type="dxa"/>
            </w:tcMar>
            <w:vAlign w:val="center"/>
          </w:tcPr>
          <w:p w14:paraId="706A12B9">
            <w:pPr>
              <w:jc w:val="center"/>
              <w:rPr>
                <w:rFonts w:ascii="Times New Roman" w:hAnsi="Times New Roman" w:cs="Times New Roman"/>
                <w:szCs w:val="21"/>
              </w:rPr>
            </w:pPr>
            <w:r>
              <w:rPr>
                <w:rFonts w:ascii="Times New Roman" w:hAnsi="Times New Roman" w:eastAsia="Arial" w:cs="Times New Roman"/>
                <w:szCs w:val="21"/>
              </w:rPr>
              <w:t>80</w:t>
            </w:r>
          </w:p>
        </w:tc>
        <w:tc>
          <w:tcPr>
            <w:tcW w:w="574" w:type="dxa"/>
            <w:vMerge w:val="continue"/>
            <w:shd w:val="clear" w:color="auto" w:fill="auto"/>
            <w:tcMar>
              <w:top w:w="0" w:type="dxa"/>
              <w:left w:w="0" w:type="dxa"/>
              <w:bottom w:w="0" w:type="dxa"/>
              <w:right w:w="0" w:type="dxa"/>
            </w:tcMar>
            <w:vAlign w:val="center"/>
          </w:tcPr>
          <w:p w14:paraId="2B72C924">
            <w:pPr>
              <w:jc w:val="center"/>
              <w:rPr>
                <w:rFonts w:ascii="Times New Roman" w:hAnsi="Times New Roman" w:cs="Times New Roman"/>
                <w:szCs w:val="21"/>
              </w:rPr>
            </w:pPr>
          </w:p>
        </w:tc>
        <w:tc>
          <w:tcPr>
            <w:tcW w:w="632" w:type="dxa"/>
            <w:shd w:val="clear" w:color="auto" w:fill="auto"/>
            <w:tcMar>
              <w:top w:w="0" w:type="dxa"/>
              <w:left w:w="0" w:type="dxa"/>
              <w:bottom w:w="0" w:type="dxa"/>
              <w:right w:w="0" w:type="dxa"/>
            </w:tcMar>
            <w:vAlign w:val="center"/>
          </w:tcPr>
          <w:p w14:paraId="59D52D63">
            <w:pPr>
              <w:jc w:val="center"/>
              <w:rPr>
                <w:rFonts w:ascii="Times New Roman" w:hAnsi="Times New Roman" w:cs="Times New Roman"/>
                <w:szCs w:val="21"/>
              </w:rPr>
            </w:pPr>
            <w:r>
              <w:rPr>
                <w:rFonts w:ascii="Times New Roman" w:hAnsi="Times New Roman" w:eastAsia="Arial" w:cs="Times New Roman"/>
                <w:szCs w:val="21"/>
              </w:rPr>
              <w:t>-26.1</w:t>
            </w:r>
          </w:p>
        </w:tc>
        <w:tc>
          <w:tcPr>
            <w:tcW w:w="632" w:type="dxa"/>
            <w:shd w:val="clear" w:color="auto" w:fill="auto"/>
            <w:tcMar>
              <w:top w:w="0" w:type="dxa"/>
              <w:left w:w="0" w:type="dxa"/>
              <w:bottom w:w="0" w:type="dxa"/>
              <w:right w:w="0" w:type="dxa"/>
            </w:tcMar>
            <w:vAlign w:val="center"/>
          </w:tcPr>
          <w:p w14:paraId="3C38EAB0">
            <w:pPr>
              <w:jc w:val="center"/>
              <w:rPr>
                <w:rFonts w:ascii="Times New Roman" w:hAnsi="Times New Roman" w:cs="Times New Roman"/>
                <w:szCs w:val="21"/>
              </w:rPr>
            </w:pPr>
            <w:r>
              <w:rPr>
                <w:rFonts w:ascii="Times New Roman" w:hAnsi="Times New Roman" w:eastAsia="Arial" w:cs="Times New Roman"/>
                <w:szCs w:val="21"/>
              </w:rPr>
              <w:t>-4.2</w:t>
            </w:r>
          </w:p>
        </w:tc>
        <w:tc>
          <w:tcPr>
            <w:tcW w:w="632" w:type="dxa"/>
            <w:shd w:val="clear" w:color="auto" w:fill="auto"/>
            <w:tcMar>
              <w:top w:w="0" w:type="dxa"/>
              <w:left w:w="0" w:type="dxa"/>
              <w:bottom w:w="0" w:type="dxa"/>
              <w:right w:w="0" w:type="dxa"/>
            </w:tcMar>
            <w:vAlign w:val="center"/>
          </w:tcPr>
          <w:p w14:paraId="3C697893">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32231E39">
            <w:pPr>
              <w:jc w:val="center"/>
              <w:rPr>
                <w:rFonts w:ascii="Times New Roman" w:hAnsi="Times New Roman" w:cs="Times New Roman"/>
                <w:szCs w:val="21"/>
              </w:rPr>
            </w:pPr>
            <w:r>
              <w:rPr>
                <w:rFonts w:ascii="Times New Roman" w:hAnsi="Times New Roman" w:eastAsia="Arial" w:cs="Times New Roman"/>
                <w:szCs w:val="21"/>
              </w:rPr>
              <w:t>112.4</w:t>
            </w:r>
          </w:p>
        </w:tc>
        <w:tc>
          <w:tcPr>
            <w:tcW w:w="525" w:type="dxa"/>
            <w:shd w:val="clear" w:color="auto" w:fill="auto"/>
            <w:tcMar>
              <w:top w:w="0" w:type="dxa"/>
              <w:left w:w="0" w:type="dxa"/>
              <w:bottom w:w="0" w:type="dxa"/>
              <w:right w:w="0" w:type="dxa"/>
            </w:tcMar>
            <w:vAlign w:val="center"/>
          </w:tcPr>
          <w:p w14:paraId="44286DE4">
            <w:pPr>
              <w:jc w:val="center"/>
              <w:rPr>
                <w:rFonts w:ascii="Times New Roman" w:hAnsi="Times New Roman" w:cs="Times New Roman"/>
                <w:szCs w:val="21"/>
              </w:rPr>
            </w:pPr>
            <w:r>
              <w:rPr>
                <w:rFonts w:ascii="Times New Roman" w:hAnsi="Times New Roman" w:eastAsia="Arial" w:cs="Times New Roman"/>
                <w:szCs w:val="21"/>
              </w:rPr>
              <w:t>14.0</w:t>
            </w:r>
          </w:p>
        </w:tc>
        <w:tc>
          <w:tcPr>
            <w:tcW w:w="524" w:type="dxa"/>
            <w:shd w:val="clear" w:color="auto" w:fill="auto"/>
            <w:tcMar>
              <w:top w:w="0" w:type="dxa"/>
              <w:left w:w="0" w:type="dxa"/>
              <w:bottom w:w="0" w:type="dxa"/>
              <w:right w:w="0" w:type="dxa"/>
            </w:tcMar>
            <w:vAlign w:val="center"/>
          </w:tcPr>
          <w:p w14:paraId="02C6EC36">
            <w:pPr>
              <w:jc w:val="center"/>
              <w:rPr>
                <w:rFonts w:ascii="Times New Roman" w:hAnsi="Times New Roman" w:cs="Times New Roman"/>
                <w:szCs w:val="21"/>
              </w:rPr>
            </w:pPr>
            <w:r>
              <w:rPr>
                <w:rFonts w:ascii="Times New Roman" w:hAnsi="Times New Roman" w:eastAsia="Arial" w:cs="Times New Roman"/>
                <w:szCs w:val="21"/>
              </w:rPr>
              <w:t>62.5</w:t>
            </w:r>
          </w:p>
        </w:tc>
        <w:tc>
          <w:tcPr>
            <w:tcW w:w="525" w:type="dxa"/>
            <w:shd w:val="clear" w:color="auto" w:fill="auto"/>
            <w:tcMar>
              <w:top w:w="0" w:type="dxa"/>
              <w:left w:w="0" w:type="dxa"/>
              <w:bottom w:w="0" w:type="dxa"/>
              <w:right w:w="0" w:type="dxa"/>
            </w:tcMar>
            <w:vAlign w:val="center"/>
          </w:tcPr>
          <w:p w14:paraId="1316D31B">
            <w:pPr>
              <w:jc w:val="center"/>
              <w:rPr>
                <w:rFonts w:ascii="Times New Roman" w:hAnsi="Times New Roman" w:cs="Times New Roman"/>
                <w:szCs w:val="21"/>
              </w:rPr>
            </w:pPr>
            <w:r>
              <w:rPr>
                <w:rFonts w:ascii="Times New Roman" w:hAnsi="Times New Roman" w:eastAsia="Arial" w:cs="Times New Roman"/>
                <w:szCs w:val="21"/>
              </w:rPr>
              <w:t>29.2</w:t>
            </w:r>
          </w:p>
        </w:tc>
        <w:tc>
          <w:tcPr>
            <w:tcW w:w="517" w:type="dxa"/>
            <w:shd w:val="clear" w:color="auto" w:fill="auto"/>
            <w:tcMar>
              <w:top w:w="0" w:type="dxa"/>
              <w:left w:w="0" w:type="dxa"/>
              <w:bottom w:w="0" w:type="dxa"/>
              <w:right w:w="0" w:type="dxa"/>
            </w:tcMar>
            <w:vAlign w:val="center"/>
          </w:tcPr>
          <w:p w14:paraId="1D3A0C4F">
            <w:pPr>
              <w:jc w:val="center"/>
              <w:rPr>
                <w:rFonts w:ascii="Times New Roman" w:hAnsi="Times New Roman" w:cs="Times New Roman"/>
                <w:szCs w:val="21"/>
              </w:rPr>
            </w:pPr>
            <w:r>
              <w:rPr>
                <w:rFonts w:ascii="Times New Roman" w:hAnsi="Times New Roman" w:eastAsia="Arial" w:cs="Times New Roman"/>
                <w:szCs w:val="21"/>
              </w:rPr>
              <w:t>60.8</w:t>
            </w:r>
          </w:p>
        </w:tc>
        <w:tc>
          <w:tcPr>
            <w:tcW w:w="518" w:type="dxa"/>
            <w:shd w:val="clear" w:color="auto" w:fill="auto"/>
            <w:tcMar>
              <w:top w:w="0" w:type="dxa"/>
              <w:left w:w="0" w:type="dxa"/>
              <w:bottom w:w="0" w:type="dxa"/>
              <w:right w:w="0" w:type="dxa"/>
            </w:tcMar>
            <w:vAlign w:val="center"/>
          </w:tcPr>
          <w:p w14:paraId="08A7A397">
            <w:pPr>
              <w:jc w:val="center"/>
              <w:rPr>
                <w:rFonts w:ascii="Times New Roman" w:hAnsi="Times New Roman" w:cs="Times New Roman"/>
                <w:szCs w:val="21"/>
              </w:rPr>
            </w:pPr>
            <w:r>
              <w:rPr>
                <w:rFonts w:ascii="Times New Roman" w:hAnsi="Times New Roman" w:eastAsia="Arial" w:cs="Times New Roman"/>
                <w:szCs w:val="21"/>
              </w:rPr>
              <w:t>60.9</w:t>
            </w:r>
          </w:p>
        </w:tc>
        <w:tc>
          <w:tcPr>
            <w:tcW w:w="517" w:type="dxa"/>
            <w:shd w:val="clear" w:color="auto" w:fill="auto"/>
            <w:tcMar>
              <w:top w:w="0" w:type="dxa"/>
              <w:left w:w="0" w:type="dxa"/>
              <w:bottom w:w="0" w:type="dxa"/>
              <w:right w:w="0" w:type="dxa"/>
            </w:tcMar>
            <w:vAlign w:val="center"/>
          </w:tcPr>
          <w:p w14:paraId="5122F558">
            <w:pPr>
              <w:jc w:val="center"/>
              <w:rPr>
                <w:rFonts w:ascii="Times New Roman" w:hAnsi="Times New Roman" w:cs="Times New Roman"/>
                <w:szCs w:val="21"/>
              </w:rPr>
            </w:pPr>
            <w:r>
              <w:rPr>
                <w:rFonts w:ascii="Times New Roman" w:hAnsi="Times New Roman" w:eastAsia="Arial" w:cs="Times New Roman"/>
                <w:szCs w:val="21"/>
              </w:rPr>
              <w:t>60.8</w:t>
            </w:r>
          </w:p>
        </w:tc>
        <w:tc>
          <w:tcPr>
            <w:tcW w:w="520" w:type="dxa"/>
            <w:shd w:val="clear" w:color="auto" w:fill="auto"/>
            <w:tcMar>
              <w:top w:w="0" w:type="dxa"/>
              <w:left w:w="0" w:type="dxa"/>
              <w:bottom w:w="0" w:type="dxa"/>
              <w:right w:w="0" w:type="dxa"/>
            </w:tcMar>
            <w:vAlign w:val="center"/>
          </w:tcPr>
          <w:p w14:paraId="36E1E715">
            <w:pPr>
              <w:jc w:val="center"/>
              <w:rPr>
                <w:rFonts w:ascii="Times New Roman" w:hAnsi="Times New Roman" w:cs="Times New Roman"/>
                <w:szCs w:val="21"/>
              </w:rPr>
            </w:pPr>
            <w:r>
              <w:rPr>
                <w:rFonts w:ascii="Times New Roman" w:hAnsi="Times New Roman" w:eastAsia="Arial" w:cs="Times New Roman"/>
                <w:szCs w:val="21"/>
              </w:rPr>
              <w:t>60.8</w:t>
            </w:r>
          </w:p>
        </w:tc>
        <w:tc>
          <w:tcPr>
            <w:tcW w:w="500" w:type="dxa"/>
            <w:shd w:val="clear" w:color="auto" w:fill="auto"/>
            <w:tcMar>
              <w:top w:w="0" w:type="dxa"/>
              <w:left w:w="0" w:type="dxa"/>
              <w:bottom w:w="0" w:type="dxa"/>
              <w:right w:w="0" w:type="dxa"/>
            </w:tcMar>
            <w:vAlign w:val="center"/>
          </w:tcPr>
          <w:p w14:paraId="488998C7">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38E89136">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36907BDA">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56ECAEE8">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78136FD3">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3" w:type="dxa"/>
            <w:shd w:val="clear" w:color="auto" w:fill="auto"/>
            <w:tcMar>
              <w:top w:w="0" w:type="dxa"/>
              <w:left w:w="0" w:type="dxa"/>
              <w:bottom w:w="0" w:type="dxa"/>
              <w:right w:w="0" w:type="dxa"/>
            </w:tcMar>
            <w:vAlign w:val="center"/>
          </w:tcPr>
          <w:p w14:paraId="4FD6B013">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35.9</w:t>
            </w:r>
          </w:p>
        </w:tc>
        <w:tc>
          <w:tcPr>
            <w:tcW w:w="533" w:type="dxa"/>
            <w:shd w:val="clear" w:color="auto" w:fill="auto"/>
            <w:tcMar>
              <w:top w:w="0" w:type="dxa"/>
              <w:left w:w="0" w:type="dxa"/>
              <w:bottom w:w="0" w:type="dxa"/>
              <w:right w:w="0" w:type="dxa"/>
            </w:tcMar>
            <w:vAlign w:val="center"/>
          </w:tcPr>
          <w:p w14:paraId="191BF309">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4" w:type="dxa"/>
            <w:shd w:val="clear" w:color="auto" w:fill="auto"/>
            <w:tcMar>
              <w:top w:w="0" w:type="dxa"/>
              <w:left w:w="0" w:type="dxa"/>
              <w:bottom w:w="0" w:type="dxa"/>
              <w:right w:w="0" w:type="dxa"/>
            </w:tcMar>
            <w:vAlign w:val="center"/>
          </w:tcPr>
          <w:p w14:paraId="61EE6E54">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737" w:type="dxa"/>
            <w:shd w:val="clear" w:color="auto" w:fill="auto"/>
            <w:tcMar>
              <w:top w:w="0" w:type="dxa"/>
              <w:left w:w="0" w:type="dxa"/>
              <w:bottom w:w="0" w:type="dxa"/>
              <w:right w:w="0" w:type="dxa"/>
            </w:tcMar>
            <w:vAlign w:val="center"/>
          </w:tcPr>
          <w:p w14:paraId="76DB3DE1">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6561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0A7C2513">
            <w:pPr>
              <w:jc w:val="center"/>
              <w:rPr>
                <w:rFonts w:ascii="Times New Roman" w:hAnsi="Times New Roman" w:cs="Times New Roman"/>
                <w:szCs w:val="21"/>
              </w:rPr>
            </w:pPr>
            <w:r>
              <w:rPr>
                <w:rFonts w:ascii="Times New Roman" w:hAnsi="Times New Roman" w:eastAsia="Arial" w:cs="Times New Roman"/>
                <w:szCs w:val="21"/>
              </w:rPr>
              <w:t>10</w:t>
            </w:r>
          </w:p>
        </w:tc>
        <w:tc>
          <w:tcPr>
            <w:tcW w:w="452" w:type="dxa"/>
            <w:vMerge w:val="continue"/>
            <w:shd w:val="clear" w:color="auto" w:fill="auto"/>
            <w:tcMar>
              <w:top w:w="0" w:type="dxa"/>
              <w:left w:w="0" w:type="dxa"/>
              <w:bottom w:w="0" w:type="dxa"/>
              <w:right w:w="0" w:type="dxa"/>
            </w:tcMar>
            <w:vAlign w:val="center"/>
          </w:tcPr>
          <w:p w14:paraId="592E8C3B">
            <w:pPr>
              <w:jc w:val="center"/>
              <w:rPr>
                <w:rFonts w:ascii="Times New Roman" w:hAnsi="Times New Roman" w:cs="Times New Roman"/>
                <w:szCs w:val="21"/>
              </w:rPr>
            </w:pPr>
          </w:p>
        </w:tc>
        <w:tc>
          <w:tcPr>
            <w:tcW w:w="694" w:type="dxa"/>
            <w:shd w:val="clear" w:color="auto" w:fill="auto"/>
            <w:tcMar>
              <w:top w:w="0" w:type="dxa"/>
              <w:left w:w="0" w:type="dxa"/>
              <w:bottom w:w="0" w:type="dxa"/>
              <w:right w:w="0" w:type="dxa"/>
            </w:tcMar>
            <w:vAlign w:val="center"/>
          </w:tcPr>
          <w:p w14:paraId="5FFE3135">
            <w:pPr>
              <w:jc w:val="center"/>
              <w:rPr>
                <w:rFonts w:ascii="Times New Roman" w:hAnsi="Times New Roman" w:cs="Times New Roman"/>
                <w:szCs w:val="21"/>
              </w:rPr>
            </w:pPr>
            <w:r>
              <w:rPr>
                <w:rFonts w:ascii="Times New Roman" w:hAnsi="Times New Roman" w:eastAsia="Arial" w:cs="Times New Roman"/>
                <w:szCs w:val="21"/>
              </w:rPr>
              <w:t>电子开料锯</w:t>
            </w:r>
          </w:p>
        </w:tc>
        <w:tc>
          <w:tcPr>
            <w:tcW w:w="673" w:type="dxa"/>
            <w:shd w:val="clear" w:color="auto" w:fill="auto"/>
            <w:tcMar>
              <w:top w:w="0" w:type="dxa"/>
              <w:left w:w="0" w:type="dxa"/>
              <w:bottom w:w="0" w:type="dxa"/>
              <w:right w:w="0" w:type="dxa"/>
            </w:tcMar>
            <w:vAlign w:val="center"/>
          </w:tcPr>
          <w:p w14:paraId="0D2F19B5">
            <w:pPr>
              <w:jc w:val="center"/>
              <w:rPr>
                <w:rFonts w:ascii="Times New Roman" w:hAnsi="Times New Roman" w:cs="Times New Roman"/>
                <w:szCs w:val="21"/>
              </w:rPr>
            </w:pPr>
            <w:r>
              <w:rPr>
                <w:rFonts w:ascii="Times New Roman" w:hAnsi="Times New Roman" w:eastAsia="Arial" w:cs="Times New Roman"/>
                <w:szCs w:val="21"/>
              </w:rPr>
              <w:t>85</w:t>
            </w:r>
          </w:p>
        </w:tc>
        <w:tc>
          <w:tcPr>
            <w:tcW w:w="574" w:type="dxa"/>
            <w:vMerge w:val="continue"/>
            <w:shd w:val="clear" w:color="auto" w:fill="auto"/>
            <w:tcMar>
              <w:top w:w="0" w:type="dxa"/>
              <w:left w:w="0" w:type="dxa"/>
              <w:bottom w:w="0" w:type="dxa"/>
              <w:right w:w="0" w:type="dxa"/>
            </w:tcMar>
            <w:vAlign w:val="center"/>
          </w:tcPr>
          <w:p w14:paraId="5C5B09CB">
            <w:pPr>
              <w:jc w:val="center"/>
              <w:rPr>
                <w:rFonts w:ascii="Times New Roman" w:hAnsi="Times New Roman" w:cs="Times New Roman"/>
                <w:szCs w:val="21"/>
              </w:rPr>
            </w:pPr>
          </w:p>
        </w:tc>
        <w:tc>
          <w:tcPr>
            <w:tcW w:w="632" w:type="dxa"/>
            <w:shd w:val="clear" w:color="auto" w:fill="auto"/>
            <w:tcMar>
              <w:top w:w="0" w:type="dxa"/>
              <w:left w:w="0" w:type="dxa"/>
              <w:bottom w:w="0" w:type="dxa"/>
              <w:right w:w="0" w:type="dxa"/>
            </w:tcMar>
            <w:vAlign w:val="center"/>
          </w:tcPr>
          <w:p w14:paraId="2B13D1E8">
            <w:pPr>
              <w:jc w:val="center"/>
              <w:rPr>
                <w:rFonts w:ascii="Times New Roman" w:hAnsi="Times New Roman" w:cs="Times New Roman"/>
                <w:szCs w:val="21"/>
              </w:rPr>
            </w:pPr>
            <w:r>
              <w:rPr>
                <w:rFonts w:ascii="Times New Roman" w:hAnsi="Times New Roman" w:eastAsia="Arial" w:cs="Times New Roman"/>
                <w:szCs w:val="21"/>
              </w:rPr>
              <w:t>-8.2</w:t>
            </w:r>
          </w:p>
        </w:tc>
        <w:tc>
          <w:tcPr>
            <w:tcW w:w="632" w:type="dxa"/>
            <w:shd w:val="clear" w:color="auto" w:fill="auto"/>
            <w:tcMar>
              <w:top w:w="0" w:type="dxa"/>
              <w:left w:w="0" w:type="dxa"/>
              <w:bottom w:w="0" w:type="dxa"/>
              <w:right w:w="0" w:type="dxa"/>
            </w:tcMar>
            <w:vAlign w:val="center"/>
          </w:tcPr>
          <w:p w14:paraId="673BCC5B">
            <w:pPr>
              <w:jc w:val="center"/>
              <w:rPr>
                <w:rFonts w:ascii="Times New Roman" w:hAnsi="Times New Roman" w:cs="Times New Roman"/>
                <w:szCs w:val="21"/>
              </w:rPr>
            </w:pPr>
            <w:r>
              <w:rPr>
                <w:rFonts w:ascii="Times New Roman" w:hAnsi="Times New Roman" w:eastAsia="Arial" w:cs="Times New Roman"/>
                <w:szCs w:val="21"/>
              </w:rPr>
              <w:t>3.8</w:t>
            </w:r>
          </w:p>
        </w:tc>
        <w:tc>
          <w:tcPr>
            <w:tcW w:w="632" w:type="dxa"/>
            <w:shd w:val="clear" w:color="auto" w:fill="auto"/>
            <w:tcMar>
              <w:top w:w="0" w:type="dxa"/>
              <w:left w:w="0" w:type="dxa"/>
              <w:bottom w:w="0" w:type="dxa"/>
              <w:right w:w="0" w:type="dxa"/>
            </w:tcMar>
            <w:vAlign w:val="center"/>
          </w:tcPr>
          <w:p w14:paraId="14DD5CAD">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701F0A88">
            <w:pPr>
              <w:jc w:val="center"/>
              <w:rPr>
                <w:rFonts w:ascii="Times New Roman" w:hAnsi="Times New Roman" w:cs="Times New Roman"/>
                <w:szCs w:val="21"/>
              </w:rPr>
            </w:pPr>
            <w:r>
              <w:rPr>
                <w:rFonts w:ascii="Times New Roman" w:hAnsi="Times New Roman" w:eastAsia="Arial" w:cs="Times New Roman"/>
                <w:szCs w:val="21"/>
              </w:rPr>
              <w:t>96.1</w:t>
            </w:r>
          </w:p>
        </w:tc>
        <w:tc>
          <w:tcPr>
            <w:tcW w:w="525" w:type="dxa"/>
            <w:shd w:val="clear" w:color="auto" w:fill="auto"/>
            <w:tcMar>
              <w:top w:w="0" w:type="dxa"/>
              <w:left w:w="0" w:type="dxa"/>
              <w:bottom w:w="0" w:type="dxa"/>
              <w:right w:w="0" w:type="dxa"/>
            </w:tcMar>
            <w:vAlign w:val="center"/>
          </w:tcPr>
          <w:p w14:paraId="6EE74DD9">
            <w:pPr>
              <w:jc w:val="center"/>
              <w:rPr>
                <w:rFonts w:ascii="Times New Roman" w:hAnsi="Times New Roman" w:cs="Times New Roman"/>
                <w:szCs w:val="21"/>
              </w:rPr>
            </w:pPr>
            <w:r>
              <w:rPr>
                <w:rFonts w:ascii="Times New Roman" w:hAnsi="Times New Roman" w:eastAsia="Arial" w:cs="Times New Roman"/>
                <w:szCs w:val="21"/>
              </w:rPr>
              <w:t>24.7</w:t>
            </w:r>
          </w:p>
        </w:tc>
        <w:tc>
          <w:tcPr>
            <w:tcW w:w="524" w:type="dxa"/>
            <w:shd w:val="clear" w:color="auto" w:fill="auto"/>
            <w:tcMar>
              <w:top w:w="0" w:type="dxa"/>
              <w:left w:w="0" w:type="dxa"/>
              <w:bottom w:w="0" w:type="dxa"/>
              <w:right w:w="0" w:type="dxa"/>
            </w:tcMar>
            <w:vAlign w:val="center"/>
          </w:tcPr>
          <w:p w14:paraId="5D8484FA">
            <w:pPr>
              <w:jc w:val="center"/>
              <w:rPr>
                <w:rFonts w:ascii="Times New Roman" w:hAnsi="Times New Roman" w:cs="Times New Roman"/>
                <w:szCs w:val="21"/>
              </w:rPr>
            </w:pPr>
            <w:r>
              <w:rPr>
                <w:rFonts w:ascii="Times New Roman" w:hAnsi="Times New Roman" w:eastAsia="Arial" w:cs="Times New Roman"/>
                <w:szCs w:val="21"/>
              </w:rPr>
              <w:t>78.9</w:t>
            </w:r>
          </w:p>
        </w:tc>
        <w:tc>
          <w:tcPr>
            <w:tcW w:w="525" w:type="dxa"/>
            <w:shd w:val="clear" w:color="auto" w:fill="auto"/>
            <w:tcMar>
              <w:top w:w="0" w:type="dxa"/>
              <w:left w:w="0" w:type="dxa"/>
              <w:bottom w:w="0" w:type="dxa"/>
              <w:right w:w="0" w:type="dxa"/>
            </w:tcMar>
            <w:vAlign w:val="center"/>
          </w:tcPr>
          <w:p w14:paraId="10528241">
            <w:pPr>
              <w:jc w:val="center"/>
              <w:rPr>
                <w:rFonts w:ascii="Times New Roman" w:hAnsi="Times New Roman" w:cs="Times New Roman"/>
                <w:szCs w:val="21"/>
              </w:rPr>
            </w:pPr>
            <w:r>
              <w:rPr>
                <w:rFonts w:ascii="Times New Roman" w:hAnsi="Times New Roman" w:eastAsia="Arial" w:cs="Times New Roman"/>
                <w:szCs w:val="21"/>
              </w:rPr>
              <w:t>18.6</w:t>
            </w:r>
          </w:p>
        </w:tc>
        <w:tc>
          <w:tcPr>
            <w:tcW w:w="517" w:type="dxa"/>
            <w:shd w:val="clear" w:color="auto" w:fill="auto"/>
            <w:tcMar>
              <w:top w:w="0" w:type="dxa"/>
              <w:left w:w="0" w:type="dxa"/>
              <w:bottom w:w="0" w:type="dxa"/>
              <w:right w:w="0" w:type="dxa"/>
            </w:tcMar>
            <w:vAlign w:val="center"/>
          </w:tcPr>
          <w:p w14:paraId="1252AD91">
            <w:pPr>
              <w:jc w:val="center"/>
              <w:rPr>
                <w:rFonts w:ascii="Times New Roman" w:hAnsi="Times New Roman" w:cs="Times New Roman"/>
                <w:szCs w:val="21"/>
              </w:rPr>
            </w:pPr>
            <w:r>
              <w:rPr>
                <w:rFonts w:ascii="Times New Roman" w:hAnsi="Times New Roman" w:eastAsia="Arial" w:cs="Times New Roman"/>
                <w:szCs w:val="21"/>
              </w:rPr>
              <w:t>65.8</w:t>
            </w:r>
          </w:p>
        </w:tc>
        <w:tc>
          <w:tcPr>
            <w:tcW w:w="518" w:type="dxa"/>
            <w:shd w:val="clear" w:color="auto" w:fill="auto"/>
            <w:tcMar>
              <w:top w:w="0" w:type="dxa"/>
              <w:left w:w="0" w:type="dxa"/>
              <w:bottom w:w="0" w:type="dxa"/>
              <w:right w:w="0" w:type="dxa"/>
            </w:tcMar>
            <w:vAlign w:val="center"/>
          </w:tcPr>
          <w:p w14:paraId="641CD2BE">
            <w:pPr>
              <w:jc w:val="center"/>
              <w:rPr>
                <w:rFonts w:ascii="Times New Roman" w:hAnsi="Times New Roman" w:cs="Times New Roman"/>
                <w:szCs w:val="21"/>
              </w:rPr>
            </w:pPr>
            <w:r>
              <w:rPr>
                <w:rFonts w:ascii="Times New Roman" w:hAnsi="Times New Roman" w:eastAsia="Arial" w:cs="Times New Roman"/>
                <w:szCs w:val="21"/>
              </w:rPr>
              <w:t>65.8</w:t>
            </w:r>
          </w:p>
        </w:tc>
        <w:tc>
          <w:tcPr>
            <w:tcW w:w="517" w:type="dxa"/>
            <w:shd w:val="clear" w:color="auto" w:fill="auto"/>
            <w:tcMar>
              <w:top w:w="0" w:type="dxa"/>
              <w:left w:w="0" w:type="dxa"/>
              <w:bottom w:w="0" w:type="dxa"/>
              <w:right w:w="0" w:type="dxa"/>
            </w:tcMar>
            <w:vAlign w:val="center"/>
          </w:tcPr>
          <w:p w14:paraId="2DFC5359">
            <w:pPr>
              <w:jc w:val="center"/>
              <w:rPr>
                <w:rFonts w:ascii="Times New Roman" w:hAnsi="Times New Roman" w:cs="Times New Roman"/>
                <w:szCs w:val="21"/>
              </w:rPr>
            </w:pPr>
            <w:r>
              <w:rPr>
                <w:rFonts w:ascii="Times New Roman" w:hAnsi="Times New Roman" w:eastAsia="Arial" w:cs="Times New Roman"/>
                <w:szCs w:val="21"/>
              </w:rPr>
              <w:t>65.8</w:t>
            </w:r>
          </w:p>
        </w:tc>
        <w:tc>
          <w:tcPr>
            <w:tcW w:w="520" w:type="dxa"/>
            <w:shd w:val="clear" w:color="auto" w:fill="auto"/>
            <w:tcMar>
              <w:top w:w="0" w:type="dxa"/>
              <w:left w:w="0" w:type="dxa"/>
              <w:bottom w:w="0" w:type="dxa"/>
              <w:right w:w="0" w:type="dxa"/>
            </w:tcMar>
            <w:vAlign w:val="center"/>
          </w:tcPr>
          <w:p w14:paraId="54A8A78B">
            <w:pPr>
              <w:jc w:val="center"/>
              <w:rPr>
                <w:rFonts w:ascii="Times New Roman" w:hAnsi="Times New Roman" w:cs="Times New Roman"/>
                <w:szCs w:val="21"/>
              </w:rPr>
            </w:pPr>
            <w:r>
              <w:rPr>
                <w:rFonts w:ascii="Times New Roman" w:hAnsi="Times New Roman" w:eastAsia="Arial" w:cs="Times New Roman"/>
                <w:szCs w:val="21"/>
              </w:rPr>
              <w:t>65.9</w:t>
            </w:r>
          </w:p>
        </w:tc>
        <w:tc>
          <w:tcPr>
            <w:tcW w:w="500" w:type="dxa"/>
            <w:shd w:val="clear" w:color="auto" w:fill="auto"/>
            <w:tcMar>
              <w:top w:w="0" w:type="dxa"/>
              <w:left w:w="0" w:type="dxa"/>
              <w:bottom w:w="0" w:type="dxa"/>
              <w:right w:w="0" w:type="dxa"/>
            </w:tcMar>
            <w:vAlign w:val="center"/>
          </w:tcPr>
          <w:p w14:paraId="4737199A">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57B9F069">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07D42840">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102E83A2">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1E94745B">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3" w:type="dxa"/>
            <w:shd w:val="clear" w:color="auto" w:fill="auto"/>
            <w:tcMar>
              <w:top w:w="0" w:type="dxa"/>
              <w:left w:w="0" w:type="dxa"/>
              <w:bottom w:w="0" w:type="dxa"/>
              <w:right w:w="0" w:type="dxa"/>
            </w:tcMar>
            <w:vAlign w:val="center"/>
          </w:tcPr>
          <w:p w14:paraId="0A94519B">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3" w:type="dxa"/>
            <w:shd w:val="clear" w:color="auto" w:fill="auto"/>
            <w:tcMar>
              <w:top w:w="0" w:type="dxa"/>
              <w:left w:w="0" w:type="dxa"/>
              <w:bottom w:w="0" w:type="dxa"/>
              <w:right w:w="0" w:type="dxa"/>
            </w:tcMar>
            <w:vAlign w:val="center"/>
          </w:tcPr>
          <w:p w14:paraId="4C19EA97">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40.8</w:t>
            </w:r>
          </w:p>
        </w:tc>
        <w:tc>
          <w:tcPr>
            <w:tcW w:w="534" w:type="dxa"/>
            <w:shd w:val="clear" w:color="auto" w:fill="auto"/>
            <w:tcMar>
              <w:top w:w="0" w:type="dxa"/>
              <w:left w:w="0" w:type="dxa"/>
              <w:bottom w:w="0" w:type="dxa"/>
              <w:right w:w="0" w:type="dxa"/>
            </w:tcMar>
            <w:vAlign w:val="center"/>
          </w:tcPr>
          <w:p w14:paraId="02B0E5C8">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40.9</w:t>
            </w:r>
          </w:p>
        </w:tc>
        <w:tc>
          <w:tcPr>
            <w:tcW w:w="737" w:type="dxa"/>
            <w:shd w:val="clear" w:color="auto" w:fill="auto"/>
            <w:tcMar>
              <w:top w:w="0" w:type="dxa"/>
              <w:left w:w="0" w:type="dxa"/>
              <w:bottom w:w="0" w:type="dxa"/>
              <w:right w:w="0" w:type="dxa"/>
            </w:tcMar>
            <w:vAlign w:val="center"/>
          </w:tcPr>
          <w:p w14:paraId="4DA4E3CD">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45BD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381A4A28">
            <w:pPr>
              <w:jc w:val="center"/>
              <w:rPr>
                <w:rFonts w:ascii="Times New Roman" w:hAnsi="Times New Roman" w:cs="Times New Roman"/>
                <w:szCs w:val="21"/>
              </w:rPr>
            </w:pPr>
            <w:r>
              <w:rPr>
                <w:rFonts w:ascii="Times New Roman" w:hAnsi="Times New Roman" w:eastAsia="Arial" w:cs="Times New Roman"/>
                <w:szCs w:val="21"/>
              </w:rPr>
              <w:t>11</w:t>
            </w:r>
          </w:p>
        </w:tc>
        <w:tc>
          <w:tcPr>
            <w:tcW w:w="452" w:type="dxa"/>
            <w:vMerge w:val="continue"/>
            <w:shd w:val="clear" w:color="auto" w:fill="auto"/>
            <w:tcMar>
              <w:top w:w="0" w:type="dxa"/>
              <w:left w:w="0" w:type="dxa"/>
              <w:bottom w:w="0" w:type="dxa"/>
              <w:right w:w="0" w:type="dxa"/>
            </w:tcMar>
            <w:vAlign w:val="center"/>
          </w:tcPr>
          <w:p w14:paraId="65BC07B8">
            <w:pPr>
              <w:jc w:val="center"/>
              <w:rPr>
                <w:rFonts w:ascii="Times New Roman" w:hAnsi="Times New Roman" w:cs="Times New Roman"/>
                <w:szCs w:val="21"/>
              </w:rPr>
            </w:pPr>
          </w:p>
        </w:tc>
        <w:tc>
          <w:tcPr>
            <w:tcW w:w="694" w:type="dxa"/>
            <w:shd w:val="clear" w:color="auto" w:fill="auto"/>
            <w:tcMar>
              <w:top w:w="0" w:type="dxa"/>
              <w:left w:w="0" w:type="dxa"/>
              <w:bottom w:w="0" w:type="dxa"/>
              <w:right w:w="0" w:type="dxa"/>
            </w:tcMar>
            <w:vAlign w:val="center"/>
          </w:tcPr>
          <w:p w14:paraId="68D7F4DE">
            <w:pPr>
              <w:jc w:val="center"/>
              <w:rPr>
                <w:rFonts w:ascii="Times New Roman" w:hAnsi="Times New Roman" w:cs="Times New Roman"/>
                <w:szCs w:val="21"/>
              </w:rPr>
            </w:pPr>
            <w:r>
              <w:rPr>
                <w:rFonts w:ascii="Times New Roman" w:hAnsi="Times New Roman" w:eastAsia="Arial" w:cs="Times New Roman"/>
                <w:szCs w:val="21"/>
              </w:rPr>
              <w:t>六面钻</w:t>
            </w:r>
          </w:p>
        </w:tc>
        <w:tc>
          <w:tcPr>
            <w:tcW w:w="673" w:type="dxa"/>
            <w:shd w:val="clear" w:color="auto" w:fill="auto"/>
            <w:tcMar>
              <w:top w:w="0" w:type="dxa"/>
              <w:left w:w="0" w:type="dxa"/>
              <w:bottom w:w="0" w:type="dxa"/>
              <w:right w:w="0" w:type="dxa"/>
            </w:tcMar>
            <w:vAlign w:val="center"/>
          </w:tcPr>
          <w:p w14:paraId="2172BBD0">
            <w:pPr>
              <w:jc w:val="center"/>
              <w:rPr>
                <w:rFonts w:ascii="Times New Roman" w:hAnsi="Times New Roman" w:cs="Times New Roman"/>
                <w:szCs w:val="21"/>
              </w:rPr>
            </w:pPr>
            <w:r>
              <w:rPr>
                <w:rFonts w:ascii="Times New Roman" w:hAnsi="Times New Roman" w:eastAsia="Arial" w:cs="Times New Roman"/>
                <w:szCs w:val="21"/>
              </w:rPr>
              <w:t>80</w:t>
            </w:r>
          </w:p>
        </w:tc>
        <w:tc>
          <w:tcPr>
            <w:tcW w:w="574" w:type="dxa"/>
            <w:vMerge w:val="continue"/>
            <w:shd w:val="clear" w:color="auto" w:fill="auto"/>
            <w:tcMar>
              <w:top w:w="0" w:type="dxa"/>
              <w:left w:w="0" w:type="dxa"/>
              <w:bottom w:w="0" w:type="dxa"/>
              <w:right w:w="0" w:type="dxa"/>
            </w:tcMar>
            <w:vAlign w:val="center"/>
          </w:tcPr>
          <w:p w14:paraId="7D316C4E">
            <w:pPr>
              <w:jc w:val="center"/>
              <w:rPr>
                <w:rFonts w:ascii="Times New Roman" w:hAnsi="Times New Roman" w:cs="Times New Roman"/>
                <w:szCs w:val="21"/>
              </w:rPr>
            </w:pPr>
          </w:p>
        </w:tc>
        <w:tc>
          <w:tcPr>
            <w:tcW w:w="632" w:type="dxa"/>
            <w:shd w:val="clear" w:color="auto" w:fill="auto"/>
            <w:tcMar>
              <w:top w:w="0" w:type="dxa"/>
              <w:left w:w="0" w:type="dxa"/>
              <w:bottom w:w="0" w:type="dxa"/>
              <w:right w:w="0" w:type="dxa"/>
            </w:tcMar>
            <w:vAlign w:val="center"/>
          </w:tcPr>
          <w:p w14:paraId="728ECF08">
            <w:pPr>
              <w:jc w:val="center"/>
              <w:rPr>
                <w:rFonts w:ascii="Times New Roman" w:hAnsi="Times New Roman" w:cs="Times New Roman"/>
                <w:szCs w:val="21"/>
              </w:rPr>
            </w:pPr>
            <w:r>
              <w:rPr>
                <w:rFonts w:ascii="Times New Roman" w:hAnsi="Times New Roman" w:eastAsia="Arial" w:cs="Times New Roman"/>
                <w:szCs w:val="21"/>
              </w:rPr>
              <w:t>-63.4</w:t>
            </w:r>
          </w:p>
        </w:tc>
        <w:tc>
          <w:tcPr>
            <w:tcW w:w="632" w:type="dxa"/>
            <w:shd w:val="clear" w:color="auto" w:fill="auto"/>
            <w:tcMar>
              <w:top w:w="0" w:type="dxa"/>
              <w:left w:w="0" w:type="dxa"/>
              <w:bottom w:w="0" w:type="dxa"/>
              <w:right w:w="0" w:type="dxa"/>
            </w:tcMar>
            <w:vAlign w:val="center"/>
          </w:tcPr>
          <w:p w14:paraId="4064D279">
            <w:pPr>
              <w:jc w:val="center"/>
              <w:rPr>
                <w:rFonts w:ascii="Times New Roman" w:hAnsi="Times New Roman" w:cs="Times New Roman"/>
                <w:szCs w:val="21"/>
              </w:rPr>
            </w:pPr>
            <w:r>
              <w:rPr>
                <w:rFonts w:ascii="Times New Roman" w:hAnsi="Times New Roman" w:eastAsia="Arial" w:cs="Times New Roman"/>
                <w:szCs w:val="21"/>
              </w:rPr>
              <w:t>9.3</w:t>
            </w:r>
          </w:p>
        </w:tc>
        <w:tc>
          <w:tcPr>
            <w:tcW w:w="632" w:type="dxa"/>
            <w:shd w:val="clear" w:color="auto" w:fill="auto"/>
            <w:tcMar>
              <w:top w:w="0" w:type="dxa"/>
              <w:left w:w="0" w:type="dxa"/>
              <w:bottom w:w="0" w:type="dxa"/>
              <w:right w:w="0" w:type="dxa"/>
            </w:tcMar>
            <w:vAlign w:val="center"/>
          </w:tcPr>
          <w:p w14:paraId="3AB5B3BD">
            <w:pPr>
              <w:jc w:val="center"/>
              <w:rPr>
                <w:rFonts w:ascii="Times New Roman" w:hAnsi="Times New Roman" w:cs="Times New Roman"/>
                <w:szCs w:val="21"/>
              </w:rPr>
            </w:pPr>
            <w:r>
              <w:rPr>
                <w:rFonts w:ascii="Times New Roman" w:hAnsi="Times New Roman" w:eastAsia="Arial" w:cs="Times New Roman"/>
                <w:szCs w:val="21"/>
              </w:rPr>
              <w:t>1.2</w:t>
            </w:r>
          </w:p>
        </w:tc>
        <w:tc>
          <w:tcPr>
            <w:tcW w:w="524" w:type="dxa"/>
            <w:shd w:val="clear" w:color="auto" w:fill="auto"/>
            <w:tcMar>
              <w:top w:w="0" w:type="dxa"/>
              <w:left w:w="0" w:type="dxa"/>
              <w:bottom w:w="0" w:type="dxa"/>
              <w:right w:w="0" w:type="dxa"/>
            </w:tcMar>
            <w:vAlign w:val="center"/>
          </w:tcPr>
          <w:p w14:paraId="1F2C69F5">
            <w:pPr>
              <w:jc w:val="center"/>
              <w:rPr>
                <w:rFonts w:ascii="Times New Roman" w:hAnsi="Times New Roman" w:cs="Times New Roman"/>
                <w:szCs w:val="21"/>
              </w:rPr>
            </w:pPr>
            <w:r>
              <w:rPr>
                <w:rFonts w:ascii="Times New Roman" w:hAnsi="Times New Roman" w:eastAsia="Arial" w:cs="Times New Roman"/>
                <w:szCs w:val="21"/>
              </w:rPr>
              <w:t>151.4</w:t>
            </w:r>
          </w:p>
        </w:tc>
        <w:tc>
          <w:tcPr>
            <w:tcW w:w="525" w:type="dxa"/>
            <w:shd w:val="clear" w:color="auto" w:fill="auto"/>
            <w:tcMar>
              <w:top w:w="0" w:type="dxa"/>
              <w:left w:w="0" w:type="dxa"/>
              <w:bottom w:w="0" w:type="dxa"/>
              <w:right w:w="0" w:type="dxa"/>
            </w:tcMar>
            <w:vAlign w:val="center"/>
          </w:tcPr>
          <w:p w14:paraId="5FD0FF09">
            <w:pPr>
              <w:jc w:val="center"/>
              <w:rPr>
                <w:rFonts w:ascii="Times New Roman" w:hAnsi="Times New Roman" w:cs="Times New Roman"/>
                <w:szCs w:val="21"/>
              </w:rPr>
            </w:pPr>
            <w:r>
              <w:rPr>
                <w:rFonts w:ascii="Times New Roman" w:hAnsi="Times New Roman" w:eastAsia="Arial" w:cs="Times New Roman"/>
                <w:szCs w:val="21"/>
              </w:rPr>
              <w:t>21.5</w:t>
            </w:r>
          </w:p>
        </w:tc>
        <w:tc>
          <w:tcPr>
            <w:tcW w:w="524" w:type="dxa"/>
            <w:shd w:val="clear" w:color="auto" w:fill="auto"/>
            <w:tcMar>
              <w:top w:w="0" w:type="dxa"/>
              <w:left w:w="0" w:type="dxa"/>
              <w:bottom w:w="0" w:type="dxa"/>
              <w:right w:w="0" w:type="dxa"/>
            </w:tcMar>
            <w:vAlign w:val="center"/>
          </w:tcPr>
          <w:p w14:paraId="7485CA82">
            <w:pPr>
              <w:jc w:val="center"/>
              <w:rPr>
                <w:rFonts w:ascii="Times New Roman" w:hAnsi="Times New Roman" w:cs="Times New Roman"/>
                <w:szCs w:val="21"/>
              </w:rPr>
            </w:pPr>
            <w:r>
              <w:rPr>
                <w:rFonts w:ascii="Times New Roman" w:hAnsi="Times New Roman" w:eastAsia="Arial" w:cs="Times New Roman"/>
                <w:szCs w:val="21"/>
              </w:rPr>
              <w:t>23.6</w:t>
            </w:r>
          </w:p>
        </w:tc>
        <w:tc>
          <w:tcPr>
            <w:tcW w:w="525" w:type="dxa"/>
            <w:shd w:val="clear" w:color="auto" w:fill="auto"/>
            <w:tcMar>
              <w:top w:w="0" w:type="dxa"/>
              <w:left w:w="0" w:type="dxa"/>
              <w:bottom w:w="0" w:type="dxa"/>
              <w:right w:w="0" w:type="dxa"/>
            </w:tcMar>
            <w:vAlign w:val="center"/>
          </w:tcPr>
          <w:p w14:paraId="7FE3237D">
            <w:pPr>
              <w:jc w:val="center"/>
              <w:rPr>
                <w:rFonts w:ascii="Times New Roman" w:hAnsi="Times New Roman" w:cs="Times New Roman"/>
                <w:szCs w:val="21"/>
              </w:rPr>
            </w:pPr>
            <w:r>
              <w:rPr>
                <w:rFonts w:ascii="Times New Roman" w:hAnsi="Times New Roman" w:eastAsia="Arial" w:cs="Times New Roman"/>
                <w:szCs w:val="21"/>
              </w:rPr>
              <w:t>21.6</w:t>
            </w:r>
          </w:p>
        </w:tc>
        <w:tc>
          <w:tcPr>
            <w:tcW w:w="517" w:type="dxa"/>
            <w:shd w:val="clear" w:color="auto" w:fill="auto"/>
            <w:tcMar>
              <w:top w:w="0" w:type="dxa"/>
              <w:left w:w="0" w:type="dxa"/>
              <w:bottom w:w="0" w:type="dxa"/>
              <w:right w:w="0" w:type="dxa"/>
            </w:tcMar>
            <w:vAlign w:val="center"/>
          </w:tcPr>
          <w:p w14:paraId="535701F1">
            <w:pPr>
              <w:jc w:val="center"/>
              <w:rPr>
                <w:rFonts w:ascii="Times New Roman" w:hAnsi="Times New Roman" w:cs="Times New Roman"/>
                <w:szCs w:val="21"/>
              </w:rPr>
            </w:pPr>
            <w:r>
              <w:rPr>
                <w:rFonts w:ascii="Times New Roman" w:hAnsi="Times New Roman" w:eastAsia="Arial" w:cs="Times New Roman"/>
                <w:szCs w:val="21"/>
              </w:rPr>
              <w:t>60.8</w:t>
            </w:r>
          </w:p>
        </w:tc>
        <w:tc>
          <w:tcPr>
            <w:tcW w:w="518" w:type="dxa"/>
            <w:shd w:val="clear" w:color="auto" w:fill="auto"/>
            <w:tcMar>
              <w:top w:w="0" w:type="dxa"/>
              <w:left w:w="0" w:type="dxa"/>
              <w:bottom w:w="0" w:type="dxa"/>
              <w:right w:w="0" w:type="dxa"/>
            </w:tcMar>
            <w:vAlign w:val="center"/>
          </w:tcPr>
          <w:p w14:paraId="38A527AD">
            <w:pPr>
              <w:jc w:val="center"/>
              <w:rPr>
                <w:rFonts w:ascii="Times New Roman" w:hAnsi="Times New Roman" w:cs="Times New Roman"/>
                <w:szCs w:val="21"/>
              </w:rPr>
            </w:pPr>
            <w:r>
              <w:rPr>
                <w:rFonts w:ascii="Times New Roman" w:hAnsi="Times New Roman" w:eastAsia="Arial" w:cs="Times New Roman"/>
                <w:szCs w:val="21"/>
              </w:rPr>
              <w:t>60.8</w:t>
            </w:r>
          </w:p>
        </w:tc>
        <w:tc>
          <w:tcPr>
            <w:tcW w:w="517" w:type="dxa"/>
            <w:shd w:val="clear" w:color="auto" w:fill="auto"/>
            <w:tcMar>
              <w:top w:w="0" w:type="dxa"/>
              <w:left w:w="0" w:type="dxa"/>
              <w:bottom w:w="0" w:type="dxa"/>
              <w:right w:w="0" w:type="dxa"/>
            </w:tcMar>
            <w:vAlign w:val="center"/>
          </w:tcPr>
          <w:p w14:paraId="0537922C">
            <w:pPr>
              <w:jc w:val="center"/>
              <w:rPr>
                <w:rFonts w:ascii="Times New Roman" w:hAnsi="Times New Roman" w:cs="Times New Roman"/>
                <w:szCs w:val="21"/>
              </w:rPr>
            </w:pPr>
            <w:r>
              <w:rPr>
                <w:rFonts w:ascii="Times New Roman" w:hAnsi="Times New Roman" w:eastAsia="Arial" w:cs="Times New Roman"/>
                <w:szCs w:val="21"/>
              </w:rPr>
              <w:t>60.8</w:t>
            </w:r>
          </w:p>
        </w:tc>
        <w:tc>
          <w:tcPr>
            <w:tcW w:w="520" w:type="dxa"/>
            <w:shd w:val="clear" w:color="auto" w:fill="auto"/>
            <w:tcMar>
              <w:top w:w="0" w:type="dxa"/>
              <w:left w:w="0" w:type="dxa"/>
              <w:bottom w:w="0" w:type="dxa"/>
              <w:right w:w="0" w:type="dxa"/>
            </w:tcMar>
            <w:vAlign w:val="center"/>
          </w:tcPr>
          <w:p w14:paraId="1EDAA2D3">
            <w:pPr>
              <w:jc w:val="center"/>
              <w:rPr>
                <w:rFonts w:ascii="Times New Roman" w:hAnsi="Times New Roman" w:cs="Times New Roman"/>
                <w:szCs w:val="21"/>
              </w:rPr>
            </w:pPr>
            <w:r>
              <w:rPr>
                <w:rFonts w:ascii="Times New Roman" w:hAnsi="Times New Roman" w:eastAsia="Arial" w:cs="Times New Roman"/>
                <w:szCs w:val="21"/>
              </w:rPr>
              <w:t>60.8</w:t>
            </w:r>
          </w:p>
        </w:tc>
        <w:tc>
          <w:tcPr>
            <w:tcW w:w="500" w:type="dxa"/>
            <w:shd w:val="clear" w:color="auto" w:fill="auto"/>
            <w:tcMar>
              <w:top w:w="0" w:type="dxa"/>
              <w:left w:w="0" w:type="dxa"/>
              <w:bottom w:w="0" w:type="dxa"/>
              <w:right w:w="0" w:type="dxa"/>
            </w:tcMar>
            <w:vAlign w:val="center"/>
          </w:tcPr>
          <w:p w14:paraId="0AA13432">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68460415">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31B9EDFA">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2CAFAB01">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6A86D02A">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3" w:type="dxa"/>
            <w:shd w:val="clear" w:color="auto" w:fill="auto"/>
            <w:tcMar>
              <w:top w:w="0" w:type="dxa"/>
              <w:left w:w="0" w:type="dxa"/>
              <w:bottom w:w="0" w:type="dxa"/>
              <w:right w:w="0" w:type="dxa"/>
            </w:tcMar>
            <w:vAlign w:val="center"/>
          </w:tcPr>
          <w:p w14:paraId="57BF2402">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3" w:type="dxa"/>
            <w:shd w:val="clear" w:color="auto" w:fill="auto"/>
            <w:tcMar>
              <w:top w:w="0" w:type="dxa"/>
              <w:left w:w="0" w:type="dxa"/>
              <w:bottom w:w="0" w:type="dxa"/>
              <w:right w:w="0" w:type="dxa"/>
            </w:tcMar>
            <w:vAlign w:val="center"/>
          </w:tcPr>
          <w:p w14:paraId="19C7BA98">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534" w:type="dxa"/>
            <w:shd w:val="clear" w:color="auto" w:fill="auto"/>
            <w:tcMar>
              <w:top w:w="0" w:type="dxa"/>
              <w:left w:w="0" w:type="dxa"/>
              <w:bottom w:w="0" w:type="dxa"/>
              <w:right w:w="0" w:type="dxa"/>
            </w:tcMar>
            <w:vAlign w:val="center"/>
          </w:tcPr>
          <w:p w14:paraId="25CD387A">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35.8</w:t>
            </w:r>
          </w:p>
        </w:tc>
        <w:tc>
          <w:tcPr>
            <w:tcW w:w="737" w:type="dxa"/>
            <w:shd w:val="clear" w:color="auto" w:fill="auto"/>
            <w:tcMar>
              <w:top w:w="0" w:type="dxa"/>
              <w:left w:w="0" w:type="dxa"/>
              <w:bottom w:w="0" w:type="dxa"/>
              <w:right w:w="0" w:type="dxa"/>
            </w:tcMar>
            <w:vAlign w:val="center"/>
          </w:tcPr>
          <w:p w14:paraId="17309FD9">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tr w14:paraId="4B92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dxa"/>
            <w:shd w:val="clear" w:color="auto" w:fill="auto"/>
            <w:tcMar>
              <w:top w:w="0" w:type="dxa"/>
              <w:left w:w="0" w:type="dxa"/>
              <w:bottom w:w="0" w:type="dxa"/>
              <w:right w:w="0" w:type="dxa"/>
            </w:tcMar>
            <w:vAlign w:val="center"/>
          </w:tcPr>
          <w:p w14:paraId="0935D2CA">
            <w:pPr>
              <w:jc w:val="center"/>
              <w:rPr>
                <w:rFonts w:ascii="Times New Roman" w:hAnsi="Times New Roman" w:cs="Times New Roman"/>
                <w:color w:val="auto"/>
                <w:szCs w:val="21"/>
              </w:rPr>
            </w:pPr>
            <w:r>
              <w:rPr>
                <w:rFonts w:ascii="Times New Roman" w:hAnsi="Times New Roman" w:eastAsia="Arial" w:cs="Times New Roman"/>
                <w:color w:val="auto"/>
                <w:szCs w:val="21"/>
              </w:rPr>
              <w:t>12</w:t>
            </w:r>
          </w:p>
        </w:tc>
        <w:tc>
          <w:tcPr>
            <w:tcW w:w="452" w:type="dxa"/>
            <w:vMerge w:val="continue"/>
            <w:shd w:val="clear" w:color="auto" w:fill="auto"/>
            <w:tcMar>
              <w:top w:w="0" w:type="dxa"/>
              <w:left w:w="0" w:type="dxa"/>
              <w:bottom w:w="0" w:type="dxa"/>
              <w:right w:w="0" w:type="dxa"/>
            </w:tcMar>
            <w:vAlign w:val="center"/>
          </w:tcPr>
          <w:p w14:paraId="7F3B69C4">
            <w:pPr>
              <w:jc w:val="center"/>
              <w:rPr>
                <w:rFonts w:ascii="Times New Roman" w:hAnsi="Times New Roman" w:cs="Times New Roman"/>
                <w:color w:val="auto"/>
                <w:szCs w:val="21"/>
              </w:rPr>
            </w:pPr>
          </w:p>
        </w:tc>
        <w:tc>
          <w:tcPr>
            <w:tcW w:w="694" w:type="dxa"/>
            <w:shd w:val="clear" w:color="auto" w:fill="auto"/>
            <w:tcMar>
              <w:top w:w="0" w:type="dxa"/>
              <w:left w:w="0" w:type="dxa"/>
              <w:bottom w:w="0" w:type="dxa"/>
              <w:right w:w="0" w:type="dxa"/>
            </w:tcMar>
            <w:vAlign w:val="center"/>
          </w:tcPr>
          <w:p w14:paraId="2A7AA8A1">
            <w:pPr>
              <w:jc w:val="center"/>
              <w:rPr>
                <w:rFonts w:ascii="Times New Roman" w:hAnsi="Times New Roman" w:cs="Times New Roman"/>
                <w:color w:val="auto"/>
                <w:szCs w:val="21"/>
              </w:rPr>
            </w:pPr>
            <w:r>
              <w:rPr>
                <w:rFonts w:ascii="Times New Roman" w:hAnsi="Times New Roman" w:eastAsia="Arial" w:cs="Times New Roman"/>
                <w:color w:val="auto"/>
                <w:szCs w:val="21"/>
              </w:rPr>
              <w:t>热压机</w:t>
            </w:r>
          </w:p>
        </w:tc>
        <w:tc>
          <w:tcPr>
            <w:tcW w:w="673" w:type="dxa"/>
            <w:shd w:val="clear" w:color="auto" w:fill="auto"/>
            <w:tcMar>
              <w:top w:w="0" w:type="dxa"/>
              <w:left w:w="0" w:type="dxa"/>
              <w:bottom w:w="0" w:type="dxa"/>
              <w:right w:w="0" w:type="dxa"/>
            </w:tcMar>
            <w:vAlign w:val="center"/>
          </w:tcPr>
          <w:p w14:paraId="14547DA0">
            <w:pPr>
              <w:jc w:val="center"/>
              <w:rPr>
                <w:rFonts w:ascii="Times New Roman" w:hAnsi="Times New Roman" w:cs="Times New Roman"/>
                <w:color w:val="auto"/>
                <w:szCs w:val="21"/>
              </w:rPr>
            </w:pPr>
            <w:r>
              <w:rPr>
                <w:rFonts w:ascii="Times New Roman" w:hAnsi="Times New Roman" w:eastAsia="Arial" w:cs="Times New Roman"/>
                <w:color w:val="auto"/>
                <w:szCs w:val="21"/>
              </w:rPr>
              <w:t>75</w:t>
            </w:r>
          </w:p>
        </w:tc>
        <w:tc>
          <w:tcPr>
            <w:tcW w:w="574" w:type="dxa"/>
            <w:vMerge w:val="continue"/>
            <w:shd w:val="clear" w:color="auto" w:fill="auto"/>
            <w:tcMar>
              <w:top w:w="0" w:type="dxa"/>
              <w:left w:w="0" w:type="dxa"/>
              <w:bottom w:w="0" w:type="dxa"/>
              <w:right w:w="0" w:type="dxa"/>
            </w:tcMar>
            <w:vAlign w:val="center"/>
          </w:tcPr>
          <w:p w14:paraId="5AEC2CE9">
            <w:pPr>
              <w:jc w:val="center"/>
              <w:rPr>
                <w:rFonts w:ascii="Times New Roman" w:hAnsi="Times New Roman" w:cs="Times New Roman"/>
                <w:color w:val="auto"/>
                <w:szCs w:val="21"/>
              </w:rPr>
            </w:pPr>
          </w:p>
        </w:tc>
        <w:tc>
          <w:tcPr>
            <w:tcW w:w="632" w:type="dxa"/>
            <w:shd w:val="clear" w:color="auto" w:fill="auto"/>
            <w:tcMar>
              <w:top w:w="0" w:type="dxa"/>
              <w:left w:w="0" w:type="dxa"/>
              <w:bottom w:w="0" w:type="dxa"/>
              <w:right w:w="0" w:type="dxa"/>
            </w:tcMar>
            <w:vAlign w:val="center"/>
          </w:tcPr>
          <w:p w14:paraId="7BEA2CA9">
            <w:pPr>
              <w:jc w:val="center"/>
              <w:rPr>
                <w:rFonts w:ascii="Times New Roman" w:hAnsi="Times New Roman" w:cs="Times New Roman"/>
                <w:color w:val="auto"/>
                <w:szCs w:val="21"/>
              </w:rPr>
            </w:pPr>
            <w:r>
              <w:rPr>
                <w:rFonts w:ascii="Times New Roman" w:hAnsi="Times New Roman" w:eastAsia="Arial" w:cs="Times New Roman"/>
                <w:color w:val="auto"/>
                <w:szCs w:val="21"/>
              </w:rPr>
              <w:t>-38.5</w:t>
            </w:r>
          </w:p>
        </w:tc>
        <w:tc>
          <w:tcPr>
            <w:tcW w:w="632" w:type="dxa"/>
            <w:shd w:val="clear" w:color="auto" w:fill="auto"/>
            <w:tcMar>
              <w:top w:w="0" w:type="dxa"/>
              <w:left w:w="0" w:type="dxa"/>
              <w:bottom w:w="0" w:type="dxa"/>
              <w:right w:w="0" w:type="dxa"/>
            </w:tcMar>
            <w:vAlign w:val="center"/>
          </w:tcPr>
          <w:p w14:paraId="0339AF9D">
            <w:pPr>
              <w:jc w:val="center"/>
              <w:rPr>
                <w:rFonts w:ascii="Times New Roman" w:hAnsi="Times New Roman" w:cs="Times New Roman"/>
                <w:color w:val="auto"/>
                <w:szCs w:val="21"/>
              </w:rPr>
            </w:pPr>
            <w:r>
              <w:rPr>
                <w:rFonts w:ascii="Times New Roman" w:hAnsi="Times New Roman" w:eastAsia="Arial" w:cs="Times New Roman"/>
                <w:color w:val="auto"/>
                <w:szCs w:val="21"/>
              </w:rPr>
              <w:t>0.1</w:t>
            </w:r>
          </w:p>
        </w:tc>
        <w:tc>
          <w:tcPr>
            <w:tcW w:w="632" w:type="dxa"/>
            <w:shd w:val="clear" w:color="auto" w:fill="auto"/>
            <w:tcMar>
              <w:top w:w="0" w:type="dxa"/>
              <w:left w:w="0" w:type="dxa"/>
              <w:bottom w:w="0" w:type="dxa"/>
              <w:right w:w="0" w:type="dxa"/>
            </w:tcMar>
            <w:vAlign w:val="center"/>
          </w:tcPr>
          <w:p w14:paraId="781737C8">
            <w:pPr>
              <w:jc w:val="center"/>
              <w:rPr>
                <w:rFonts w:ascii="Times New Roman" w:hAnsi="Times New Roman" w:cs="Times New Roman"/>
                <w:color w:val="auto"/>
                <w:szCs w:val="21"/>
              </w:rPr>
            </w:pPr>
            <w:r>
              <w:rPr>
                <w:rFonts w:ascii="Times New Roman" w:hAnsi="Times New Roman" w:eastAsia="Arial" w:cs="Times New Roman"/>
                <w:color w:val="auto"/>
                <w:szCs w:val="21"/>
              </w:rPr>
              <w:t>1.2</w:t>
            </w:r>
          </w:p>
        </w:tc>
        <w:tc>
          <w:tcPr>
            <w:tcW w:w="524" w:type="dxa"/>
            <w:shd w:val="clear" w:color="auto" w:fill="auto"/>
            <w:tcMar>
              <w:top w:w="0" w:type="dxa"/>
              <w:left w:w="0" w:type="dxa"/>
              <w:bottom w:w="0" w:type="dxa"/>
              <w:right w:w="0" w:type="dxa"/>
            </w:tcMar>
            <w:vAlign w:val="center"/>
          </w:tcPr>
          <w:p w14:paraId="3DA7E261">
            <w:pPr>
              <w:jc w:val="center"/>
              <w:rPr>
                <w:rFonts w:ascii="Times New Roman" w:hAnsi="Times New Roman" w:cs="Times New Roman"/>
                <w:color w:val="auto"/>
                <w:szCs w:val="21"/>
              </w:rPr>
            </w:pPr>
            <w:r>
              <w:rPr>
                <w:rFonts w:ascii="Times New Roman" w:hAnsi="Times New Roman" w:eastAsia="Arial" w:cs="Times New Roman"/>
                <w:color w:val="auto"/>
                <w:szCs w:val="21"/>
              </w:rPr>
              <w:t>125.3</w:t>
            </w:r>
          </w:p>
        </w:tc>
        <w:tc>
          <w:tcPr>
            <w:tcW w:w="525" w:type="dxa"/>
            <w:shd w:val="clear" w:color="auto" w:fill="auto"/>
            <w:tcMar>
              <w:top w:w="0" w:type="dxa"/>
              <w:left w:w="0" w:type="dxa"/>
              <w:bottom w:w="0" w:type="dxa"/>
              <w:right w:w="0" w:type="dxa"/>
            </w:tcMar>
            <w:vAlign w:val="center"/>
          </w:tcPr>
          <w:p w14:paraId="2A036C50">
            <w:pPr>
              <w:jc w:val="center"/>
              <w:rPr>
                <w:rFonts w:ascii="Times New Roman" w:hAnsi="Times New Roman" w:cs="Times New Roman"/>
                <w:color w:val="auto"/>
                <w:szCs w:val="21"/>
              </w:rPr>
            </w:pPr>
            <w:r>
              <w:rPr>
                <w:rFonts w:ascii="Times New Roman" w:hAnsi="Times New Roman" w:eastAsia="Arial" w:cs="Times New Roman"/>
                <w:color w:val="auto"/>
                <w:szCs w:val="21"/>
              </w:rPr>
              <w:t>16.3</w:t>
            </w:r>
          </w:p>
        </w:tc>
        <w:tc>
          <w:tcPr>
            <w:tcW w:w="524" w:type="dxa"/>
            <w:shd w:val="clear" w:color="auto" w:fill="auto"/>
            <w:tcMar>
              <w:top w:w="0" w:type="dxa"/>
              <w:left w:w="0" w:type="dxa"/>
              <w:bottom w:w="0" w:type="dxa"/>
              <w:right w:w="0" w:type="dxa"/>
            </w:tcMar>
            <w:vAlign w:val="center"/>
          </w:tcPr>
          <w:p w14:paraId="341E8030">
            <w:pPr>
              <w:jc w:val="center"/>
              <w:rPr>
                <w:rFonts w:ascii="Times New Roman" w:hAnsi="Times New Roman" w:cs="Times New Roman"/>
                <w:color w:val="auto"/>
                <w:szCs w:val="21"/>
              </w:rPr>
            </w:pPr>
            <w:r>
              <w:rPr>
                <w:rFonts w:ascii="Times New Roman" w:hAnsi="Times New Roman" w:eastAsia="Arial" w:cs="Times New Roman"/>
                <w:color w:val="auto"/>
                <w:szCs w:val="21"/>
              </w:rPr>
              <w:t>49.6</w:t>
            </w:r>
          </w:p>
        </w:tc>
        <w:tc>
          <w:tcPr>
            <w:tcW w:w="525" w:type="dxa"/>
            <w:shd w:val="clear" w:color="auto" w:fill="auto"/>
            <w:tcMar>
              <w:top w:w="0" w:type="dxa"/>
              <w:left w:w="0" w:type="dxa"/>
              <w:bottom w:w="0" w:type="dxa"/>
              <w:right w:w="0" w:type="dxa"/>
            </w:tcMar>
            <w:vAlign w:val="center"/>
          </w:tcPr>
          <w:p w14:paraId="3602A628">
            <w:pPr>
              <w:jc w:val="center"/>
              <w:rPr>
                <w:rFonts w:ascii="Times New Roman" w:hAnsi="Times New Roman" w:cs="Times New Roman"/>
                <w:color w:val="auto"/>
                <w:szCs w:val="21"/>
              </w:rPr>
            </w:pPr>
            <w:r>
              <w:rPr>
                <w:rFonts w:ascii="Times New Roman" w:hAnsi="Times New Roman" w:eastAsia="Arial" w:cs="Times New Roman"/>
                <w:color w:val="auto"/>
                <w:szCs w:val="21"/>
              </w:rPr>
              <w:t>26.8</w:t>
            </w:r>
          </w:p>
        </w:tc>
        <w:tc>
          <w:tcPr>
            <w:tcW w:w="517" w:type="dxa"/>
            <w:shd w:val="clear" w:color="auto" w:fill="auto"/>
            <w:tcMar>
              <w:top w:w="0" w:type="dxa"/>
              <w:left w:w="0" w:type="dxa"/>
              <w:bottom w:w="0" w:type="dxa"/>
              <w:right w:w="0" w:type="dxa"/>
            </w:tcMar>
            <w:vAlign w:val="center"/>
          </w:tcPr>
          <w:p w14:paraId="53D86337">
            <w:pPr>
              <w:jc w:val="center"/>
              <w:rPr>
                <w:rFonts w:ascii="Times New Roman" w:hAnsi="Times New Roman" w:cs="Times New Roman"/>
                <w:color w:val="auto"/>
                <w:szCs w:val="21"/>
              </w:rPr>
            </w:pPr>
            <w:r>
              <w:rPr>
                <w:rFonts w:ascii="Times New Roman" w:hAnsi="Times New Roman" w:eastAsia="Arial" w:cs="Times New Roman"/>
                <w:color w:val="auto"/>
                <w:szCs w:val="21"/>
              </w:rPr>
              <w:t>55.8</w:t>
            </w:r>
          </w:p>
        </w:tc>
        <w:tc>
          <w:tcPr>
            <w:tcW w:w="518" w:type="dxa"/>
            <w:shd w:val="clear" w:color="auto" w:fill="auto"/>
            <w:tcMar>
              <w:top w:w="0" w:type="dxa"/>
              <w:left w:w="0" w:type="dxa"/>
              <w:bottom w:w="0" w:type="dxa"/>
              <w:right w:w="0" w:type="dxa"/>
            </w:tcMar>
            <w:vAlign w:val="center"/>
          </w:tcPr>
          <w:p w14:paraId="4966BA19">
            <w:pPr>
              <w:jc w:val="center"/>
              <w:rPr>
                <w:rFonts w:ascii="Times New Roman" w:hAnsi="Times New Roman" w:cs="Times New Roman"/>
                <w:color w:val="auto"/>
                <w:szCs w:val="21"/>
              </w:rPr>
            </w:pPr>
            <w:r>
              <w:rPr>
                <w:rFonts w:ascii="Times New Roman" w:hAnsi="Times New Roman" w:eastAsia="Arial" w:cs="Times New Roman"/>
                <w:color w:val="auto"/>
                <w:szCs w:val="21"/>
              </w:rPr>
              <w:t>55.9</w:t>
            </w:r>
          </w:p>
        </w:tc>
        <w:tc>
          <w:tcPr>
            <w:tcW w:w="517" w:type="dxa"/>
            <w:shd w:val="clear" w:color="auto" w:fill="auto"/>
            <w:tcMar>
              <w:top w:w="0" w:type="dxa"/>
              <w:left w:w="0" w:type="dxa"/>
              <w:bottom w:w="0" w:type="dxa"/>
              <w:right w:w="0" w:type="dxa"/>
            </w:tcMar>
            <w:vAlign w:val="center"/>
          </w:tcPr>
          <w:p w14:paraId="59C81158">
            <w:pPr>
              <w:jc w:val="center"/>
              <w:rPr>
                <w:rFonts w:ascii="Times New Roman" w:hAnsi="Times New Roman" w:cs="Times New Roman"/>
                <w:color w:val="auto"/>
                <w:szCs w:val="21"/>
              </w:rPr>
            </w:pPr>
            <w:r>
              <w:rPr>
                <w:rFonts w:ascii="Times New Roman" w:hAnsi="Times New Roman" w:eastAsia="Arial" w:cs="Times New Roman"/>
                <w:color w:val="auto"/>
                <w:szCs w:val="21"/>
              </w:rPr>
              <w:t>55.8</w:t>
            </w:r>
          </w:p>
        </w:tc>
        <w:tc>
          <w:tcPr>
            <w:tcW w:w="520" w:type="dxa"/>
            <w:shd w:val="clear" w:color="auto" w:fill="auto"/>
            <w:tcMar>
              <w:top w:w="0" w:type="dxa"/>
              <w:left w:w="0" w:type="dxa"/>
              <w:bottom w:w="0" w:type="dxa"/>
              <w:right w:w="0" w:type="dxa"/>
            </w:tcMar>
            <w:vAlign w:val="center"/>
          </w:tcPr>
          <w:p w14:paraId="09DBD681">
            <w:pPr>
              <w:jc w:val="center"/>
              <w:rPr>
                <w:rFonts w:ascii="Times New Roman" w:hAnsi="Times New Roman" w:cs="Times New Roman"/>
                <w:color w:val="auto"/>
                <w:szCs w:val="21"/>
              </w:rPr>
            </w:pPr>
            <w:r>
              <w:rPr>
                <w:rFonts w:ascii="Times New Roman" w:hAnsi="Times New Roman" w:eastAsia="Arial" w:cs="Times New Roman"/>
                <w:color w:val="auto"/>
                <w:szCs w:val="21"/>
              </w:rPr>
              <w:t>55.8</w:t>
            </w:r>
          </w:p>
        </w:tc>
        <w:tc>
          <w:tcPr>
            <w:tcW w:w="500" w:type="dxa"/>
            <w:shd w:val="clear" w:color="auto" w:fill="auto"/>
            <w:tcMar>
              <w:top w:w="0" w:type="dxa"/>
              <w:left w:w="0" w:type="dxa"/>
              <w:bottom w:w="0" w:type="dxa"/>
              <w:right w:w="0" w:type="dxa"/>
            </w:tcMar>
            <w:vAlign w:val="center"/>
          </w:tcPr>
          <w:p w14:paraId="3557D6D5">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1B2A539E">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00" w:type="dxa"/>
            <w:shd w:val="clear" w:color="auto" w:fill="auto"/>
            <w:tcMar>
              <w:top w:w="0" w:type="dxa"/>
              <w:left w:w="0" w:type="dxa"/>
              <w:bottom w:w="0" w:type="dxa"/>
              <w:right w:w="0" w:type="dxa"/>
            </w:tcMar>
            <w:vAlign w:val="center"/>
          </w:tcPr>
          <w:p w14:paraId="71A3D60F">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499" w:type="dxa"/>
            <w:shd w:val="clear" w:color="auto" w:fill="auto"/>
            <w:tcMar>
              <w:top w:w="0" w:type="dxa"/>
              <w:left w:w="0" w:type="dxa"/>
              <w:bottom w:w="0" w:type="dxa"/>
              <w:right w:w="0" w:type="dxa"/>
            </w:tcMar>
            <w:vAlign w:val="center"/>
          </w:tcPr>
          <w:p w14:paraId="45135DD4">
            <w:pPr>
              <w:jc w:val="center"/>
              <w:rPr>
                <w:rFonts w:ascii="Times New Roman" w:hAnsi="Times New Roman" w:cs="Times New Roman"/>
                <w:color w:val="auto"/>
                <w:szCs w:val="21"/>
              </w:rPr>
            </w:pPr>
            <w:r>
              <w:rPr>
                <w:rFonts w:hint="eastAsia"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532" w:type="dxa"/>
            <w:shd w:val="clear" w:color="auto" w:fill="auto"/>
            <w:tcMar>
              <w:top w:w="0" w:type="dxa"/>
              <w:left w:w="0" w:type="dxa"/>
              <w:bottom w:w="0" w:type="dxa"/>
              <w:right w:w="0" w:type="dxa"/>
            </w:tcMar>
            <w:vAlign w:val="center"/>
          </w:tcPr>
          <w:p w14:paraId="6A4B8759">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30.8</w:t>
            </w:r>
          </w:p>
        </w:tc>
        <w:tc>
          <w:tcPr>
            <w:tcW w:w="533" w:type="dxa"/>
            <w:shd w:val="clear" w:color="auto" w:fill="auto"/>
            <w:tcMar>
              <w:top w:w="0" w:type="dxa"/>
              <w:left w:w="0" w:type="dxa"/>
              <w:bottom w:w="0" w:type="dxa"/>
              <w:right w:w="0" w:type="dxa"/>
            </w:tcMar>
            <w:vAlign w:val="center"/>
          </w:tcPr>
          <w:p w14:paraId="685E6788">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30.9</w:t>
            </w:r>
          </w:p>
        </w:tc>
        <w:tc>
          <w:tcPr>
            <w:tcW w:w="533" w:type="dxa"/>
            <w:shd w:val="clear" w:color="auto" w:fill="auto"/>
            <w:tcMar>
              <w:top w:w="0" w:type="dxa"/>
              <w:left w:w="0" w:type="dxa"/>
              <w:bottom w:w="0" w:type="dxa"/>
              <w:right w:w="0" w:type="dxa"/>
            </w:tcMar>
            <w:vAlign w:val="center"/>
          </w:tcPr>
          <w:p w14:paraId="2F560448">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30.8</w:t>
            </w:r>
          </w:p>
        </w:tc>
        <w:tc>
          <w:tcPr>
            <w:tcW w:w="534" w:type="dxa"/>
            <w:shd w:val="clear" w:color="auto" w:fill="auto"/>
            <w:tcMar>
              <w:top w:w="0" w:type="dxa"/>
              <w:left w:w="0" w:type="dxa"/>
              <w:bottom w:w="0" w:type="dxa"/>
              <w:right w:w="0" w:type="dxa"/>
            </w:tcMar>
            <w:vAlign w:val="center"/>
          </w:tcPr>
          <w:p w14:paraId="578F6E9D">
            <w:pPr>
              <w:jc w:val="center"/>
              <w:rPr>
                <w:rFonts w:hint="eastAsia" w:ascii="Times New Roman" w:hAnsi="Times New Roman" w:eastAsia="Arial" w:cs="Times New Roman"/>
                <w:szCs w:val="21"/>
              </w:rPr>
            </w:pPr>
            <w:r>
              <w:rPr>
                <w:rFonts w:hint="eastAsia" w:ascii="Times New Roman" w:hAnsi="Times New Roman" w:eastAsia="Arial" w:cs="Times New Roman"/>
                <w:szCs w:val="21"/>
                <w:lang w:val="en-US" w:eastAsia="zh-CN"/>
              </w:rPr>
              <w:t>30.8</w:t>
            </w:r>
          </w:p>
        </w:tc>
        <w:tc>
          <w:tcPr>
            <w:tcW w:w="737" w:type="dxa"/>
            <w:shd w:val="clear" w:color="auto" w:fill="auto"/>
            <w:tcMar>
              <w:top w:w="0" w:type="dxa"/>
              <w:left w:w="0" w:type="dxa"/>
              <w:bottom w:w="0" w:type="dxa"/>
              <w:right w:w="0" w:type="dxa"/>
            </w:tcMar>
            <w:vAlign w:val="center"/>
          </w:tcPr>
          <w:p w14:paraId="0EE52542">
            <w:pPr>
              <w:jc w:val="center"/>
              <w:rPr>
                <w:rFonts w:hint="eastAsia" w:ascii="Times New Roman" w:hAnsi="Times New Roman" w:eastAsia="Arial" w:cs="Times New Roman"/>
                <w:szCs w:val="21"/>
              </w:rPr>
            </w:pPr>
            <w:r>
              <w:rPr>
                <w:rFonts w:hint="eastAsia" w:ascii="Times New Roman" w:hAnsi="Times New Roman" w:eastAsia="Arial" w:cs="Times New Roman"/>
                <w:szCs w:val="21"/>
              </w:rPr>
              <w:t>1</w:t>
            </w:r>
          </w:p>
        </w:tc>
      </w:tr>
      <w:bookmarkEnd w:id="112"/>
    </w:tbl>
    <w:p w14:paraId="4A7392AA">
      <w:pPr>
        <w:rPr>
          <w:color w:val="0000FF"/>
        </w:rPr>
        <w:sectPr>
          <w:headerReference r:id="rId13" w:type="default"/>
          <w:pgSz w:w="16838" w:h="11906" w:orient="landscape"/>
          <w:pgMar w:top="1800" w:right="1440" w:bottom="1800" w:left="1440" w:header="851" w:footer="992" w:gutter="0"/>
          <w:pgNumType w:fmt="decimal"/>
          <w:cols w:space="425" w:num="1"/>
          <w:docGrid w:type="lines" w:linePitch="312" w:charSpace="0"/>
        </w:sectPr>
      </w:pPr>
      <w:r>
        <w:rPr>
          <w:rFonts w:hint="eastAsia"/>
          <w:color w:val="auto"/>
        </w:rPr>
        <w:t>注：</w:t>
      </w:r>
      <w:r>
        <w:rPr>
          <w:rFonts w:ascii="Times New Roman" w:hAnsi="Times New Roman" w:cs="Times New Roman"/>
          <w:bCs/>
          <w:color w:val="auto"/>
          <w:szCs w:val="21"/>
        </w:rPr>
        <w:t>表中坐标以厂界中心（</w:t>
      </w:r>
      <w:bookmarkStart w:id="114" w:name="PO_8"/>
      <w:r>
        <w:rPr>
          <w:rFonts w:ascii="Times New Roman" w:hAnsi="Times New Roman" w:cs="Times New Roman"/>
          <w:bCs/>
          <w:color w:val="auto"/>
          <w:szCs w:val="21"/>
        </w:rPr>
        <w:t>115.133010,35.876945</w:t>
      </w:r>
      <w:bookmarkEnd w:id="114"/>
      <w:r>
        <w:rPr>
          <w:rFonts w:ascii="Times New Roman" w:hAnsi="Times New Roman" w:cs="Times New Roman"/>
          <w:bCs/>
          <w:color w:val="auto"/>
          <w:szCs w:val="21"/>
        </w:rPr>
        <w:t>）为坐标原点，正东向为X轴正方向，正北向为Y轴正方向</w:t>
      </w:r>
      <w:r>
        <w:rPr>
          <w:rFonts w:hint="eastAsia"/>
          <w:color w:val="auto"/>
        </w:rPr>
        <w:t>。</w:t>
      </w:r>
    </w:p>
    <w:p w14:paraId="5872C726">
      <w:pPr>
        <w:pStyle w:val="5"/>
        <w:numPr>
          <w:ilvl w:val="3"/>
          <w:numId w:val="39"/>
        </w:numPr>
        <w:adjustRightInd w:val="0"/>
        <w:snapToGrid w:val="0"/>
      </w:pPr>
      <w:r>
        <w:rPr>
          <w:rFonts w:hint="eastAsia"/>
        </w:rPr>
        <w:t>拟采取的防治措施</w:t>
      </w:r>
    </w:p>
    <w:p w14:paraId="30021A17">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本工程采取的主要降噪措施有：</w:t>
      </w:r>
    </w:p>
    <w:p w14:paraId="405E1241">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w:t>
      </w:r>
      <w:r>
        <w:rPr>
          <w:rFonts w:ascii="Times New Roman" w:hAnsi="Times New Roman" w:eastAsia="宋体" w:cs="Times New Roman"/>
          <w:bCs/>
          <w:kern w:val="0"/>
          <w:sz w:val="24"/>
        </w:rPr>
        <w:t>1</w:t>
      </w:r>
      <w:r>
        <w:rPr>
          <w:rFonts w:hint="eastAsia" w:ascii="Times New Roman" w:hAnsi="Times New Roman" w:eastAsia="宋体" w:cs="Times New Roman"/>
          <w:bCs/>
          <w:kern w:val="0"/>
          <w:sz w:val="24"/>
        </w:rPr>
        <w:t>）选用环保低噪型设备，车间内各设备合理布置，生产设备、风机等设备安装基础减振垫片；</w:t>
      </w:r>
    </w:p>
    <w:p w14:paraId="087096E8">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w:t>
      </w:r>
      <w:r>
        <w:rPr>
          <w:rFonts w:ascii="Times New Roman" w:hAnsi="Times New Roman" w:eastAsia="宋体" w:cs="Times New Roman"/>
          <w:bCs/>
          <w:kern w:val="0"/>
          <w:sz w:val="24"/>
        </w:rPr>
        <w:t>2</w:t>
      </w:r>
      <w:r>
        <w:rPr>
          <w:rFonts w:hint="eastAsia" w:ascii="Times New Roman" w:hAnsi="Times New Roman" w:eastAsia="宋体" w:cs="Times New Roman"/>
          <w:bCs/>
          <w:kern w:val="0"/>
          <w:sz w:val="24"/>
        </w:rPr>
        <w:t>）加强设备的日常维修、更新，确保所有设备尤其是噪声污染设备处于正常工况，防止非正常工况下的高噪声污染现象出现；</w:t>
      </w:r>
    </w:p>
    <w:p w14:paraId="251B6134">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w:t>
      </w:r>
      <w:r>
        <w:rPr>
          <w:rFonts w:ascii="Times New Roman" w:hAnsi="Times New Roman" w:eastAsia="宋体" w:cs="Times New Roman"/>
          <w:bCs/>
          <w:kern w:val="0"/>
          <w:sz w:val="24"/>
        </w:rPr>
        <w:t>3</w:t>
      </w:r>
      <w:r>
        <w:rPr>
          <w:rFonts w:hint="eastAsia" w:ascii="Times New Roman" w:hAnsi="Times New Roman" w:eastAsia="宋体" w:cs="Times New Roman"/>
          <w:bCs/>
          <w:kern w:val="0"/>
          <w:sz w:val="24"/>
        </w:rPr>
        <w:t>）在平面布置上，高噪声源尽量远离厂界；</w:t>
      </w:r>
    </w:p>
    <w:p w14:paraId="576C6FEE">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（4）生产设备均布置在独立的空间内</w:t>
      </w:r>
      <w:r>
        <w:rPr>
          <w:rFonts w:ascii="Times New Roman" w:hAnsi="Times New Roman" w:eastAsia="宋体" w:cs="Times New Roman"/>
          <w:bCs/>
          <w:kern w:val="0"/>
          <w:sz w:val="24"/>
        </w:rPr>
        <w:t>，并在空间内墙安装吸声材料</w:t>
      </w:r>
      <w:r>
        <w:rPr>
          <w:rFonts w:hint="eastAsia" w:ascii="Times New Roman" w:hAnsi="Times New Roman" w:eastAsia="宋体" w:cs="Times New Roman"/>
          <w:bCs/>
          <w:kern w:val="0"/>
          <w:sz w:val="24"/>
        </w:rPr>
        <w:t>。</w:t>
      </w:r>
    </w:p>
    <w:p w14:paraId="3B6170E1">
      <w:pPr>
        <w:pStyle w:val="4"/>
        <w:numPr>
          <w:ilvl w:val="2"/>
          <w:numId w:val="39"/>
        </w:numPr>
        <w:tabs>
          <w:tab w:val="clear" w:pos="0"/>
        </w:tabs>
        <w:adjustRightInd w:val="0"/>
        <w:snapToGrid w:val="0"/>
      </w:pPr>
      <w:r>
        <w:rPr>
          <w:rFonts w:hint="eastAsia"/>
        </w:rPr>
        <w:t>营运期固废</w:t>
      </w:r>
    </w:p>
    <w:p w14:paraId="03169116">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工业企业产生固废分为生活垃圾、一般工业固废和危险废物。</w:t>
      </w:r>
    </w:p>
    <w:p w14:paraId="57196349">
      <w:pPr>
        <w:adjustRightInd w:val="0"/>
        <w:snapToGrid w:val="0"/>
        <w:spacing w:line="360" w:lineRule="auto"/>
        <w:ind w:left="420" w:leftChars="200"/>
        <w:rPr>
          <w:rFonts w:ascii="Times New Roman" w:hAnsi="Times New Roman" w:eastAsia="宋体" w:cs="Times New Roman"/>
          <w:b/>
          <w:kern w:val="0"/>
          <w:sz w:val="24"/>
        </w:rPr>
      </w:pPr>
      <w:r>
        <w:rPr>
          <w:rFonts w:hint="eastAsia" w:ascii="Times New Roman" w:hAnsi="Times New Roman" w:eastAsia="宋体" w:cs="Times New Roman"/>
          <w:b/>
          <w:kern w:val="0"/>
          <w:sz w:val="24"/>
        </w:rPr>
        <w:t>1、生活垃圾</w:t>
      </w:r>
    </w:p>
    <w:p w14:paraId="35C83957">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本项目劳动定员</w:t>
      </w:r>
      <w:r>
        <w:rPr>
          <w:rFonts w:hint="eastAsia" w:ascii="Times New Roman" w:hAnsi="Times New Roman" w:cs="Times New Roman"/>
          <w:bCs/>
          <w:kern w:val="0"/>
          <w:sz w:val="24"/>
        </w:rPr>
        <w:t>60</w:t>
      </w:r>
      <w:r>
        <w:rPr>
          <w:rFonts w:hint="eastAsia" w:ascii="Times New Roman" w:hAnsi="Times New Roman" w:eastAsia="宋体" w:cs="Times New Roman"/>
          <w:bCs/>
          <w:kern w:val="0"/>
          <w:sz w:val="24"/>
        </w:rPr>
        <w:t>人，</w:t>
      </w:r>
      <w:r>
        <w:rPr>
          <w:rFonts w:ascii="Times New Roman" w:hAnsi="Times New Roman" w:eastAsia="宋体" w:cs="Times New Roman"/>
          <w:bCs/>
          <w:kern w:val="0"/>
          <w:sz w:val="24"/>
        </w:rPr>
        <w:t>生活垃圾产生量按0.5kg/人·d计，则生活垃圾产生量估算为</w:t>
      </w:r>
      <w:r>
        <w:rPr>
          <w:rFonts w:hint="eastAsia" w:ascii="Times New Roman" w:hAnsi="Times New Roman" w:cs="Times New Roman"/>
          <w:bCs/>
          <w:kern w:val="0"/>
          <w:sz w:val="24"/>
        </w:rPr>
        <w:t>9</w:t>
      </w:r>
      <w:r>
        <w:rPr>
          <w:rFonts w:ascii="Times New Roman" w:hAnsi="Times New Roman" w:eastAsia="宋体" w:cs="Times New Roman"/>
          <w:bCs/>
          <w:kern w:val="0"/>
          <w:sz w:val="24"/>
        </w:rPr>
        <w:t>t/a。</w:t>
      </w:r>
      <w:r>
        <w:rPr>
          <w:rFonts w:hint="eastAsia" w:ascii="Times New Roman" w:hAnsi="Times New Roman" w:eastAsia="宋体" w:cs="Times New Roman"/>
          <w:bCs/>
          <w:kern w:val="0"/>
          <w:sz w:val="24"/>
        </w:rPr>
        <w:t>生活垃圾定期交由环卫部门统一处理。</w:t>
      </w:r>
    </w:p>
    <w:p w14:paraId="38139EAD">
      <w:pPr>
        <w:adjustRightInd w:val="0"/>
        <w:snapToGrid w:val="0"/>
        <w:spacing w:line="360" w:lineRule="auto"/>
        <w:ind w:left="420" w:leftChars="200"/>
        <w:rPr>
          <w:rFonts w:ascii="Times New Roman" w:hAnsi="Times New Roman" w:eastAsia="宋体" w:cs="Times New Roman"/>
          <w:b/>
          <w:kern w:val="0"/>
          <w:sz w:val="24"/>
        </w:rPr>
      </w:pPr>
      <w:r>
        <w:rPr>
          <w:rFonts w:hint="eastAsia" w:ascii="Times New Roman" w:hAnsi="Times New Roman" w:eastAsia="宋体" w:cs="Times New Roman"/>
          <w:b/>
          <w:kern w:val="0"/>
          <w:sz w:val="24"/>
        </w:rPr>
        <w:t>2、一般工业固废</w:t>
      </w:r>
    </w:p>
    <w:p w14:paraId="2868D967">
      <w:pPr>
        <w:adjustRightInd w:val="0"/>
        <w:snapToGrid w:val="0"/>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本项目生产过程中一般固体废物主要为木材加工过程中产生的木屑、废边角废料、废包装材料、除尘器收集的粉尘。废边角料和碎屑产生量约2.0t/a，收集的粉尘量约</w:t>
      </w:r>
      <w:r>
        <w:rPr>
          <w:rFonts w:hint="eastAsia" w:ascii="Times New Roman" w:hAnsi="Times New Roman" w:eastAsia="宋体" w:cs="Times New Roman"/>
          <w:bCs/>
          <w:kern w:val="0"/>
          <w:sz w:val="24"/>
        </w:rPr>
        <w:t>3.25</w:t>
      </w:r>
      <w:r>
        <w:rPr>
          <w:rFonts w:ascii="Times New Roman" w:hAnsi="Times New Roman" w:eastAsia="宋体" w:cs="Times New Roman"/>
          <w:bCs/>
          <w:kern w:val="0"/>
          <w:sz w:val="24"/>
        </w:rPr>
        <w:t>t/a，废包装材料产生量约0.</w:t>
      </w:r>
      <w:r>
        <w:rPr>
          <w:rFonts w:hint="eastAsia" w:ascii="Times New Roman" w:hAnsi="Times New Roman" w:eastAsia="宋体" w:cs="Times New Roman"/>
          <w:bCs/>
          <w:kern w:val="0"/>
          <w:sz w:val="24"/>
        </w:rPr>
        <w:t>3</w:t>
      </w:r>
      <w:r>
        <w:rPr>
          <w:rFonts w:ascii="Times New Roman" w:hAnsi="Times New Roman" w:eastAsia="宋体" w:cs="Times New Roman"/>
          <w:bCs/>
          <w:kern w:val="0"/>
          <w:sz w:val="24"/>
        </w:rPr>
        <w:t>t/a。</w:t>
      </w:r>
    </w:p>
    <w:p w14:paraId="24C3025E">
      <w:pPr>
        <w:adjustRightInd w:val="0"/>
        <w:snapToGrid w:val="0"/>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根据《一般固体废物分类与代码》（GB/T39198-2020），</w:t>
      </w:r>
      <w:r>
        <w:rPr>
          <w:rFonts w:hint="eastAsia" w:ascii="Times New Roman" w:hAnsi="Times New Roman" w:eastAsia="宋体" w:cs="Times New Roman"/>
          <w:bCs/>
          <w:kern w:val="0"/>
          <w:sz w:val="24"/>
        </w:rPr>
        <w:t>本项目产生的各类一般工业固废代码详见下表。</w:t>
      </w:r>
    </w:p>
    <w:p w14:paraId="0C31AB74">
      <w:pPr>
        <w:pStyle w:val="17"/>
        <w:numPr>
          <w:ilvl w:val="0"/>
          <w:numId w:val="40"/>
        </w:numPr>
        <w:adjustRightInd w:val="0"/>
        <w:snapToGrid w:val="0"/>
        <w:jc w:val="center"/>
        <w:rPr>
          <w:b/>
          <w:bCs/>
          <w:szCs w:val="21"/>
        </w:rPr>
      </w:pPr>
      <w:r>
        <w:rPr>
          <w:rFonts w:ascii="Times New Roman" w:hAnsi="Times New Roman" w:cs="Times New Roman"/>
          <w:b/>
          <w:bCs/>
          <w:szCs w:val="21"/>
        </w:rPr>
        <w:t xml:space="preserve"> </w:t>
      </w:r>
      <w:r>
        <w:rPr>
          <w:rFonts w:hint="eastAsia"/>
          <w:b/>
          <w:bCs/>
          <w:szCs w:val="21"/>
        </w:rPr>
        <w:t>本项目一般工业固废</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6"/>
        <w:gridCol w:w="966"/>
        <w:gridCol w:w="2234"/>
        <w:gridCol w:w="1686"/>
      </w:tblGrid>
      <w:tr w14:paraId="6630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636" w:type="dxa"/>
          </w:tcPr>
          <w:p w14:paraId="5DECD7B8">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废物名称</w:t>
            </w:r>
          </w:p>
        </w:tc>
        <w:tc>
          <w:tcPr>
            <w:tcW w:w="966" w:type="dxa"/>
          </w:tcPr>
          <w:p w14:paraId="5C74B9BD">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行业</w:t>
            </w:r>
          </w:p>
        </w:tc>
        <w:tc>
          <w:tcPr>
            <w:tcW w:w="2234" w:type="dxa"/>
          </w:tcPr>
          <w:p w14:paraId="224B8BEE">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类别</w:t>
            </w:r>
          </w:p>
        </w:tc>
        <w:tc>
          <w:tcPr>
            <w:tcW w:w="1686" w:type="dxa"/>
          </w:tcPr>
          <w:p w14:paraId="64C77365">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代码</w:t>
            </w:r>
          </w:p>
        </w:tc>
      </w:tr>
      <w:tr w14:paraId="0BB9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6" w:type="dxa"/>
          </w:tcPr>
          <w:p w14:paraId="3975E73F">
            <w:pPr>
              <w:pStyle w:val="39"/>
              <w:jc w:val="center"/>
              <w:rPr>
                <w:rFonts w:ascii="Times New Roman" w:hAnsi="Times New Roman" w:cs="Times New Roman"/>
                <w:color w:val="auto"/>
                <w:sz w:val="21"/>
                <w:szCs w:val="21"/>
              </w:rPr>
            </w:pPr>
            <w:r>
              <w:rPr>
                <w:rFonts w:hint="eastAsia" w:cs="Times New Roman"/>
                <w:color w:val="auto"/>
                <w:sz w:val="21"/>
                <w:szCs w:val="21"/>
              </w:rPr>
              <w:t>废边角料和碎屑</w:t>
            </w:r>
          </w:p>
        </w:tc>
        <w:tc>
          <w:tcPr>
            <w:tcW w:w="966" w:type="dxa"/>
            <w:vMerge w:val="restart"/>
            <w:vAlign w:val="center"/>
          </w:tcPr>
          <w:p w14:paraId="7B8CACF0">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废弃资源</w:t>
            </w:r>
          </w:p>
        </w:tc>
        <w:tc>
          <w:tcPr>
            <w:tcW w:w="2234" w:type="dxa"/>
          </w:tcPr>
          <w:p w14:paraId="1C3095F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其他废物</w:t>
            </w:r>
          </w:p>
        </w:tc>
        <w:tc>
          <w:tcPr>
            <w:tcW w:w="1686" w:type="dxa"/>
          </w:tcPr>
          <w:p w14:paraId="3643B664">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900-999-99</w:t>
            </w:r>
          </w:p>
        </w:tc>
      </w:tr>
      <w:tr w14:paraId="434B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6" w:type="dxa"/>
          </w:tcPr>
          <w:p w14:paraId="1C2C3E26">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除尘器收尘</w:t>
            </w:r>
          </w:p>
        </w:tc>
        <w:tc>
          <w:tcPr>
            <w:tcW w:w="966" w:type="dxa"/>
            <w:vMerge w:val="continue"/>
          </w:tcPr>
          <w:p w14:paraId="52656779">
            <w:pPr>
              <w:pStyle w:val="39"/>
              <w:jc w:val="center"/>
              <w:rPr>
                <w:rFonts w:ascii="Times New Roman" w:hAnsi="Times New Roman" w:cs="Times New Roman"/>
                <w:color w:val="auto"/>
                <w:sz w:val="21"/>
                <w:szCs w:val="21"/>
              </w:rPr>
            </w:pPr>
          </w:p>
        </w:tc>
        <w:tc>
          <w:tcPr>
            <w:tcW w:w="2234" w:type="dxa"/>
          </w:tcPr>
          <w:p w14:paraId="5F4F9AC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工业粉尘</w:t>
            </w:r>
          </w:p>
        </w:tc>
        <w:tc>
          <w:tcPr>
            <w:tcW w:w="1686" w:type="dxa"/>
          </w:tcPr>
          <w:p w14:paraId="50A9F298">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900-999-</w:t>
            </w:r>
            <w:r>
              <w:rPr>
                <w:rFonts w:hint="eastAsia" w:ascii="Times New Roman" w:hAnsi="Times New Roman" w:cs="Times New Roman"/>
                <w:color w:val="auto"/>
                <w:sz w:val="21"/>
                <w:szCs w:val="21"/>
              </w:rPr>
              <w:t>66</w:t>
            </w:r>
          </w:p>
        </w:tc>
      </w:tr>
      <w:tr w14:paraId="18F8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6" w:type="dxa"/>
          </w:tcPr>
          <w:p w14:paraId="5677B8C1">
            <w:pPr>
              <w:pStyle w:val="39"/>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废包装材料</w:t>
            </w:r>
          </w:p>
        </w:tc>
        <w:tc>
          <w:tcPr>
            <w:tcW w:w="966" w:type="dxa"/>
            <w:vMerge w:val="continue"/>
          </w:tcPr>
          <w:p w14:paraId="2E71CE56">
            <w:pPr>
              <w:pStyle w:val="39"/>
              <w:jc w:val="center"/>
              <w:rPr>
                <w:rFonts w:ascii="Times New Roman" w:hAnsi="Times New Roman" w:cs="Times New Roman"/>
                <w:color w:val="auto"/>
                <w:sz w:val="21"/>
                <w:szCs w:val="21"/>
              </w:rPr>
            </w:pPr>
          </w:p>
        </w:tc>
        <w:tc>
          <w:tcPr>
            <w:tcW w:w="2234" w:type="dxa"/>
          </w:tcPr>
          <w:p w14:paraId="4CDA5775">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其他废物</w:t>
            </w:r>
          </w:p>
        </w:tc>
        <w:tc>
          <w:tcPr>
            <w:tcW w:w="1686" w:type="dxa"/>
          </w:tcPr>
          <w:p w14:paraId="1F4665FB">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900-999-99</w:t>
            </w:r>
          </w:p>
        </w:tc>
      </w:tr>
    </w:tbl>
    <w:p w14:paraId="6864F662">
      <w:pPr>
        <w:spacing w:line="360" w:lineRule="auto"/>
        <w:ind w:left="420" w:leftChars="200"/>
        <w:rPr>
          <w:rFonts w:ascii="Times New Roman" w:hAnsi="Times New Roman" w:eastAsia="宋体" w:cs="Times New Roman"/>
          <w:b/>
          <w:kern w:val="0"/>
          <w:sz w:val="24"/>
        </w:rPr>
      </w:pPr>
      <w:r>
        <w:rPr>
          <w:rFonts w:hint="eastAsia" w:ascii="Times New Roman" w:hAnsi="Times New Roman" w:eastAsia="宋体" w:cs="Times New Roman"/>
          <w:b/>
          <w:kern w:val="0"/>
          <w:sz w:val="24"/>
        </w:rPr>
        <w:t>3、危险废物</w:t>
      </w:r>
    </w:p>
    <w:p w14:paraId="257961E8">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主要为废破损包装桶（废油漆桶、废胶桶、稀释剂桶）、水帘漆渣、油磨漆渣、污水处理工艺中产生的絮状沉淀物（废水处理污泥）、废活性炭、喷枪清洗废水、废催化剂、废机油、废过滤棉（含漆渣）。</w:t>
      </w:r>
    </w:p>
    <w:p w14:paraId="50DC0EF4">
      <w:pPr>
        <w:spacing w:line="360" w:lineRule="auto"/>
        <w:ind w:firstLine="480" w:firstLineChars="200"/>
        <w:rPr>
          <w:rFonts w:ascii="Times New Roman" w:hAnsi="Times New Roman" w:eastAsia="宋体" w:cs="Times New Roman"/>
          <w:bCs/>
          <w:color w:val="auto"/>
          <w:kern w:val="0"/>
          <w:sz w:val="24"/>
        </w:rPr>
      </w:pPr>
      <w:r>
        <w:rPr>
          <w:rFonts w:hint="eastAsia" w:ascii="Times New Roman" w:hAnsi="Times New Roman" w:eastAsia="宋体" w:cs="Times New Roman"/>
          <w:bCs/>
          <w:kern w:val="0"/>
          <w:sz w:val="24"/>
        </w:rPr>
        <w:t>①废破损包装桶：生产过程中，会产生少量破损油漆桶、废胶桶、稀释剂桶，产生量为1.0t/a，经收集后交由有资质单位处理。危废类别为：HW49，危废代码为：900-041-49</w:t>
      </w:r>
      <w:r>
        <w:rPr>
          <w:rFonts w:hint="eastAsia" w:ascii="Times New Roman" w:hAnsi="Times New Roman" w:eastAsia="宋体" w:cs="Times New Roman"/>
          <w:bCs/>
          <w:color w:val="auto"/>
          <w:kern w:val="0"/>
          <w:sz w:val="24"/>
        </w:rPr>
        <w:t>。未破损的交由厂家回收利用。</w:t>
      </w:r>
    </w:p>
    <w:p w14:paraId="1E49F351">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②水帘漆渣：由水幕捕捉到的漆雾随水流泻入水箱内，经水泵抽吸过滤，油漆残渣浮于水面。本项目采用漆雾絮凝剂加入水箱内，加入量占水箱水量的3‰，约每月添加一次絮凝剂，添加量为0.018t，每1个月清理一次漆渣，油漆残渣即凝聚成疏松团块，根据计算漆渣产生量约3.15t/a</w:t>
      </w:r>
      <w:r>
        <w:rPr>
          <w:rFonts w:ascii="Times New Roman" w:hAnsi="Times New Roman" w:cs="Times New Roman"/>
          <w:bCs/>
          <w:spacing w:val="-2"/>
          <w:sz w:val="24"/>
          <w:szCs w:val="32"/>
        </w:rPr>
        <w:t>，</w:t>
      </w:r>
      <w:r>
        <w:rPr>
          <w:rFonts w:ascii="Times New Roman" w:hAnsi="Times New Roman" w:eastAsia="宋体" w:cs="Times New Roman"/>
          <w:bCs/>
          <w:spacing w:val="-2"/>
          <w:sz w:val="24"/>
          <w:szCs w:val="32"/>
        </w:rPr>
        <w:t>危废类别为：HW12，危废代码为：900-252-12</w:t>
      </w:r>
      <w:r>
        <w:rPr>
          <w:rFonts w:hint="eastAsia" w:ascii="Times New Roman" w:hAnsi="Times New Roman" w:eastAsia="宋体" w:cs="Times New Roman"/>
          <w:bCs/>
          <w:spacing w:val="-2"/>
          <w:sz w:val="24"/>
          <w:szCs w:val="32"/>
        </w:rPr>
        <w:t>。</w:t>
      </w:r>
    </w:p>
    <w:p w14:paraId="562EB9F7">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③油磨漆渣：本项目底漆晾干后需要油磨，油磨打磨产生的主要为漆渣，产生量为0.02t/a，油磨漆渣作为危废，委托有资质单位处理</w:t>
      </w:r>
      <w:r>
        <w:rPr>
          <w:rFonts w:ascii="Times New Roman" w:hAnsi="Times New Roman" w:cs="Times New Roman"/>
          <w:bCs/>
          <w:spacing w:val="-2"/>
          <w:sz w:val="24"/>
        </w:rPr>
        <w:t>，</w:t>
      </w:r>
      <w:r>
        <w:rPr>
          <w:rFonts w:ascii="Times New Roman" w:hAnsi="Times New Roman" w:eastAsia="宋体" w:cs="Times New Roman"/>
          <w:bCs/>
          <w:spacing w:val="-2"/>
          <w:sz w:val="24"/>
        </w:rPr>
        <w:t>危废类别为：HW12，危废代码为：900-252-12</w:t>
      </w:r>
      <w:r>
        <w:rPr>
          <w:rFonts w:hint="eastAsia" w:ascii="Times New Roman" w:hAnsi="Times New Roman" w:eastAsia="宋体" w:cs="Times New Roman"/>
          <w:bCs/>
          <w:spacing w:val="-2"/>
          <w:sz w:val="24"/>
        </w:rPr>
        <w:t>。</w:t>
      </w:r>
    </w:p>
    <w:p w14:paraId="711E7807">
      <w:pPr>
        <w:spacing w:line="360" w:lineRule="auto"/>
        <w:ind w:firstLine="480" w:firstLineChars="200"/>
        <w:rPr>
          <w:rFonts w:ascii="Times New Roman" w:hAnsi="Times New Roman" w:eastAsia="宋体" w:cs="Times New Roman"/>
          <w:bCs/>
          <w:color w:val="auto"/>
          <w:kern w:val="0"/>
          <w:sz w:val="24"/>
        </w:rPr>
      </w:pPr>
      <w:r>
        <w:rPr>
          <w:rFonts w:hint="eastAsia" w:ascii="Times New Roman" w:hAnsi="Times New Roman" w:eastAsia="宋体" w:cs="Times New Roman"/>
          <w:bCs/>
          <w:kern w:val="0"/>
          <w:sz w:val="24"/>
        </w:rPr>
        <w:t>④污水处理站絮状沉淀物：絮状沉淀</w:t>
      </w:r>
      <w:r>
        <w:rPr>
          <w:rFonts w:hint="eastAsia" w:ascii="Times New Roman" w:hAnsi="Times New Roman" w:eastAsia="宋体" w:cs="Times New Roman"/>
          <w:bCs/>
          <w:color w:val="auto"/>
          <w:kern w:val="0"/>
          <w:sz w:val="24"/>
        </w:rPr>
        <w:t>物（污泥）（经压滤脱水后外运作为危废）产生量约0.1t/a</w:t>
      </w:r>
      <w:r>
        <w:rPr>
          <w:rFonts w:ascii="Times New Roman" w:hAnsi="Times New Roman" w:cs="Times New Roman"/>
          <w:bCs/>
          <w:color w:val="auto"/>
          <w:spacing w:val="-2"/>
          <w:sz w:val="24"/>
          <w:szCs w:val="32"/>
        </w:rPr>
        <w:t>，</w:t>
      </w:r>
      <w:r>
        <w:rPr>
          <w:rFonts w:ascii="Times New Roman" w:hAnsi="Times New Roman" w:eastAsia="宋体" w:cs="Times New Roman"/>
          <w:bCs/>
          <w:color w:val="auto"/>
          <w:spacing w:val="-2"/>
          <w:sz w:val="24"/>
          <w:szCs w:val="32"/>
        </w:rPr>
        <w:t>危废类别为：HW</w:t>
      </w:r>
      <w:r>
        <w:rPr>
          <w:rFonts w:hint="eastAsia" w:ascii="Times New Roman" w:hAnsi="Times New Roman" w:eastAsia="宋体" w:cs="Times New Roman"/>
          <w:bCs/>
          <w:color w:val="auto"/>
          <w:spacing w:val="-2"/>
          <w:sz w:val="24"/>
          <w:szCs w:val="32"/>
        </w:rPr>
        <w:t>49</w:t>
      </w:r>
      <w:r>
        <w:rPr>
          <w:rFonts w:ascii="Times New Roman" w:hAnsi="Times New Roman" w:eastAsia="宋体" w:cs="Times New Roman"/>
          <w:bCs/>
          <w:color w:val="auto"/>
          <w:spacing w:val="-2"/>
          <w:sz w:val="24"/>
          <w:szCs w:val="32"/>
        </w:rPr>
        <w:t>，危废代码为：772-006-49</w:t>
      </w:r>
      <w:r>
        <w:rPr>
          <w:rFonts w:hint="eastAsia" w:ascii="Times New Roman" w:hAnsi="Times New Roman" w:eastAsia="宋体" w:cs="Times New Roman"/>
          <w:bCs/>
          <w:color w:val="auto"/>
          <w:spacing w:val="-2"/>
          <w:sz w:val="24"/>
          <w:szCs w:val="32"/>
        </w:rPr>
        <w:t>。</w:t>
      </w:r>
    </w:p>
    <w:p w14:paraId="6DC8C45A">
      <w:pPr>
        <w:spacing w:line="360" w:lineRule="auto"/>
        <w:ind w:firstLine="480" w:firstLineChars="200"/>
        <w:rPr>
          <w:rFonts w:ascii="Times New Roman" w:hAnsi="Times New Roman" w:eastAsia="宋体" w:cs="Times New Roman"/>
          <w:b/>
          <w:bCs w:val="0"/>
          <w:color w:val="0000FF"/>
          <w:kern w:val="0"/>
          <w:sz w:val="24"/>
          <w:u w:val="single"/>
        </w:rPr>
      </w:pPr>
      <w:r>
        <w:rPr>
          <w:rFonts w:hint="eastAsia" w:ascii="Times New Roman" w:hAnsi="Times New Roman" w:eastAsia="宋体" w:cs="Times New Roman"/>
          <w:bCs/>
          <w:color w:val="auto"/>
          <w:kern w:val="0"/>
          <w:sz w:val="24"/>
        </w:rPr>
        <w:t>⑤废活性炭：</w:t>
      </w:r>
      <w:r>
        <w:rPr>
          <w:rFonts w:hint="eastAsia" w:ascii="Times New Roman" w:hAnsi="Times New Roman" w:eastAsia="宋体" w:cs="Times New Roman"/>
          <w:b/>
          <w:bCs w:val="0"/>
          <w:color w:val="auto"/>
          <w:kern w:val="0"/>
          <w:sz w:val="24"/>
          <w:u w:val="single"/>
        </w:rPr>
        <w:t>根据建设单位提供的催化燃烧设备处理方案，本项目催化燃烧装置共设4套活性炭吸附床，蜂窝活性炭总填装量12m</w:t>
      </w:r>
      <w:r>
        <w:rPr>
          <w:rFonts w:hint="eastAsia" w:ascii="Times New Roman" w:hAnsi="Times New Roman" w:eastAsia="宋体" w:cs="Times New Roman"/>
          <w:b/>
          <w:bCs w:val="0"/>
          <w:color w:val="auto"/>
          <w:kern w:val="0"/>
          <w:sz w:val="24"/>
          <w:u w:val="single"/>
          <w:vertAlign w:val="superscript"/>
        </w:rPr>
        <w:t>3</w:t>
      </w:r>
      <w:r>
        <w:rPr>
          <w:rFonts w:hint="eastAsia" w:ascii="Times New Roman" w:hAnsi="Times New Roman" w:eastAsia="宋体" w:cs="Times New Roman"/>
          <w:b/>
          <w:bCs w:val="0"/>
          <w:color w:val="auto"/>
          <w:kern w:val="0"/>
          <w:sz w:val="24"/>
          <w:u w:val="single"/>
        </w:rPr>
        <w:t>，约6t，活性炭定期脱附再生，3-5年更换一次，故废活性炭的产生量为6t/3a（约2t/a）。危废类别为：HW49，危废代码为：900-039-49。</w:t>
      </w:r>
    </w:p>
    <w:p w14:paraId="051CB38A">
      <w:pPr>
        <w:spacing w:line="360" w:lineRule="auto"/>
        <w:ind w:firstLine="480" w:firstLineChars="200"/>
        <w:rPr>
          <w:rFonts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⑥喷枪清洗废水：喷枪清洗废水产生量为0.2t/a。危废类别为：HW09，危废代码为：900-007-09。</w:t>
      </w:r>
    </w:p>
    <w:p w14:paraId="614D05BF">
      <w:pPr>
        <w:spacing w:line="360" w:lineRule="auto"/>
        <w:ind w:firstLine="480" w:firstLineChars="200"/>
        <w:rPr>
          <w:rFonts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⑦废催化剂：项目废气处理采用蜂窝陶瓷基贵金属催化剂（Pt、Pd），据估算，催化剂5年更换一次，废催化剂产生量为0.122m</w:t>
      </w:r>
      <w:r>
        <w:rPr>
          <w:rFonts w:hint="eastAsia" w:ascii="Times New Roman" w:hAnsi="Times New Roman" w:eastAsia="宋体" w:cs="Times New Roman"/>
          <w:bCs/>
          <w:color w:val="auto"/>
          <w:kern w:val="0"/>
          <w:sz w:val="24"/>
          <w:vertAlign w:val="superscript"/>
        </w:rPr>
        <w:t>3</w:t>
      </w:r>
      <w:r>
        <w:rPr>
          <w:rFonts w:hint="eastAsia" w:ascii="Times New Roman" w:hAnsi="Times New Roman" w:eastAsia="宋体" w:cs="Times New Roman"/>
          <w:bCs/>
          <w:color w:val="auto"/>
          <w:kern w:val="0"/>
          <w:sz w:val="24"/>
        </w:rPr>
        <w:t>，约0.33t。废催化剂属于危险废物，废物类别及代码：HW49，900-041-49。</w:t>
      </w:r>
    </w:p>
    <w:p w14:paraId="402A48E5">
      <w:pPr>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fldChar w:fldCharType="begin"/>
      </w:r>
      <w:r>
        <w:rPr>
          <w:rFonts w:ascii="Times New Roman" w:hAnsi="Times New Roman" w:eastAsia="宋体" w:cs="Times New Roman"/>
          <w:bCs/>
          <w:color w:val="auto"/>
          <w:kern w:val="0"/>
          <w:sz w:val="24"/>
        </w:rPr>
        <w:instrText xml:space="preserve"> = 8 \* GB3 \* MERGEFORMAT </w:instrText>
      </w:r>
      <w:r>
        <w:rPr>
          <w:rFonts w:ascii="Times New Roman" w:hAnsi="Times New Roman" w:eastAsia="宋体" w:cs="Times New Roman"/>
          <w:bCs/>
          <w:color w:val="auto"/>
          <w:kern w:val="0"/>
          <w:sz w:val="24"/>
        </w:rPr>
        <w:fldChar w:fldCharType="separate"/>
      </w:r>
      <w:r>
        <w:rPr>
          <w:rFonts w:ascii="Times New Roman" w:hAnsi="Times New Roman" w:cs="Times New Roman"/>
          <w:color w:val="auto"/>
          <w:sz w:val="24"/>
        </w:rPr>
        <w:t>⑧</w:t>
      </w:r>
      <w:r>
        <w:rPr>
          <w:rFonts w:ascii="Times New Roman" w:hAnsi="Times New Roman" w:eastAsia="宋体" w:cs="Times New Roman"/>
          <w:bCs/>
          <w:color w:val="auto"/>
          <w:kern w:val="0"/>
          <w:sz w:val="24"/>
        </w:rPr>
        <w:fldChar w:fldCharType="end"/>
      </w:r>
      <w:r>
        <w:rPr>
          <w:rFonts w:hint="eastAsia" w:ascii="Times New Roman" w:hAnsi="Times New Roman" w:eastAsia="宋体" w:cs="Times New Roman"/>
          <w:bCs/>
          <w:color w:val="auto"/>
          <w:kern w:val="0"/>
          <w:sz w:val="24"/>
        </w:rPr>
        <w:t>废机油：水泵、风机以及其他机械设备定期更换的废机油，产生量为0.1t/a。危废类别为：HW08，危废代码为：900-217-08。</w:t>
      </w:r>
    </w:p>
    <w:p w14:paraId="5647A1AE">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9 \* GB3 \* MERGEFORMAT </w:instrText>
      </w:r>
      <w:r>
        <w:rPr>
          <w:rFonts w:ascii="Times New Roman" w:hAnsi="Times New Roman" w:eastAsia="宋体" w:cs="Times New Roman"/>
          <w:color w:val="auto"/>
          <w:sz w:val="24"/>
        </w:rPr>
        <w:fldChar w:fldCharType="separate"/>
      </w:r>
      <w:r>
        <w:rPr>
          <w:rFonts w:ascii="Times New Roman" w:hAnsi="Times New Roman" w:cs="Times New Roman"/>
          <w:color w:val="auto"/>
        </w:rPr>
        <w:t>⑨</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废过滤棉（含漆渣）</w:t>
      </w:r>
    </w:p>
    <w:p w14:paraId="2E46A1A7">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漆雾过滤器中</w:t>
      </w:r>
      <w:r>
        <w:rPr>
          <w:rFonts w:ascii="Times New Roman" w:hAnsi="Times New Roman" w:eastAsia="宋体" w:cs="Times New Roman"/>
          <w:color w:val="auto"/>
          <w:sz w:val="24"/>
        </w:rPr>
        <w:t>过滤棉（含漆渣）产生量约</w:t>
      </w:r>
      <w:r>
        <w:rPr>
          <w:rFonts w:hint="eastAsia" w:ascii="Times New Roman" w:hAnsi="Times New Roman" w:eastAsia="宋体" w:cs="Times New Roman"/>
          <w:color w:val="auto"/>
          <w:sz w:val="24"/>
        </w:rPr>
        <w:t>0.5</w:t>
      </w:r>
      <w:r>
        <w:rPr>
          <w:rFonts w:ascii="Times New Roman" w:hAnsi="Times New Roman" w:eastAsia="宋体" w:cs="Times New Roman"/>
          <w:color w:val="auto"/>
          <w:sz w:val="24"/>
        </w:rPr>
        <w:t>t/a，危废类别为：HW</w:t>
      </w:r>
      <w:r>
        <w:rPr>
          <w:rFonts w:hint="eastAsia" w:ascii="Times New Roman" w:hAnsi="Times New Roman" w:eastAsia="宋体" w:cs="Times New Roman"/>
          <w:color w:val="auto"/>
          <w:sz w:val="24"/>
          <w:lang w:val="en-US" w:eastAsia="zh-CN"/>
        </w:rPr>
        <w:t>49</w:t>
      </w:r>
      <w:r>
        <w:rPr>
          <w:rFonts w:ascii="Times New Roman" w:hAnsi="Times New Roman" w:eastAsia="宋体" w:cs="Times New Roman"/>
          <w:color w:val="auto"/>
          <w:sz w:val="24"/>
        </w:rPr>
        <w:t>，危废代码为：900-041-49。</w:t>
      </w:r>
    </w:p>
    <w:p w14:paraId="6DC55CA2">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color w:val="auto"/>
          <w:sz w:val="24"/>
        </w:rPr>
        <w:t>根据《固体废物鉴别标准  通则》（GB34330-2017）规定，判定本项目各固废的属性，详见表3.</w:t>
      </w:r>
      <w:r>
        <w:rPr>
          <w:rFonts w:hint="eastAsia" w:ascii="Times New Roman" w:hAnsi="Times New Roman" w:eastAsia="宋体" w:cs="Times New Roman"/>
          <w:color w:val="auto"/>
          <w:sz w:val="24"/>
        </w:rPr>
        <w:t>6</w:t>
      </w:r>
      <w:r>
        <w:rPr>
          <w:rFonts w:ascii="Times New Roman" w:hAnsi="Times New Roman" w:eastAsia="宋体" w:cs="Times New Roman"/>
          <w:color w:val="auto"/>
          <w:sz w:val="24"/>
        </w:rPr>
        <w:t>-</w:t>
      </w:r>
      <w:r>
        <w:rPr>
          <w:rFonts w:hint="eastAsia" w:ascii="Times New Roman" w:hAnsi="Times New Roman" w:cs="Times New Roman"/>
          <w:color w:val="auto"/>
          <w:sz w:val="24"/>
        </w:rPr>
        <w:t>15</w:t>
      </w:r>
      <w:r>
        <w:rPr>
          <w:rFonts w:ascii="Times New Roman" w:hAnsi="Times New Roman" w:eastAsia="宋体" w:cs="Times New Roman"/>
          <w:color w:val="auto"/>
          <w:sz w:val="24"/>
        </w:rPr>
        <w:t>。根据《国家危险废物</w:t>
      </w:r>
      <w:r>
        <w:rPr>
          <w:rFonts w:hint="eastAsia" w:ascii="Times New Roman" w:hAnsi="Times New Roman" w:eastAsia="宋体" w:cs="Times New Roman"/>
          <w:color w:val="auto"/>
          <w:sz w:val="24"/>
          <w:lang w:val="en-US" w:eastAsia="zh-CN"/>
        </w:rPr>
        <w:t>名录</w:t>
      </w:r>
      <w:r>
        <w:rPr>
          <w:rFonts w:ascii="Times New Roman" w:hAnsi="Times New Roman" w:eastAsia="宋体" w:cs="Times New Roman"/>
          <w:color w:val="auto"/>
          <w:sz w:val="24"/>
        </w:rPr>
        <w:t>》</w:t>
      </w:r>
      <w:r>
        <w:rPr>
          <w:rFonts w:ascii="Times New Roman" w:hAnsi="Times New Roman" w:eastAsia="宋体" w:cs="Times New Roman"/>
          <w:sz w:val="24"/>
        </w:rPr>
        <w:t>（20</w:t>
      </w:r>
      <w:r>
        <w:rPr>
          <w:rFonts w:hint="eastAsia" w:ascii="Times New Roman" w:hAnsi="Times New Roman" w:eastAsia="宋体" w:cs="Times New Roman"/>
          <w:sz w:val="24"/>
        </w:rPr>
        <w:t>21</w:t>
      </w:r>
      <w:r>
        <w:rPr>
          <w:rFonts w:ascii="Times New Roman" w:hAnsi="Times New Roman" w:eastAsia="宋体" w:cs="Times New Roman"/>
          <w:sz w:val="24"/>
        </w:rPr>
        <w:t>）以及《危险废物鉴别标准 通则》（GB5085.7-2019），判定项目固体废物是否属于危险废物，判定结果见表3.</w:t>
      </w:r>
      <w:r>
        <w:rPr>
          <w:rFonts w:hint="eastAsia" w:ascii="Times New Roman" w:hAnsi="Times New Roman" w:eastAsia="宋体" w:cs="Times New Roman"/>
          <w:sz w:val="24"/>
        </w:rPr>
        <w:t>6</w:t>
      </w:r>
      <w:r>
        <w:rPr>
          <w:rFonts w:ascii="Times New Roman" w:hAnsi="Times New Roman" w:eastAsia="宋体" w:cs="Times New Roman"/>
          <w:sz w:val="24"/>
        </w:rPr>
        <w:t>-</w:t>
      </w:r>
      <w:r>
        <w:rPr>
          <w:rFonts w:hint="eastAsia" w:ascii="Times New Roman" w:hAnsi="Times New Roman" w:cs="Times New Roman"/>
          <w:sz w:val="24"/>
        </w:rPr>
        <w:t>16</w:t>
      </w:r>
      <w:r>
        <w:rPr>
          <w:rFonts w:ascii="Times New Roman" w:hAnsi="Times New Roman" w:eastAsia="宋体" w:cs="Times New Roman"/>
          <w:sz w:val="24"/>
        </w:rPr>
        <w:t>。</w:t>
      </w:r>
    </w:p>
    <w:p w14:paraId="2CBCD215">
      <w:pPr>
        <w:spacing w:line="360" w:lineRule="auto"/>
        <w:ind w:firstLine="480" w:firstLineChars="200"/>
      </w:pPr>
      <w:r>
        <w:rPr>
          <w:rFonts w:ascii="Times New Roman" w:hAnsi="Times New Roman" w:eastAsia="宋体" w:cs="Times New Roman"/>
          <w:sz w:val="24"/>
        </w:rPr>
        <w:t>根据《建设项目危险废物环境影响评价指南》，本项目危险废物的名称、数量、类别、形态、危险特性和污染防治措施等内容汇总见表3.</w:t>
      </w:r>
      <w:r>
        <w:rPr>
          <w:rFonts w:hint="eastAsia" w:ascii="Times New Roman" w:hAnsi="Times New Roman" w:eastAsia="宋体" w:cs="Times New Roman"/>
          <w:sz w:val="24"/>
        </w:rPr>
        <w:t>6</w:t>
      </w:r>
      <w:r>
        <w:rPr>
          <w:rFonts w:ascii="Times New Roman" w:hAnsi="Times New Roman" w:eastAsia="宋体" w:cs="Times New Roman"/>
          <w:sz w:val="24"/>
        </w:rPr>
        <w:t>-</w:t>
      </w:r>
      <w:r>
        <w:rPr>
          <w:rFonts w:hint="eastAsia" w:ascii="Times New Roman" w:hAnsi="Times New Roman" w:cs="Times New Roman"/>
          <w:sz w:val="24"/>
        </w:rPr>
        <w:t>17</w:t>
      </w:r>
      <w:r>
        <w:rPr>
          <w:rFonts w:ascii="Times New Roman" w:hAnsi="Times New Roman" w:eastAsia="宋体" w:cs="Times New Roman"/>
          <w:sz w:val="24"/>
        </w:rPr>
        <w:t>。</w:t>
      </w:r>
    </w:p>
    <w:p w14:paraId="0ED2940A">
      <w:pPr>
        <w:sectPr>
          <w:headerReference r:id="rId14" w:type="default"/>
          <w:pgSz w:w="11906" w:h="16838"/>
          <w:pgMar w:top="1440" w:right="1800" w:bottom="1440" w:left="1800" w:header="851" w:footer="992" w:gutter="0"/>
          <w:pgNumType w:fmt="decimal"/>
          <w:cols w:space="425" w:num="1"/>
          <w:docGrid w:type="lines" w:linePitch="312" w:charSpace="0"/>
        </w:sectPr>
      </w:pPr>
    </w:p>
    <w:p w14:paraId="6D7DA6AA">
      <w:pPr>
        <w:pStyle w:val="17"/>
        <w:numPr>
          <w:ilvl w:val="0"/>
          <w:numId w:val="40"/>
        </w:numPr>
        <w:jc w:val="center"/>
        <w:rPr>
          <w:b/>
          <w:bCs/>
          <w:szCs w:val="21"/>
        </w:rPr>
      </w:pPr>
      <w:r>
        <w:rPr>
          <w:rFonts w:hint="eastAsia"/>
          <w:b/>
          <w:bCs/>
          <w:szCs w:val="21"/>
        </w:rPr>
        <w:t xml:space="preserve"> 项目固废判别表</w:t>
      </w:r>
    </w:p>
    <w:tbl>
      <w:tblPr>
        <w:tblStyle w:val="3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995"/>
        <w:gridCol w:w="2750"/>
        <w:gridCol w:w="1284"/>
        <w:gridCol w:w="2421"/>
        <w:gridCol w:w="1209"/>
        <w:gridCol w:w="675"/>
        <w:gridCol w:w="946"/>
        <w:gridCol w:w="1204"/>
      </w:tblGrid>
      <w:tr w14:paraId="01EE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690" w:type="dxa"/>
            <w:vMerge w:val="restart"/>
            <w:vAlign w:val="center"/>
          </w:tcPr>
          <w:p w14:paraId="249B02D4">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序号</w:t>
            </w:r>
          </w:p>
        </w:tc>
        <w:tc>
          <w:tcPr>
            <w:tcW w:w="2995" w:type="dxa"/>
            <w:vMerge w:val="restart"/>
            <w:vAlign w:val="center"/>
          </w:tcPr>
          <w:p w14:paraId="31BBC52E">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固废名称</w:t>
            </w:r>
          </w:p>
        </w:tc>
        <w:tc>
          <w:tcPr>
            <w:tcW w:w="2750" w:type="dxa"/>
            <w:vMerge w:val="restart"/>
            <w:vAlign w:val="center"/>
          </w:tcPr>
          <w:p w14:paraId="0E0A4E30">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产生工序</w:t>
            </w:r>
          </w:p>
        </w:tc>
        <w:tc>
          <w:tcPr>
            <w:tcW w:w="1284" w:type="dxa"/>
            <w:vMerge w:val="restart"/>
            <w:vAlign w:val="center"/>
          </w:tcPr>
          <w:p w14:paraId="604EFD3F">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形态</w:t>
            </w:r>
          </w:p>
        </w:tc>
        <w:tc>
          <w:tcPr>
            <w:tcW w:w="2421" w:type="dxa"/>
            <w:vMerge w:val="restart"/>
            <w:vAlign w:val="center"/>
          </w:tcPr>
          <w:p w14:paraId="4A0B4986">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主要成分</w:t>
            </w:r>
          </w:p>
        </w:tc>
        <w:tc>
          <w:tcPr>
            <w:tcW w:w="1209" w:type="dxa"/>
            <w:vMerge w:val="restart"/>
            <w:vAlign w:val="center"/>
          </w:tcPr>
          <w:p w14:paraId="184A30ED">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预测产生量t/a</w:t>
            </w:r>
          </w:p>
        </w:tc>
        <w:tc>
          <w:tcPr>
            <w:tcW w:w="2825" w:type="dxa"/>
            <w:gridSpan w:val="3"/>
            <w:vAlign w:val="center"/>
          </w:tcPr>
          <w:p w14:paraId="12FD164F">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种类判断</w:t>
            </w:r>
          </w:p>
        </w:tc>
      </w:tr>
      <w:tr w14:paraId="0608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0" w:type="dxa"/>
            <w:vMerge w:val="continue"/>
            <w:vAlign w:val="center"/>
          </w:tcPr>
          <w:p w14:paraId="73B9E5E4">
            <w:pPr>
              <w:jc w:val="center"/>
              <w:rPr>
                <w:rFonts w:ascii="Times New Roman" w:hAnsi="Times New Roman" w:eastAsia="宋体" w:cs="Times New Roman"/>
                <w:b/>
                <w:bCs/>
                <w:szCs w:val="21"/>
                <w:u w:val="single"/>
              </w:rPr>
            </w:pPr>
          </w:p>
        </w:tc>
        <w:tc>
          <w:tcPr>
            <w:tcW w:w="2995" w:type="dxa"/>
            <w:vMerge w:val="continue"/>
            <w:vAlign w:val="center"/>
          </w:tcPr>
          <w:p w14:paraId="2BBBDDBD">
            <w:pPr>
              <w:jc w:val="center"/>
              <w:rPr>
                <w:rFonts w:ascii="Times New Roman" w:hAnsi="Times New Roman" w:eastAsia="宋体" w:cs="Times New Roman"/>
                <w:b/>
                <w:bCs/>
                <w:szCs w:val="21"/>
                <w:u w:val="single"/>
              </w:rPr>
            </w:pPr>
          </w:p>
        </w:tc>
        <w:tc>
          <w:tcPr>
            <w:tcW w:w="2750" w:type="dxa"/>
            <w:vMerge w:val="continue"/>
            <w:vAlign w:val="center"/>
          </w:tcPr>
          <w:p w14:paraId="1F1B1C55">
            <w:pPr>
              <w:jc w:val="center"/>
              <w:rPr>
                <w:rFonts w:ascii="Times New Roman" w:hAnsi="Times New Roman" w:eastAsia="宋体" w:cs="Times New Roman"/>
                <w:b/>
                <w:bCs/>
                <w:szCs w:val="21"/>
                <w:u w:val="single"/>
              </w:rPr>
            </w:pPr>
          </w:p>
        </w:tc>
        <w:tc>
          <w:tcPr>
            <w:tcW w:w="1284" w:type="dxa"/>
            <w:vMerge w:val="continue"/>
            <w:vAlign w:val="center"/>
          </w:tcPr>
          <w:p w14:paraId="54E08820">
            <w:pPr>
              <w:jc w:val="center"/>
              <w:rPr>
                <w:rFonts w:ascii="Times New Roman" w:hAnsi="Times New Roman" w:eastAsia="宋体" w:cs="Times New Roman"/>
                <w:b/>
                <w:bCs/>
                <w:szCs w:val="21"/>
                <w:u w:val="single"/>
              </w:rPr>
            </w:pPr>
          </w:p>
        </w:tc>
        <w:tc>
          <w:tcPr>
            <w:tcW w:w="2421" w:type="dxa"/>
            <w:vMerge w:val="continue"/>
            <w:vAlign w:val="center"/>
          </w:tcPr>
          <w:p w14:paraId="213184CC">
            <w:pPr>
              <w:jc w:val="center"/>
              <w:rPr>
                <w:rFonts w:ascii="Times New Roman" w:hAnsi="Times New Roman" w:eastAsia="宋体" w:cs="Times New Roman"/>
                <w:b/>
                <w:bCs/>
                <w:szCs w:val="21"/>
                <w:u w:val="single"/>
              </w:rPr>
            </w:pPr>
          </w:p>
        </w:tc>
        <w:tc>
          <w:tcPr>
            <w:tcW w:w="1209" w:type="dxa"/>
            <w:vMerge w:val="continue"/>
            <w:vAlign w:val="center"/>
          </w:tcPr>
          <w:p w14:paraId="7453F184">
            <w:pPr>
              <w:jc w:val="center"/>
              <w:rPr>
                <w:rFonts w:ascii="Times New Roman" w:hAnsi="Times New Roman" w:eastAsia="宋体" w:cs="Times New Roman"/>
                <w:b/>
                <w:bCs/>
                <w:szCs w:val="21"/>
                <w:u w:val="single"/>
              </w:rPr>
            </w:pPr>
          </w:p>
        </w:tc>
        <w:tc>
          <w:tcPr>
            <w:tcW w:w="675" w:type="dxa"/>
            <w:vAlign w:val="center"/>
          </w:tcPr>
          <w:p w14:paraId="5DB2698B">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固废</w:t>
            </w:r>
          </w:p>
        </w:tc>
        <w:tc>
          <w:tcPr>
            <w:tcW w:w="946" w:type="dxa"/>
            <w:vAlign w:val="center"/>
          </w:tcPr>
          <w:p w14:paraId="1790B7A6">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副产品</w:t>
            </w:r>
          </w:p>
        </w:tc>
        <w:tc>
          <w:tcPr>
            <w:tcW w:w="1204" w:type="dxa"/>
            <w:vAlign w:val="center"/>
          </w:tcPr>
          <w:p w14:paraId="3E77D8D3">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判定依据</w:t>
            </w:r>
          </w:p>
        </w:tc>
      </w:tr>
      <w:tr w14:paraId="10BB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Align w:val="center"/>
          </w:tcPr>
          <w:p w14:paraId="16B966D6">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1</w:t>
            </w:r>
          </w:p>
        </w:tc>
        <w:tc>
          <w:tcPr>
            <w:tcW w:w="2995" w:type="dxa"/>
          </w:tcPr>
          <w:p w14:paraId="286CCFF7">
            <w:pPr>
              <w:pStyle w:val="39"/>
              <w:jc w:val="center"/>
              <w:rPr>
                <w:rFonts w:ascii="Times New Roman" w:hAnsi="Times New Roman" w:cs="Times New Roman"/>
                <w:b/>
                <w:bCs/>
                <w:color w:val="auto"/>
                <w:szCs w:val="21"/>
                <w:u w:val="single"/>
              </w:rPr>
            </w:pPr>
            <w:r>
              <w:rPr>
                <w:rFonts w:hint="eastAsia" w:cs="Times New Roman"/>
                <w:b/>
                <w:bCs/>
                <w:color w:val="auto"/>
                <w:sz w:val="21"/>
                <w:szCs w:val="21"/>
                <w:u w:val="single"/>
              </w:rPr>
              <w:t>废边角料和碎屑</w:t>
            </w:r>
          </w:p>
        </w:tc>
        <w:tc>
          <w:tcPr>
            <w:tcW w:w="2750" w:type="dxa"/>
            <w:vAlign w:val="center"/>
          </w:tcPr>
          <w:p w14:paraId="3DE67051">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木材加工</w:t>
            </w:r>
          </w:p>
        </w:tc>
        <w:tc>
          <w:tcPr>
            <w:tcW w:w="1284" w:type="dxa"/>
            <w:vAlign w:val="center"/>
          </w:tcPr>
          <w:p w14:paraId="425B0FCB">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固态</w:t>
            </w:r>
          </w:p>
        </w:tc>
        <w:tc>
          <w:tcPr>
            <w:tcW w:w="2421" w:type="dxa"/>
            <w:vAlign w:val="center"/>
          </w:tcPr>
          <w:p w14:paraId="222352D5">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木材、木屑</w:t>
            </w:r>
          </w:p>
        </w:tc>
        <w:tc>
          <w:tcPr>
            <w:tcW w:w="1209" w:type="dxa"/>
            <w:vAlign w:val="center"/>
          </w:tcPr>
          <w:p w14:paraId="1E0ACF05">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2.0</w:t>
            </w:r>
          </w:p>
        </w:tc>
        <w:tc>
          <w:tcPr>
            <w:tcW w:w="675" w:type="dxa"/>
            <w:vAlign w:val="center"/>
          </w:tcPr>
          <w:p w14:paraId="515B2FB1">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7D7318C7">
            <w:pPr>
              <w:jc w:val="center"/>
              <w:rPr>
                <w:rFonts w:ascii="Times New Roman" w:hAnsi="Times New Roman" w:eastAsia="宋体" w:cs="Times New Roman"/>
                <w:b/>
                <w:bCs/>
                <w:szCs w:val="21"/>
                <w:u w:val="single"/>
              </w:rPr>
            </w:pPr>
          </w:p>
        </w:tc>
        <w:tc>
          <w:tcPr>
            <w:tcW w:w="1204" w:type="dxa"/>
            <w:vMerge w:val="restart"/>
            <w:vAlign w:val="center"/>
          </w:tcPr>
          <w:p w14:paraId="4E0A48F4">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《固体废物鉴别标准 通则》(GB 34330 -2017)</w:t>
            </w:r>
          </w:p>
        </w:tc>
      </w:tr>
      <w:tr w14:paraId="3302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690" w:type="dxa"/>
            <w:vAlign w:val="center"/>
          </w:tcPr>
          <w:p w14:paraId="087C887D">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2</w:t>
            </w:r>
          </w:p>
        </w:tc>
        <w:tc>
          <w:tcPr>
            <w:tcW w:w="2995" w:type="dxa"/>
          </w:tcPr>
          <w:p w14:paraId="6E32CEE1">
            <w:pPr>
              <w:pStyle w:val="39"/>
              <w:jc w:val="center"/>
              <w:rPr>
                <w:rFonts w:ascii="Times New Roman" w:hAnsi="Times New Roman" w:cs="Times New Roman"/>
                <w:b/>
                <w:bCs/>
                <w:color w:val="auto"/>
                <w:kern w:val="2"/>
                <w:sz w:val="21"/>
                <w:szCs w:val="21"/>
                <w:u w:val="single"/>
              </w:rPr>
            </w:pPr>
            <w:r>
              <w:rPr>
                <w:rFonts w:hint="eastAsia" w:ascii="Times New Roman" w:hAnsi="Times New Roman" w:cs="Times New Roman"/>
                <w:b/>
                <w:bCs/>
                <w:color w:val="auto"/>
                <w:sz w:val="21"/>
                <w:szCs w:val="21"/>
                <w:u w:val="single"/>
              </w:rPr>
              <w:t>除尘器收尘</w:t>
            </w:r>
          </w:p>
        </w:tc>
        <w:tc>
          <w:tcPr>
            <w:tcW w:w="2750" w:type="dxa"/>
            <w:vAlign w:val="center"/>
          </w:tcPr>
          <w:p w14:paraId="07CC954F">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除尘器</w:t>
            </w:r>
          </w:p>
        </w:tc>
        <w:tc>
          <w:tcPr>
            <w:tcW w:w="1284" w:type="dxa"/>
            <w:vAlign w:val="center"/>
          </w:tcPr>
          <w:p w14:paraId="78C55469">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固态</w:t>
            </w:r>
          </w:p>
        </w:tc>
        <w:tc>
          <w:tcPr>
            <w:tcW w:w="2421" w:type="dxa"/>
            <w:vAlign w:val="center"/>
          </w:tcPr>
          <w:p w14:paraId="7B39C529">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木材、木屑</w:t>
            </w:r>
          </w:p>
        </w:tc>
        <w:tc>
          <w:tcPr>
            <w:tcW w:w="1209" w:type="dxa"/>
            <w:vAlign w:val="center"/>
          </w:tcPr>
          <w:p w14:paraId="3824E5FB">
            <w:pPr>
              <w:jc w:val="center"/>
              <w:rPr>
                <w:rFonts w:ascii="Times New Roman" w:hAnsi="Times New Roman" w:cs="Times New Roman"/>
                <w:b/>
                <w:bCs/>
                <w:szCs w:val="21"/>
                <w:u w:val="single"/>
              </w:rPr>
            </w:pPr>
            <w:r>
              <w:rPr>
                <w:rFonts w:hint="eastAsia" w:ascii="Times New Roman" w:hAnsi="Times New Roman" w:cs="Times New Roman"/>
                <w:b/>
                <w:bCs/>
                <w:szCs w:val="21"/>
                <w:u w:val="single"/>
              </w:rPr>
              <w:t>3.25</w:t>
            </w:r>
          </w:p>
        </w:tc>
        <w:tc>
          <w:tcPr>
            <w:tcW w:w="675" w:type="dxa"/>
            <w:vAlign w:val="center"/>
          </w:tcPr>
          <w:p w14:paraId="7A12CCFE">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7D91DE44">
            <w:pPr>
              <w:jc w:val="center"/>
              <w:rPr>
                <w:rFonts w:ascii="Times New Roman" w:hAnsi="Times New Roman" w:cs="Times New Roman"/>
                <w:b/>
                <w:bCs/>
                <w:szCs w:val="21"/>
                <w:u w:val="single"/>
              </w:rPr>
            </w:pPr>
          </w:p>
        </w:tc>
        <w:tc>
          <w:tcPr>
            <w:tcW w:w="1204" w:type="dxa"/>
            <w:vMerge w:val="continue"/>
            <w:vAlign w:val="center"/>
          </w:tcPr>
          <w:p w14:paraId="4481B6AD">
            <w:pPr>
              <w:jc w:val="center"/>
              <w:rPr>
                <w:rFonts w:ascii="Times New Roman" w:hAnsi="Times New Roman" w:cs="Times New Roman"/>
                <w:b/>
                <w:bCs/>
                <w:szCs w:val="21"/>
                <w:u w:val="single"/>
              </w:rPr>
            </w:pPr>
          </w:p>
        </w:tc>
      </w:tr>
      <w:tr w14:paraId="0EBC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690" w:type="dxa"/>
            <w:vAlign w:val="center"/>
          </w:tcPr>
          <w:p w14:paraId="76A2BED2">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3</w:t>
            </w:r>
          </w:p>
        </w:tc>
        <w:tc>
          <w:tcPr>
            <w:tcW w:w="2995" w:type="dxa"/>
          </w:tcPr>
          <w:p w14:paraId="3ACE5BF5">
            <w:pPr>
              <w:pStyle w:val="39"/>
              <w:jc w:val="center"/>
              <w:rPr>
                <w:rFonts w:ascii="Times New Roman" w:hAnsi="Times New Roman" w:cs="Times New Roman"/>
                <w:b/>
                <w:bCs/>
                <w:color w:val="auto"/>
                <w:kern w:val="2"/>
                <w:sz w:val="21"/>
                <w:szCs w:val="21"/>
                <w:u w:val="single"/>
              </w:rPr>
            </w:pPr>
            <w:r>
              <w:rPr>
                <w:rFonts w:hint="eastAsia" w:ascii="Times New Roman" w:hAnsi="Times New Roman" w:cs="Times New Roman"/>
                <w:b/>
                <w:bCs/>
                <w:color w:val="auto"/>
                <w:sz w:val="21"/>
                <w:szCs w:val="21"/>
                <w:u w:val="single"/>
              </w:rPr>
              <w:t>废包装材料</w:t>
            </w:r>
          </w:p>
        </w:tc>
        <w:tc>
          <w:tcPr>
            <w:tcW w:w="2750" w:type="dxa"/>
            <w:vAlign w:val="center"/>
          </w:tcPr>
          <w:p w14:paraId="0B115914">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原料包装、拆包</w:t>
            </w:r>
          </w:p>
        </w:tc>
        <w:tc>
          <w:tcPr>
            <w:tcW w:w="1284" w:type="dxa"/>
            <w:vAlign w:val="center"/>
          </w:tcPr>
          <w:p w14:paraId="15E4F5A0">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固态</w:t>
            </w:r>
          </w:p>
        </w:tc>
        <w:tc>
          <w:tcPr>
            <w:tcW w:w="2421" w:type="dxa"/>
            <w:vAlign w:val="center"/>
          </w:tcPr>
          <w:p w14:paraId="66BAA7D4">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塑料、纸</w:t>
            </w:r>
          </w:p>
        </w:tc>
        <w:tc>
          <w:tcPr>
            <w:tcW w:w="1209" w:type="dxa"/>
            <w:vAlign w:val="center"/>
          </w:tcPr>
          <w:p w14:paraId="4ADDCB13">
            <w:pPr>
              <w:jc w:val="center"/>
              <w:rPr>
                <w:rFonts w:ascii="Times New Roman" w:hAnsi="Times New Roman" w:cs="Times New Roman"/>
                <w:b/>
                <w:bCs/>
                <w:szCs w:val="21"/>
                <w:u w:val="single"/>
              </w:rPr>
            </w:pPr>
            <w:r>
              <w:rPr>
                <w:rFonts w:hint="eastAsia" w:ascii="Times New Roman" w:hAnsi="Times New Roman" w:cs="Times New Roman"/>
                <w:b/>
                <w:bCs/>
                <w:szCs w:val="21"/>
                <w:u w:val="single"/>
              </w:rPr>
              <w:t>0.3</w:t>
            </w:r>
          </w:p>
        </w:tc>
        <w:tc>
          <w:tcPr>
            <w:tcW w:w="675" w:type="dxa"/>
            <w:vAlign w:val="center"/>
          </w:tcPr>
          <w:p w14:paraId="53AC47ED">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370B8360">
            <w:pPr>
              <w:jc w:val="center"/>
              <w:rPr>
                <w:rFonts w:ascii="Times New Roman" w:hAnsi="Times New Roman" w:cs="Times New Roman"/>
                <w:b/>
                <w:bCs/>
                <w:szCs w:val="21"/>
                <w:u w:val="single"/>
              </w:rPr>
            </w:pPr>
          </w:p>
        </w:tc>
        <w:tc>
          <w:tcPr>
            <w:tcW w:w="1204" w:type="dxa"/>
            <w:vMerge w:val="continue"/>
            <w:vAlign w:val="center"/>
          </w:tcPr>
          <w:p w14:paraId="2AAD4077">
            <w:pPr>
              <w:jc w:val="center"/>
              <w:rPr>
                <w:rFonts w:ascii="Times New Roman" w:hAnsi="Times New Roman" w:cs="Times New Roman"/>
                <w:b/>
                <w:bCs/>
                <w:szCs w:val="21"/>
                <w:u w:val="single"/>
              </w:rPr>
            </w:pPr>
          </w:p>
        </w:tc>
      </w:tr>
      <w:tr w14:paraId="1D35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690" w:type="dxa"/>
            <w:vAlign w:val="center"/>
          </w:tcPr>
          <w:p w14:paraId="1492105D">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4</w:t>
            </w:r>
          </w:p>
        </w:tc>
        <w:tc>
          <w:tcPr>
            <w:tcW w:w="2995" w:type="dxa"/>
            <w:vAlign w:val="center"/>
          </w:tcPr>
          <w:p w14:paraId="21FB97F7">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废破损包装桶</w:t>
            </w:r>
          </w:p>
        </w:tc>
        <w:tc>
          <w:tcPr>
            <w:tcW w:w="2750" w:type="dxa"/>
            <w:vAlign w:val="center"/>
          </w:tcPr>
          <w:p w14:paraId="09FCE7C0">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原料区</w:t>
            </w:r>
          </w:p>
        </w:tc>
        <w:tc>
          <w:tcPr>
            <w:tcW w:w="1284" w:type="dxa"/>
            <w:vAlign w:val="center"/>
          </w:tcPr>
          <w:p w14:paraId="3523D863">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固态</w:t>
            </w:r>
          </w:p>
        </w:tc>
        <w:tc>
          <w:tcPr>
            <w:tcW w:w="2421" w:type="dxa"/>
            <w:vAlign w:val="center"/>
          </w:tcPr>
          <w:p w14:paraId="59778FAC">
            <w:pPr>
              <w:jc w:val="center"/>
              <w:rPr>
                <w:rFonts w:ascii="Times New Roman" w:hAnsi="Times New Roman" w:cs="Times New Roman"/>
                <w:b/>
                <w:bCs/>
                <w:szCs w:val="21"/>
                <w:u w:val="single"/>
              </w:rPr>
            </w:pPr>
            <w:r>
              <w:rPr>
                <w:rFonts w:hint="eastAsia" w:ascii="Times New Roman" w:hAnsi="Times New Roman" w:cs="Times New Roman"/>
                <w:b/>
                <w:bCs/>
                <w:szCs w:val="21"/>
                <w:u w:val="single"/>
              </w:rPr>
              <w:t>漆料、稀释剂、胶黏剂</w:t>
            </w:r>
          </w:p>
        </w:tc>
        <w:tc>
          <w:tcPr>
            <w:tcW w:w="1209" w:type="dxa"/>
            <w:vAlign w:val="center"/>
          </w:tcPr>
          <w:p w14:paraId="52598D78">
            <w:pPr>
              <w:jc w:val="center"/>
              <w:rPr>
                <w:rFonts w:ascii="Times New Roman" w:hAnsi="Times New Roman" w:cs="Times New Roman"/>
                <w:b/>
                <w:bCs/>
                <w:szCs w:val="21"/>
                <w:u w:val="single"/>
              </w:rPr>
            </w:pPr>
            <w:r>
              <w:rPr>
                <w:rFonts w:hint="eastAsia" w:ascii="Times New Roman" w:hAnsi="Times New Roman" w:cs="Times New Roman"/>
                <w:b/>
                <w:bCs/>
                <w:szCs w:val="21"/>
                <w:u w:val="single"/>
              </w:rPr>
              <w:t>1.0</w:t>
            </w:r>
          </w:p>
        </w:tc>
        <w:tc>
          <w:tcPr>
            <w:tcW w:w="675" w:type="dxa"/>
            <w:vAlign w:val="center"/>
          </w:tcPr>
          <w:p w14:paraId="45A8E34C">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108860E5">
            <w:pPr>
              <w:jc w:val="center"/>
              <w:rPr>
                <w:rFonts w:ascii="Times New Roman" w:hAnsi="Times New Roman" w:cs="Times New Roman"/>
                <w:b/>
                <w:bCs/>
                <w:szCs w:val="21"/>
                <w:u w:val="single"/>
              </w:rPr>
            </w:pPr>
          </w:p>
        </w:tc>
        <w:tc>
          <w:tcPr>
            <w:tcW w:w="1204" w:type="dxa"/>
            <w:vMerge w:val="continue"/>
            <w:vAlign w:val="center"/>
          </w:tcPr>
          <w:p w14:paraId="00F0D720">
            <w:pPr>
              <w:jc w:val="center"/>
              <w:rPr>
                <w:rFonts w:ascii="Times New Roman" w:hAnsi="Times New Roman" w:cs="Times New Roman"/>
                <w:b/>
                <w:bCs/>
                <w:szCs w:val="21"/>
                <w:u w:val="single"/>
              </w:rPr>
            </w:pPr>
          </w:p>
        </w:tc>
      </w:tr>
      <w:tr w14:paraId="0B21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690" w:type="dxa"/>
            <w:vAlign w:val="center"/>
          </w:tcPr>
          <w:p w14:paraId="54C74AF0">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5</w:t>
            </w:r>
          </w:p>
        </w:tc>
        <w:tc>
          <w:tcPr>
            <w:tcW w:w="2995" w:type="dxa"/>
            <w:vAlign w:val="center"/>
          </w:tcPr>
          <w:p w14:paraId="111CE9F6">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水帘漆渣</w:t>
            </w:r>
          </w:p>
        </w:tc>
        <w:tc>
          <w:tcPr>
            <w:tcW w:w="2750" w:type="dxa"/>
            <w:vAlign w:val="center"/>
          </w:tcPr>
          <w:p w14:paraId="6D10EB52">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喷漆</w:t>
            </w:r>
          </w:p>
        </w:tc>
        <w:tc>
          <w:tcPr>
            <w:tcW w:w="1284" w:type="dxa"/>
            <w:vAlign w:val="center"/>
          </w:tcPr>
          <w:p w14:paraId="53F11F03">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固态</w:t>
            </w:r>
          </w:p>
        </w:tc>
        <w:tc>
          <w:tcPr>
            <w:tcW w:w="2421" w:type="dxa"/>
          </w:tcPr>
          <w:p w14:paraId="65D60186">
            <w:pPr>
              <w:jc w:val="center"/>
              <w:rPr>
                <w:rFonts w:ascii="Times New Roman" w:hAnsi="Times New Roman" w:cs="Times New Roman"/>
                <w:b/>
                <w:bCs/>
                <w:szCs w:val="21"/>
                <w:u w:val="single"/>
              </w:rPr>
            </w:pPr>
            <w:r>
              <w:rPr>
                <w:rFonts w:hint="eastAsia" w:ascii="Times New Roman" w:hAnsi="Times New Roman" w:cs="Times New Roman"/>
                <w:b/>
                <w:bCs/>
                <w:szCs w:val="21"/>
                <w:u w:val="single"/>
              </w:rPr>
              <w:t>漆料</w:t>
            </w:r>
          </w:p>
        </w:tc>
        <w:tc>
          <w:tcPr>
            <w:tcW w:w="1209" w:type="dxa"/>
            <w:vAlign w:val="center"/>
          </w:tcPr>
          <w:p w14:paraId="46BF9168">
            <w:pPr>
              <w:jc w:val="center"/>
              <w:rPr>
                <w:rFonts w:ascii="Times New Roman" w:hAnsi="Times New Roman" w:cs="Times New Roman"/>
                <w:b/>
                <w:bCs/>
                <w:szCs w:val="21"/>
                <w:u w:val="single"/>
              </w:rPr>
            </w:pPr>
            <w:r>
              <w:rPr>
                <w:rFonts w:hint="eastAsia" w:ascii="Times New Roman" w:hAnsi="Times New Roman" w:cs="Times New Roman"/>
                <w:b/>
                <w:bCs/>
                <w:szCs w:val="21"/>
                <w:u w:val="single"/>
              </w:rPr>
              <w:t>3.15</w:t>
            </w:r>
          </w:p>
        </w:tc>
        <w:tc>
          <w:tcPr>
            <w:tcW w:w="675" w:type="dxa"/>
            <w:vAlign w:val="center"/>
          </w:tcPr>
          <w:p w14:paraId="30817731">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572FA170">
            <w:pPr>
              <w:jc w:val="center"/>
              <w:rPr>
                <w:rFonts w:ascii="Times New Roman" w:hAnsi="Times New Roman" w:cs="Times New Roman"/>
                <w:b/>
                <w:bCs/>
                <w:szCs w:val="21"/>
                <w:u w:val="single"/>
              </w:rPr>
            </w:pPr>
          </w:p>
        </w:tc>
        <w:tc>
          <w:tcPr>
            <w:tcW w:w="1204" w:type="dxa"/>
            <w:vMerge w:val="continue"/>
            <w:vAlign w:val="center"/>
          </w:tcPr>
          <w:p w14:paraId="3BC36EEC">
            <w:pPr>
              <w:jc w:val="center"/>
              <w:rPr>
                <w:rFonts w:ascii="Times New Roman" w:hAnsi="Times New Roman" w:cs="Times New Roman"/>
                <w:b/>
                <w:bCs/>
                <w:szCs w:val="21"/>
                <w:u w:val="single"/>
              </w:rPr>
            </w:pPr>
          </w:p>
        </w:tc>
      </w:tr>
      <w:tr w14:paraId="563B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690" w:type="dxa"/>
            <w:vAlign w:val="center"/>
          </w:tcPr>
          <w:p w14:paraId="41574642">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6</w:t>
            </w:r>
          </w:p>
        </w:tc>
        <w:tc>
          <w:tcPr>
            <w:tcW w:w="2995" w:type="dxa"/>
            <w:vAlign w:val="center"/>
          </w:tcPr>
          <w:p w14:paraId="4EC33BBE">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油磨漆渣</w:t>
            </w:r>
          </w:p>
        </w:tc>
        <w:tc>
          <w:tcPr>
            <w:tcW w:w="2750" w:type="dxa"/>
            <w:vAlign w:val="center"/>
          </w:tcPr>
          <w:p w14:paraId="5C24E530">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油磨</w:t>
            </w:r>
          </w:p>
        </w:tc>
        <w:tc>
          <w:tcPr>
            <w:tcW w:w="1284" w:type="dxa"/>
            <w:vAlign w:val="center"/>
          </w:tcPr>
          <w:p w14:paraId="0D144988">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固态</w:t>
            </w:r>
          </w:p>
        </w:tc>
        <w:tc>
          <w:tcPr>
            <w:tcW w:w="2421" w:type="dxa"/>
          </w:tcPr>
          <w:p w14:paraId="28B4FCCE">
            <w:pPr>
              <w:jc w:val="center"/>
              <w:rPr>
                <w:rFonts w:ascii="Times New Roman" w:hAnsi="Times New Roman" w:cs="Times New Roman"/>
                <w:b/>
                <w:bCs/>
                <w:szCs w:val="21"/>
                <w:u w:val="single"/>
              </w:rPr>
            </w:pPr>
            <w:r>
              <w:rPr>
                <w:rFonts w:hint="eastAsia" w:ascii="Times New Roman" w:hAnsi="Times New Roman" w:cs="Times New Roman"/>
                <w:b/>
                <w:bCs/>
                <w:szCs w:val="21"/>
                <w:u w:val="single"/>
              </w:rPr>
              <w:t>漆料</w:t>
            </w:r>
          </w:p>
        </w:tc>
        <w:tc>
          <w:tcPr>
            <w:tcW w:w="1209" w:type="dxa"/>
            <w:vAlign w:val="center"/>
          </w:tcPr>
          <w:p w14:paraId="16497D5C">
            <w:pPr>
              <w:jc w:val="center"/>
              <w:rPr>
                <w:rFonts w:ascii="Times New Roman" w:hAnsi="Times New Roman" w:cs="Times New Roman"/>
                <w:b/>
                <w:bCs/>
                <w:szCs w:val="21"/>
                <w:u w:val="single"/>
              </w:rPr>
            </w:pPr>
            <w:r>
              <w:rPr>
                <w:rFonts w:hint="eastAsia" w:ascii="Times New Roman" w:hAnsi="Times New Roman" w:cs="Times New Roman"/>
                <w:b/>
                <w:bCs/>
                <w:szCs w:val="21"/>
                <w:u w:val="single"/>
              </w:rPr>
              <w:t>1.519</w:t>
            </w:r>
          </w:p>
        </w:tc>
        <w:tc>
          <w:tcPr>
            <w:tcW w:w="675" w:type="dxa"/>
            <w:vAlign w:val="center"/>
          </w:tcPr>
          <w:p w14:paraId="3F6362EA">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5717C725">
            <w:pPr>
              <w:jc w:val="center"/>
              <w:rPr>
                <w:rFonts w:ascii="Times New Roman" w:hAnsi="Times New Roman" w:cs="Times New Roman"/>
                <w:b/>
                <w:bCs/>
                <w:szCs w:val="21"/>
                <w:u w:val="single"/>
              </w:rPr>
            </w:pPr>
          </w:p>
        </w:tc>
        <w:tc>
          <w:tcPr>
            <w:tcW w:w="1204" w:type="dxa"/>
            <w:vMerge w:val="continue"/>
            <w:vAlign w:val="center"/>
          </w:tcPr>
          <w:p w14:paraId="2D782DDD">
            <w:pPr>
              <w:jc w:val="center"/>
              <w:rPr>
                <w:rFonts w:ascii="Times New Roman" w:hAnsi="Times New Roman" w:cs="Times New Roman"/>
                <w:b/>
                <w:bCs/>
                <w:szCs w:val="21"/>
                <w:u w:val="single"/>
              </w:rPr>
            </w:pPr>
          </w:p>
        </w:tc>
      </w:tr>
      <w:tr w14:paraId="6F8D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690" w:type="dxa"/>
            <w:vAlign w:val="center"/>
          </w:tcPr>
          <w:p w14:paraId="2FFB150D">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7</w:t>
            </w:r>
          </w:p>
        </w:tc>
        <w:tc>
          <w:tcPr>
            <w:tcW w:w="2995" w:type="dxa"/>
            <w:vAlign w:val="center"/>
          </w:tcPr>
          <w:p w14:paraId="005C4695">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污水处理站絮状沉淀物</w:t>
            </w:r>
          </w:p>
        </w:tc>
        <w:tc>
          <w:tcPr>
            <w:tcW w:w="2750" w:type="dxa"/>
            <w:vAlign w:val="center"/>
          </w:tcPr>
          <w:p w14:paraId="7E502541">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污水处理站</w:t>
            </w:r>
          </w:p>
        </w:tc>
        <w:tc>
          <w:tcPr>
            <w:tcW w:w="1284" w:type="dxa"/>
            <w:vAlign w:val="center"/>
          </w:tcPr>
          <w:p w14:paraId="58000292">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固态</w:t>
            </w:r>
          </w:p>
        </w:tc>
        <w:tc>
          <w:tcPr>
            <w:tcW w:w="2421" w:type="dxa"/>
            <w:vAlign w:val="center"/>
          </w:tcPr>
          <w:p w14:paraId="686F03AA">
            <w:pPr>
              <w:jc w:val="center"/>
              <w:rPr>
                <w:rFonts w:ascii="Times New Roman" w:hAnsi="Times New Roman" w:cs="Times New Roman"/>
                <w:b/>
                <w:bCs/>
                <w:szCs w:val="21"/>
                <w:u w:val="single"/>
              </w:rPr>
            </w:pPr>
            <w:r>
              <w:rPr>
                <w:rFonts w:hint="eastAsia" w:ascii="Times New Roman" w:hAnsi="Times New Roman" w:cs="Times New Roman"/>
                <w:b/>
                <w:bCs/>
                <w:szCs w:val="21"/>
                <w:u w:val="single"/>
              </w:rPr>
              <w:t>漆料</w:t>
            </w:r>
          </w:p>
        </w:tc>
        <w:tc>
          <w:tcPr>
            <w:tcW w:w="1209" w:type="dxa"/>
            <w:vAlign w:val="center"/>
          </w:tcPr>
          <w:p w14:paraId="784475D0">
            <w:pPr>
              <w:jc w:val="center"/>
              <w:rPr>
                <w:rFonts w:ascii="Times New Roman" w:hAnsi="Times New Roman" w:cs="Times New Roman"/>
                <w:b/>
                <w:bCs/>
                <w:szCs w:val="21"/>
                <w:u w:val="single"/>
              </w:rPr>
            </w:pPr>
            <w:r>
              <w:rPr>
                <w:rFonts w:hint="eastAsia" w:ascii="Times New Roman" w:hAnsi="Times New Roman" w:cs="Times New Roman"/>
                <w:b/>
                <w:bCs/>
                <w:szCs w:val="21"/>
                <w:u w:val="single"/>
              </w:rPr>
              <w:t>0.1</w:t>
            </w:r>
          </w:p>
        </w:tc>
        <w:tc>
          <w:tcPr>
            <w:tcW w:w="675" w:type="dxa"/>
            <w:vAlign w:val="center"/>
          </w:tcPr>
          <w:p w14:paraId="2A831D8A">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5765470B">
            <w:pPr>
              <w:jc w:val="center"/>
              <w:rPr>
                <w:rFonts w:ascii="Times New Roman" w:hAnsi="Times New Roman" w:cs="Times New Roman"/>
                <w:b/>
                <w:bCs/>
                <w:szCs w:val="21"/>
                <w:u w:val="single"/>
              </w:rPr>
            </w:pPr>
          </w:p>
        </w:tc>
        <w:tc>
          <w:tcPr>
            <w:tcW w:w="1204" w:type="dxa"/>
            <w:vMerge w:val="continue"/>
            <w:vAlign w:val="center"/>
          </w:tcPr>
          <w:p w14:paraId="257ACB31">
            <w:pPr>
              <w:jc w:val="center"/>
              <w:rPr>
                <w:rFonts w:ascii="Times New Roman" w:hAnsi="Times New Roman" w:cs="Times New Roman"/>
                <w:b/>
                <w:bCs/>
                <w:szCs w:val="21"/>
                <w:u w:val="single"/>
              </w:rPr>
            </w:pPr>
          </w:p>
        </w:tc>
      </w:tr>
      <w:tr w14:paraId="7F9F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690" w:type="dxa"/>
            <w:vAlign w:val="center"/>
          </w:tcPr>
          <w:p w14:paraId="4A16996E">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8</w:t>
            </w:r>
          </w:p>
        </w:tc>
        <w:tc>
          <w:tcPr>
            <w:tcW w:w="2995" w:type="dxa"/>
            <w:vAlign w:val="center"/>
          </w:tcPr>
          <w:p w14:paraId="31E70B6D">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废活性炭</w:t>
            </w:r>
          </w:p>
        </w:tc>
        <w:tc>
          <w:tcPr>
            <w:tcW w:w="2750" w:type="dxa"/>
            <w:vAlign w:val="center"/>
          </w:tcPr>
          <w:p w14:paraId="55620700">
            <w:pPr>
              <w:jc w:val="center"/>
              <w:rPr>
                <w:rFonts w:ascii="Times New Roman" w:hAnsi="Times New Roman" w:cs="Times New Roman"/>
                <w:b/>
                <w:bCs/>
                <w:szCs w:val="21"/>
                <w:u w:val="single"/>
              </w:rPr>
            </w:pPr>
            <w:r>
              <w:rPr>
                <w:rFonts w:hint="eastAsia" w:ascii="Times New Roman" w:hAnsi="Times New Roman" w:cs="Times New Roman"/>
                <w:b/>
                <w:bCs/>
                <w:szCs w:val="21"/>
                <w:u w:val="single"/>
              </w:rPr>
              <w:t>废气治理设施</w:t>
            </w:r>
          </w:p>
        </w:tc>
        <w:tc>
          <w:tcPr>
            <w:tcW w:w="1284" w:type="dxa"/>
            <w:vAlign w:val="center"/>
          </w:tcPr>
          <w:p w14:paraId="026DD12B">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固态</w:t>
            </w:r>
          </w:p>
        </w:tc>
        <w:tc>
          <w:tcPr>
            <w:tcW w:w="2421" w:type="dxa"/>
            <w:vAlign w:val="center"/>
          </w:tcPr>
          <w:p w14:paraId="1F6D14FA">
            <w:pPr>
              <w:jc w:val="center"/>
              <w:rPr>
                <w:rFonts w:ascii="Times New Roman" w:hAnsi="Times New Roman" w:cs="Times New Roman"/>
                <w:b/>
                <w:bCs/>
                <w:szCs w:val="21"/>
                <w:u w:val="single"/>
              </w:rPr>
            </w:pPr>
            <w:r>
              <w:rPr>
                <w:rFonts w:hint="eastAsia" w:ascii="Times New Roman" w:hAnsi="Times New Roman" w:cs="Times New Roman"/>
                <w:b/>
                <w:bCs/>
                <w:szCs w:val="21"/>
                <w:u w:val="single"/>
              </w:rPr>
              <w:t>有机物、漆料</w:t>
            </w:r>
          </w:p>
        </w:tc>
        <w:tc>
          <w:tcPr>
            <w:tcW w:w="1209" w:type="dxa"/>
            <w:vAlign w:val="center"/>
          </w:tcPr>
          <w:p w14:paraId="77BEA8E6">
            <w:pPr>
              <w:jc w:val="center"/>
              <w:rPr>
                <w:rFonts w:ascii="Times New Roman" w:hAnsi="Times New Roman" w:cs="Times New Roman"/>
                <w:b/>
                <w:bCs/>
                <w:szCs w:val="21"/>
                <w:u w:val="single"/>
              </w:rPr>
            </w:pPr>
            <w:r>
              <w:rPr>
                <w:rFonts w:hint="eastAsia" w:ascii="Times New Roman" w:hAnsi="Times New Roman" w:cs="Times New Roman"/>
                <w:b/>
                <w:bCs/>
                <w:szCs w:val="21"/>
                <w:u w:val="single"/>
              </w:rPr>
              <w:t>2</w:t>
            </w:r>
          </w:p>
        </w:tc>
        <w:tc>
          <w:tcPr>
            <w:tcW w:w="675" w:type="dxa"/>
            <w:vAlign w:val="center"/>
          </w:tcPr>
          <w:p w14:paraId="4EFB983D">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22A2C62A">
            <w:pPr>
              <w:jc w:val="center"/>
              <w:rPr>
                <w:rFonts w:ascii="Times New Roman" w:hAnsi="Times New Roman" w:cs="Times New Roman"/>
                <w:b/>
                <w:bCs/>
                <w:szCs w:val="21"/>
                <w:u w:val="single"/>
              </w:rPr>
            </w:pPr>
          </w:p>
        </w:tc>
        <w:tc>
          <w:tcPr>
            <w:tcW w:w="1204" w:type="dxa"/>
            <w:vMerge w:val="continue"/>
            <w:vAlign w:val="center"/>
          </w:tcPr>
          <w:p w14:paraId="1140C341">
            <w:pPr>
              <w:jc w:val="center"/>
              <w:rPr>
                <w:rFonts w:ascii="Times New Roman" w:hAnsi="Times New Roman" w:cs="Times New Roman"/>
                <w:b/>
                <w:bCs/>
                <w:szCs w:val="21"/>
                <w:u w:val="single"/>
              </w:rPr>
            </w:pPr>
          </w:p>
        </w:tc>
      </w:tr>
      <w:tr w14:paraId="4149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690" w:type="dxa"/>
            <w:vAlign w:val="center"/>
          </w:tcPr>
          <w:p w14:paraId="183531B3">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9</w:t>
            </w:r>
          </w:p>
        </w:tc>
        <w:tc>
          <w:tcPr>
            <w:tcW w:w="2995" w:type="dxa"/>
            <w:vAlign w:val="center"/>
          </w:tcPr>
          <w:p w14:paraId="0778AA8C">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喷枪清洗废水</w:t>
            </w:r>
          </w:p>
        </w:tc>
        <w:tc>
          <w:tcPr>
            <w:tcW w:w="2750" w:type="dxa"/>
            <w:vAlign w:val="center"/>
          </w:tcPr>
          <w:p w14:paraId="0E90B9EC">
            <w:pPr>
              <w:jc w:val="center"/>
              <w:rPr>
                <w:rFonts w:ascii="Times New Roman" w:hAnsi="Times New Roman" w:cs="Times New Roman"/>
                <w:b/>
                <w:bCs/>
                <w:szCs w:val="21"/>
                <w:u w:val="single"/>
              </w:rPr>
            </w:pPr>
            <w:r>
              <w:rPr>
                <w:rFonts w:hint="eastAsia" w:ascii="Times New Roman" w:hAnsi="Times New Roman" w:cs="Times New Roman"/>
                <w:b/>
                <w:bCs/>
                <w:szCs w:val="21"/>
                <w:u w:val="single"/>
              </w:rPr>
              <w:t>喷枪清洗</w:t>
            </w:r>
          </w:p>
        </w:tc>
        <w:tc>
          <w:tcPr>
            <w:tcW w:w="1284" w:type="dxa"/>
            <w:vAlign w:val="center"/>
          </w:tcPr>
          <w:p w14:paraId="40404ECF">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液态</w:t>
            </w:r>
          </w:p>
        </w:tc>
        <w:tc>
          <w:tcPr>
            <w:tcW w:w="2421" w:type="dxa"/>
            <w:vAlign w:val="center"/>
          </w:tcPr>
          <w:p w14:paraId="4165FF32">
            <w:pPr>
              <w:jc w:val="center"/>
              <w:rPr>
                <w:rFonts w:ascii="Times New Roman" w:hAnsi="Times New Roman" w:cs="Times New Roman"/>
                <w:b/>
                <w:bCs/>
                <w:szCs w:val="21"/>
                <w:u w:val="single"/>
              </w:rPr>
            </w:pPr>
            <w:r>
              <w:rPr>
                <w:rFonts w:hint="eastAsia" w:ascii="Times New Roman" w:hAnsi="Times New Roman" w:cs="Times New Roman"/>
                <w:b/>
                <w:bCs/>
                <w:szCs w:val="21"/>
                <w:u w:val="single"/>
              </w:rPr>
              <w:t>漆料</w:t>
            </w:r>
          </w:p>
        </w:tc>
        <w:tc>
          <w:tcPr>
            <w:tcW w:w="1209" w:type="dxa"/>
            <w:vAlign w:val="center"/>
          </w:tcPr>
          <w:p w14:paraId="4D787E5F">
            <w:pPr>
              <w:jc w:val="center"/>
              <w:rPr>
                <w:rFonts w:ascii="Times New Roman" w:hAnsi="Times New Roman" w:cs="Times New Roman"/>
                <w:b/>
                <w:bCs/>
                <w:szCs w:val="21"/>
                <w:u w:val="single"/>
              </w:rPr>
            </w:pPr>
            <w:r>
              <w:rPr>
                <w:rFonts w:hint="eastAsia" w:ascii="Times New Roman" w:hAnsi="Times New Roman" w:cs="Times New Roman"/>
                <w:b/>
                <w:bCs/>
                <w:szCs w:val="21"/>
                <w:u w:val="single"/>
              </w:rPr>
              <w:t>0.2</w:t>
            </w:r>
          </w:p>
        </w:tc>
        <w:tc>
          <w:tcPr>
            <w:tcW w:w="675" w:type="dxa"/>
            <w:vAlign w:val="center"/>
          </w:tcPr>
          <w:p w14:paraId="25A60AD9">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1CEC907A">
            <w:pPr>
              <w:jc w:val="center"/>
              <w:rPr>
                <w:rFonts w:ascii="Times New Roman" w:hAnsi="Times New Roman" w:cs="Times New Roman"/>
                <w:b/>
                <w:bCs/>
                <w:szCs w:val="21"/>
                <w:u w:val="single"/>
              </w:rPr>
            </w:pPr>
          </w:p>
        </w:tc>
        <w:tc>
          <w:tcPr>
            <w:tcW w:w="1204" w:type="dxa"/>
            <w:vMerge w:val="continue"/>
            <w:vAlign w:val="center"/>
          </w:tcPr>
          <w:p w14:paraId="3C4E8B7F">
            <w:pPr>
              <w:jc w:val="center"/>
              <w:rPr>
                <w:rFonts w:ascii="Times New Roman" w:hAnsi="Times New Roman" w:cs="Times New Roman"/>
                <w:b/>
                <w:bCs/>
                <w:szCs w:val="21"/>
                <w:u w:val="single"/>
              </w:rPr>
            </w:pPr>
          </w:p>
        </w:tc>
      </w:tr>
      <w:tr w14:paraId="53E1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690" w:type="dxa"/>
            <w:vAlign w:val="center"/>
          </w:tcPr>
          <w:p w14:paraId="724E3ADE">
            <w:pPr>
              <w:jc w:val="center"/>
              <w:rPr>
                <w:rFonts w:ascii="Times New Roman" w:hAnsi="Times New Roman" w:cs="Times New Roman"/>
                <w:b/>
                <w:bCs/>
                <w:szCs w:val="21"/>
                <w:u w:val="single"/>
              </w:rPr>
            </w:pPr>
            <w:r>
              <w:rPr>
                <w:rFonts w:hint="eastAsia" w:ascii="Times New Roman" w:hAnsi="Times New Roman" w:cs="Times New Roman"/>
                <w:b/>
                <w:bCs/>
                <w:szCs w:val="21"/>
                <w:u w:val="single"/>
              </w:rPr>
              <w:t>10</w:t>
            </w:r>
          </w:p>
        </w:tc>
        <w:tc>
          <w:tcPr>
            <w:tcW w:w="2995" w:type="dxa"/>
            <w:vAlign w:val="center"/>
          </w:tcPr>
          <w:p w14:paraId="6C0E1069">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废催化剂</w:t>
            </w:r>
          </w:p>
        </w:tc>
        <w:tc>
          <w:tcPr>
            <w:tcW w:w="2750" w:type="dxa"/>
            <w:vAlign w:val="center"/>
          </w:tcPr>
          <w:p w14:paraId="4729FFA7">
            <w:pPr>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废气治理设施</w:t>
            </w:r>
          </w:p>
        </w:tc>
        <w:tc>
          <w:tcPr>
            <w:tcW w:w="1284" w:type="dxa"/>
            <w:vAlign w:val="center"/>
          </w:tcPr>
          <w:p w14:paraId="5F74F68E">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固态</w:t>
            </w:r>
          </w:p>
        </w:tc>
        <w:tc>
          <w:tcPr>
            <w:tcW w:w="2421" w:type="dxa"/>
            <w:vAlign w:val="center"/>
          </w:tcPr>
          <w:p w14:paraId="19F092DA">
            <w:pPr>
              <w:jc w:val="center"/>
              <w:rPr>
                <w:rFonts w:ascii="Times New Roman" w:hAnsi="Times New Roman" w:cs="Times New Roman"/>
                <w:b/>
                <w:bCs/>
                <w:szCs w:val="21"/>
                <w:u w:val="single"/>
              </w:rPr>
            </w:pPr>
            <w:r>
              <w:rPr>
                <w:rFonts w:ascii="Times New Roman" w:hAnsi="Times New Roman" w:cs="Times New Roman"/>
                <w:b/>
                <w:bCs/>
                <w:szCs w:val="21"/>
                <w:u w:val="single"/>
              </w:rPr>
              <w:t>陶瓷、Pt、Pd</w:t>
            </w:r>
          </w:p>
        </w:tc>
        <w:tc>
          <w:tcPr>
            <w:tcW w:w="1209" w:type="dxa"/>
            <w:vAlign w:val="center"/>
          </w:tcPr>
          <w:p w14:paraId="01B452CA">
            <w:pPr>
              <w:jc w:val="center"/>
              <w:rPr>
                <w:rFonts w:ascii="Times New Roman" w:hAnsi="Times New Roman" w:cs="Times New Roman"/>
                <w:b/>
                <w:bCs/>
                <w:szCs w:val="21"/>
                <w:u w:val="single"/>
              </w:rPr>
            </w:pPr>
            <w:r>
              <w:rPr>
                <w:rFonts w:hint="eastAsia" w:ascii="Times New Roman" w:hAnsi="Times New Roman" w:cs="Times New Roman"/>
                <w:b/>
                <w:bCs/>
                <w:szCs w:val="21"/>
                <w:u w:val="single"/>
              </w:rPr>
              <w:t>0.33</w:t>
            </w:r>
          </w:p>
        </w:tc>
        <w:tc>
          <w:tcPr>
            <w:tcW w:w="675" w:type="dxa"/>
            <w:vAlign w:val="center"/>
          </w:tcPr>
          <w:p w14:paraId="3D0BD69D">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0D8AB379">
            <w:pPr>
              <w:jc w:val="center"/>
              <w:rPr>
                <w:rFonts w:ascii="Times New Roman" w:hAnsi="Times New Roman" w:cs="Times New Roman"/>
                <w:b/>
                <w:bCs/>
                <w:szCs w:val="21"/>
                <w:u w:val="single"/>
              </w:rPr>
            </w:pPr>
          </w:p>
        </w:tc>
        <w:tc>
          <w:tcPr>
            <w:tcW w:w="1204" w:type="dxa"/>
            <w:vMerge w:val="continue"/>
            <w:vAlign w:val="center"/>
          </w:tcPr>
          <w:p w14:paraId="3C83AC17">
            <w:pPr>
              <w:jc w:val="center"/>
              <w:rPr>
                <w:rFonts w:ascii="Times New Roman" w:hAnsi="Times New Roman" w:cs="Times New Roman"/>
                <w:b/>
                <w:bCs/>
                <w:szCs w:val="21"/>
                <w:u w:val="single"/>
              </w:rPr>
            </w:pPr>
          </w:p>
        </w:tc>
      </w:tr>
      <w:tr w14:paraId="4817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690" w:type="dxa"/>
            <w:vAlign w:val="center"/>
          </w:tcPr>
          <w:p w14:paraId="35C8B0CA">
            <w:pPr>
              <w:jc w:val="center"/>
              <w:rPr>
                <w:rFonts w:ascii="Times New Roman" w:hAnsi="Times New Roman" w:cs="Times New Roman"/>
                <w:b/>
                <w:bCs/>
                <w:szCs w:val="21"/>
                <w:u w:val="single"/>
              </w:rPr>
            </w:pPr>
            <w:r>
              <w:rPr>
                <w:rFonts w:hint="eastAsia" w:ascii="Times New Roman" w:hAnsi="Times New Roman" w:cs="Times New Roman"/>
                <w:b/>
                <w:bCs/>
                <w:szCs w:val="21"/>
                <w:u w:val="single"/>
              </w:rPr>
              <w:t>11</w:t>
            </w:r>
          </w:p>
        </w:tc>
        <w:tc>
          <w:tcPr>
            <w:tcW w:w="2995" w:type="dxa"/>
            <w:vAlign w:val="center"/>
          </w:tcPr>
          <w:p w14:paraId="515E848C">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废机油</w:t>
            </w:r>
          </w:p>
        </w:tc>
        <w:tc>
          <w:tcPr>
            <w:tcW w:w="2750" w:type="dxa"/>
            <w:vAlign w:val="center"/>
          </w:tcPr>
          <w:p w14:paraId="0533C408">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设备维修</w:t>
            </w:r>
          </w:p>
        </w:tc>
        <w:tc>
          <w:tcPr>
            <w:tcW w:w="1284" w:type="dxa"/>
            <w:vAlign w:val="center"/>
          </w:tcPr>
          <w:p w14:paraId="46A3B33B">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液态</w:t>
            </w:r>
          </w:p>
        </w:tc>
        <w:tc>
          <w:tcPr>
            <w:tcW w:w="2421" w:type="dxa"/>
            <w:vAlign w:val="center"/>
          </w:tcPr>
          <w:p w14:paraId="1C78F1C3">
            <w:pPr>
              <w:jc w:val="center"/>
              <w:rPr>
                <w:rFonts w:ascii="Times New Roman" w:hAnsi="Times New Roman" w:cs="Times New Roman"/>
                <w:b/>
                <w:bCs/>
                <w:szCs w:val="21"/>
                <w:u w:val="single"/>
              </w:rPr>
            </w:pPr>
            <w:r>
              <w:rPr>
                <w:rFonts w:hint="eastAsia" w:ascii="Times New Roman" w:hAnsi="Times New Roman" w:cs="Times New Roman"/>
                <w:b/>
                <w:bCs/>
                <w:szCs w:val="21"/>
                <w:u w:val="single"/>
              </w:rPr>
              <w:t>油类物质</w:t>
            </w:r>
          </w:p>
        </w:tc>
        <w:tc>
          <w:tcPr>
            <w:tcW w:w="1209" w:type="dxa"/>
            <w:vAlign w:val="center"/>
          </w:tcPr>
          <w:p w14:paraId="2DE913B3">
            <w:pPr>
              <w:jc w:val="center"/>
              <w:rPr>
                <w:rFonts w:ascii="Times New Roman" w:hAnsi="Times New Roman" w:cs="Times New Roman"/>
                <w:b/>
                <w:bCs/>
                <w:szCs w:val="21"/>
                <w:u w:val="single"/>
              </w:rPr>
            </w:pPr>
            <w:r>
              <w:rPr>
                <w:rFonts w:hint="eastAsia" w:ascii="Times New Roman" w:hAnsi="Times New Roman" w:cs="Times New Roman"/>
                <w:b/>
                <w:bCs/>
                <w:szCs w:val="21"/>
                <w:u w:val="single"/>
              </w:rPr>
              <w:t>0.1</w:t>
            </w:r>
          </w:p>
        </w:tc>
        <w:tc>
          <w:tcPr>
            <w:tcW w:w="675" w:type="dxa"/>
            <w:vAlign w:val="center"/>
          </w:tcPr>
          <w:p w14:paraId="69671C3E">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682344BA">
            <w:pPr>
              <w:jc w:val="center"/>
              <w:rPr>
                <w:rFonts w:ascii="Times New Roman" w:hAnsi="Times New Roman" w:cs="Times New Roman"/>
                <w:b/>
                <w:bCs/>
                <w:szCs w:val="21"/>
                <w:u w:val="single"/>
              </w:rPr>
            </w:pPr>
          </w:p>
        </w:tc>
        <w:tc>
          <w:tcPr>
            <w:tcW w:w="1204" w:type="dxa"/>
            <w:vMerge w:val="continue"/>
            <w:vAlign w:val="center"/>
          </w:tcPr>
          <w:p w14:paraId="3C5C2AE6">
            <w:pPr>
              <w:jc w:val="center"/>
              <w:rPr>
                <w:rFonts w:ascii="Times New Roman" w:hAnsi="Times New Roman" w:cs="Times New Roman"/>
                <w:b/>
                <w:bCs/>
                <w:szCs w:val="21"/>
                <w:u w:val="single"/>
              </w:rPr>
            </w:pPr>
          </w:p>
        </w:tc>
      </w:tr>
      <w:tr w14:paraId="5F92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Align w:val="center"/>
          </w:tcPr>
          <w:p w14:paraId="106ABFB1">
            <w:pPr>
              <w:jc w:val="center"/>
              <w:rPr>
                <w:rFonts w:ascii="Times New Roman" w:hAnsi="Times New Roman" w:cs="Times New Roman"/>
                <w:b/>
                <w:bCs/>
                <w:szCs w:val="21"/>
                <w:u w:val="single"/>
              </w:rPr>
            </w:pPr>
            <w:r>
              <w:rPr>
                <w:rFonts w:hint="eastAsia" w:ascii="Times New Roman" w:hAnsi="Times New Roman" w:cs="Times New Roman"/>
                <w:b/>
                <w:bCs/>
                <w:szCs w:val="21"/>
                <w:u w:val="single"/>
              </w:rPr>
              <w:t>12</w:t>
            </w:r>
          </w:p>
        </w:tc>
        <w:tc>
          <w:tcPr>
            <w:tcW w:w="2995" w:type="dxa"/>
            <w:vAlign w:val="center"/>
          </w:tcPr>
          <w:p w14:paraId="7060D714">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废过滤棉（含漆渣）</w:t>
            </w:r>
          </w:p>
        </w:tc>
        <w:tc>
          <w:tcPr>
            <w:tcW w:w="2750" w:type="dxa"/>
            <w:vAlign w:val="center"/>
          </w:tcPr>
          <w:p w14:paraId="16D501A4">
            <w:pPr>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废气治理设施</w:t>
            </w:r>
          </w:p>
        </w:tc>
        <w:tc>
          <w:tcPr>
            <w:tcW w:w="1284" w:type="dxa"/>
            <w:vAlign w:val="center"/>
          </w:tcPr>
          <w:p w14:paraId="4B1FBE3B">
            <w:pPr>
              <w:jc w:val="center"/>
              <w:rPr>
                <w:rFonts w:ascii="Times New Roman" w:hAnsi="Times New Roman" w:cs="Times New Roman"/>
                <w:b/>
                <w:bCs/>
                <w:szCs w:val="21"/>
                <w:u w:val="single"/>
              </w:rPr>
            </w:pPr>
            <w:r>
              <w:rPr>
                <w:rFonts w:hint="eastAsia" w:ascii="Times New Roman" w:hAnsi="Times New Roman" w:eastAsia="宋体" w:cs="Times New Roman"/>
                <w:b/>
                <w:bCs/>
                <w:szCs w:val="21"/>
                <w:u w:val="single"/>
              </w:rPr>
              <w:t>固态</w:t>
            </w:r>
          </w:p>
        </w:tc>
        <w:tc>
          <w:tcPr>
            <w:tcW w:w="2421" w:type="dxa"/>
            <w:vAlign w:val="center"/>
          </w:tcPr>
          <w:p w14:paraId="0AB22260">
            <w:pPr>
              <w:jc w:val="center"/>
              <w:rPr>
                <w:rFonts w:ascii="Times New Roman" w:hAnsi="Times New Roman" w:cs="Times New Roman"/>
                <w:b/>
                <w:bCs/>
                <w:szCs w:val="21"/>
                <w:u w:val="single"/>
              </w:rPr>
            </w:pPr>
            <w:r>
              <w:rPr>
                <w:rFonts w:hint="eastAsia" w:ascii="Times New Roman" w:hAnsi="Times New Roman" w:cs="Times New Roman"/>
                <w:b/>
                <w:bCs/>
                <w:szCs w:val="21"/>
                <w:u w:val="single"/>
              </w:rPr>
              <w:t>漆料</w:t>
            </w:r>
          </w:p>
        </w:tc>
        <w:tc>
          <w:tcPr>
            <w:tcW w:w="1209" w:type="dxa"/>
            <w:vAlign w:val="center"/>
          </w:tcPr>
          <w:p w14:paraId="2098B30E">
            <w:pPr>
              <w:jc w:val="center"/>
              <w:rPr>
                <w:rFonts w:ascii="Times New Roman" w:hAnsi="Times New Roman" w:cs="Times New Roman"/>
                <w:b/>
                <w:bCs/>
                <w:szCs w:val="21"/>
                <w:u w:val="single"/>
              </w:rPr>
            </w:pPr>
            <w:r>
              <w:rPr>
                <w:rFonts w:hint="eastAsia" w:ascii="Times New Roman" w:hAnsi="Times New Roman" w:cs="Times New Roman"/>
                <w:b/>
                <w:bCs/>
                <w:szCs w:val="21"/>
                <w:u w:val="single"/>
              </w:rPr>
              <w:t>0.5</w:t>
            </w:r>
          </w:p>
        </w:tc>
        <w:tc>
          <w:tcPr>
            <w:tcW w:w="675" w:type="dxa"/>
            <w:vAlign w:val="center"/>
          </w:tcPr>
          <w:p w14:paraId="46940A60">
            <w:pPr>
              <w:jc w:val="center"/>
              <w:rPr>
                <w:rFonts w:ascii="Times New Roman" w:hAnsi="Times New Roman" w:cs="Times New Roman"/>
                <w:b/>
                <w:bCs/>
                <w:szCs w:val="21"/>
                <w:u w:val="single"/>
              </w:rPr>
            </w:pPr>
            <w:r>
              <w:rPr>
                <w:rFonts w:ascii="Times New Roman" w:hAnsi="Times New Roman" w:eastAsia="宋体" w:cs="Times New Roman"/>
                <w:b/>
                <w:bCs/>
                <w:szCs w:val="21"/>
                <w:u w:val="single"/>
              </w:rPr>
              <w:t>√</w:t>
            </w:r>
          </w:p>
        </w:tc>
        <w:tc>
          <w:tcPr>
            <w:tcW w:w="946" w:type="dxa"/>
            <w:vAlign w:val="center"/>
          </w:tcPr>
          <w:p w14:paraId="667EBCFE">
            <w:pPr>
              <w:jc w:val="center"/>
              <w:rPr>
                <w:rFonts w:ascii="Times New Roman" w:hAnsi="Times New Roman" w:cs="Times New Roman"/>
                <w:b/>
                <w:bCs/>
                <w:szCs w:val="21"/>
                <w:u w:val="single"/>
              </w:rPr>
            </w:pPr>
          </w:p>
        </w:tc>
        <w:tc>
          <w:tcPr>
            <w:tcW w:w="1204" w:type="dxa"/>
            <w:vMerge w:val="continue"/>
            <w:vAlign w:val="center"/>
          </w:tcPr>
          <w:p w14:paraId="79FE75A2">
            <w:pPr>
              <w:jc w:val="center"/>
              <w:rPr>
                <w:rFonts w:ascii="Times New Roman" w:hAnsi="Times New Roman" w:cs="Times New Roman"/>
                <w:b/>
                <w:bCs/>
                <w:szCs w:val="21"/>
                <w:u w:val="single"/>
              </w:rPr>
            </w:pPr>
          </w:p>
        </w:tc>
      </w:tr>
    </w:tbl>
    <w:p w14:paraId="28A84B3F">
      <w:pPr>
        <w:pStyle w:val="17"/>
        <w:numPr>
          <w:ilvl w:val="0"/>
          <w:numId w:val="40"/>
        </w:numPr>
        <w:jc w:val="center"/>
        <w:rPr>
          <w:rFonts w:ascii="Times New Roman" w:hAnsi="Times New Roman" w:eastAsia="宋体" w:cs="Times New Roman"/>
          <w:b/>
          <w:bCs/>
          <w:szCs w:val="21"/>
        </w:rPr>
      </w:pPr>
      <w:r>
        <w:rPr>
          <w:rFonts w:hint="eastAsia" w:ascii="Times New Roman" w:hAnsi="Times New Roman" w:cs="Times New Roman"/>
          <w:b/>
          <w:bCs/>
        </w:rPr>
        <w:t xml:space="preserve"> </w:t>
      </w:r>
      <w:r>
        <w:rPr>
          <w:rFonts w:ascii="Times New Roman" w:hAnsi="Times New Roman" w:eastAsia="宋体" w:cs="Times New Roman"/>
          <w:b/>
          <w:bCs/>
          <w:szCs w:val="21"/>
        </w:rPr>
        <w:t>项目危险废物判别一览表</w:t>
      </w:r>
    </w:p>
    <w:tbl>
      <w:tblPr>
        <w:tblStyle w:val="30"/>
        <w:tblpPr w:leftFromText="180" w:rightFromText="180" w:vertAnchor="text" w:tblpY="1"/>
        <w:tblOverlap w:val="never"/>
        <w:tblW w:w="141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345"/>
        <w:gridCol w:w="1057"/>
        <w:gridCol w:w="1991"/>
        <w:gridCol w:w="724"/>
        <w:gridCol w:w="1859"/>
        <w:gridCol w:w="1245"/>
        <w:gridCol w:w="1006"/>
        <w:gridCol w:w="846"/>
        <w:gridCol w:w="1262"/>
        <w:gridCol w:w="1204"/>
      </w:tblGrid>
      <w:tr w14:paraId="001D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650" w:type="dxa"/>
            <w:tcBorders>
              <w:top w:val="single" w:color="auto" w:sz="4" w:space="0"/>
              <w:left w:val="single" w:color="auto" w:sz="4" w:space="0"/>
              <w:bottom w:val="single" w:color="auto" w:sz="4" w:space="0"/>
              <w:right w:val="single" w:color="auto" w:sz="4" w:space="0"/>
            </w:tcBorders>
            <w:vAlign w:val="center"/>
          </w:tcPr>
          <w:p w14:paraId="7D86DFAC">
            <w:pPr>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2345" w:type="dxa"/>
            <w:tcBorders>
              <w:top w:val="single" w:color="auto" w:sz="4" w:space="0"/>
              <w:left w:val="single" w:color="auto" w:sz="4" w:space="0"/>
              <w:bottom w:val="single" w:color="auto" w:sz="4" w:space="0"/>
              <w:right w:val="single" w:color="auto" w:sz="4" w:space="0"/>
            </w:tcBorders>
            <w:vAlign w:val="center"/>
          </w:tcPr>
          <w:p w14:paraId="342946F8">
            <w:pPr>
              <w:jc w:val="center"/>
              <w:rPr>
                <w:rFonts w:ascii="Times New Roman" w:hAnsi="Times New Roman" w:eastAsia="宋体" w:cs="Times New Roman"/>
                <w:szCs w:val="21"/>
              </w:rPr>
            </w:pPr>
            <w:r>
              <w:rPr>
                <w:rFonts w:ascii="Times New Roman" w:hAnsi="Times New Roman" w:eastAsia="宋体" w:cs="Times New Roman"/>
                <w:szCs w:val="21"/>
              </w:rPr>
              <w:t>固废名称</w:t>
            </w:r>
          </w:p>
        </w:tc>
        <w:tc>
          <w:tcPr>
            <w:tcW w:w="1057" w:type="dxa"/>
            <w:tcBorders>
              <w:top w:val="single" w:color="auto" w:sz="4" w:space="0"/>
              <w:left w:val="single" w:color="auto" w:sz="4" w:space="0"/>
              <w:bottom w:val="single" w:color="auto" w:sz="4" w:space="0"/>
              <w:right w:val="single" w:color="auto" w:sz="4" w:space="0"/>
            </w:tcBorders>
            <w:vAlign w:val="center"/>
          </w:tcPr>
          <w:p w14:paraId="2E418793">
            <w:pPr>
              <w:jc w:val="center"/>
              <w:rPr>
                <w:rFonts w:ascii="Times New Roman" w:hAnsi="Times New Roman" w:eastAsia="宋体" w:cs="Times New Roman"/>
                <w:szCs w:val="21"/>
              </w:rPr>
            </w:pPr>
            <w:r>
              <w:rPr>
                <w:rFonts w:ascii="Times New Roman" w:hAnsi="Times New Roman" w:eastAsia="宋体" w:cs="Times New Roman"/>
                <w:szCs w:val="21"/>
              </w:rPr>
              <w:t>属性</w:t>
            </w:r>
          </w:p>
        </w:tc>
        <w:tc>
          <w:tcPr>
            <w:tcW w:w="1991" w:type="dxa"/>
            <w:tcBorders>
              <w:top w:val="single" w:color="auto" w:sz="4" w:space="0"/>
              <w:left w:val="single" w:color="auto" w:sz="4" w:space="0"/>
              <w:bottom w:val="single" w:color="auto" w:sz="4" w:space="0"/>
              <w:right w:val="single" w:color="auto" w:sz="4" w:space="0"/>
            </w:tcBorders>
            <w:vAlign w:val="center"/>
          </w:tcPr>
          <w:p w14:paraId="24B693A9">
            <w:pPr>
              <w:jc w:val="center"/>
              <w:rPr>
                <w:rFonts w:ascii="Times New Roman" w:hAnsi="Times New Roman" w:eastAsia="宋体" w:cs="Times New Roman"/>
                <w:szCs w:val="21"/>
              </w:rPr>
            </w:pPr>
            <w:r>
              <w:rPr>
                <w:rFonts w:ascii="Times New Roman" w:hAnsi="Times New Roman" w:eastAsia="宋体" w:cs="Times New Roman"/>
                <w:szCs w:val="21"/>
              </w:rPr>
              <w:t>产生工序</w:t>
            </w:r>
          </w:p>
        </w:tc>
        <w:tc>
          <w:tcPr>
            <w:tcW w:w="724" w:type="dxa"/>
            <w:tcBorders>
              <w:top w:val="single" w:color="auto" w:sz="4" w:space="0"/>
              <w:left w:val="single" w:color="auto" w:sz="4" w:space="0"/>
              <w:bottom w:val="single" w:color="auto" w:sz="4" w:space="0"/>
              <w:right w:val="single" w:color="auto" w:sz="4" w:space="0"/>
            </w:tcBorders>
            <w:vAlign w:val="center"/>
          </w:tcPr>
          <w:p w14:paraId="796F8CAC">
            <w:pPr>
              <w:jc w:val="center"/>
              <w:rPr>
                <w:rFonts w:ascii="Times New Roman" w:hAnsi="Times New Roman" w:eastAsia="宋体" w:cs="Times New Roman"/>
                <w:szCs w:val="21"/>
              </w:rPr>
            </w:pPr>
            <w:r>
              <w:rPr>
                <w:rFonts w:ascii="Times New Roman" w:hAnsi="Times New Roman" w:eastAsia="宋体" w:cs="Times New Roman"/>
                <w:szCs w:val="21"/>
              </w:rPr>
              <w:t>形态</w:t>
            </w:r>
          </w:p>
        </w:tc>
        <w:tc>
          <w:tcPr>
            <w:tcW w:w="1859" w:type="dxa"/>
            <w:tcBorders>
              <w:top w:val="single" w:color="auto" w:sz="4" w:space="0"/>
              <w:left w:val="single" w:color="auto" w:sz="4" w:space="0"/>
              <w:bottom w:val="single" w:color="auto" w:sz="4" w:space="0"/>
              <w:right w:val="single" w:color="auto" w:sz="4" w:space="0"/>
            </w:tcBorders>
            <w:vAlign w:val="center"/>
          </w:tcPr>
          <w:p w14:paraId="1C8655EA">
            <w:pPr>
              <w:jc w:val="center"/>
              <w:rPr>
                <w:rFonts w:ascii="Times New Roman" w:hAnsi="Times New Roman" w:eastAsia="宋体" w:cs="Times New Roman"/>
                <w:szCs w:val="21"/>
              </w:rPr>
            </w:pPr>
            <w:r>
              <w:rPr>
                <w:rFonts w:ascii="Times New Roman" w:hAnsi="Times New Roman" w:eastAsia="宋体" w:cs="Times New Roman"/>
                <w:szCs w:val="21"/>
              </w:rPr>
              <w:t>主要成分</w:t>
            </w:r>
          </w:p>
        </w:tc>
        <w:tc>
          <w:tcPr>
            <w:tcW w:w="1245" w:type="dxa"/>
            <w:tcBorders>
              <w:top w:val="single" w:color="auto" w:sz="4" w:space="0"/>
              <w:left w:val="single" w:color="auto" w:sz="4" w:space="0"/>
              <w:bottom w:val="single" w:color="auto" w:sz="4" w:space="0"/>
              <w:right w:val="single" w:color="auto" w:sz="4" w:space="0"/>
            </w:tcBorders>
            <w:vAlign w:val="center"/>
          </w:tcPr>
          <w:p w14:paraId="1FBAE3B6">
            <w:pPr>
              <w:jc w:val="center"/>
              <w:rPr>
                <w:rFonts w:ascii="Times New Roman" w:hAnsi="Times New Roman" w:eastAsia="宋体" w:cs="Times New Roman"/>
                <w:szCs w:val="21"/>
              </w:rPr>
            </w:pPr>
            <w:r>
              <w:rPr>
                <w:rFonts w:ascii="Times New Roman" w:hAnsi="Times New Roman" w:eastAsia="宋体" w:cs="Times New Roman"/>
                <w:szCs w:val="21"/>
              </w:rPr>
              <w:t>危险特性</w:t>
            </w:r>
          </w:p>
          <w:p w14:paraId="7E476011">
            <w:pPr>
              <w:jc w:val="center"/>
              <w:rPr>
                <w:rFonts w:ascii="Times New Roman" w:hAnsi="Times New Roman" w:eastAsia="宋体" w:cs="Times New Roman"/>
                <w:szCs w:val="21"/>
              </w:rPr>
            </w:pPr>
            <w:r>
              <w:rPr>
                <w:rFonts w:ascii="Times New Roman" w:hAnsi="Times New Roman" w:eastAsia="宋体" w:cs="Times New Roman"/>
                <w:szCs w:val="21"/>
              </w:rPr>
              <w:t>鉴别方法</w:t>
            </w:r>
          </w:p>
        </w:tc>
        <w:tc>
          <w:tcPr>
            <w:tcW w:w="1006" w:type="dxa"/>
            <w:tcBorders>
              <w:top w:val="single" w:color="auto" w:sz="4" w:space="0"/>
              <w:left w:val="single" w:color="auto" w:sz="4" w:space="0"/>
              <w:bottom w:val="single" w:color="auto" w:sz="4" w:space="0"/>
              <w:right w:val="single" w:color="auto" w:sz="4" w:space="0"/>
            </w:tcBorders>
            <w:vAlign w:val="center"/>
          </w:tcPr>
          <w:p w14:paraId="60D96A31">
            <w:pPr>
              <w:jc w:val="center"/>
              <w:rPr>
                <w:rFonts w:ascii="Times New Roman" w:hAnsi="Times New Roman" w:eastAsia="宋体" w:cs="Times New Roman"/>
                <w:szCs w:val="21"/>
              </w:rPr>
            </w:pPr>
            <w:r>
              <w:rPr>
                <w:rFonts w:ascii="Times New Roman" w:hAnsi="Times New Roman" w:eastAsia="宋体" w:cs="Times New Roman"/>
                <w:szCs w:val="21"/>
              </w:rPr>
              <w:t>危险</w:t>
            </w:r>
          </w:p>
          <w:p w14:paraId="4A2C48C5">
            <w:pPr>
              <w:jc w:val="center"/>
              <w:rPr>
                <w:rFonts w:ascii="Times New Roman" w:hAnsi="Times New Roman" w:eastAsia="宋体" w:cs="Times New Roman"/>
                <w:szCs w:val="21"/>
              </w:rPr>
            </w:pPr>
            <w:r>
              <w:rPr>
                <w:rFonts w:ascii="Times New Roman" w:hAnsi="Times New Roman" w:eastAsia="宋体" w:cs="Times New Roman"/>
                <w:szCs w:val="21"/>
              </w:rPr>
              <w:t>特性</w:t>
            </w:r>
          </w:p>
        </w:tc>
        <w:tc>
          <w:tcPr>
            <w:tcW w:w="846" w:type="dxa"/>
            <w:tcBorders>
              <w:top w:val="single" w:color="auto" w:sz="4" w:space="0"/>
              <w:left w:val="single" w:color="auto" w:sz="4" w:space="0"/>
              <w:bottom w:val="single" w:color="auto" w:sz="4" w:space="0"/>
              <w:right w:val="single" w:color="auto" w:sz="4" w:space="0"/>
            </w:tcBorders>
            <w:vAlign w:val="center"/>
          </w:tcPr>
          <w:p w14:paraId="78A86925">
            <w:pPr>
              <w:jc w:val="center"/>
              <w:rPr>
                <w:rFonts w:ascii="Times New Roman" w:hAnsi="Times New Roman" w:eastAsia="宋体" w:cs="Times New Roman"/>
                <w:szCs w:val="21"/>
              </w:rPr>
            </w:pPr>
            <w:r>
              <w:rPr>
                <w:rFonts w:ascii="Times New Roman" w:hAnsi="Times New Roman" w:eastAsia="宋体" w:cs="Times New Roman"/>
                <w:szCs w:val="21"/>
              </w:rPr>
              <w:t>废物</w:t>
            </w:r>
          </w:p>
          <w:p w14:paraId="27CE02F8">
            <w:pPr>
              <w:jc w:val="center"/>
              <w:rPr>
                <w:rFonts w:ascii="Times New Roman" w:hAnsi="Times New Roman" w:eastAsia="宋体" w:cs="Times New Roman"/>
                <w:szCs w:val="21"/>
              </w:rPr>
            </w:pPr>
            <w:r>
              <w:rPr>
                <w:rFonts w:ascii="Times New Roman" w:hAnsi="Times New Roman" w:eastAsia="宋体" w:cs="Times New Roman"/>
                <w:szCs w:val="21"/>
              </w:rPr>
              <w:t>类别</w:t>
            </w:r>
          </w:p>
        </w:tc>
        <w:tc>
          <w:tcPr>
            <w:tcW w:w="1262" w:type="dxa"/>
            <w:tcBorders>
              <w:top w:val="single" w:color="auto" w:sz="4" w:space="0"/>
              <w:left w:val="single" w:color="auto" w:sz="4" w:space="0"/>
              <w:bottom w:val="single" w:color="auto" w:sz="4" w:space="0"/>
              <w:right w:val="single" w:color="auto" w:sz="4" w:space="0"/>
            </w:tcBorders>
            <w:vAlign w:val="center"/>
          </w:tcPr>
          <w:p w14:paraId="064A8D5D">
            <w:pPr>
              <w:jc w:val="center"/>
              <w:rPr>
                <w:rFonts w:ascii="Times New Roman" w:hAnsi="Times New Roman" w:eastAsia="宋体" w:cs="Times New Roman"/>
                <w:szCs w:val="21"/>
              </w:rPr>
            </w:pPr>
            <w:r>
              <w:rPr>
                <w:rFonts w:ascii="Times New Roman" w:hAnsi="Times New Roman" w:eastAsia="宋体" w:cs="Times New Roman"/>
                <w:szCs w:val="21"/>
              </w:rPr>
              <w:t>废物</w:t>
            </w:r>
          </w:p>
          <w:p w14:paraId="7D9F886B">
            <w:pPr>
              <w:jc w:val="center"/>
              <w:rPr>
                <w:rFonts w:ascii="Times New Roman" w:hAnsi="Times New Roman" w:eastAsia="宋体" w:cs="Times New Roman"/>
                <w:szCs w:val="21"/>
              </w:rPr>
            </w:pPr>
            <w:r>
              <w:rPr>
                <w:rFonts w:ascii="Times New Roman" w:hAnsi="Times New Roman" w:eastAsia="宋体" w:cs="Times New Roman"/>
                <w:szCs w:val="21"/>
              </w:rPr>
              <w:t>代码</w:t>
            </w:r>
          </w:p>
        </w:tc>
        <w:tc>
          <w:tcPr>
            <w:tcW w:w="1204" w:type="dxa"/>
            <w:tcBorders>
              <w:top w:val="single" w:color="auto" w:sz="4" w:space="0"/>
              <w:left w:val="single" w:color="auto" w:sz="4" w:space="0"/>
              <w:bottom w:val="single" w:color="auto" w:sz="4" w:space="0"/>
              <w:right w:val="single" w:color="auto" w:sz="4" w:space="0"/>
            </w:tcBorders>
            <w:vAlign w:val="center"/>
          </w:tcPr>
          <w:p w14:paraId="1C05C6AE">
            <w:pPr>
              <w:jc w:val="center"/>
              <w:rPr>
                <w:rFonts w:ascii="Times New Roman" w:hAnsi="Times New Roman" w:eastAsia="宋体" w:cs="Times New Roman"/>
                <w:szCs w:val="21"/>
              </w:rPr>
            </w:pPr>
            <w:r>
              <w:rPr>
                <w:rFonts w:ascii="Times New Roman" w:hAnsi="Times New Roman" w:eastAsia="宋体" w:cs="Times New Roman"/>
                <w:szCs w:val="21"/>
              </w:rPr>
              <w:t>估算产生量（t/a）</w:t>
            </w:r>
          </w:p>
        </w:tc>
      </w:tr>
      <w:tr w14:paraId="4A48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4A895760">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2345" w:type="dxa"/>
            <w:tcBorders>
              <w:top w:val="single" w:color="auto" w:sz="4" w:space="0"/>
              <w:left w:val="single" w:color="auto" w:sz="4" w:space="0"/>
              <w:bottom w:val="single" w:color="auto" w:sz="4" w:space="0"/>
              <w:right w:val="single" w:color="auto" w:sz="4" w:space="0"/>
            </w:tcBorders>
          </w:tcPr>
          <w:p w14:paraId="2032BBD8">
            <w:pPr>
              <w:pStyle w:val="39"/>
              <w:jc w:val="center"/>
              <w:rPr>
                <w:rFonts w:ascii="Times New Roman" w:hAnsi="Times New Roman" w:cs="Times New Roman"/>
                <w:color w:val="auto"/>
                <w:kern w:val="2"/>
                <w:sz w:val="21"/>
                <w:szCs w:val="21"/>
              </w:rPr>
            </w:pPr>
            <w:r>
              <w:rPr>
                <w:rFonts w:hint="eastAsia" w:cs="Times New Roman"/>
                <w:color w:val="auto"/>
                <w:sz w:val="21"/>
                <w:szCs w:val="21"/>
              </w:rPr>
              <w:t>废边角料和碎屑</w:t>
            </w:r>
          </w:p>
        </w:tc>
        <w:tc>
          <w:tcPr>
            <w:tcW w:w="1057" w:type="dxa"/>
            <w:tcBorders>
              <w:top w:val="single" w:color="auto" w:sz="4" w:space="0"/>
              <w:left w:val="single" w:color="auto" w:sz="4" w:space="0"/>
              <w:bottom w:val="single" w:color="auto" w:sz="4" w:space="0"/>
              <w:right w:val="single" w:color="auto" w:sz="4" w:space="0"/>
            </w:tcBorders>
            <w:vAlign w:val="center"/>
          </w:tcPr>
          <w:p w14:paraId="21F48B1A">
            <w:pPr>
              <w:jc w:val="center"/>
              <w:rPr>
                <w:rFonts w:ascii="Times New Roman" w:hAnsi="Times New Roman" w:eastAsia="宋体" w:cs="Times New Roman"/>
                <w:szCs w:val="21"/>
              </w:rPr>
            </w:pPr>
            <w:r>
              <w:rPr>
                <w:rFonts w:hint="eastAsia" w:ascii="Times New Roman" w:hAnsi="Times New Roman" w:eastAsia="宋体" w:cs="Times New Roman"/>
                <w:szCs w:val="21"/>
              </w:rPr>
              <w:t>一般固废</w:t>
            </w:r>
          </w:p>
        </w:tc>
        <w:tc>
          <w:tcPr>
            <w:tcW w:w="1991" w:type="dxa"/>
            <w:tcBorders>
              <w:top w:val="single" w:color="auto" w:sz="4" w:space="0"/>
              <w:left w:val="single" w:color="auto" w:sz="4" w:space="0"/>
              <w:bottom w:val="single" w:color="auto" w:sz="4" w:space="0"/>
              <w:right w:val="single" w:color="auto" w:sz="4" w:space="0"/>
            </w:tcBorders>
            <w:vAlign w:val="center"/>
          </w:tcPr>
          <w:p w14:paraId="7CB15A59">
            <w:pPr>
              <w:jc w:val="center"/>
              <w:rPr>
                <w:rFonts w:ascii="Times New Roman" w:hAnsi="Times New Roman" w:eastAsia="宋体" w:cs="Times New Roman"/>
                <w:szCs w:val="21"/>
              </w:rPr>
            </w:pPr>
            <w:r>
              <w:rPr>
                <w:rFonts w:hint="eastAsia" w:ascii="Times New Roman" w:hAnsi="Times New Roman" w:eastAsia="宋体" w:cs="Times New Roman"/>
                <w:szCs w:val="21"/>
              </w:rPr>
              <w:t>木材加工</w:t>
            </w:r>
          </w:p>
        </w:tc>
        <w:tc>
          <w:tcPr>
            <w:tcW w:w="724" w:type="dxa"/>
            <w:tcBorders>
              <w:top w:val="single" w:color="auto" w:sz="4" w:space="0"/>
              <w:left w:val="single" w:color="auto" w:sz="4" w:space="0"/>
              <w:bottom w:val="single" w:color="auto" w:sz="4" w:space="0"/>
              <w:right w:val="single" w:color="auto" w:sz="4" w:space="0"/>
            </w:tcBorders>
            <w:vAlign w:val="center"/>
          </w:tcPr>
          <w:p w14:paraId="5B72E24A">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859" w:type="dxa"/>
            <w:tcBorders>
              <w:top w:val="single" w:color="auto" w:sz="4" w:space="0"/>
              <w:left w:val="single" w:color="auto" w:sz="4" w:space="0"/>
              <w:bottom w:val="single" w:color="auto" w:sz="4" w:space="0"/>
              <w:right w:val="single" w:color="auto" w:sz="4" w:space="0"/>
            </w:tcBorders>
            <w:vAlign w:val="center"/>
          </w:tcPr>
          <w:p w14:paraId="77226E08">
            <w:pPr>
              <w:jc w:val="center"/>
              <w:rPr>
                <w:rFonts w:ascii="Times New Roman" w:hAnsi="Times New Roman" w:eastAsia="宋体" w:cs="Times New Roman"/>
                <w:szCs w:val="21"/>
              </w:rPr>
            </w:pPr>
            <w:r>
              <w:rPr>
                <w:rFonts w:hint="eastAsia" w:ascii="Times New Roman" w:hAnsi="Times New Roman" w:eastAsia="宋体" w:cs="Times New Roman"/>
                <w:szCs w:val="21"/>
              </w:rPr>
              <w:t>木材、木屑</w:t>
            </w:r>
          </w:p>
        </w:tc>
        <w:tc>
          <w:tcPr>
            <w:tcW w:w="1245" w:type="dxa"/>
            <w:vMerge w:val="restart"/>
            <w:tcBorders>
              <w:top w:val="single" w:color="auto" w:sz="4" w:space="0"/>
              <w:left w:val="single" w:color="auto" w:sz="4" w:space="0"/>
              <w:right w:val="single" w:color="auto" w:sz="4" w:space="0"/>
            </w:tcBorders>
            <w:vAlign w:val="center"/>
          </w:tcPr>
          <w:p w14:paraId="6D996A1D">
            <w:pPr>
              <w:jc w:val="center"/>
              <w:rPr>
                <w:rFonts w:ascii="Times New Roman" w:hAnsi="Times New Roman" w:eastAsia="宋体" w:cs="Times New Roman"/>
                <w:szCs w:val="21"/>
              </w:rPr>
            </w:pPr>
            <w:r>
              <w:rPr>
                <w:rFonts w:ascii="Times New Roman" w:hAnsi="Times New Roman" w:eastAsia="宋体" w:cs="Times New Roman"/>
                <w:szCs w:val="21"/>
              </w:rPr>
              <w:t>《国家危险废物名录》（2016 年）、《危险废物鉴别标准 通则》（GB5085.7- 2019）</w:t>
            </w:r>
          </w:p>
          <w:p w14:paraId="134D566C">
            <w:pPr>
              <w:jc w:val="center"/>
              <w:rPr>
                <w:rFonts w:ascii="Times New Roman" w:hAnsi="Times New Roman" w:eastAsia="宋体" w:cs="Times New Roman"/>
                <w:szCs w:val="21"/>
              </w:rPr>
            </w:pPr>
          </w:p>
          <w:p w14:paraId="3FA489C2">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44925FB6">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46" w:type="dxa"/>
            <w:tcBorders>
              <w:top w:val="single" w:color="auto" w:sz="4" w:space="0"/>
              <w:left w:val="single" w:color="auto" w:sz="4" w:space="0"/>
              <w:bottom w:val="single" w:color="auto" w:sz="4" w:space="0"/>
              <w:right w:val="single" w:color="auto" w:sz="4" w:space="0"/>
            </w:tcBorders>
            <w:vAlign w:val="center"/>
          </w:tcPr>
          <w:p w14:paraId="2EBF4912">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62" w:type="dxa"/>
            <w:tcBorders>
              <w:top w:val="single" w:color="auto" w:sz="4" w:space="0"/>
              <w:left w:val="single" w:color="auto" w:sz="4" w:space="0"/>
              <w:bottom w:val="single" w:color="auto" w:sz="4" w:space="0"/>
              <w:right w:val="single" w:color="auto" w:sz="4" w:space="0"/>
            </w:tcBorders>
            <w:vAlign w:val="center"/>
          </w:tcPr>
          <w:p w14:paraId="0137074E">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04" w:type="dxa"/>
            <w:tcBorders>
              <w:top w:val="single" w:color="auto" w:sz="4" w:space="0"/>
              <w:left w:val="single" w:color="auto" w:sz="4" w:space="0"/>
              <w:bottom w:val="single" w:color="auto" w:sz="4" w:space="0"/>
              <w:right w:val="single" w:color="auto" w:sz="4" w:space="0"/>
            </w:tcBorders>
            <w:vAlign w:val="center"/>
          </w:tcPr>
          <w:p w14:paraId="17B96D70">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702D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52EC3E2D">
            <w:pPr>
              <w:jc w:val="center"/>
              <w:rPr>
                <w:rFonts w:ascii="Times New Roman" w:hAnsi="Times New Roman" w:eastAsia="宋体" w:cs="Times New Roman"/>
                <w:szCs w:val="21"/>
                <w:lang w:bidi="ar"/>
              </w:rPr>
            </w:pPr>
            <w:r>
              <w:rPr>
                <w:rFonts w:ascii="Times New Roman" w:hAnsi="Times New Roman" w:eastAsia="宋体" w:cs="Times New Roman"/>
                <w:szCs w:val="21"/>
              </w:rPr>
              <w:t>2</w:t>
            </w:r>
          </w:p>
        </w:tc>
        <w:tc>
          <w:tcPr>
            <w:tcW w:w="2345" w:type="dxa"/>
            <w:tcBorders>
              <w:top w:val="single" w:color="auto" w:sz="4" w:space="0"/>
              <w:left w:val="single" w:color="auto" w:sz="4" w:space="0"/>
              <w:bottom w:val="single" w:color="auto" w:sz="4" w:space="0"/>
              <w:right w:val="single" w:color="auto" w:sz="4" w:space="0"/>
            </w:tcBorders>
          </w:tcPr>
          <w:p w14:paraId="12F69345">
            <w:pPr>
              <w:pStyle w:val="39"/>
              <w:jc w:val="center"/>
              <w:rPr>
                <w:rFonts w:ascii="Times New Roman" w:hAnsi="Times New Roman" w:cs="Times New Roman"/>
                <w:color w:val="auto"/>
                <w:kern w:val="2"/>
                <w:sz w:val="21"/>
                <w:szCs w:val="21"/>
              </w:rPr>
            </w:pPr>
            <w:r>
              <w:rPr>
                <w:rFonts w:hint="eastAsia" w:ascii="Times New Roman" w:hAnsi="Times New Roman" w:cs="Times New Roman"/>
                <w:color w:val="auto"/>
                <w:sz w:val="21"/>
                <w:szCs w:val="21"/>
              </w:rPr>
              <w:t>除尘器收尘</w:t>
            </w:r>
          </w:p>
        </w:tc>
        <w:tc>
          <w:tcPr>
            <w:tcW w:w="1057" w:type="dxa"/>
            <w:tcBorders>
              <w:top w:val="single" w:color="auto" w:sz="4" w:space="0"/>
              <w:left w:val="single" w:color="auto" w:sz="4" w:space="0"/>
              <w:bottom w:val="single" w:color="auto" w:sz="4" w:space="0"/>
              <w:right w:val="single" w:color="auto" w:sz="4" w:space="0"/>
            </w:tcBorders>
            <w:vAlign w:val="center"/>
          </w:tcPr>
          <w:p w14:paraId="0866D114">
            <w:pPr>
              <w:jc w:val="center"/>
              <w:rPr>
                <w:rFonts w:ascii="Times New Roman" w:hAnsi="Times New Roman" w:eastAsia="宋体" w:cs="Times New Roman"/>
                <w:szCs w:val="21"/>
              </w:rPr>
            </w:pPr>
            <w:r>
              <w:rPr>
                <w:rFonts w:hint="eastAsia" w:ascii="Times New Roman" w:hAnsi="Times New Roman" w:eastAsia="宋体" w:cs="Times New Roman"/>
                <w:szCs w:val="21"/>
              </w:rPr>
              <w:t>一般固废</w:t>
            </w:r>
          </w:p>
        </w:tc>
        <w:tc>
          <w:tcPr>
            <w:tcW w:w="1991" w:type="dxa"/>
            <w:tcBorders>
              <w:top w:val="single" w:color="auto" w:sz="4" w:space="0"/>
              <w:left w:val="single" w:color="auto" w:sz="4" w:space="0"/>
              <w:bottom w:val="single" w:color="auto" w:sz="4" w:space="0"/>
              <w:right w:val="single" w:color="auto" w:sz="4" w:space="0"/>
            </w:tcBorders>
            <w:vAlign w:val="center"/>
          </w:tcPr>
          <w:p w14:paraId="74591C08">
            <w:pPr>
              <w:jc w:val="center"/>
              <w:rPr>
                <w:rFonts w:ascii="Times New Roman" w:hAnsi="Times New Roman" w:eastAsia="宋体" w:cs="Times New Roman"/>
                <w:szCs w:val="21"/>
              </w:rPr>
            </w:pPr>
            <w:r>
              <w:rPr>
                <w:rFonts w:hint="eastAsia" w:ascii="Times New Roman" w:hAnsi="Times New Roman" w:eastAsia="宋体" w:cs="Times New Roman"/>
                <w:szCs w:val="21"/>
              </w:rPr>
              <w:t>除尘器</w:t>
            </w:r>
          </w:p>
        </w:tc>
        <w:tc>
          <w:tcPr>
            <w:tcW w:w="724" w:type="dxa"/>
            <w:tcBorders>
              <w:top w:val="single" w:color="auto" w:sz="4" w:space="0"/>
              <w:left w:val="single" w:color="auto" w:sz="4" w:space="0"/>
              <w:bottom w:val="single" w:color="auto" w:sz="4" w:space="0"/>
              <w:right w:val="single" w:color="auto" w:sz="4" w:space="0"/>
            </w:tcBorders>
            <w:vAlign w:val="center"/>
          </w:tcPr>
          <w:p w14:paraId="0EED7AFC">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859" w:type="dxa"/>
            <w:tcBorders>
              <w:top w:val="single" w:color="auto" w:sz="4" w:space="0"/>
              <w:left w:val="single" w:color="auto" w:sz="4" w:space="0"/>
              <w:bottom w:val="single" w:color="auto" w:sz="4" w:space="0"/>
              <w:right w:val="single" w:color="auto" w:sz="4" w:space="0"/>
            </w:tcBorders>
            <w:vAlign w:val="center"/>
          </w:tcPr>
          <w:p w14:paraId="091F3809">
            <w:pPr>
              <w:jc w:val="center"/>
              <w:rPr>
                <w:rFonts w:ascii="Times New Roman" w:hAnsi="Times New Roman" w:eastAsia="宋体" w:cs="Times New Roman"/>
                <w:szCs w:val="21"/>
              </w:rPr>
            </w:pPr>
            <w:r>
              <w:rPr>
                <w:rFonts w:hint="eastAsia" w:ascii="Times New Roman" w:hAnsi="Times New Roman" w:eastAsia="宋体" w:cs="Times New Roman"/>
                <w:szCs w:val="21"/>
              </w:rPr>
              <w:t>木材、木屑</w:t>
            </w:r>
          </w:p>
        </w:tc>
        <w:tc>
          <w:tcPr>
            <w:tcW w:w="1245" w:type="dxa"/>
            <w:vMerge w:val="continue"/>
            <w:tcBorders>
              <w:left w:val="single" w:color="auto" w:sz="4" w:space="0"/>
              <w:right w:val="single" w:color="auto" w:sz="4" w:space="0"/>
            </w:tcBorders>
            <w:vAlign w:val="center"/>
          </w:tcPr>
          <w:p w14:paraId="5D24DF9D">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61EC317C">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46" w:type="dxa"/>
            <w:tcBorders>
              <w:top w:val="single" w:color="auto" w:sz="4" w:space="0"/>
              <w:left w:val="single" w:color="auto" w:sz="4" w:space="0"/>
              <w:bottom w:val="single" w:color="auto" w:sz="4" w:space="0"/>
              <w:right w:val="single" w:color="auto" w:sz="4" w:space="0"/>
            </w:tcBorders>
            <w:vAlign w:val="center"/>
          </w:tcPr>
          <w:p w14:paraId="54BDD5D9">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62" w:type="dxa"/>
            <w:tcBorders>
              <w:top w:val="single" w:color="auto" w:sz="4" w:space="0"/>
              <w:left w:val="single" w:color="auto" w:sz="4" w:space="0"/>
              <w:bottom w:val="single" w:color="auto" w:sz="4" w:space="0"/>
              <w:right w:val="single" w:color="auto" w:sz="4" w:space="0"/>
            </w:tcBorders>
            <w:vAlign w:val="center"/>
          </w:tcPr>
          <w:p w14:paraId="07034D39">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04" w:type="dxa"/>
            <w:tcBorders>
              <w:top w:val="single" w:color="auto" w:sz="4" w:space="0"/>
              <w:left w:val="single" w:color="auto" w:sz="4" w:space="0"/>
              <w:bottom w:val="single" w:color="auto" w:sz="4" w:space="0"/>
              <w:right w:val="single" w:color="auto" w:sz="4" w:space="0"/>
            </w:tcBorders>
            <w:vAlign w:val="center"/>
          </w:tcPr>
          <w:p w14:paraId="30DD627F">
            <w:pPr>
              <w:jc w:val="center"/>
              <w:rPr>
                <w:rFonts w:ascii="Times New Roman" w:hAnsi="Times New Roman" w:eastAsia="宋体" w:cs="Times New Roman"/>
                <w:szCs w:val="21"/>
              </w:rPr>
            </w:pPr>
            <w:r>
              <w:rPr>
                <w:rFonts w:hint="eastAsia" w:ascii="Times New Roman" w:hAnsi="Times New Roman" w:cs="Times New Roman"/>
                <w:szCs w:val="21"/>
              </w:rPr>
              <w:t>3.25</w:t>
            </w:r>
          </w:p>
        </w:tc>
      </w:tr>
      <w:tr w14:paraId="5D3C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0EFE656D">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2345" w:type="dxa"/>
            <w:tcBorders>
              <w:top w:val="single" w:color="auto" w:sz="4" w:space="0"/>
              <w:left w:val="single" w:color="auto" w:sz="4" w:space="0"/>
              <w:bottom w:val="single" w:color="auto" w:sz="4" w:space="0"/>
              <w:right w:val="single" w:color="auto" w:sz="4" w:space="0"/>
            </w:tcBorders>
          </w:tcPr>
          <w:p w14:paraId="735225A7">
            <w:pPr>
              <w:pStyle w:val="39"/>
              <w:jc w:val="center"/>
              <w:rPr>
                <w:rFonts w:ascii="Times New Roman" w:hAnsi="Times New Roman" w:cs="Times New Roman"/>
                <w:color w:val="auto"/>
                <w:kern w:val="2"/>
                <w:sz w:val="21"/>
                <w:szCs w:val="21"/>
              </w:rPr>
            </w:pPr>
            <w:r>
              <w:rPr>
                <w:rFonts w:hint="eastAsia" w:ascii="Times New Roman" w:hAnsi="Times New Roman" w:cs="Times New Roman"/>
                <w:bCs/>
                <w:color w:val="auto"/>
                <w:sz w:val="21"/>
                <w:szCs w:val="21"/>
              </w:rPr>
              <w:t>废包装材料</w:t>
            </w:r>
          </w:p>
        </w:tc>
        <w:tc>
          <w:tcPr>
            <w:tcW w:w="1057" w:type="dxa"/>
            <w:tcBorders>
              <w:top w:val="single" w:color="auto" w:sz="4" w:space="0"/>
              <w:left w:val="single" w:color="auto" w:sz="4" w:space="0"/>
              <w:bottom w:val="single" w:color="auto" w:sz="4" w:space="0"/>
              <w:right w:val="single" w:color="auto" w:sz="4" w:space="0"/>
            </w:tcBorders>
            <w:vAlign w:val="center"/>
          </w:tcPr>
          <w:p w14:paraId="087A1FC6">
            <w:pPr>
              <w:jc w:val="center"/>
              <w:rPr>
                <w:rFonts w:ascii="Times New Roman" w:hAnsi="Times New Roman" w:cs="Times New Roman"/>
                <w:szCs w:val="21"/>
              </w:rPr>
            </w:pPr>
            <w:r>
              <w:rPr>
                <w:rFonts w:hint="eastAsia" w:ascii="Times New Roman" w:hAnsi="Times New Roman" w:eastAsia="宋体" w:cs="Times New Roman"/>
                <w:szCs w:val="21"/>
              </w:rPr>
              <w:t>一般固废</w:t>
            </w:r>
          </w:p>
        </w:tc>
        <w:tc>
          <w:tcPr>
            <w:tcW w:w="1991" w:type="dxa"/>
            <w:tcBorders>
              <w:top w:val="single" w:color="auto" w:sz="4" w:space="0"/>
              <w:left w:val="single" w:color="auto" w:sz="4" w:space="0"/>
              <w:bottom w:val="single" w:color="auto" w:sz="4" w:space="0"/>
              <w:right w:val="single" w:color="auto" w:sz="4" w:space="0"/>
            </w:tcBorders>
            <w:vAlign w:val="center"/>
          </w:tcPr>
          <w:p w14:paraId="5C4D42E3">
            <w:pPr>
              <w:jc w:val="center"/>
              <w:rPr>
                <w:rFonts w:ascii="Times New Roman" w:hAnsi="Times New Roman" w:cs="Times New Roman"/>
                <w:szCs w:val="21"/>
              </w:rPr>
            </w:pPr>
            <w:r>
              <w:rPr>
                <w:rFonts w:hint="eastAsia" w:ascii="Times New Roman" w:hAnsi="Times New Roman" w:eastAsia="宋体" w:cs="Times New Roman"/>
                <w:szCs w:val="21"/>
              </w:rPr>
              <w:t>原料包装、拆包</w:t>
            </w:r>
          </w:p>
        </w:tc>
        <w:tc>
          <w:tcPr>
            <w:tcW w:w="724" w:type="dxa"/>
            <w:tcBorders>
              <w:top w:val="single" w:color="auto" w:sz="4" w:space="0"/>
              <w:left w:val="single" w:color="auto" w:sz="4" w:space="0"/>
              <w:bottom w:val="single" w:color="auto" w:sz="4" w:space="0"/>
              <w:right w:val="single" w:color="auto" w:sz="4" w:space="0"/>
            </w:tcBorders>
            <w:vAlign w:val="center"/>
          </w:tcPr>
          <w:p w14:paraId="1E87BDA9">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859" w:type="dxa"/>
            <w:tcBorders>
              <w:top w:val="single" w:color="auto" w:sz="4" w:space="0"/>
              <w:left w:val="single" w:color="auto" w:sz="4" w:space="0"/>
              <w:bottom w:val="single" w:color="auto" w:sz="4" w:space="0"/>
              <w:right w:val="single" w:color="auto" w:sz="4" w:space="0"/>
            </w:tcBorders>
            <w:vAlign w:val="center"/>
          </w:tcPr>
          <w:p w14:paraId="7A5995A2">
            <w:pPr>
              <w:jc w:val="center"/>
              <w:rPr>
                <w:rFonts w:ascii="Times New Roman" w:hAnsi="Times New Roman" w:cs="Times New Roman"/>
                <w:szCs w:val="21"/>
              </w:rPr>
            </w:pPr>
            <w:r>
              <w:rPr>
                <w:rFonts w:hint="eastAsia" w:ascii="Times New Roman" w:hAnsi="Times New Roman" w:eastAsia="宋体" w:cs="Times New Roman"/>
                <w:szCs w:val="21"/>
              </w:rPr>
              <w:t>塑料、纸</w:t>
            </w:r>
          </w:p>
        </w:tc>
        <w:tc>
          <w:tcPr>
            <w:tcW w:w="1245" w:type="dxa"/>
            <w:vMerge w:val="continue"/>
            <w:tcBorders>
              <w:left w:val="single" w:color="auto" w:sz="4" w:space="0"/>
              <w:right w:val="single" w:color="auto" w:sz="4" w:space="0"/>
            </w:tcBorders>
            <w:vAlign w:val="center"/>
          </w:tcPr>
          <w:p w14:paraId="56D32C92">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1F8A9EF2">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46" w:type="dxa"/>
            <w:tcBorders>
              <w:top w:val="single" w:color="auto" w:sz="4" w:space="0"/>
              <w:left w:val="single" w:color="auto" w:sz="4" w:space="0"/>
              <w:bottom w:val="single" w:color="auto" w:sz="4" w:space="0"/>
              <w:right w:val="single" w:color="auto" w:sz="4" w:space="0"/>
            </w:tcBorders>
            <w:vAlign w:val="center"/>
          </w:tcPr>
          <w:p w14:paraId="5295F8F6">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62" w:type="dxa"/>
            <w:tcBorders>
              <w:top w:val="single" w:color="auto" w:sz="4" w:space="0"/>
              <w:left w:val="single" w:color="auto" w:sz="4" w:space="0"/>
              <w:bottom w:val="single" w:color="auto" w:sz="4" w:space="0"/>
              <w:right w:val="single" w:color="auto" w:sz="4" w:space="0"/>
            </w:tcBorders>
            <w:vAlign w:val="center"/>
          </w:tcPr>
          <w:p w14:paraId="62AB4869">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04" w:type="dxa"/>
            <w:tcBorders>
              <w:top w:val="single" w:color="auto" w:sz="4" w:space="0"/>
              <w:left w:val="single" w:color="auto" w:sz="4" w:space="0"/>
              <w:bottom w:val="single" w:color="auto" w:sz="4" w:space="0"/>
              <w:right w:val="single" w:color="auto" w:sz="4" w:space="0"/>
            </w:tcBorders>
            <w:vAlign w:val="center"/>
          </w:tcPr>
          <w:p w14:paraId="3A6CDB1D">
            <w:pPr>
              <w:jc w:val="center"/>
              <w:rPr>
                <w:rFonts w:ascii="Times New Roman" w:hAnsi="Times New Roman" w:eastAsia="宋体" w:cs="Times New Roman"/>
                <w:szCs w:val="21"/>
              </w:rPr>
            </w:pPr>
            <w:r>
              <w:rPr>
                <w:rFonts w:hint="eastAsia" w:ascii="Times New Roman" w:hAnsi="Times New Roman" w:cs="Times New Roman"/>
                <w:szCs w:val="21"/>
              </w:rPr>
              <w:t>0.3</w:t>
            </w:r>
          </w:p>
        </w:tc>
      </w:tr>
      <w:tr w14:paraId="642A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70A1F71A">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2345" w:type="dxa"/>
            <w:tcBorders>
              <w:top w:val="single" w:color="auto" w:sz="4" w:space="0"/>
              <w:left w:val="single" w:color="auto" w:sz="4" w:space="0"/>
              <w:bottom w:val="single" w:color="auto" w:sz="4" w:space="0"/>
              <w:right w:val="single" w:color="auto" w:sz="4" w:space="0"/>
            </w:tcBorders>
            <w:vAlign w:val="center"/>
          </w:tcPr>
          <w:p w14:paraId="2A9742F9">
            <w:pPr>
              <w:jc w:val="center"/>
              <w:rPr>
                <w:rFonts w:ascii="Times New Roman" w:hAnsi="Times New Roman" w:cs="Times New Roman"/>
                <w:szCs w:val="21"/>
              </w:rPr>
            </w:pPr>
            <w:r>
              <w:rPr>
                <w:rFonts w:hint="eastAsia" w:ascii="Times New Roman" w:hAnsi="Times New Roman" w:eastAsia="宋体" w:cs="Times New Roman"/>
                <w:szCs w:val="21"/>
              </w:rPr>
              <w:t>废破损包装桶</w:t>
            </w:r>
          </w:p>
        </w:tc>
        <w:tc>
          <w:tcPr>
            <w:tcW w:w="1057" w:type="dxa"/>
            <w:tcBorders>
              <w:top w:val="single" w:color="auto" w:sz="4" w:space="0"/>
              <w:left w:val="single" w:color="auto" w:sz="4" w:space="0"/>
              <w:bottom w:val="single" w:color="auto" w:sz="4" w:space="0"/>
              <w:right w:val="single" w:color="auto" w:sz="4" w:space="0"/>
            </w:tcBorders>
            <w:vAlign w:val="center"/>
          </w:tcPr>
          <w:p w14:paraId="29CA5F27">
            <w:pPr>
              <w:jc w:val="center"/>
              <w:rPr>
                <w:rFonts w:ascii="Times New Roman" w:hAnsi="Times New Roman" w:cs="Times New Roman"/>
                <w:szCs w:val="21"/>
              </w:rPr>
            </w:pPr>
            <w:r>
              <w:rPr>
                <w:rFonts w:hint="eastAsia" w:ascii="Times New Roman" w:hAnsi="Times New Roman" w:eastAsia="宋体" w:cs="Times New Roman"/>
                <w:szCs w:val="21"/>
              </w:rPr>
              <w:t>危险废物</w:t>
            </w:r>
          </w:p>
        </w:tc>
        <w:tc>
          <w:tcPr>
            <w:tcW w:w="1991" w:type="dxa"/>
            <w:tcBorders>
              <w:top w:val="single" w:color="auto" w:sz="4" w:space="0"/>
              <w:left w:val="single" w:color="auto" w:sz="4" w:space="0"/>
              <w:bottom w:val="single" w:color="auto" w:sz="4" w:space="0"/>
              <w:right w:val="single" w:color="auto" w:sz="4" w:space="0"/>
            </w:tcBorders>
            <w:vAlign w:val="center"/>
          </w:tcPr>
          <w:p w14:paraId="412C05F8">
            <w:pPr>
              <w:jc w:val="center"/>
              <w:rPr>
                <w:rFonts w:ascii="Times New Roman" w:hAnsi="Times New Roman" w:cs="Times New Roman"/>
                <w:szCs w:val="21"/>
              </w:rPr>
            </w:pPr>
            <w:r>
              <w:rPr>
                <w:rFonts w:hint="eastAsia" w:ascii="Times New Roman" w:hAnsi="Times New Roman" w:eastAsia="宋体" w:cs="Times New Roman"/>
                <w:szCs w:val="21"/>
              </w:rPr>
              <w:t>原料区</w:t>
            </w:r>
          </w:p>
        </w:tc>
        <w:tc>
          <w:tcPr>
            <w:tcW w:w="724" w:type="dxa"/>
            <w:tcBorders>
              <w:top w:val="single" w:color="auto" w:sz="4" w:space="0"/>
              <w:left w:val="single" w:color="auto" w:sz="4" w:space="0"/>
              <w:bottom w:val="single" w:color="auto" w:sz="4" w:space="0"/>
              <w:right w:val="single" w:color="auto" w:sz="4" w:space="0"/>
            </w:tcBorders>
            <w:vAlign w:val="center"/>
          </w:tcPr>
          <w:p w14:paraId="21102CAC">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859" w:type="dxa"/>
            <w:tcBorders>
              <w:top w:val="single" w:color="auto" w:sz="4" w:space="0"/>
              <w:left w:val="single" w:color="auto" w:sz="4" w:space="0"/>
              <w:bottom w:val="single" w:color="auto" w:sz="4" w:space="0"/>
              <w:right w:val="single" w:color="auto" w:sz="4" w:space="0"/>
            </w:tcBorders>
            <w:vAlign w:val="center"/>
          </w:tcPr>
          <w:p w14:paraId="06E7387C">
            <w:pPr>
              <w:jc w:val="center"/>
              <w:rPr>
                <w:rFonts w:ascii="Times New Roman" w:hAnsi="Times New Roman" w:cs="Times New Roman"/>
                <w:szCs w:val="21"/>
              </w:rPr>
            </w:pPr>
            <w:r>
              <w:rPr>
                <w:rFonts w:hint="eastAsia" w:ascii="Times New Roman" w:hAnsi="Times New Roman" w:cs="Times New Roman"/>
                <w:bCs/>
                <w:szCs w:val="21"/>
              </w:rPr>
              <w:t>漆料、稀释剂、胶黏剂</w:t>
            </w:r>
          </w:p>
        </w:tc>
        <w:tc>
          <w:tcPr>
            <w:tcW w:w="1245" w:type="dxa"/>
            <w:vMerge w:val="continue"/>
            <w:tcBorders>
              <w:left w:val="single" w:color="auto" w:sz="4" w:space="0"/>
              <w:right w:val="single" w:color="auto" w:sz="4" w:space="0"/>
            </w:tcBorders>
            <w:vAlign w:val="center"/>
          </w:tcPr>
          <w:p w14:paraId="0EE56E38">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659DA87C">
            <w:pPr>
              <w:jc w:val="center"/>
              <w:rPr>
                <w:rFonts w:ascii="Times New Roman" w:hAnsi="Times New Roman" w:eastAsia="宋体" w:cs="Times New Roman"/>
                <w:szCs w:val="21"/>
              </w:rPr>
            </w:pPr>
            <w:r>
              <w:rPr>
                <w:rFonts w:hint="eastAsia" w:ascii="Times New Roman" w:hAnsi="Times New Roman" w:eastAsia="宋体" w:cs="Times New Roman"/>
                <w:szCs w:val="21"/>
              </w:rPr>
              <w:t>T/In</w:t>
            </w:r>
          </w:p>
        </w:tc>
        <w:tc>
          <w:tcPr>
            <w:tcW w:w="846" w:type="dxa"/>
            <w:tcBorders>
              <w:top w:val="single" w:color="auto" w:sz="4" w:space="0"/>
              <w:left w:val="single" w:color="auto" w:sz="4" w:space="0"/>
              <w:bottom w:val="single" w:color="auto" w:sz="4" w:space="0"/>
              <w:right w:val="single" w:color="auto" w:sz="4" w:space="0"/>
            </w:tcBorders>
            <w:vAlign w:val="center"/>
          </w:tcPr>
          <w:p w14:paraId="6C6C7FFF">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62" w:type="dxa"/>
            <w:tcBorders>
              <w:top w:val="single" w:color="auto" w:sz="4" w:space="0"/>
              <w:left w:val="single" w:color="auto" w:sz="4" w:space="0"/>
              <w:bottom w:val="single" w:color="auto" w:sz="4" w:space="0"/>
              <w:right w:val="single" w:color="auto" w:sz="4" w:space="0"/>
            </w:tcBorders>
            <w:vAlign w:val="center"/>
          </w:tcPr>
          <w:p w14:paraId="62634786">
            <w:pPr>
              <w:jc w:val="center"/>
              <w:rPr>
                <w:rFonts w:ascii="Times New Roman" w:hAnsi="Times New Roman" w:eastAsia="宋体" w:cs="Times New Roman"/>
                <w:szCs w:val="21"/>
              </w:rPr>
            </w:pPr>
            <w:r>
              <w:rPr>
                <w:rFonts w:ascii="Times New Roman" w:hAnsi="Times New Roman" w:eastAsia="宋体" w:cs="Times New Roman"/>
                <w:szCs w:val="21"/>
              </w:rPr>
              <w:t>900-041-49</w:t>
            </w:r>
          </w:p>
        </w:tc>
        <w:tc>
          <w:tcPr>
            <w:tcW w:w="1204" w:type="dxa"/>
            <w:tcBorders>
              <w:top w:val="single" w:color="auto" w:sz="4" w:space="0"/>
              <w:left w:val="single" w:color="auto" w:sz="4" w:space="0"/>
              <w:bottom w:val="single" w:color="auto" w:sz="4" w:space="0"/>
              <w:right w:val="single" w:color="auto" w:sz="4" w:space="0"/>
            </w:tcBorders>
            <w:vAlign w:val="center"/>
          </w:tcPr>
          <w:p w14:paraId="79A7BCF3">
            <w:pPr>
              <w:jc w:val="center"/>
              <w:rPr>
                <w:rFonts w:ascii="Times New Roman" w:hAnsi="Times New Roman" w:eastAsia="宋体" w:cs="Times New Roman"/>
                <w:szCs w:val="21"/>
              </w:rPr>
            </w:pPr>
            <w:r>
              <w:rPr>
                <w:rFonts w:hint="eastAsia" w:ascii="Times New Roman" w:hAnsi="Times New Roman" w:cs="Times New Roman"/>
                <w:szCs w:val="21"/>
              </w:rPr>
              <w:t>1.0</w:t>
            </w:r>
          </w:p>
        </w:tc>
      </w:tr>
      <w:tr w14:paraId="477F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531F65FC">
            <w:pPr>
              <w:jc w:val="center"/>
              <w:rPr>
                <w:rFonts w:ascii="Times New Roman" w:hAnsi="Times New Roman" w:eastAsia="宋体" w:cs="Times New Roman"/>
                <w:szCs w:val="21"/>
                <w:lang w:bidi="ar"/>
              </w:rPr>
            </w:pPr>
            <w:r>
              <w:rPr>
                <w:rFonts w:hint="eastAsia" w:ascii="Times New Roman" w:hAnsi="Times New Roman" w:cs="Times New Roman"/>
                <w:szCs w:val="21"/>
                <w:lang w:bidi="ar"/>
              </w:rPr>
              <w:t>5</w:t>
            </w:r>
          </w:p>
        </w:tc>
        <w:tc>
          <w:tcPr>
            <w:tcW w:w="2345" w:type="dxa"/>
            <w:tcBorders>
              <w:top w:val="single" w:color="auto" w:sz="4" w:space="0"/>
              <w:left w:val="single" w:color="auto" w:sz="4" w:space="0"/>
              <w:bottom w:val="single" w:color="auto" w:sz="4" w:space="0"/>
              <w:right w:val="single" w:color="auto" w:sz="4" w:space="0"/>
            </w:tcBorders>
            <w:vAlign w:val="center"/>
          </w:tcPr>
          <w:p w14:paraId="061F2DFB">
            <w:pPr>
              <w:jc w:val="center"/>
              <w:rPr>
                <w:rFonts w:ascii="Times New Roman" w:hAnsi="Times New Roman" w:eastAsia="宋体" w:cs="Times New Roman"/>
                <w:szCs w:val="21"/>
              </w:rPr>
            </w:pPr>
            <w:r>
              <w:rPr>
                <w:rFonts w:hint="eastAsia" w:ascii="Times New Roman" w:hAnsi="Times New Roman" w:eastAsia="宋体" w:cs="Times New Roman"/>
                <w:szCs w:val="21"/>
              </w:rPr>
              <w:t>水帘漆渣</w:t>
            </w:r>
          </w:p>
        </w:tc>
        <w:tc>
          <w:tcPr>
            <w:tcW w:w="1057" w:type="dxa"/>
            <w:tcBorders>
              <w:top w:val="single" w:color="auto" w:sz="4" w:space="0"/>
              <w:left w:val="single" w:color="auto" w:sz="4" w:space="0"/>
              <w:bottom w:val="single" w:color="auto" w:sz="4" w:space="0"/>
              <w:right w:val="single" w:color="auto" w:sz="4" w:space="0"/>
            </w:tcBorders>
            <w:vAlign w:val="center"/>
          </w:tcPr>
          <w:p w14:paraId="66DFD191">
            <w:pPr>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1991" w:type="dxa"/>
            <w:tcBorders>
              <w:top w:val="single" w:color="auto" w:sz="4" w:space="0"/>
              <w:left w:val="single" w:color="auto" w:sz="4" w:space="0"/>
              <w:bottom w:val="single" w:color="auto" w:sz="4" w:space="0"/>
              <w:right w:val="single" w:color="auto" w:sz="4" w:space="0"/>
            </w:tcBorders>
            <w:vAlign w:val="center"/>
          </w:tcPr>
          <w:p w14:paraId="73E6F8CA">
            <w:pPr>
              <w:jc w:val="center"/>
              <w:rPr>
                <w:rFonts w:ascii="Times New Roman" w:hAnsi="Times New Roman" w:eastAsia="宋体" w:cs="Times New Roman"/>
                <w:szCs w:val="21"/>
              </w:rPr>
            </w:pPr>
            <w:r>
              <w:rPr>
                <w:rFonts w:hint="eastAsia" w:ascii="Times New Roman" w:hAnsi="Times New Roman" w:eastAsia="宋体" w:cs="Times New Roman"/>
                <w:szCs w:val="21"/>
              </w:rPr>
              <w:t>喷漆</w:t>
            </w:r>
          </w:p>
        </w:tc>
        <w:tc>
          <w:tcPr>
            <w:tcW w:w="724" w:type="dxa"/>
            <w:tcBorders>
              <w:top w:val="single" w:color="auto" w:sz="4" w:space="0"/>
              <w:left w:val="single" w:color="auto" w:sz="4" w:space="0"/>
              <w:bottom w:val="single" w:color="auto" w:sz="4" w:space="0"/>
              <w:right w:val="single" w:color="auto" w:sz="4" w:space="0"/>
            </w:tcBorders>
            <w:vAlign w:val="center"/>
          </w:tcPr>
          <w:p w14:paraId="206A4166">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859" w:type="dxa"/>
            <w:tcBorders>
              <w:top w:val="single" w:color="auto" w:sz="4" w:space="0"/>
              <w:left w:val="single" w:color="auto" w:sz="4" w:space="0"/>
              <w:bottom w:val="single" w:color="auto" w:sz="4" w:space="0"/>
              <w:right w:val="single" w:color="auto" w:sz="4" w:space="0"/>
            </w:tcBorders>
          </w:tcPr>
          <w:p w14:paraId="6AFD2DEC">
            <w:pPr>
              <w:jc w:val="center"/>
              <w:rPr>
                <w:rFonts w:ascii="Times New Roman" w:hAnsi="Times New Roman" w:cs="Times New Roman"/>
                <w:szCs w:val="21"/>
              </w:rPr>
            </w:pPr>
            <w:r>
              <w:rPr>
                <w:rFonts w:hint="eastAsia" w:ascii="Times New Roman" w:hAnsi="Times New Roman" w:cs="Times New Roman"/>
                <w:bCs/>
                <w:szCs w:val="21"/>
              </w:rPr>
              <w:t>漆料</w:t>
            </w:r>
          </w:p>
        </w:tc>
        <w:tc>
          <w:tcPr>
            <w:tcW w:w="1245" w:type="dxa"/>
            <w:vMerge w:val="continue"/>
            <w:tcBorders>
              <w:left w:val="single" w:color="auto" w:sz="4" w:space="0"/>
              <w:right w:val="single" w:color="auto" w:sz="4" w:space="0"/>
            </w:tcBorders>
            <w:vAlign w:val="center"/>
          </w:tcPr>
          <w:p w14:paraId="740C927B">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5122CDBD">
            <w:pPr>
              <w:jc w:val="center"/>
              <w:rPr>
                <w:rFonts w:ascii="Times New Roman" w:hAnsi="Times New Roman" w:eastAsia="宋体" w:cs="Times New Roman"/>
                <w:szCs w:val="21"/>
              </w:rPr>
            </w:pPr>
            <w:r>
              <w:rPr>
                <w:rFonts w:hint="eastAsia" w:ascii="Times New Roman" w:hAnsi="Times New Roman" w:eastAsia="宋体" w:cs="Times New Roman"/>
                <w:szCs w:val="21"/>
              </w:rPr>
              <w:t>T，I</w:t>
            </w:r>
          </w:p>
        </w:tc>
        <w:tc>
          <w:tcPr>
            <w:tcW w:w="846" w:type="dxa"/>
            <w:tcBorders>
              <w:top w:val="single" w:color="auto" w:sz="4" w:space="0"/>
              <w:left w:val="single" w:color="auto" w:sz="4" w:space="0"/>
              <w:bottom w:val="single" w:color="auto" w:sz="4" w:space="0"/>
              <w:right w:val="single" w:color="auto" w:sz="4" w:space="0"/>
            </w:tcBorders>
            <w:vAlign w:val="center"/>
          </w:tcPr>
          <w:p w14:paraId="79D480CB">
            <w:pPr>
              <w:jc w:val="center"/>
              <w:rPr>
                <w:rFonts w:ascii="Times New Roman" w:hAnsi="Times New Roman" w:eastAsia="宋体" w:cs="Times New Roman"/>
                <w:szCs w:val="21"/>
              </w:rPr>
            </w:pPr>
            <w:r>
              <w:rPr>
                <w:rFonts w:hint="eastAsia" w:ascii="Times New Roman" w:hAnsi="Times New Roman" w:eastAsia="宋体" w:cs="Times New Roman"/>
                <w:szCs w:val="21"/>
              </w:rPr>
              <w:t>HW12</w:t>
            </w:r>
          </w:p>
        </w:tc>
        <w:tc>
          <w:tcPr>
            <w:tcW w:w="1262" w:type="dxa"/>
            <w:tcBorders>
              <w:top w:val="single" w:color="auto" w:sz="4" w:space="0"/>
              <w:left w:val="single" w:color="auto" w:sz="4" w:space="0"/>
              <w:bottom w:val="single" w:color="auto" w:sz="4" w:space="0"/>
              <w:right w:val="single" w:color="auto" w:sz="4" w:space="0"/>
            </w:tcBorders>
            <w:vAlign w:val="center"/>
          </w:tcPr>
          <w:p w14:paraId="1B4526A8">
            <w:pPr>
              <w:jc w:val="center"/>
              <w:rPr>
                <w:rFonts w:ascii="Times New Roman" w:hAnsi="Times New Roman" w:eastAsia="宋体" w:cs="Times New Roman"/>
                <w:szCs w:val="21"/>
              </w:rPr>
            </w:pPr>
            <w:r>
              <w:rPr>
                <w:rFonts w:hint="eastAsia" w:ascii="Times New Roman" w:hAnsi="Times New Roman" w:eastAsia="宋体" w:cs="Times New Roman"/>
                <w:szCs w:val="21"/>
              </w:rPr>
              <w:t>900-252-12</w:t>
            </w:r>
          </w:p>
        </w:tc>
        <w:tc>
          <w:tcPr>
            <w:tcW w:w="1204" w:type="dxa"/>
            <w:tcBorders>
              <w:top w:val="single" w:color="auto" w:sz="4" w:space="0"/>
              <w:left w:val="single" w:color="auto" w:sz="4" w:space="0"/>
              <w:bottom w:val="single" w:color="auto" w:sz="4" w:space="0"/>
              <w:right w:val="single" w:color="auto" w:sz="4" w:space="0"/>
            </w:tcBorders>
            <w:vAlign w:val="center"/>
          </w:tcPr>
          <w:p w14:paraId="54539D1D">
            <w:pPr>
              <w:jc w:val="center"/>
              <w:rPr>
                <w:rFonts w:ascii="Times New Roman" w:hAnsi="Times New Roman" w:eastAsia="宋体" w:cs="Times New Roman"/>
                <w:szCs w:val="21"/>
              </w:rPr>
            </w:pPr>
            <w:r>
              <w:rPr>
                <w:rFonts w:hint="eastAsia" w:ascii="Times New Roman" w:hAnsi="Times New Roman" w:cs="Times New Roman"/>
                <w:szCs w:val="21"/>
              </w:rPr>
              <w:t>3.15</w:t>
            </w:r>
          </w:p>
        </w:tc>
      </w:tr>
      <w:tr w14:paraId="5AF3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2CB2EB84">
            <w:pPr>
              <w:jc w:val="center"/>
              <w:rPr>
                <w:rFonts w:ascii="Times New Roman" w:hAnsi="Times New Roman" w:eastAsia="宋体" w:cs="Times New Roman"/>
                <w:szCs w:val="21"/>
              </w:rPr>
            </w:pPr>
            <w:r>
              <w:rPr>
                <w:rFonts w:hint="eastAsia" w:ascii="Times New Roman" w:hAnsi="Times New Roman" w:cs="Times New Roman"/>
                <w:szCs w:val="21"/>
              </w:rPr>
              <w:t>6</w:t>
            </w:r>
          </w:p>
        </w:tc>
        <w:tc>
          <w:tcPr>
            <w:tcW w:w="2345" w:type="dxa"/>
            <w:tcBorders>
              <w:top w:val="single" w:color="auto" w:sz="4" w:space="0"/>
              <w:left w:val="single" w:color="auto" w:sz="4" w:space="0"/>
              <w:bottom w:val="single" w:color="auto" w:sz="4" w:space="0"/>
              <w:right w:val="single" w:color="auto" w:sz="4" w:space="0"/>
            </w:tcBorders>
            <w:vAlign w:val="center"/>
          </w:tcPr>
          <w:p w14:paraId="6C25972B">
            <w:pPr>
              <w:jc w:val="center"/>
              <w:rPr>
                <w:rFonts w:ascii="Times New Roman" w:hAnsi="Times New Roman" w:eastAsia="宋体" w:cs="Times New Roman"/>
                <w:szCs w:val="21"/>
              </w:rPr>
            </w:pPr>
            <w:r>
              <w:rPr>
                <w:rFonts w:hint="eastAsia" w:ascii="Times New Roman" w:hAnsi="Times New Roman" w:eastAsia="宋体" w:cs="Times New Roman"/>
                <w:szCs w:val="21"/>
              </w:rPr>
              <w:t>油磨漆渣</w:t>
            </w:r>
          </w:p>
        </w:tc>
        <w:tc>
          <w:tcPr>
            <w:tcW w:w="1057" w:type="dxa"/>
            <w:tcBorders>
              <w:top w:val="single" w:color="auto" w:sz="4" w:space="0"/>
              <w:left w:val="single" w:color="auto" w:sz="4" w:space="0"/>
              <w:bottom w:val="single" w:color="auto" w:sz="4" w:space="0"/>
              <w:right w:val="single" w:color="auto" w:sz="4" w:space="0"/>
            </w:tcBorders>
            <w:vAlign w:val="center"/>
          </w:tcPr>
          <w:p w14:paraId="34D96408">
            <w:pPr>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1991" w:type="dxa"/>
            <w:tcBorders>
              <w:top w:val="single" w:color="auto" w:sz="4" w:space="0"/>
              <w:left w:val="single" w:color="auto" w:sz="4" w:space="0"/>
              <w:bottom w:val="single" w:color="auto" w:sz="4" w:space="0"/>
              <w:right w:val="single" w:color="auto" w:sz="4" w:space="0"/>
            </w:tcBorders>
            <w:vAlign w:val="center"/>
          </w:tcPr>
          <w:p w14:paraId="2661182E">
            <w:pPr>
              <w:jc w:val="center"/>
              <w:rPr>
                <w:rFonts w:ascii="Times New Roman" w:hAnsi="Times New Roman" w:eastAsia="宋体" w:cs="Times New Roman"/>
                <w:szCs w:val="21"/>
              </w:rPr>
            </w:pPr>
            <w:r>
              <w:rPr>
                <w:rFonts w:hint="eastAsia" w:ascii="Times New Roman" w:hAnsi="Times New Roman" w:eastAsia="宋体" w:cs="Times New Roman"/>
                <w:szCs w:val="21"/>
              </w:rPr>
              <w:t>油磨</w:t>
            </w:r>
          </w:p>
        </w:tc>
        <w:tc>
          <w:tcPr>
            <w:tcW w:w="724" w:type="dxa"/>
            <w:tcBorders>
              <w:top w:val="single" w:color="auto" w:sz="4" w:space="0"/>
              <w:left w:val="single" w:color="auto" w:sz="4" w:space="0"/>
              <w:bottom w:val="single" w:color="auto" w:sz="4" w:space="0"/>
              <w:right w:val="single" w:color="auto" w:sz="4" w:space="0"/>
            </w:tcBorders>
            <w:vAlign w:val="center"/>
          </w:tcPr>
          <w:p w14:paraId="553A9BF2">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859" w:type="dxa"/>
            <w:tcBorders>
              <w:top w:val="single" w:color="auto" w:sz="4" w:space="0"/>
              <w:left w:val="single" w:color="auto" w:sz="4" w:space="0"/>
              <w:bottom w:val="single" w:color="auto" w:sz="4" w:space="0"/>
              <w:right w:val="single" w:color="auto" w:sz="4" w:space="0"/>
            </w:tcBorders>
          </w:tcPr>
          <w:p w14:paraId="5F78E427">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245" w:type="dxa"/>
            <w:vMerge w:val="continue"/>
            <w:tcBorders>
              <w:left w:val="single" w:color="auto" w:sz="4" w:space="0"/>
              <w:right w:val="single" w:color="auto" w:sz="4" w:space="0"/>
            </w:tcBorders>
            <w:vAlign w:val="center"/>
          </w:tcPr>
          <w:p w14:paraId="4869568B">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7C90DC25">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T，I </w:t>
            </w:r>
          </w:p>
        </w:tc>
        <w:tc>
          <w:tcPr>
            <w:tcW w:w="846" w:type="dxa"/>
            <w:tcBorders>
              <w:top w:val="single" w:color="auto" w:sz="4" w:space="0"/>
              <w:left w:val="single" w:color="auto" w:sz="4" w:space="0"/>
              <w:bottom w:val="single" w:color="auto" w:sz="4" w:space="0"/>
              <w:right w:val="single" w:color="auto" w:sz="4" w:space="0"/>
            </w:tcBorders>
            <w:vAlign w:val="center"/>
          </w:tcPr>
          <w:p w14:paraId="4F861B14">
            <w:pPr>
              <w:jc w:val="center"/>
              <w:rPr>
                <w:rFonts w:ascii="Times New Roman" w:hAnsi="Times New Roman" w:eastAsia="宋体" w:cs="Times New Roman"/>
                <w:szCs w:val="21"/>
              </w:rPr>
            </w:pPr>
            <w:r>
              <w:rPr>
                <w:rFonts w:hint="eastAsia" w:ascii="Times New Roman" w:hAnsi="Times New Roman" w:eastAsia="宋体" w:cs="Times New Roman"/>
                <w:szCs w:val="21"/>
              </w:rPr>
              <w:t>HW12</w:t>
            </w:r>
          </w:p>
        </w:tc>
        <w:tc>
          <w:tcPr>
            <w:tcW w:w="1262" w:type="dxa"/>
            <w:tcBorders>
              <w:top w:val="single" w:color="auto" w:sz="4" w:space="0"/>
              <w:left w:val="single" w:color="auto" w:sz="4" w:space="0"/>
              <w:bottom w:val="single" w:color="auto" w:sz="4" w:space="0"/>
              <w:right w:val="single" w:color="auto" w:sz="4" w:space="0"/>
            </w:tcBorders>
            <w:vAlign w:val="center"/>
          </w:tcPr>
          <w:p w14:paraId="0B80256A">
            <w:pPr>
              <w:jc w:val="center"/>
              <w:rPr>
                <w:rFonts w:ascii="Times New Roman" w:hAnsi="Times New Roman" w:eastAsia="宋体" w:cs="Times New Roman"/>
                <w:szCs w:val="21"/>
              </w:rPr>
            </w:pPr>
            <w:r>
              <w:rPr>
                <w:rFonts w:ascii="Times New Roman" w:hAnsi="Times New Roman" w:eastAsia="宋体" w:cs="Times New Roman"/>
                <w:szCs w:val="21"/>
              </w:rPr>
              <w:t>900-252-12</w:t>
            </w:r>
          </w:p>
        </w:tc>
        <w:tc>
          <w:tcPr>
            <w:tcW w:w="1204" w:type="dxa"/>
            <w:tcBorders>
              <w:top w:val="single" w:color="auto" w:sz="4" w:space="0"/>
              <w:left w:val="single" w:color="auto" w:sz="4" w:space="0"/>
              <w:bottom w:val="single" w:color="auto" w:sz="4" w:space="0"/>
              <w:right w:val="single" w:color="auto" w:sz="4" w:space="0"/>
            </w:tcBorders>
            <w:vAlign w:val="center"/>
          </w:tcPr>
          <w:p w14:paraId="5FA04A3A">
            <w:pPr>
              <w:jc w:val="center"/>
              <w:rPr>
                <w:rFonts w:ascii="Times New Roman" w:hAnsi="Times New Roman" w:eastAsia="宋体" w:cs="Times New Roman"/>
                <w:szCs w:val="21"/>
              </w:rPr>
            </w:pPr>
            <w:r>
              <w:rPr>
                <w:rFonts w:hint="eastAsia" w:ascii="Times New Roman" w:hAnsi="Times New Roman" w:cs="Times New Roman"/>
                <w:szCs w:val="21"/>
              </w:rPr>
              <w:t>1.519</w:t>
            </w:r>
          </w:p>
        </w:tc>
      </w:tr>
      <w:tr w14:paraId="5089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36FC0FD1">
            <w:pPr>
              <w:jc w:val="center"/>
              <w:rPr>
                <w:rFonts w:ascii="Times New Roman" w:hAnsi="Times New Roman" w:eastAsia="宋体" w:cs="Times New Roman"/>
                <w:szCs w:val="21"/>
              </w:rPr>
            </w:pPr>
            <w:r>
              <w:rPr>
                <w:rFonts w:hint="eastAsia" w:ascii="Times New Roman" w:hAnsi="Times New Roman" w:cs="Times New Roman"/>
                <w:szCs w:val="21"/>
              </w:rPr>
              <w:t>7</w:t>
            </w:r>
          </w:p>
        </w:tc>
        <w:tc>
          <w:tcPr>
            <w:tcW w:w="2345" w:type="dxa"/>
            <w:tcBorders>
              <w:top w:val="single" w:color="auto" w:sz="4" w:space="0"/>
              <w:left w:val="single" w:color="auto" w:sz="4" w:space="0"/>
              <w:bottom w:val="single" w:color="auto" w:sz="4" w:space="0"/>
              <w:right w:val="single" w:color="auto" w:sz="4" w:space="0"/>
            </w:tcBorders>
            <w:vAlign w:val="center"/>
          </w:tcPr>
          <w:p w14:paraId="6B99AFFF">
            <w:pPr>
              <w:jc w:val="center"/>
              <w:rPr>
                <w:rFonts w:ascii="Times New Roman" w:hAnsi="Times New Roman" w:eastAsia="宋体" w:cs="Times New Roman"/>
                <w:szCs w:val="21"/>
              </w:rPr>
            </w:pPr>
            <w:r>
              <w:rPr>
                <w:rFonts w:hint="eastAsia" w:ascii="Times New Roman" w:hAnsi="Times New Roman" w:eastAsia="宋体" w:cs="Times New Roman"/>
                <w:szCs w:val="21"/>
              </w:rPr>
              <w:t>污水处理站絮状沉淀物</w:t>
            </w:r>
          </w:p>
        </w:tc>
        <w:tc>
          <w:tcPr>
            <w:tcW w:w="1057" w:type="dxa"/>
            <w:tcBorders>
              <w:top w:val="single" w:color="auto" w:sz="4" w:space="0"/>
              <w:left w:val="single" w:color="auto" w:sz="4" w:space="0"/>
              <w:bottom w:val="single" w:color="auto" w:sz="4" w:space="0"/>
              <w:right w:val="single" w:color="auto" w:sz="4" w:space="0"/>
            </w:tcBorders>
            <w:vAlign w:val="center"/>
          </w:tcPr>
          <w:p w14:paraId="1F7A8170">
            <w:pPr>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1991" w:type="dxa"/>
            <w:tcBorders>
              <w:top w:val="single" w:color="auto" w:sz="4" w:space="0"/>
              <w:left w:val="single" w:color="auto" w:sz="4" w:space="0"/>
              <w:bottom w:val="single" w:color="auto" w:sz="4" w:space="0"/>
              <w:right w:val="single" w:color="auto" w:sz="4" w:space="0"/>
            </w:tcBorders>
            <w:vAlign w:val="center"/>
          </w:tcPr>
          <w:p w14:paraId="0760A137">
            <w:pPr>
              <w:jc w:val="center"/>
              <w:rPr>
                <w:rFonts w:ascii="Times New Roman" w:hAnsi="Times New Roman" w:eastAsia="宋体" w:cs="Times New Roman"/>
                <w:szCs w:val="21"/>
              </w:rPr>
            </w:pPr>
            <w:r>
              <w:rPr>
                <w:rFonts w:hint="eastAsia" w:ascii="Times New Roman" w:hAnsi="Times New Roman" w:eastAsia="宋体" w:cs="Times New Roman"/>
                <w:szCs w:val="21"/>
              </w:rPr>
              <w:t>污水处理站</w:t>
            </w:r>
          </w:p>
        </w:tc>
        <w:tc>
          <w:tcPr>
            <w:tcW w:w="724" w:type="dxa"/>
            <w:tcBorders>
              <w:top w:val="single" w:color="auto" w:sz="4" w:space="0"/>
              <w:left w:val="single" w:color="auto" w:sz="4" w:space="0"/>
              <w:bottom w:val="single" w:color="auto" w:sz="4" w:space="0"/>
              <w:right w:val="single" w:color="auto" w:sz="4" w:space="0"/>
            </w:tcBorders>
            <w:vAlign w:val="center"/>
          </w:tcPr>
          <w:p w14:paraId="23200157">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859" w:type="dxa"/>
            <w:tcBorders>
              <w:top w:val="single" w:color="auto" w:sz="4" w:space="0"/>
              <w:left w:val="single" w:color="auto" w:sz="4" w:space="0"/>
              <w:bottom w:val="single" w:color="auto" w:sz="4" w:space="0"/>
              <w:right w:val="single" w:color="auto" w:sz="4" w:space="0"/>
            </w:tcBorders>
            <w:vAlign w:val="center"/>
          </w:tcPr>
          <w:p w14:paraId="0643EBFD">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245" w:type="dxa"/>
            <w:vMerge w:val="continue"/>
            <w:tcBorders>
              <w:left w:val="single" w:color="auto" w:sz="4" w:space="0"/>
              <w:right w:val="single" w:color="auto" w:sz="4" w:space="0"/>
            </w:tcBorders>
            <w:vAlign w:val="center"/>
          </w:tcPr>
          <w:p w14:paraId="6EEEB89B">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7EC0B0BB">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T，In </w:t>
            </w:r>
          </w:p>
        </w:tc>
        <w:tc>
          <w:tcPr>
            <w:tcW w:w="846" w:type="dxa"/>
            <w:tcBorders>
              <w:top w:val="single" w:color="auto" w:sz="4" w:space="0"/>
              <w:left w:val="single" w:color="auto" w:sz="4" w:space="0"/>
              <w:bottom w:val="single" w:color="auto" w:sz="4" w:space="0"/>
              <w:right w:val="single" w:color="auto" w:sz="4" w:space="0"/>
            </w:tcBorders>
            <w:vAlign w:val="center"/>
          </w:tcPr>
          <w:p w14:paraId="7154EBD5">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62" w:type="dxa"/>
            <w:tcBorders>
              <w:top w:val="single" w:color="auto" w:sz="4" w:space="0"/>
              <w:left w:val="single" w:color="auto" w:sz="4" w:space="0"/>
              <w:bottom w:val="single" w:color="auto" w:sz="4" w:space="0"/>
              <w:right w:val="single" w:color="auto" w:sz="4" w:space="0"/>
            </w:tcBorders>
            <w:vAlign w:val="center"/>
          </w:tcPr>
          <w:p w14:paraId="0E50F735">
            <w:pPr>
              <w:jc w:val="center"/>
              <w:rPr>
                <w:rFonts w:ascii="Times New Roman" w:hAnsi="Times New Roman" w:eastAsia="宋体" w:cs="Times New Roman"/>
                <w:szCs w:val="21"/>
              </w:rPr>
            </w:pPr>
            <w:r>
              <w:rPr>
                <w:rFonts w:ascii="Times New Roman" w:hAnsi="Times New Roman" w:eastAsia="宋体" w:cs="Times New Roman"/>
                <w:szCs w:val="21"/>
              </w:rPr>
              <w:t>772-006-49</w:t>
            </w:r>
          </w:p>
        </w:tc>
        <w:tc>
          <w:tcPr>
            <w:tcW w:w="1204" w:type="dxa"/>
            <w:tcBorders>
              <w:top w:val="single" w:color="auto" w:sz="4" w:space="0"/>
              <w:left w:val="single" w:color="auto" w:sz="4" w:space="0"/>
              <w:bottom w:val="single" w:color="auto" w:sz="4" w:space="0"/>
              <w:right w:val="single" w:color="auto" w:sz="4" w:space="0"/>
            </w:tcBorders>
            <w:vAlign w:val="center"/>
          </w:tcPr>
          <w:p w14:paraId="4A22EDC3">
            <w:pPr>
              <w:jc w:val="center"/>
              <w:rPr>
                <w:rFonts w:ascii="Times New Roman" w:hAnsi="Times New Roman" w:eastAsia="宋体" w:cs="Times New Roman"/>
                <w:szCs w:val="21"/>
              </w:rPr>
            </w:pPr>
            <w:r>
              <w:rPr>
                <w:rFonts w:hint="eastAsia" w:ascii="Times New Roman" w:hAnsi="Times New Roman" w:cs="Times New Roman"/>
                <w:szCs w:val="21"/>
              </w:rPr>
              <w:t>0.1</w:t>
            </w:r>
          </w:p>
        </w:tc>
      </w:tr>
      <w:tr w14:paraId="22A8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092EF84F">
            <w:pPr>
              <w:jc w:val="center"/>
              <w:rPr>
                <w:rFonts w:ascii="Times New Roman" w:hAnsi="Times New Roman" w:eastAsia="宋体" w:cs="Times New Roman"/>
                <w:szCs w:val="21"/>
              </w:rPr>
            </w:pPr>
            <w:r>
              <w:rPr>
                <w:rFonts w:hint="eastAsia" w:ascii="Times New Roman" w:hAnsi="Times New Roman" w:cs="Times New Roman"/>
                <w:szCs w:val="21"/>
              </w:rPr>
              <w:t>8</w:t>
            </w:r>
          </w:p>
        </w:tc>
        <w:tc>
          <w:tcPr>
            <w:tcW w:w="2345" w:type="dxa"/>
            <w:tcBorders>
              <w:top w:val="single" w:color="auto" w:sz="4" w:space="0"/>
              <w:left w:val="single" w:color="auto" w:sz="4" w:space="0"/>
              <w:bottom w:val="single" w:color="auto" w:sz="4" w:space="0"/>
              <w:right w:val="single" w:color="auto" w:sz="4" w:space="0"/>
            </w:tcBorders>
            <w:vAlign w:val="center"/>
          </w:tcPr>
          <w:p w14:paraId="62CBE90B">
            <w:pPr>
              <w:jc w:val="center"/>
              <w:rPr>
                <w:rFonts w:ascii="Times New Roman" w:hAnsi="Times New Roman" w:eastAsia="宋体" w:cs="Times New Roman"/>
                <w:szCs w:val="21"/>
              </w:rPr>
            </w:pPr>
            <w:r>
              <w:rPr>
                <w:rFonts w:hint="eastAsia" w:ascii="Times New Roman" w:hAnsi="Times New Roman" w:eastAsia="宋体" w:cs="Times New Roman"/>
                <w:szCs w:val="21"/>
              </w:rPr>
              <w:t>废活性炭</w:t>
            </w:r>
          </w:p>
        </w:tc>
        <w:tc>
          <w:tcPr>
            <w:tcW w:w="1057" w:type="dxa"/>
            <w:tcBorders>
              <w:top w:val="single" w:color="auto" w:sz="4" w:space="0"/>
              <w:left w:val="single" w:color="auto" w:sz="4" w:space="0"/>
              <w:bottom w:val="single" w:color="auto" w:sz="4" w:space="0"/>
              <w:right w:val="single" w:color="auto" w:sz="4" w:space="0"/>
            </w:tcBorders>
            <w:vAlign w:val="center"/>
          </w:tcPr>
          <w:p w14:paraId="68B3AA0F">
            <w:pPr>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1991" w:type="dxa"/>
            <w:tcBorders>
              <w:top w:val="single" w:color="auto" w:sz="4" w:space="0"/>
              <w:left w:val="single" w:color="auto" w:sz="4" w:space="0"/>
              <w:bottom w:val="single" w:color="auto" w:sz="4" w:space="0"/>
              <w:right w:val="single" w:color="auto" w:sz="4" w:space="0"/>
            </w:tcBorders>
            <w:vAlign w:val="center"/>
          </w:tcPr>
          <w:p w14:paraId="055F4EE0">
            <w:pPr>
              <w:jc w:val="center"/>
              <w:rPr>
                <w:rFonts w:ascii="Times New Roman" w:hAnsi="Times New Roman" w:eastAsia="宋体" w:cs="Times New Roman"/>
                <w:szCs w:val="21"/>
              </w:rPr>
            </w:pPr>
            <w:r>
              <w:rPr>
                <w:rFonts w:hint="eastAsia" w:ascii="Times New Roman" w:hAnsi="Times New Roman" w:cs="Times New Roman"/>
                <w:szCs w:val="21"/>
              </w:rPr>
              <w:t>废气治理设施</w:t>
            </w:r>
          </w:p>
        </w:tc>
        <w:tc>
          <w:tcPr>
            <w:tcW w:w="724" w:type="dxa"/>
            <w:tcBorders>
              <w:top w:val="single" w:color="auto" w:sz="4" w:space="0"/>
              <w:left w:val="single" w:color="auto" w:sz="4" w:space="0"/>
              <w:bottom w:val="single" w:color="auto" w:sz="4" w:space="0"/>
              <w:right w:val="single" w:color="auto" w:sz="4" w:space="0"/>
            </w:tcBorders>
            <w:vAlign w:val="center"/>
          </w:tcPr>
          <w:p w14:paraId="256405A8">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859" w:type="dxa"/>
            <w:tcBorders>
              <w:top w:val="single" w:color="auto" w:sz="4" w:space="0"/>
              <w:left w:val="single" w:color="auto" w:sz="4" w:space="0"/>
              <w:bottom w:val="single" w:color="auto" w:sz="4" w:space="0"/>
              <w:right w:val="single" w:color="auto" w:sz="4" w:space="0"/>
            </w:tcBorders>
            <w:vAlign w:val="center"/>
          </w:tcPr>
          <w:p w14:paraId="65A87BFE">
            <w:pPr>
              <w:jc w:val="center"/>
              <w:rPr>
                <w:rFonts w:ascii="Times New Roman" w:hAnsi="Times New Roman" w:eastAsia="宋体" w:cs="Times New Roman"/>
                <w:szCs w:val="21"/>
              </w:rPr>
            </w:pPr>
            <w:r>
              <w:rPr>
                <w:rFonts w:hint="eastAsia" w:ascii="Times New Roman" w:hAnsi="Times New Roman" w:cs="Times New Roman"/>
                <w:szCs w:val="21"/>
              </w:rPr>
              <w:t>有机物、</w:t>
            </w:r>
            <w:r>
              <w:rPr>
                <w:rFonts w:hint="eastAsia" w:ascii="Times New Roman" w:hAnsi="Times New Roman" w:cs="Times New Roman"/>
                <w:bCs/>
                <w:szCs w:val="21"/>
              </w:rPr>
              <w:t>漆料</w:t>
            </w:r>
          </w:p>
        </w:tc>
        <w:tc>
          <w:tcPr>
            <w:tcW w:w="1245" w:type="dxa"/>
            <w:vMerge w:val="continue"/>
            <w:tcBorders>
              <w:left w:val="single" w:color="auto" w:sz="4" w:space="0"/>
              <w:right w:val="single" w:color="auto" w:sz="4" w:space="0"/>
            </w:tcBorders>
            <w:vAlign w:val="center"/>
          </w:tcPr>
          <w:p w14:paraId="468F381F">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0EE34F5D">
            <w:pPr>
              <w:jc w:val="center"/>
              <w:rPr>
                <w:rFonts w:ascii="Times New Roman" w:hAnsi="Times New Roman" w:eastAsia="宋体" w:cs="Times New Roman"/>
                <w:szCs w:val="21"/>
              </w:rPr>
            </w:pPr>
            <w:r>
              <w:rPr>
                <w:rFonts w:hint="eastAsia" w:ascii="Times New Roman" w:hAnsi="Times New Roman" w:eastAsia="宋体" w:cs="Times New Roman"/>
                <w:szCs w:val="21"/>
              </w:rPr>
              <w:t>T</w:t>
            </w:r>
          </w:p>
        </w:tc>
        <w:tc>
          <w:tcPr>
            <w:tcW w:w="846" w:type="dxa"/>
            <w:tcBorders>
              <w:top w:val="single" w:color="auto" w:sz="4" w:space="0"/>
              <w:left w:val="single" w:color="auto" w:sz="4" w:space="0"/>
              <w:bottom w:val="single" w:color="auto" w:sz="4" w:space="0"/>
              <w:right w:val="single" w:color="auto" w:sz="4" w:space="0"/>
            </w:tcBorders>
            <w:vAlign w:val="center"/>
          </w:tcPr>
          <w:p w14:paraId="61E010E8">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62" w:type="dxa"/>
            <w:tcBorders>
              <w:top w:val="single" w:color="auto" w:sz="4" w:space="0"/>
              <w:left w:val="single" w:color="auto" w:sz="4" w:space="0"/>
              <w:bottom w:val="single" w:color="auto" w:sz="4" w:space="0"/>
              <w:right w:val="single" w:color="auto" w:sz="4" w:space="0"/>
            </w:tcBorders>
            <w:vAlign w:val="center"/>
          </w:tcPr>
          <w:p w14:paraId="5EA2EEBE">
            <w:pPr>
              <w:jc w:val="center"/>
              <w:rPr>
                <w:rFonts w:ascii="Times New Roman" w:hAnsi="Times New Roman" w:eastAsia="宋体" w:cs="Times New Roman"/>
                <w:szCs w:val="21"/>
              </w:rPr>
            </w:pPr>
            <w:r>
              <w:rPr>
                <w:rFonts w:hint="eastAsia" w:ascii="Times New Roman" w:hAnsi="Times New Roman" w:eastAsia="宋体" w:cs="Times New Roman"/>
                <w:szCs w:val="21"/>
              </w:rPr>
              <w:t>900-039-49</w:t>
            </w:r>
          </w:p>
        </w:tc>
        <w:tc>
          <w:tcPr>
            <w:tcW w:w="1204" w:type="dxa"/>
            <w:tcBorders>
              <w:top w:val="single" w:color="auto" w:sz="4" w:space="0"/>
              <w:left w:val="single" w:color="auto" w:sz="4" w:space="0"/>
              <w:bottom w:val="single" w:color="auto" w:sz="4" w:space="0"/>
              <w:right w:val="single" w:color="auto" w:sz="4" w:space="0"/>
            </w:tcBorders>
            <w:vAlign w:val="center"/>
          </w:tcPr>
          <w:p w14:paraId="12C59B58">
            <w:pPr>
              <w:jc w:val="center"/>
              <w:rPr>
                <w:rFonts w:ascii="Times New Roman" w:hAnsi="Times New Roman" w:eastAsia="宋体" w:cs="Times New Roman"/>
                <w:szCs w:val="21"/>
              </w:rPr>
            </w:pPr>
            <w:r>
              <w:rPr>
                <w:rFonts w:hint="eastAsia" w:ascii="Times New Roman" w:hAnsi="Times New Roman" w:cs="Times New Roman"/>
                <w:szCs w:val="21"/>
              </w:rPr>
              <w:t>2</w:t>
            </w:r>
          </w:p>
        </w:tc>
      </w:tr>
      <w:tr w14:paraId="5BB4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701F8B9E">
            <w:pPr>
              <w:jc w:val="center"/>
              <w:rPr>
                <w:rFonts w:ascii="Times New Roman" w:hAnsi="Times New Roman" w:eastAsia="宋体" w:cs="Times New Roman"/>
                <w:szCs w:val="21"/>
              </w:rPr>
            </w:pPr>
            <w:r>
              <w:rPr>
                <w:rFonts w:hint="eastAsia" w:ascii="Times New Roman" w:hAnsi="Times New Roman" w:cs="Times New Roman"/>
                <w:szCs w:val="21"/>
              </w:rPr>
              <w:t>9</w:t>
            </w:r>
          </w:p>
        </w:tc>
        <w:tc>
          <w:tcPr>
            <w:tcW w:w="2345" w:type="dxa"/>
            <w:tcBorders>
              <w:top w:val="single" w:color="auto" w:sz="4" w:space="0"/>
              <w:left w:val="single" w:color="auto" w:sz="4" w:space="0"/>
              <w:bottom w:val="single" w:color="auto" w:sz="4" w:space="0"/>
              <w:right w:val="single" w:color="auto" w:sz="4" w:space="0"/>
            </w:tcBorders>
            <w:vAlign w:val="center"/>
          </w:tcPr>
          <w:p w14:paraId="31A96BC4">
            <w:pPr>
              <w:jc w:val="center"/>
              <w:rPr>
                <w:rFonts w:ascii="Times New Roman" w:hAnsi="Times New Roman" w:eastAsia="宋体" w:cs="Times New Roman"/>
                <w:szCs w:val="21"/>
              </w:rPr>
            </w:pPr>
            <w:r>
              <w:rPr>
                <w:rFonts w:hint="eastAsia" w:ascii="Times New Roman" w:hAnsi="Times New Roman" w:eastAsia="宋体" w:cs="Times New Roman"/>
                <w:szCs w:val="21"/>
              </w:rPr>
              <w:t>喷枪清洗废水</w:t>
            </w:r>
          </w:p>
        </w:tc>
        <w:tc>
          <w:tcPr>
            <w:tcW w:w="1057" w:type="dxa"/>
            <w:tcBorders>
              <w:top w:val="single" w:color="auto" w:sz="4" w:space="0"/>
              <w:left w:val="single" w:color="auto" w:sz="4" w:space="0"/>
              <w:bottom w:val="single" w:color="auto" w:sz="4" w:space="0"/>
              <w:right w:val="single" w:color="auto" w:sz="4" w:space="0"/>
            </w:tcBorders>
            <w:vAlign w:val="center"/>
          </w:tcPr>
          <w:p w14:paraId="634A5AC3">
            <w:pPr>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1991" w:type="dxa"/>
            <w:tcBorders>
              <w:top w:val="single" w:color="auto" w:sz="4" w:space="0"/>
              <w:left w:val="single" w:color="auto" w:sz="4" w:space="0"/>
              <w:bottom w:val="single" w:color="auto" w:sz="4" w:space="0"/>
              <w:right w:val="single" w:color="auto" w:sz="4" w:space="0"/>
            </w:tcBorders>
            <w:vAlign w:val="center"/>
          </w:tcPr>
          <w:p w14:paraId="4F8F1D82">
            <w:pPr>
              <w:jc w:val="center"/>
              <w:rPr>
                <w:rFonts w:ascii="Times New Roman" w:hAnsi="Times New Roman" w:eastAsia="宋体" w:cs="Times New Roman"/>
                <w:szCs w:val="21"/>
              </w:rPr>
            </w:pPr>
            <w:r>
              <w:rPr>
                <w:rFonts w:hint="eastAsia" w:ascii="Times New Roman" w:hAnsi="Times New Roman" w:cs="Times New Roman"/>
                <w:szCs w:val="21"/>
              </w:rPr>
              <w:t>喷枪清洗</w:t>
            </w:r>
          </w:p>
        </w:tc>
        <w:tc>
          <w:tcPr>
            <w:tcW w:w="724" w:type="dxa"/>
            <w:tcBorders>
              <w:top w:val="single" w:color="auto" w:sz="4" w:space="0"/>
              <w:left w:val="single" w:color="auto" w:sz="4" w:space="0"/>
              <w:bottom w:val="single" w:color="auto" w:sz="4" w:space="0"/>
              <w:right w:val="single" w:color="auto" w:sz="4" w:space="0"/>
            </w:tcBorders>
            <w:vAlign w:val="center"/>
          </w:tcPr>
          <w:p w14:paraId="789EF66A">
            <w:pPr>
              <w:jc w:val="center"/>
              <w:rPr>
                <w:rFonts w:ascii="Times New Roman" w:hAnsi="Times New Roman" w:eastAsia="宋体" w:cs="Times New Roman"/>
                <w:szCs w:val="21"/>
              </w:rPr>
            </w:pPr>
            <w:r>
              <w:rPr>
                <w:rFonts w:hint="eastAsia" w:ascii="Times New Roman" w:hAnsi="Times New Roman" w:eastAsia="宋体" w:cs="Times New Roman"/>
                <w:szCs w:val="21"/>
              </w:rPr>
              <w:t>液态</w:t>
            </w:r>
          </w:p>
        </w:tc>
        <w:tc>
          <w:tcPr>
            <w:tcW w:w="1859" w:type="dxa"/>
            <w:tcBorders>
              <w:top w:val="single" w:color="auto" w:sz="4" w:space="0"/>
              <w:left w:val="single" w:color="auto" w:sz="4" w:space="0"/>
              <w:bottom w:val="single" w:color="auto" w:sz="4" w:space="0"/>
              <w:right w:val="single" w:color="auto" w:sz="4" w:space="0"/>
            </w:tcBorders>
            <w:vAlign w:val="center"/>
          </w:tcPr>
          <w:p w14:paraId="6D6189B1">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245" w:type="dxa"/>
            <w:vMerge w:val="continue"/>
            <w:tcBorders>
              <w:left w:val="single" w:color="auto" w:sz="4" w:space="0"/>
              <w:right w:val="single" w:color="auto" w:sz="4" w:space="0"/>
            </w:tcBorders>
            <w:vAlign w:val="center"/>
          </w:tcPr>
          <w:p w14:paraId="4DD6FE99">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53B12769">
            <w:pPr>
              <w:jc w:val="center"/>
              <w:rPr>
                <w:rFonts w:ascii="Times New Roman" w:hAnsi="Times New Roman" w:eastAsia="宋体" w:cs="Times New Roman"/>
                <w:szCs w:val="21"/>
              </w:rPr>
            </w:pPr>
            <w:r>
              <w:rPr>
                <w:rFonts w:ascii="Times New Roman" w:hAnsi="Times New Roman" w:eastAsia="宋体" w:cs="Times New Roman"/>
                <w:szCs w:val="21"/>
              </w:rPr>
              <w:t>T</w:t>
            </w:r>
          </w:p>
        </w:tc>
        <w:tc>
          <w:tcPr>
            <w:tcW w:w="846" w:type="dxa"/>
            <w:tcBorders>
              <w:top w:val="single" w:color="auto" w:sz="4" w:space="0"/>
              <w:left w:val="single" w:color="auto" w:sz="4" w:space="0"/>
              <w:bottom w:val="single" w:color="auto" w:sz="4" w:space="0"/>
              <w:right w:val="single" w:color="auto" w:sz="4" w:space="0"/>
            </w:tcBorders>
            <w:vAlign w:val="center"/>
          </w:tcPr>
          <w:p w14:paraId="1DC617CA">
            <w:pPr>
              <w:jc w:val="center"/>
              <w:rPr>
                <w:rFonts w:ascii="Times New Roman" w:hAnsi="Times New Roman" w:eastAsia="宋体" w:cs="Times New Roman"/>
                <w:szCs w:val="21"/>
              </w:rPr>
            </w:pPr>
            <w:r>
              <w:rPr>
                <w:rFonts w:hint="eastAsia" w:ascii="Times New Roman" w:hAnsi="Times New Roman" w:eastAsia="宋体" w:cs="Times New Roman"/>
                <w:szCs w:val="21"/>
              </w:rPr>
              <w:t>HW09</w:t>
            </w:r>
          </w:p>
        </w:tc>
        <w:tc>
          <w:tcPr>
            <w:tcW w:w="1262" w:type="dxa"/>
            <w:tcBorders>
              <w:top w:val="single" w:color="auto" w:sz="4" w:space="0"/>
              <w:left w:val="single" w:color="auto" w:sz="4" w:space="0"/>
              <w:bottom w:val="single" w:color="auto" w:sz="4" w:space="0"/>
              <w:right w:val="single" w:color="auto" w:sz="4" w:space="0"/>
            </w:tcBorders>
            <w:vAlign w:val="center"/>
          </w:tcPr>
          <w:p w14:paraId="109C2B49">
            <w:pPr>
              <w:jc w:val="center"/>
              <w:rPr>
                <w:rFonts w:ascii="Times New Roman" w:hAnsi="Times New Roman" w:eastAsia="宋体" w:cs="Times New Roman"/>
                <w:szCs w:val="21"/>
              </w:rPr>
            </w:pPr>
            <w:r>
              <w:rPr>
                <w:rFonts w:ascii="Times New Roman" w:hAnsi="Times New Roman" w:eastAsia="宋体" w:cs="Times New Roman"/>
                <w:szCs w:val="21"/>
              </w:rPr>
              <w:t>900-007-09</w:t>
            </w:r>
          </w:p>
        </w:tc>
        <w:tc>
          <w:tcPr>
            <w:tcW w:w="1204" w:type="dxa"/>
            <w:tcBorders>
              <w:top w:val="single" w:color="auto" w:sz="4" w:space="0"/>
              <w:left w:val="single" w:color="auto" w:sz="4" w:space="0"/>
              <w:bottom w:val="single" w:color="auto" w:sz="4" w:space="0"/>
              <w:right w:val="single" w:color="auto" w:sz="4" w:space="0"/>
            </w:tcBorders>
            <w:vAlign w:val="center"/>
          </w:tcPr>
          <w:p w14:paraId="4B3C23BD">
            <w:pPr>
              <w:jc w:val="center"/>
              <w:rPr>
                <w:rFonts w:ascii="Times New Roman" w:hAnsi="Times New Roman" w:eastAsia="宋体" w:cs="Times New Roman"/>
                <w:szCs w:val="21"/>
              </w:rPr>
            </w:pPr>
            <w:r>
              <w:rPr>
                <w:rFonts w:hint="eastAsia" w:ascii="Times New Roman" w:hAnsi="Times New Roman" w:cs="Times New Roman"/>
                <w:szCs w:val="21"/>
              </w:rPr>
              <w:t>0.2</w:t>
            </w:r>
          </w:p>
        </w:tc>
      </w:tr>
      <w:tr w14:paraId="0287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42FB4A17">
            <w:pPr>
              <w:jc w:val="center"/>
              <w:rPr>
                <w:rFonts w:ascii="Times New Roman" w:hAnsi="Times New Roman" w:eastAsia="宋体" w:cs="Times New Roman"/>
                <w:szCs w:val="21"/>
              </w:rPr>
            </w:pPr>
            <w:r>
              <w:rPr>
                <w:rFonts w:hint="eastAsia" w:ascii="Times New Roman" w:hAnsi="Times New Roman" w:cs="Times New Roman"/>
                <w:szCs w:val="21"/>
              </w:rPr>
              <w:t>10</w:t>
            </w:r>
          </w:p>
        </w:tc>
        <w:tc>
          <w:tcPr>
            <w:tcW w:w="2345" w:type="dxa"/>
            <w:tcBorders>
              <w:top w:val="single" w:color="auto" w:sz="4" w:space="0"/>
              <w:left w:val="single" w:color="auto" w:sz="4" w:space="0"/>
              <w:bottom w:val="single" w:color="auto" w:sz="4" w:space="0"/>
              <w:right w:val="single" w:color="auto" w:sz="4" w:space="0"/>
            </w:tcBorders>
            <w:vAlign w:val="center"/>
          </w:tcPr>
          <w:p w14:paraId="6AB72D51">
            <w:pPr>
              <w:jc w:val="center"/>
              <w:rPr>
                <w:rFonts w:ascii="Times New Roman" w:hAnsi="Times New Roman" w:eastAsia="宋体" w:cs="Times New Roman"/>
                <w:szCs w:val="21"/>
              </w:rPr>
            </w:pPr>
            <w:r>
              <w:rPr>
                <w:rFonts w:hint="eastAsia" w:ascii="Times New Roman" w:hAnsi="Times New Roman" w:eastAsia="宋体" w:cs="Times New Roman"/>
                <w:szCs w:val="21"/>
              </w:rPr>
              <w:t>废催化剂</w:t>
            </w:r>
          </w:p>
        </w:tc>
        <w:tc>
          <w:tcPr>
            <w:tcW w:w="1057" w:type="dxa"/>
            <w:tcBorders>
              <w:top w:val="single" w:color="auto" w:sz="4" w:space="0"/>
              <w:left w:val="single" w:color="auto" w:sz="4" w:space="0"/>
              <w:bottom w:val="single" w:color="auto" w:sz="4" w:space="0"/>
              <w:right w:val="single" w:color="auto" w:sz="4" w:space="0"/>
            </w:tcBorders>
            <w:vAlign w:val="center"/>
          </w:tcPr>
          <w:p w14:paraId="61C68DA1">
            <w:pPr>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1991" w:type="dxa"/>
            <w:tcBorders>
              <w:top w:val="single" w:color="auto" w:sz="4" w:space="0"/>
              <w:left w:val="single" w:color="auto" w:sz="4" w:space="0"/>
              <w:bottom w:val="single" w:color="auto" w:sz="4" w:space="0"/>
              <w:right w:val="single" w:color="auto" w:sz="4" w:space="0"/>
            </w:tcBorders>
            <w:vAlign w:val="center"/>
          </w:tcPr>
          <w:p w14:paraId="76D0938E">
            <w:pPr>
              <w:jc w:val="center"/>
              <w:rPr>
                <w:rFonts w:ascii="Times New Roman" w:hAnsi="Times New Roman" w:cs="Times New Roman"/>
                <w:szCs w:val="21"/>
              </w:rPr>
            </w:pPr>
            <w:r>
              <w:rPr>
                <w:rFonts w:hint="eastAsia" w:ascii="Times New Roman" w:hAnsi="Times New Roman" w:cs="Times New Roman"/>
                <w:szCs w:val="21"/>
              </w:rPr>
              <w:t>废气治理设施</w:t>
            </w:r>
          </w:p>
        </w:tc>
        <w:tc>
          <w:tcPr>
            <w:tcW w:w="724" w:type="dxa"/>
            <w:tcBorders>
              <w:top w:val="single" w:color="auto" w:sz="4" w:space="0"/>
              <w:left w:val="single" w:color="auto" w:sz="4" w:space="0"/>
              <w:bottom w:val="single" w:color="auto" w:sz="4" w:space="0"/>
              <w:right w:val="single" w:color="auto" w:sz="4" w:space="0"/>
            </w:tcBorders>
            <w:vAlign w:val="center"/>
          </w:tcPr>
          <w:p w14:paraId="1661623D">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859" w:type="dxa"/>
            <w:tcBorders>
              <w:top w:val="single" w:color="auto" w:sz="4" w:space="0"/>
              <w:left w:val="single" w:color="auto" w:sz="4" w:space="0"/>
              <w:bottom w:val="single" w:color="auto" w:sz="4" w:space="0"/>
              <w:right w:val="single" w:color="auto" w:sz="4" w:space="0"/>
            </w:tcBorders>
            <w:vAlign w:val="center"/>
          </w:tcPr>
          <w:p w14:paraId="53659C63">
            <w:pPr>
              <w:jc w:val="center"/>
              <w:rPr>
                <w:rFonts w:ascii="Times New Roman" w:hAnsi="Times New Roman" w:cs="Times New Roman"/>
                <w:szCs w:val="21"/>
              </w:rPr>
            </w:pPr>
            <w:r>
              <w:rPr>
                <w:rFonts w:ascii="Times New Roman" w:hAnsi="Times New Roman" w:cs="Times New Roman"/>
                <w:szCs w:val="21"/>
              </w:rPr>
              <w:t>陶瓷、Pt、Pd</w:t>
            </w:r>
          </w:p>
        </w:tc>
        <w:tc>
          <w:tcPr>
            <w:tcW w:w="1245" w:type="dxa"/>
            <w:vMerge w:val="continue"/>
            <w:tcBorders>
              <w:left w:val="single" w:color="auto" w:sz="4" w:space="0"/>
              <w:right w:val="single" w:color="auto" w:sz="4" w:space="0"/>
            </w:tcBorders>
            <w:vAlign w:val="center"/>
          </w:tcPr>
          <w:p w14:paraId="2DE95225">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6CF16568">
            <w:pPr>
              <w:jc w:val="center"/>
              <w:rPr>
                <w:rFonts w:ascii="Times New Roman" w:hAnsi="Times New Roman" w:eastAsia="宋体" w:cs="Times New Roman"/>
                <w:szCs w:val="21"/>
              </w:rPr>
            </w:pPr>
            <w:r>
              <w:rPr>
                <w:rFonts w:hint="eastAsia" w:ascii="Times New Roman" w:hAnsi="Times New Roman" w:eastAsia="宋体" w:cs="Times New Roman"/>
                <w:szCs w:val="21"/>
              </w:rPr>
              <w:t>T，In</w:t>
            </w:r>
          </w:p>
        </w:tc>
        <w:tc>
          <w:tcPr>
            <w:tcW w:w="846" w:type="dxa"/>
            <w:tcBorders>
              <w:top w:val="single" w:color="auto" w:sz="4" w:space="0"/>
              <w:left w:val="single" w:color="auto" w:sz="4" w:space="0"/>
              <w:bottom w:val="single" w:color="auto" w:sz="4" w:space="0"/>
              <w:right w:val="single" w:color="auto" w:sz="4" w:space="0"/>
            </w:tcBorders>
            <w:vAlign w:val="center"/>
          </w:tcPr>
          <w:p w14:paraId="54D70F50">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62" w:type="dxa"/>
            <w:tcBorders>
              <w:top w:val="single" w:color="auto" w:sz="4" w:space="0"/>
              <w:left w:val="single" w:color="auto" w:sz="4" w:space="0"/>
              <w:bottom w:val="single" w:color="auto" w:sz="4" w:space="0"/>
              <w:right w:val="single" w:color="auto" w:sz="4" w:space="0"/>
            </w:tcBorders>
            <w:vAlign w:val="center"/>
          </w:tcPr>
          <w:p w14:paraId="7F16698C">
            <w:pPr>
              <w:jc w:val="center"/>
              <w:rPr>
                <w:rFonts w:ascii="Times New Roman" w:hAnsi="Times New Roman" w:eastAsia="宋体" w:cs="Times New Roman"/>
                <w:szCs w:val="21"/>
              </w:rPr>
            </w:pPr>
            <w:r>
              <w:rPr>
                <w:rFonts w:hint="eastAsia" w:ascii="Times New Roman" w:hAnsi="Times New Roman" w:eastAsia="宋体" w:cs="Times New Roman"/>
                <w:szCs w:val="21"/>
              </w:rPr>
              <w:t>900-041-49</w:t>
            </w:r>
          </w:p>
        </w:tc>
        <w:tc>
          <w:tcPr>
            <w:tcW w:w="1204" w:type="dxa"/>
            <w:tcBorders>
              <w:top w:val="single" w:color="auto" w:sz="4" w:space="0"/>
              <w:left w:val="single" w:color="auto" w:sz="4" w:space="0"/>
              <w:bottom w:val="single" w:color="auto" w:sz="4" w:space="0"/>
              <w:right w:val="single" w:color="auto" w:sz="4" w:space="0"/>
            </w:tcBorders>
            <w:vAlign w:val="center"/>
          </w:tcPr>
          <w:p w14:paraId="09BFE613">
            <w:pPr>
              <w:jc w:val="center"/>
              <w:rPr>
                <w:rFonts w:ascii="Times New Roman" w:hAnsi="Times New Roman" w:cs="Times New Roman"/>
                <w:szCs w:val="21"/>
              </w:rPr>
            </w:pPr>
            <w:r>
              <w:rPr>
                <w:rFonts w:hint="eastAsia" w:ascii="Times New Roman" w:hAnsi="Times New Roman" w:cs="Times New Roman"/>
                <w:szCs w:val="21"/>
              </w:rPr>
              <w:t>0.33</w:t>
            </w:r>
          </w:p>
        </w:tc>
      </w:tr>
      <w:tr w14:paraId="32F9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4C078A2D">
            <w:pPr>
              <w:jc w:val="center"/>
              <w:rPr>
                <w:rFonts w:ascii="Times New Roman" w:hAnsi="Times New Roman" w:eastAsia="宋体" w:cs="Times New Roman"/>
                <w:szCs w:val="21"/>
              </w:rPr>
            </w:pPr>
            <w:r>
              <w:rPr>
                <w:rFonts w:hint="eastAsia" w:ascii="Times New Roman" w:hAnsi="Times New Roman" w:cs="Times New Roman"/>
                <w:szCs w:val="21"/>
              </w:rPr>
              <w:t>11</w:t>
            </w:r>
          </w:p>
        </w:tc>
        <w:tc>
          <w:tcPr>
            <w:tcW w:w="2345" w:type="dxa"/>
            <w:tcBorders>
              <w:top w:val="single" w:color="auto" w:sz="4" w:space="0"/>
              <w:left w:val="single" w:color="auto" w:sz="4" w:space="0"/>
              <w:bottom w:val="single" w:color="auto" w:sz="4" w:space="0"/>
              <w:right w:val="single" w:color="auto" w:sz="4" w:space="0"/>
            </w:tcBorders>
            <w:vAlign w:val="center"/>
          </w:tcPr>
          <w:p w14:paraId="0874DB6C">
            <w:pPr>
              <w:jc w:val="center"/>
              <w:rPr>
                <w:rFonts w:ascii="Times New Roman" w:hAnsi="Times New Roman" w:eastAsia="宋体" w:cs="Times New Roman"/>
                <w:szCs w:val="21"/>
              </w:rPr>
            </w:pPr>
            <w:r>
              <w:rPr>
                <w:rFonts w:hint="eastAsia" w:ascii="Times New Roman" w:hAnsi="Times New Roman" w:eastAsia="宋体" w:cs="Times New Roman"/>
                <w:szCs w:val="21"/>
              </w:rPr>
              <w:t>废机油</w:t>
            </w:r>
          </w:p>
        </w:tc>
        <w:tc>
          <w:tcPr>
            <w:tcW w:w="1057" w:type="dxa"/>
            <w:tcBorders>
              <w:top w:val="single" w:color="auto" w:sz="4" w:space="0"/>
              <w:left w:val="single" w:color="auto" w:sz="4" w:space="0"/>
              <w:bottom w:val="single" w:color="auto" w:sz="4" w:space="0"/>
              <w:right w:val="single" w:color="auto" w:sz="4" w:space="0"/>
            </w:tcBorders>
            <w:vAlign w:val="center"/>
          </w:tcPr>
          <w:p w14:paraId="35663443">
            <w:pPr>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1991" w:type="dxa"/>
            <w:tcBorders>
              <w:top w:val="single" w:color="auto" w:sz="4" w:space="0"/>
              <w:left w:val="single" w:color="auto" w:sz="4" w:space="0"/>
              <w:bottom w:val="single" w:color="auto" w:sz="4" w:space="0"/>
              <w:right w:val="single" w:color="auto" w:sz="4" w:space="0"/>
            </w:tcBorders>
            <w:vAlign w:val="center"/>
          </w:tcPr>
          <w:p w14:paraId="3FDAD669">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24" w:type="dxa"/>
            <w:tcBorders>
              <w:top w:val="single" w:color="auto" w:sz="4" w:space="0"/>
              <w:left w:val="single" w:color="auto" w:sz="4" w:space="0"/>
              <w:bottom w:val="single" w:color="auto" w:sz="4" w:space="0"/>
              <w:right w:val="single" w:color="auto" w:sz="4" w:space="0"/>
            </w:tcBorders>
            <w:vAlign w:val="center"/>
          </w:tcPr>
          <w:p w14:paraId="77F7A0CC">
            <w:pPr>
              <w:jc w:val="center"/>
              <w:rPr>
                <w:rFonts w:ascii="Times New Roman" w:hAnsi="Times New Roman" w:cs="Times New Roman"/>
                <w:szCs w:val="21"/>
              </w:rPr>
            </w:pPr>
            <w:r>
              <w:rPr>
                <w:rFonts w:hint="eastAsia" w:ascii="Times New Roman" w:hAnsi="Times New Roman" w:eastAsia="宋体" w:cs="Times New Roman"/>
                <w:szCs w:val="21"/>
              </w:rPr>
              <w:t>液态</w:t>
            </w:r>
          </w:p>
        </w:tc>
        <w:tc>
          <w:tcPr>
            <w:tcW w:w="1859" w:type="dxa"/>
            <w:tcBorders>
              <w:top w:val="single" w:color="auto" w:sz="4" w:space="0"/>
              <w:left w:val="single" w:color="auto" w:sz="4" w:space="0"/>
              <w:bottom w:val="single" w:color="auto" w:sz="4" w:space="0"/>
              <w:right w:val="single" w:color="auto" w:sz="4" w:space="0"/>
            </w:tcBorders>
            <w:vAlign w:val="center"/>
          </w:tcPr>
          <w:p w14:paraId="01FED4B5">
            <w:pPr>
              <w:jc w:val="center"/>
              <w:rPr>
                <w:rFonts w:ascii="Times New Roman" w:hAnsi="Times New Roman" w:cs="Times New Roman"/>
                <w:szCs w:val="21"/>
              </w:rPr>
            </w:pPr>
            <w:r>
              <w:rPr>
                <w:rFonts w:hint="eastAsia" w:ascii="Times New Roman" w:hAnsi="Times New Roman" w:cs="Times New Roman"/>
                <w:szCs w:val="21"/>
              </w:rPr>
              <w:t>油类物质</w:t>
            </w:r>
          </w:p>
        </w:tc>
        <w:tc>
          <w:tcPr>
            <w:tcW w:w="1245" w:type="dxa"/>
            <w:vMerge w:val="continue"/>
            <w:tcBorders>
              <w:left w:val="single" w:color="auto" w:sz="4" w:space="0"/>
              <w:right w:val="single" w:color="auto" w:sz="4" w:space="0"/>
            </w:tcBorders>
            <w:vAlign w:val="center"/>
          </w:tcPr>
          <w:p w14:paraId="3231F38F">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43A19CAB">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T，I </w:t>
            </w:r>
          </w:p>
        </w:tc>
        <w:tc>
          <w:tcPr>
            <w:tcW w:w="846" w:type="dxa"/>
            <w:tcBorders>
              <w:top w:val="single" w:color="auto" w:sz="4" w:space="0"/>
              <w:left w:val="single" w:color="auto" w:sz="4" w:space="0"/>
              <w:bottom w:val="single" w:color="auto" w:sz="4" w:space="0"/>
              <w:right w:val="single" w:color="auto" w:sz="4" w:space="0"/>
            </w:tcBorders>
            <w:vAlign w:val="center"/>
          </w:tcPr>
          <w:p w14:paraId="7A0AEBBE">
            <w:pPr>
              <w:jc w:val="center"/>
              <w:rPr>
                <w:rFonts w:ascii="Times New Roman" w:hAnsi="Times New Roman" w:eastAsia="宋体" w:cs="Times New Roman"/>
                <w:szCs w:val="21"/>
              </w:rPr>
            </w:pPr>
            <w:r>
              <w:rPr>
                <w:rFonts w:hint="eastAsia" w:ascii="Times New Roman" w:hAnsi="Times New Roman" w:eastAsia="宋体" w:cs="Times New Roman"/>
                <w:szCs w:val="21"/>
              </w:rPr>
              <w:t>HW08</w:t>
            </w:r>
          </w:p>
        </w:tc>
        <w:tc>
          <w:tcPr>
            <w:tcW w:w="1262" w:type="dxa"/>
            <w:tcBorders>
              <w:top w:val="single" w:color="auto" w:sz="4" w:space="0"/>
              <w:left w:val="single" w:color="auto" w:sz="4" w:space="0"/>
              <w:bottom w:val="single" w:color="auto" w:sz="4" w:space="0"/>
              <w:right w:val="single" w:color="auto" w:sz="4" w:space="0"/>
            </w:tcBorders>
            <w:vAlign w:val="center"/>
          </w:tcPr>
          <w:p w14:paraId="37EDFFAF">
            <w:pPr>
              <w:jc w:val="center"/>
              <w:rPr>
                <w:rFonts w:ascii="Times New Roman" w:hAnsi="Times New Roman" w:eastAsia="宋体" w:cs="Times New Roman"/>
                <w:szCs w:val="21"/>
              </w:rPr>
            </w:pPr>
            <w:r>
              <w:rPr>
                <w:rFonts w:ascii="Times New Roman" w:hAnsi="Times New Roman" w:eastAsia="宋体" w:cs="Times New Roman"/>
                <w:szCs w:val="21"/>
              </w:rPr>
              <w:t>900-217-08</w:t>
            </w:r>
          </w:p>
        </w:tc>
        <w:tc>
          <w:tcPr>
            <w:tcW w:w="1204" w:type="dxa"/>
            <w:tcBorders>
              <w:top w:val="single" w:color="auto" w:sz="4" w:space="0"/>
              <w:left w:val="single" w:color="auto" w:sz="4" w:space="0"/>
              <w:bottom w:val="single" w:color="auto" w:sz="4" w:space="0"/>
              <w:right w:val="single" w:color="auto" w:sz="4" w:space="0"/>
            </w:tcBorders>
            <w:vAlign w:val="center"/>
          </w:tcPr>
          <w:p w14:paraId="0973A2D9">
            <w:pPr>
              <w:jc w:val="center"/>
              <w:rPr>
                <w:rFonts w:ascii="Times New Roman" w:hAnsi="Times New Roman" w:cs="Times New Roman"/>
                <w:szCs w:val="21"/>
              </w:rPr>
            </w:pPr>
            <w:r>
              <w:rPr>
                <w:rFonts w:hint="eastAsia" w:ascii="Times New Roman" w:hAnsi="Times New Roman" w:cs="Times New Roman"/>
                <w:szCs w:val="21"/>
              </w:rPr>
              <w:t>0.1</w:t>
            </w:r>
          </w:p>
        </w:tc>
      </w:tr>
      <w:tr w14:paraId="2586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0" w:type="dxa"/>
            <w:tcBorders>
              <w:top w:val="single" w:color="auto" w:sz="4" w:space="0"/>
              <w:left w:val="single" w:color="auto" w:sz="4" w:space="0"/>
              <w:bottom w:val="single" w:color="auto" w:sz="4" w:space="0"/>
              <w:right w:val="single" w:color="auto" w:sz="4" w:space="0"/>
            </w:tcBorders>
            <w:vAlign w:val="center"/>
          </w:tcPr>
          <w:p w14:paraId="61075E4B">
            <w:pPr>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2345" w:type="dxa"/>
            <w:tcBorders>
              <w:top w:val="single" w:color="auto" w:sz="4" w:space="0"/>
              <w:left w:val="single" w:color="auto" w:sz="4" w:space="0"/>
              <w:bottom w:val="single" w:color="auto" w:sz="4" w:space="0"/>
              <w:right w:val="single" w:color="auto" w:sz="4" w:space="0"/>
            </w:tcBorders>
            <w:vAlign w:val="center"/>
          </w:tcPr>
          <w:p w14:paraId="73DA8125">
            <w:pPr>
              <w:jc w:val="center"/>
              <w:rPr>
                <w:rFonts w:ascii="Times New Roman" w:hAnsi="Times New Roman" w:eastAsia="宋体" w:cs="Times New Roman"/>
                <w:szCs w:val="21"/>
              </w:rPr>
            </w:pPr>
            <w:r>
              <w:rPr>
                <w:rFonts w:hint="eastAsia" w:ascii="Times New Roman" w:hAnsi="Times New Roman" w:eastAsia="宋体" w:cs="Times New Roman"/>
                <w:szCs w:val="21"/>
              </w:rPr>
              <w:t>废过滤棉（含漆渣）</w:t>
            </w:r>
          </w:p>
        </w:tc>
        <w:tc>
          <w:tcPr>
            <w:tcW w:w="1057" w:type="dxa"/>
            <w:tcBorders>
              <w:top w:val="single" w:color="auto" w:sz="4" w:space="0"/>
              <w:left w:val="single" w:color="auto" w:sz="4" w:space="0"/>
              <w:bottom w:val="single" w:color="auto" w:sz="4" w:space="0"/>
              <w:right w:val="single" w:color="auto" w:sz="4" w:space="0"/>
            </w:tcBorders>
            <w:vAlign w:val="center"/>
          </w:tcPr>
          <w:p w14:paraId="5519DA26">
            <w:pPr>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1991" w:type="dxa"/>
            <w:tcBorders>
              <w:top w:val="single" w:color="auto" w:sz="4" w:space="0"/>
              <w:left w:val="single" w:color="auto" w:sz="4" w:space="0"/>
              <w:bottom w:val="single" w:color="auto" w:sz="4" w:space="0"/>
              <w:right w:val="single" w:color="auto" w:sz="4" w:space="0"/>
            </w:tcBorders>
            <w:vAlign w:val="center"/>
          </w:tcPr>
          <w:p w14:paraId="5B0DE280">
            <w:pPr>
              <w:jc w:val="center"/>
              <w:rPr>
                <w:rFonts w:ascii="Times New Roman" w:hAnsi="Times New Roman" w:eastAsia="宋体" w:cs="Times New Roman"/>
                <w:szCs w:val="21"/>
              </w:rPr>
            </w:pPr>
            <w:r>
              <w:rPr>
                <w:rFonts w:hint="eastAsia" w:ascii="Times New Roman" w:hAnsi="Times New Roman" w:cs="Times New Roman"/>
                <w:szCs w:val="21"/>
              </w:rPr>
              <w:t>废气治理设施</w:t>
            </w:r>
          </w:p>
        </w:tc>
        <w:tc>
          <w:tcPr>
            <w:tcW w:w="724" w:type="dxa"/>
            <w:tcBorders>
              <w:top w:val="single" w:color="auto" w:sz="4" w:space="0"/>
              <w:left w:val="single" w:color="auto" w:sz="4" w:space="0"/>
              <w:bottom w:val="single" w:color="auto" w:sz="4" w:space="0"/>
              <w:right w:val="single" w:color="auto" w:sz="4" w:space="0"/>
            </w:tcBorders>
            <w:vAlign w:val="center"/>
          </w:tcPr>
          <w:p w14:paraId="414A3C7F">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859" w:type="dxa"/>
            <w:tcBorders>
              <w:top w:val="single" w:color="auto" w:sz="4" w:space="0"/>
              <w:left w:val="single" w:color="auto" w:sz="4" w:space="0"/>
              <w:bottom w:val="single" w:color="auto" w:sz="4" w:space="0"/>
              <w:right w:val="single" w:color="auto" w:sz="4" w:space="0"/>
            </w:tcBorders>
            <w:vAlign w:val="center"/>
          </w:tcPr>
          <w:p w14:paraId="3BF1E7B1">
            <w:pPr>
              <w:jc w:val="center"/>
              <w:rPr>
                <w:rFonts w:ascii="Times New Roman" w:hAnsi="Times New Roman" w:cs="Times New Roman"/>
                <w:szCs w:val="21"/>
              </w:rPr>
            </w:pPr>
            <w:r>
              <w:rPr>
                <w:rFonts w:hint="eastAsia" w:ascii="Times New Roman" w:hAnsi="Times New Roman" w:cs="Times New Roman"/>
                <w:bCs/>
                <w:szCs w:val="21"/>
              </w:rPr>
              <w:t>漆料</w:t>
            </w:r>
          </w:p>
        </w:tc>
        <w:tc>
          <w:tcPr>
            <w:tcW w:w="1245" w:type="dxa"/>
            <w:vMerge w:val="continue"/>
            <w:tcBorders>
              <w:left w:val="single" w:color="auto" w:sz="4" w:space="0"/>
              <w:right w:val="single" w:color="auto" w:sz="4" w:space="0"/>
            </w:tcBorders>
            <w:vAlign w:val="center"/>
          </w:tcPr>
          <w:p w14:paraId="1189AE26">
            <w:pPr>
              <w:jc w:val="center"/>
              <w:rPr>
                <w:rFonts w:ascii="Times New Roman" w:hAnsi="Times New Roman" w:eastAsia="宋体" w:cs="Times New Roman"/>
                <w:szCs w:val="21"/>
              </w:rPr>
            </w:pPr>
          </w:p>
        </w:tc>
        <w:tc>
          <w:tcPr>
            <w:tcW w:w="1006" w:type="dxa"/>
            <w:tcBorders>
              <w:top w:val="single" w:color="auto" w:sz="4" w:space="0"/>
              <w:left w:val="single" w:color="auto" w:sz="4" w:space="0"/>
              <w:bottom w:val="single" w:color="auto" w:sz="4" w:space="0"/>
              <w:right w:val="single" w:color="auto" w:sz="4" w:space="0"/>
            </w:tcBorders>
            <w:vAlign w:val="center"/>
          </w:tcPr>
          <w:p w14:paraId="50E21965">
            <w:pPr>
              <w:jc w:val="center"/>
              <w:rPr>
                <w:rFonts w:ascii="Times New Roman" w:hAnsi="Times New Roman" w:eastAsia="宋体" w:cs="Times New Roman"/>
                <w:szCs w:val="21"/>
              </w:rPr>
            </w:pPr>
            <w:r>
              <w:rPr>
                <w:rFonts w:hint="eastAsia" w:ascii="Times New Roman" w:hAnsi="Times New Roman" w:eastAsia="宋体" w:cs="Times New Roman"/>
                <w:szCs w:val="21"/>
              </w:rPr>
              <w:t>T，In</w:t>
            </w:r>
          </w:p>
        </w:tc>
        <w:tc>
          <w:tcPr>
            <w:tcW w:w="846" w:type="dxa"/>
            <w:tcBorders>
              <w:top w:val="single" w:color="auto" w:sz="4" w:space="0"/>
              <w:left w:val="single" w:color="auto" w:sz="4" w:space="0"/>
              <w:bottom w:val="single" w:color="auto" w:sz="4" w:space="0"/>
              <w:right w:val="single" w:color="auto" w:sz="4" w:space="0"/>
            </w:tcBorders>
            <w:vAlign w:val="center"/>
          </w:tcPr>
          <w:p w14:paraId="020131C5">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62" w:type="dxa"/>
            <w:tcBorders>
              <w:top w:val="single" w:color="auto" w:sz="4" w:space="0"/>
              <w:left w:val="single" w:color="auto" w:sz="4" w:space="0"/>
              <w:bottom w:val="single" w:color="auto" w:sz="4" w:space="0"/>
              <w:right w:val="single" w:color="auto" w:sz="4" w:space="0"/>
            </w:tcBorders>
            <w:vAlign w:val="center"/>
          </w:tcPr>
          <w:p w14:paraId="257109F5">
            <w:pPr>
              <w:jc w:val="center"/>
              <w:rPr>
                <w:rFonts w:ascii="Times New Roman" w:hAnsi="Times New Roman" w:eastAsia="宋体" w:cs="Times New Roman"/>
                <w:szCs w:val="21"/>
              </w:rPr>
            </w:pPr>
            <w:r>
              <w:rPr>
                <w:rFonts w:hint="eastAsia" w:ascii="Times New Roman" w:hAnsi="Times New Roman" w:eastAsia="宋体" w:cs="Times New Roman"/>
                <w:szCs w:val="21"/>
              </w:rPr>
              <w:t>900-041-49</w:t>
            </w:r>
          </w:p>
        </w:tc>
        <w:tc>
          <w:tcPr>
            <w:tcW w:w="1204" w:type="dxa"/>
            <w:tcBorders>
              <w:top w:val="single" w:color="auto" w:sz="4" w:space="0"/>
              <w:left w:val="single" w:color="auto" w:sz="4" w:space="0"/>
              <w:bottom w:val="single" w:color="auto" w:sz="4" w:space="0"/>
              <w:right w:val="single" w:color="auto" w:sz="4" w:space="0"/>
            </w:tcBorders>
            <w:vAlign w:val="center"/>
          </w:tcPr>
          <w:p w14:paraId="09D694E0">
            <w:pPr>
              <w:jc w:val="center"/>
              <w:rPr>
                <w:rFonts w:ascii="Times New Roman" w:hAnsi="Times New Roman" w:cs="Times New Roman"/>
                <w:szCs w:val="21"/>
              </w:rPr>
            </w:pPr>
            <w:r>
              <w:rPr>
                <w:rFonts w:hint="eastAsia" w:ascii="Times New Roman" w:hAnsi="Times New Roman" w:cs="Times New Roman"/>
                <w:szCs w:val="21"/>
              </w:rPr>
              <w:t>0.5</w:t>
            </w:r>
          </w:p>
        </w:tc>
      </w:tr>
    </w:tbl>
    <w:p w14:paraId="57C8F608">
      <w:pPr>
        <w:pStyle w:val="17"/>
        <w:numPr>
          <w:ilvl w:val="0"/>
          <w:numId w:val="40"/>
        </w:numPr>
        <w:jc w:val="center"/>
        <w:rPr>
          <w:rFonts w:ascii="Times New Roman" w:hAnsi="Times New Roman" w:eastAsia="宋体" w:cs="Times New Roman"/>
          <w:b/>
          <w:bCs/>
          <w:szCs w:val="21"/>
        </w:rPr>
      </w:pPr>
      <w:r>
        <w:rPr>
          <w:rFonts w:hint="eastAsia" w:eastAsia="宋体" w:cs="Times New Roman"/>
          <w:b/>
          <w:bCs/>
          <w:szCs w:val="21"/>
        </w:rPr>
        <w:t xml:space="preserve"> </w:t>
      </w:r>
      <w:r>
        <w:rPr>
          <w:rFonts w:ascii="Times New Roman" w:hAnsi="Times New Roman" w:eastAsia="宋体" w:cs="Times New Roman"/>
          <w:b/>
          <w:bCs/>
          <w:szCs w:val="21"/>
        </w:rPr>
        <w:t>本项目危废产生与处置情况</w:t>
      </w:r>
    </w:p>
    <w:tbl>
      <w:tblPr>
        <w:tblStyle w:val="30"/>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378"/>
        <w:gridCol w:w="828"/>
        <w:gridCol w:w="1258"/>
        <w:gridCol w:w="1200"/>
        <w:gridCol w:w="1934"/>
        <w:gridCol w:w="695"/>
        <w:gridCol w:w="1415"/>
        <w:gridCol w:w="1365"/>
        <w:gridCol w:w="752"/>
        <w:gridCol w:w="829"/>
        <w:gridCol w:w="1089"/>
      </w:tblGrid>
      <w:tr w14:paraId="616F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7" w:type="dxa"/>
            <w:vAlign w:val="center"/>
          </w:tcPr>
          <w:p w14:paraId="7EFC9927">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序号</w:t>
            </w:r>
          </w:p>
        </w:tc>
        <w:tc>
          <w:tcPr>
            <w:tcW w:w="2378" w:type="dxa"/>
            <w:vAlign w:val="center"/>
          </w:tcPr>
          <w:p w14:paraId="39C30334">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危险</w:t>
            </w:r>
            <w:r>
              <w:rPr>
                <w:rFonts w:hint="eastAsia" w:ascii="Times New Roman" w:hAnsi="Times New Roman" w:eastAsia="宋体" w:cs="Times New Roman"/>
                <w:bCs/>
                <w:kern w:val="0"/>
                <w:szCs w:val="21"/>
              </w:rPr>
              <w:t>废物</w:t>
            </w:r>
            <w:r>
              <w:rPr>
                <w:rFonts w:ascii="Times New Roman" w:hAnsi="Times New Roman" w:eastAsia="宋体" w:cs="Times New Roman"/>
                <w:bCs/>
                <w:kern w:val="0"/>
                <w:szCs w:val="21"/>
              </w:rPr>
              <w:t>名称</w:t>
            </w:r>
          </w:p>
        </w:tc>
        <w:tc>
          <w:tcPr>
            <w:tcW w:w="828" w:type="dxa"/>
            <w:vAlign w:val="center"/>
          </w:tcPr>
          <w:p w14:paraId="4895083F">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废物类别</w:t>
            </w:r>
          </w:p>
        </w:tc>
        <w:tc>
          <w:tcPr>
            <w:tcW w:w="1258" w:type="dxa"/>
            <w:vAlign w:val="center"/>
          </w:tcPr>
          <w:p w14:paraId="3AB160C6">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废物代码</w:t>
            </w:r>
          </w:p>
        </w:tc>
        <w:tc>
          <w:tcPr>
            <w:tcW w:w="1200" w:type="dxa"/>
            <w:vAlign w:val="center"/>
          </w:tcPr>
          <w:p w14:paraId="7241AA2A">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产生量（t/a）</w:t>
            </w:r>
          </w:p>
        </w:tc>
        <w:tc>
          <w:tcPr>
            <w:tcW w:w="1934" w:type="dxa"/>
            <w:vAlign w:val="center"/>
          </w:tcPr>
          <w:p w14:paraId="01E62D14">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产生工序及装置</w:t>
            </w:r>
          </w:p>
        </w:tc>
        <w:tc>
          <w:tcPr>
            <w:tcW w:w="695" w:type="dxa"/>
            <w:vAlign w:val="center"/>
          </w:tcPr>
          <w:p w14:paraId="18EBFC29">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形态</w:t>
            </w:r>
          </w:p>
        </w:tc>
        <w:tc>
          <w:tcPr>
            <w:tcW w:w="1415" w:type="dxa"/>
            <w:vAlign w:val="center"/>
          </w:tcPr>
          <w:p w14:paraId="49456265">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主要成分</w:t>
            </w:r>
          </w:p>
        </w:tc>
        <w:tc>
          <w:tcPr>
            <w:tcW w:w="1365" w:type="dxa"/>
            <w:vAlign w:val="center"/>
          </w:tcPr>
          <w:p w14:paraId="7F280C98">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有害</w:t>
            </w:r>
          </w:p>
          <w:p w14:paraId="24F5E5C3">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成分</w:t>
            </w:r>
          </w:p>
        </w:tc>
        <w:tc>
          <w:tcPr>
            <w:tcW w:w="752" w:type="dxa"/>
            <w:vAlign w:val="center"/>
          </w:tcPr>
          <w:p w14:paraId="56F7E75D">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产废</w:t>
            </w:r>
          </w:p>
          <w:p w14:paraId="73D5EF3E">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周期</w:t>
            </w:r>
          </w:p>
        </w:tc>
        <w:tc>
          <w:tcPr>
            <w:tcW w:w="829" w:type="dxa"/>
            <w:vAlign w:val="center"/>
          </w:tcPr>
          <w:p w14:paraId="0ACCFED2">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危险</w:t>
            </w:r>
          </w:p>
          <w:p w14:paraId="1F851C53">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特性</w:t>
            </w:r>
          </w:p>
        </w:tc>
        <w:tc>
          <w:tcPr>
            <w:tcW w:w="1089" w:type="dxa"/>
            <w:vAlign w:val="center"/>
          </w:tcPr>
          <w:p w14:paraId="6C833BBA">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污染防治措施</w:t>
            </w:r>
          </w:p>
        </w:tc>
      </w:tr>
      <w:tr w14:paraId="4FE7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7" w:type="dxa"/>
            <w:vAlign w:val="center"/>
          </w:tcPr>
          <w:p w14:paraId="6514C9C9">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1</w:t>
            </w:r>
          </w:p>
        </w:tc>
        <w:tc>
          <w:tcPr>
            <w:tcW w:w="2378" w:type="dxa"/>
            <w:vAlign w:val="center"/>
          </w:tcPr>
          <w:p w14:paraId="6861CC79">
            <w:pPr>
              <w:jc w:val="center"/>
              <w:rPr>
                <w:rFonts w:ascii="Times New Roman" w:hAnsi="Times New Roman" w:eastAsia="宋体" w:cs="Times New Roman"/>
                <w:szCs w:val="21"/>
              </w:rPr>
            </w:pPr>
            <w:r>
              <w:rPr>
                <w:rFonts w:hint="eastAsia" w:ascii="Times New Roman" w:hAnsi="Times New Roman" w:eastAsia="宋体" w:cs="Times New Roman"/>
                <w:szCs w:val="21"/>
              </w:rPr>
              <w:t>废破损包装桶</w:t>
            </w:r>
          </w:p>
        </w:tc>
        <w:tc>
          <w:tcPr>
            <w:tcW w:w="828" w:type="dxa"/>
            <w:vAlign w:val="center"/>
          </w:tcPr>
          <w:p w14:paraId="055C67BD">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58" w:type="dxa"/>
            <w:vAlign w:val="center"/>
          </w:tcPr>
          <w:p w14:paraId="30BE2E5B">
            <w:pPr>
              <w:jc w:val="center"/>
              <w:rPr>
                <w:rFonts w:ascii="Times New Roman" w:hAnsi="Times New Roman" w:eastAsia="宋体" w:cs="Times New Roman"/>
                <w:szCs w:val="21"/>
              </w:rPr>
            </w:pPr>
            <w:r>
              <w:rPr>
                <w:rFonts w:ascii="Times New Roman" w:hAnsi="Times New Roman" w:eastAsia="宋体" w:cs="Times New Roman"/>
                <w:szCs w:val="21"/>
              </w:rPr>
              <w:t>900-041-49</w:t>
            </w:r>
          </w:p>
        </w:tc>
        <w:tc>
          <w:tcPr>
            <w:tcW w:w="1200" w:type="dxa"/>
            <w:vAlign w:val="center"/>
          </w:tcPr>
          <w:p w14:paraId="3AA4D958">
            <w:pPr>
              <w:jc w:val="center"/>
              <w:rPr>
                <w:rFonts w:ascii="Times New Roman" w:hAnsi="Times New Roman" w:eastAsia="宋体" w:cs="Times New Roman"/>
                <w:szCs w:val="21"/>
              </w:rPr>
            </w:pPr>
            <w:r>
              <w:rPr>
                <w:rFonts w:hint="eastAsia" w:ascii="Times New Roman" w:hAnsi="Times New Roman" w:cs="Times New Roman"/>
                <w:szCs w:val="21"/>
              </w:rPr>
              <w:t>1.0</w:t>
            </w:r>
          </w:p>
        </w:tc>
        <w:tc>
          <w:tcPr>
            <w:tcW w:w="1934" w:type="dxa"/>
            <w:vAlign w:val="center"/>
          </w:tcPr>
          <w:p w14:paraId="15B98D06">
            <w:pPr>
              <w:jc w:val="center"/>
              <w:rPr>
                <w:rFonts w:ascii="Times New Roman" w:hAnsi="Times New Roman" w:eastAsia="宋体" w:cs="Times New Roman"/>
                <w:szCs w:val="21"/>
              </w:rPr>
            </w:pPr>
            <w:r>
              <w:rPr>
                <w:rFonts w:hint="eastAsia" w:ascii="Times New Roman" w:hAnsi="Times New Roman" w:eastAsia="宋体" w:cs="Times New Roman"/>
                <w:szCs w:val="21"/>
              </w:rPr>
              <w:t>原料区</w:t>
            </w:r>
          </w:p>
        </w:tc>
        <w:tc>
          <w:tcPr>
            <w:tcW w:w="695" w:type="dxa"/>
            <w:vAlign w:val="center"/>
          </w:tcPr>
          <w:p w14:paraId="0108CEF3">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15" w:type="dxa"/>
            <w:vAlign w:val="center"/>
          </w:tcPr>
          <w:p w14:paraId="59A52BF7">
            <w:pPr>
              <w:jc w:val="center"/>
              <w:rPr>
                <w:rFonts w:ascii="Times New Roman" w:hAnsi="Times New Roman" w:eastAsia="宋体" w:cs="Times New Roman"/>
                <w:szCs w:val="21"/>
              </w:rPr>
            </w:pPr>
            <w:r>
              <w:rPr>
                <w:rFonts w:hint="eastAsia" w:ascii="Times New Roman" w:hAnsi="Times New Roman" w:cs="Times New Roman"/>
                <w:bCs/>
                <w:szCs w:val="21"/>
              </w:rPr>
              <w:t>漆料、稀释剂、胶黏剂</w:t>
            </w:r>
          </w:p>
        </w:tc>
        <w:tc>
          <w:tcPr>
            <w:tcW w:w="1365" w:type="dxa"/>
            <w:vAlign w:val="center"/>
          </w:tcPr>
          <w:p w14:paraId="532F46C4">
            <w:pPr>
              <w:jc w:val="center"/>
              <w:rPr>
                <w:rFonts w:ascii="Times New Roman" w:hAnsi="Times New Roman" w:eastAsia="宋体" w:cs="Times New Roman"/>
                <w:bCs/>
                <w:kern w:val="0"/>
                <w:szCs w:val="21"/>
              </w:rPr>
            </w:pPr>
            <w:r>
              <w:rPr>
                <w:rFonts w:hint="eastAsia" w:ascii="Times New Roman" w:hAnsi="Times New Roman" w:cs="Times New Roman"/>
                <w:bCs/>
                <w:szCs w:val="21"/>
              </w:rPr>
              <w:t>漆料、稀释剂、胶黏剂</w:t>
            </w:r>
          </w:p>
        </w:tc>
        <w:tc>
          <w:tcPr>
            <w:tcW w:w="752" w:type="dxa"/>
            <w:vAlign w:val="center"/>
          </w:tcPr>
          <w:p w14:paraId="2F884E19">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1d</w:t>
            </w:r>
          </w:p>
        </w:tc>
        <w:tc>
          <w:tcPr>
            <w:tcW w:w="829" w:type="dxa"/>
            <w:vAlign w:val="center"/>
          </w:tcPr>
          <w:p w14:paraId="4D7F61B4">
            <w:pPr>
              <w:jc w:val="center"/>
              <w:rPr>
                <w:rFonts w:ascii="Times New Roman" w:hAnsi="Times New Roman" w:eastAsia="宋体" w:cs="Times New Roman"/>
                <w:szCs w:val="21"/>
              </w:rPr>
            </w:pPr>
            <w:r>
              <w:rPr>
                <w:rFonts w:hint="eastAsia" w:ascii="Times New Roman" w:hAnsi="Times New Roman" w:eastAsia="宋体" w:cs="Times New Roman"/>
                <w:szCs w:val="21"/>
              </w:rPr>
              <w:t>T/In</w:t>
            </w:r>
          </w:p>
        </w:tc>
        <w:tc>
          <w:tcPr>
            <w:tcW w:w="1089" w:type="dxa"/>
            <w:vMerge w:val="restart"/>
            <w:vAlign w:val="center"/>
          </w:tcPr>
          <w:p w14:paraId="6FEB1ED6">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委托有资质单位处置</w:t>
            </w:r>
          </w:p>
        </w:tc>
      </w:tr>
      <w:tr w14:paraId="5693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7" w:type="dxa"/>
            <w:vAlign w:val="center"/>
          </w:tcPr>
          <w:p w14:paraId="3D6365EE">
            <w:pPr>
              <w:jc w:val="center"/>
              <w:rPr>
                <w:rFonts w:ascii="Times New Roman" w:hAnsi="Times New Roman" w:eastAsia="宋体" w:cs="Times New Roman"/>
                <w:bCs/>
                <w:kern w:val="0"/>
                <w:szCs w:val="21"/>
              </w:rPr>
            </w:pPr>
            <w:r>
              <w:rPr>
                <w:rFonts w:hint="eastAsia" w:ascii="Times New Roman" w:hAnsi="Times New Roman" w:cs="Times New Roman"/>
                <w:bCs/>
                <w:kern w:val="0"/>
                <w:szCs w:val="21"/>
              </w:rPr>
              <w:t>2</w:t>
            </w:r>
          </w:p>
        </w:tc>
        <w:tc>
          <w:tcPr>
            <w:tcW w:w="2378" w:type="dxa"/>
            <w:vAlign w:val="center"/>
          </w:tcPr>
          <w:p w14:paraId="4572CCEE">
            <w:pPr>
              <w:jc w:val="center"/>
              <w:rPr>
                <w:rFonts w:ascii="Times New Roman" w:hAnsi="Times New Roman" w:eastAsia="宋体" w:cs="Times New Roman"/>
                <w:szCs w:val="21"/>
              </w:rPr>
            </w:pPr>
            <w:r>
              <w:rPr>
                <w:rFonts w:hint="eastAsia" w:ascii="Times New Roman" w:hAnsi="Times New Roman" w:eastAsia="宋体" w:cs="Times New Roman"/>
                <w:szCs w:val="21"/>
              </w:rPr>
              <w:t>水帘漆渣</w:t>
            </w:r>
          </w:p>
        </w:tc>
        <w:tc>
          <w:tcPr>
            <w:tcW w:w="828" w:type="dxa"/>
            <w:vAlign w:val="center"/>
          </w:tcPr>
          <w:p w14:paraId="62A752DB">
            <w:pPr>
              <w:jc w:val="center"/>
              <w:rPr>
                <w:rFonts w:ascii="Times New Roman" w:hAnsi="Times New Roman" w:eastAsia="宋体" w:cs="Times New Roman"/>
                <w:szCs w:val="21"/>
              </w:rPr>
            </w:pPr>
            <w:r>
              <w:rPr>
                <w:rFonts w:hint="eastAsia" w:ascii="Times New Roman" w:hAnsi="Times New Roman" w:eastAsia="宋体" w:cs="Times New Roman"/>
                <w:szCs w:val="21"/>
              </w:rPr>
              <w:t>HW12</w:t>
            </w:r>
          </w:p>
        </w:tc>
        <w:tc>
          <w:tcPr>
            <w:tcW w:w="1258" w:type="dxa"/>
            <w:vAlign w:val="center"/>
          </w:tcPr>
          <w:p w14:paraId="74553B98">
            <w:pPr>
              <w:jc w:val="center"/>
              <w:rPr>
                <w:rFonts w:ascii="Times New Roman" w:hAnsi="Times New Roman" w:eastAsia="宋体" w:cs="Times New Roman"/>
                <w:szCs w:val="21"/>
              </w:rPr>
            </w:pPr>
            <w:r>
              <w:rPr>
                <w:rFonts w:hint="eastAsia" w:ascii="Times New Roman" w:hAnsi="Times New Roman" w:eastAsia="宋体" w:cs="Times New Roman"/>
                <w:szCs w:val="21"/>
              </w:rPr>
              <w:t>900-252-12</w:t>
            </w:r>
          </w:p>
        </w:tc>
        <w:tc>
          <w:tcPr>
            <w:tcW w:w="1200" w:type="dxa"/>
            <w:vAlign w:val="center"/>
          </w:tcPr>
          <w:p w14:paraId="083C9227">
            <w:pPr>
              <w:jc w:val="center"/>
              <w:rPr>
                <w:rFonts w:ascii="Times New Roman" w:hAnsi="Times New Roman" w:eastAsia="宋体" w:cs="Times New Roman"/>
                <w:szCs w:val="21"/>
              </w:rPr>
            </w:pPr>
            <w:r>
              <w:rPr>
                <w:rFonts w:hint="eastAsia" w:ascii="Times New Roman" w:hAnsi="Times New Roman" w:cs="Times New Roman"/>
                <w:szCs w:val="21"/>
              </w:rPr>
              <w:t>3.15</w:t>
            </w:r>
          </w:p>
        </w:tc>
        <w:tc>
          <w:tcPr>
            <w:tcW w:w="1934" w:type="dxa"/>
            <w:vAlign w:val="center"/>
          </w:tcPr>
          <w:p w14:paraId="21837FAF">
            <w:pPr>
              <w:jc w:val="center"/>
              <w:rPr>
                <w:rFonts w:ascii="Times New Roman" w:hAnsi="Times New Roman" w:eastAsia="宋体" w:cs="Times New Roman"/>
                <w:szCs w:val="21"/>
              </w:rPr>
            </w:pPr>
            <w:r>
              <w:rPr>
                <w:rFonts w:hint="eastAsia" w:ascii="Times New Roman" w:hAnsi="Times New Roman" w:eastAsia="宋体" w:cs="Times New Roman"/>
                <w:szCs w:val="21"/>
              </w:rPr>
              <w:t>喷漆</w:t>
            </w:r>
          </w:p>
        </w:tc>
        <w:tc>
          <w:tcPr>
            <w:tcW w:w="695" w:type="dxa"/>
            <w:vAlign w:val="center"/>
          </w:tcPr>
          <w:p w14:paraId="6A8F39E2">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15" w:type="dxa"/>
          </w:tcPr>
          <w:p w14:paraId="61A0079A">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365" w:type="dxa"/>
          </w:tcPr>
          <w:p w14:paraId="411F15F4">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752" w:type="dxa"/>
            <w:vAlign w:val="center"/>
          </w:tcPr>
          <w:p w14:paraId="2A545FB8">
            <w:pPr>
              <w:jc w:val="center"/>
              <w:rPr>
                <w:rFonts w:ascii="Times New Roman" w:hAnsi="Times New Roman" w:eastAsia="宋体" w:cs="Times New Roman"/>
                <w:szCs w:val="21"/>
              </w:rPr>
            </w:pPr>
            <w:r>
              <w:rPr>
                <w:rFonts w:hint="eastAsia" w:ascii="Times New Roman" w:hAnsi="Times New Roman" w:eastAsia="宋体" w:cs="Times New Roman"/>
                <w:bCs/>
                <w:kern w:val="0"/>
                <w:szCs w:val="21"/>
              </w:rPr>
              <w:t>1月</w:t>
            </w:r>
          </w:p>
        </w:tc>
        <w:tc>
          <w:tcPr>
            <w:tcW w:w="829" w:type="dxa"/>
            <w:vAlign w:val="center"/>
          </w:tcPr>
          <w:p w14:paraId="3C4FB75F">
            <w:pPr>
              <w:jc w:val="center"/>
              <w:rPr>
                <w:rFonts w:ascii="Times New Roman" w:hAnsi="Times New Roman" w:eastAsia="宋体" w:cs="Times New Roman"/>
                <w:szCs w:val="21"/>
              </w:rPr>
            </w:pPr>
            <w:r>
              <w:rPr>
                <w:rFonts w:hint="eastAsia" w:ascii="Times New Roman" w:hAnsi="Times New Roman" w:eastAsia="宋体" w:cs="Times New Roman"/>
                <w:szCs w:val="21"/>
              </w:rPr>
              <w:t>T，I</w:t>
            </w:r>
          </w:p>
        </w:tc>
        <w:tc>
          <w:tcPr>
            <w:tcW w:w="1089" w:type="dxa"/>
            <w:vMerge w:val="continue"/>
            <w:vAlign w:val="center"/>
          </w:tcPr>
          <w:p w14:paraId="0EA6B174">
            <w:pPr>
              <w:jc w:val="center"/>
              <w:rPr>
                <w:rFonts w:ascii="Times New Roman" w:hAnsi="Times New Roman" w:eastAsia="宋体" w:cs="Times New Roman"/>
                <w:bCs/>
                <w:kern w:val="0"/>
                <w:szCs w:val="21"/>
              </w:rPr>
            </w:pPr>
          </w:p>
        </w:tc>
      </w:tr>
      <w:tr w14:paraId="63F7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7" w:type="dxa"/>
            <w:vAlign w:val="center"/>
          </w:tcPr>
          <w:p w14:paraId="18B4C268">
            <w:pPr>
              <w:jc w:val="center"/>
              <w:rPr>
                <w:rFonts w:ascii="Times New Roman" w:hAnsi="Times New Roman" w:eastAsia="宋体" w:cs="Times New Roman"/>
                <w:bCs/>
                <w:kern w:val="0"/>
                <w:szCs w:val="21"/>
              </w:rPr>
            </w:pPr>
            <w:r>
              <w:rPr>
                <w:rFonts w:hint="eastAsia" w:ascii="Times New Roman" w:hAnsi="Times New Roman" w:cs="Times New Roman"/>
                <w:bCs/>
                <w:kern w:val="0"/>
                <w:szCs w:val="21"/>
              </w:rPr>
              <w:t>3</w:t>
            </w:r>
          </w:p>
        </w:tc>
        <w:tc>
          <w:tcPr>
            <w:tcW w:w="2378" w:type="dxa"/>
            <w:vAlign w:val="center"/>
          </w:tcPr>
          <w:p w14:paraId="0C4F71BA">
            <w:pPr>
              <w:jc w:val="center"/>
              <w:rPr>
                <w:rFonts w:ascii="Times New Roman" w:hAnsi="Times New Roman" w:eastAsia="宋体" w:cs="Times New Roman"/>
                <w:szCs w:val="21"/>
              </w:rPr>
            </w:pPr>
            <w:r>
              <w:rPr>
                <w:rFonts w:hint="eastAsia" w:ascii="Times New Roman" w:hAnsi="Times New Roman" w:eastAsia="宋体" w:cs="Times New Roman"/>
                <w:szCs w:val="21"/>
              </w:rPr>
              <w:t>油磨漆渣</w:t>
            </w:r>
          </w:p>
        </w:tc>
        <w:tc>
          <w:tcPr>
            <w:tcW w:w="828" w:type="dxa"/>
            <w:vAlign w:val="center"/>
          </w:tcPr>
          <w:p w14:paraId="10345071">
            <w:pPr>
              <w:jc w:val="center"/>
              <w:rPr>
                <w:rFonts w:ascii="Times New Roman" w:hAnsi="Times New Roman" w:eastAsia="宋体" w:cs="Times New Roman"/>
                <w:szCs w:val="21"/>
              </w:rPr>
            </w:pPr>
            <w:r>
              <w:rPr>
                <w:rFonts w:hint="eastAsia" w:ascii="Times New Roman" w:hAnsi="Times New Roman" w:eastAsia="宋体" w:cs="Times New Roman"/>
                <w:szCs w:val="21"/>
              </w:rPr>
              <w:t>HW12</w:t>
            </w:r>
          </w:p>
        </w:tc>
        <w:tc>
          <w:tcPr>
            <w:tcW w:w="1258" w:type="dxa"/>
            <w:vAlign w:val="center"/>
          </w:tcPr>
          <w:p w14:paraId="20BDA952">
            <w:pPr>
              <w:jc w:val="center"/>
              <w:rPr>
                <w:rFonts w:ascii="Times New Roman" w:hAnsi="Times New Roman" w:eastAsia="宋体" w:cs="Times New Roman"/>
                <w:szCs w:val="21"/>
              </w:rPr>
            </w:pPr>
            <w:r>
              <w:rPr>
                <w:rFonts w:ascii="Times New Roman" w:hAnsi="Times New Roman" w:eastAsia="宋体" w:cs="Times New Roman"/>
                <w:szCs w:val="21"/>
              </w:rPr>
              <w:t>900-252-12</w:t>
            </w:r>
          </w:p>
        </w:tc>
        <w:tc>
          <w:tcPr>
            <w:tcW w:w="1200" w:type="dxa"/>
            <w:vAlign w:val="center"/>
          </w:tcPr>
          <w:p w14:paraId="4A9EE9E6">
            <w:pPr>
              <w:jc w:val="center"/>
              <w:rPr>
                <w:rFonts w:ascii="Times New Roman" w:hAnsi="Times New Roman" w:eastAsia="宋体" w:cs="Times New Roman"/>
                <w:szCs w:val="21"/>
              </w:rPr>
            </w:pPr>
            <w:r>
              <w:rPr>
                <w:rFonts w:hint="eastAsia" w:ascii="Times New Roman" w:hAnsi="Times New Roman" w:cs="Times New Roman"/>
                <w:szCs w:val="21"/>
              </w:rPr>
              <w:t>1.519</w:t>
            </w:r>
          </w:p>
        </w:tc>
        <w:tc>
          <w:tcPr>
            <w:tcW w:w="1934" w:type="dxa"/>
            <w:vAlign w:val="center"/>
          </w:tcPr>
          <w:p w14:paraId="7D50D24D">
            <w:pPr>
              <w:jc w:val="center"/>
              <w:rPr>
                <w:rFonts w:ascii="Times New Roman" w:hAnsi="Times New Roman" w:eastAsia="宋体" w:cs="Times New Roman"/>
                <w:szCs w:val="21"/>
              </w:rPr>
            </w:pPr>
            <w:r>
              <w:rPr>
                <w:rFonts w:hint="eastAsia" w:ascii="Times New Roman" w:hAnsi="Times New Roman" w:eastAsia="宋体" w:cs="Times New Roman"/>
                <w:szCs w:val="21"/>
              </w:rPr>
              <w:t>油磨</w:t>
            </w:r>
          </w:p>
        </w:tc>
        <w:tc>
          <w:tcPr>
            <w:tcW w:w="695" w:type="dxa"/>
            <w:vAlign w:val="center"/>
          </w:tcPr>
          <w:p w14:paraId="3325C439">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15" w:type="dxa"/>
          </w:tcPr>
          <w:p w14:paraId="0BA164FC">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365" w:type="dxa"/>
          </w:tcPr>
          <w:p w14:paraId="27A562C5">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752" w:type="dxa"/>
            <w:vAlign w:val="center"/>
          </w:tcPr>
          <w:p w14:paraId="31F9FB5C">
            <w:pPr>
              <w:jc w:val="center"/>
              <w:rPr>
                <w:rFonts w:ascii="Times New Roman" w:hAnsi="Times New Roman" w:eastAsia="宋体" w:cs="Times New Roman"/>
                <w:szCs w:val="21"/>
              </w:rPr>
            </w:pPr>
            <w:r>
              <w:rPr>
                <w:rFonts w:hint="eastAsia" w:ascii="Times New Roman" w:hAnsi="Times New Roman" w:eastAsia="宋体" w:cs="Times New Roman"/>
                <w:bCs/>
                <w:kern w:val="0"/>
                <w:szCs w:val="21"/>
              </w:rPr>
              <w:t>1d</w:t>
            </w:r>
          </w:p>
        </w:tc>
        <w:tc>
          <w:tcPr>
            <w:tcW w:w="829" w:type="dxa"/>
            <w:vAlign w:val="center"/>
          </w:tcPr>
          <w:p w14:paraId="288DF780">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T，I </w:t>
            </w:r>
          </w:p>
        </w:tc>
        <w:tc>
          <w:tcPr>
            <w:tcW w:w="1089" w:type="dxa"/>
            <w:vMerge w:val="continue"/>
            <w:vAlign w:val="center"/>
          </w:tcPr>
          <w:p w14:paraId="4E153747">
            <w:pPr>
              <w:jc w:val="center"/>
              <w:rPr>
                <w:rFonts w:ascii="Times New Roman" w:hAnsi="Times New Roman" w:eastAsia="宋体" w:cs="Times New Roman"/>
                <w:bCs/>
                <w:kern w:val="0"/>
                <w:szCs w:val="21"/>
              </w:rPr>
            </w:pPr>
          </w:p>
        </w:tc>
      </w:tr>
      <w:tr w14:paraId="1E48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7" w:type="dxa"/>
            <w:vAlign w:val="center"/>
          </w:tcPr>
          <w:p w14:paraId="0C9E4C80">
            <w:pPr>
              <w:jc w:val="center"/>
              <w:rPr>
                <w:rFonts w:ascii="Times New Roman" w:hAnsi="Times New Roman" w:eastAsia="宋体" w:cs="Times New Roman"/>
                <w:bCs/>
                <w:kern w:val="0"/>
                <w:szCs w:val="21"/>
              </w:rPr>
            </w:pPr>
            <w:r>
              <w:rPr>
                <w:rFonts w:hint="eastAsia" w:ascii="Times New Roman" w:hAnsi="Times New Roman" w:cs="Times New Roman"/>
                <w:bCs/>
                <w:kern w:val="0"/>
                <w:szCs w:val="21"/>
              </w:rPr>
              <w:t>4</w:t>
            </w:r>
          </w:p>
        </w:tc>
        <w:tc>
          <w:tcPr>
            <w:tcW w:w="2378" w:type="dxa"/>
            <w:vAlign w:val="center"/>
          </w:tcPr>
          <w:p w14:paraId="7116B7F4">
            <w:pPr>
              <w:jc w:val="center"/>
              <w:rPr>
                <w:rFonts w:ascii="Times New Roman" w:hAnsi="Times New Roman" w:eastAsia="宋体" w:cs="Times New Roman"/>
                <w:szCs w:val="21"/>
              </w:rPr>
            </w:pPr>
            <w:r>
              <w:rPr>
                <w:rFonts w:hint="eastAsia" w:ascii="Times New Roman" w:hAnsi="Times New Roman" w:eastAsia="宋体" w:cs="Times New Roman"/>
                <w:szCs w:val="21"/>
              </w:rPr>
              <w:t>污水处理站絮状沉淀物</w:t>
            </w:r>
          </w:p>
        </w:tc>
        <w:tc>
          <w:tcPr>
            <w:tcW w:w="828" w:type="dxa"/>
            <w:vAlign w:val="center"/>
          </w:tcPr>
          <w:p w14:paraId="315F9396">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58" w:type="dxa"/>
            <w:vAlign w:val="center"/>
          </w:tcPr>
          <w:p w14:paraId="6A6E0223">
            <w:pPr>
              <w:jc w:val="center"/>
              <w:rPr>
                <w:rFonts w:ascii="Times New Roman" w:hAnsi="Times New Roman" w:eastAsia="宋体" w:cs="Times New Roman"/>
                <w:szCs w:val="21"/>
              </w:rPr>
            </w:pPr>
            <w:r>
              <w:rPr>
                <w:rFonts w:ascii="Times New Roman" w:hAnsi="Times New Roman" w:eastAsia="宋体" w:cs="Times New Roman"/>
                <w:szCs w:val="21"/>
              </w:rPr>
              <w:t>772-006-49</w:t>
            </w:r>
          </w:p>
        </w:tc>
        <w:tc>
          <w:tcPr>
            <w:tcW w:w="1200" w:type="dxa"/>
            <w:vAlign w:val="center"/>
          </w:tcPr>
          <w:p w14:paraId="51E29735">
            <w:pPr>
              <w:jc w:val="center"/>
              <w:rPr>
                <w:rFonts w:ascii="Times New Roman" w:hAnsi="Times New Roman" w:cs="Times New Roman"/>
                <w:szCs w:val="21"/>
              </w:rPr>
            </w:pPr>
            <w:r>
              <w:rPr>
                <w:rFonts w:hint="eastAsia" w:ascii="Times New Roman" w:hAnsi="Times New Roman" w:cs="Times New Roman"/>
                <w:szCs w:val="21"/>
              </w:rPr>
              <w:t>0.1</w:t>
            </w:r>
          </w:p>
        </w:tc>
        <w:tc>
          <w:tcPr>
            <w:tcW w:w="1934" w:type="dxa"/>
            <w:vAlign w:val="center"/>
          </w:tcPr>
          <w:p w14:paraId="147D9DE8">
            <w:pPr>
              <w:jc w:val="center"/>
              <w:rPr>
                <w:rFonts w:ascii="Times New Roman" w:hAnsi="Times New Roman" w:cs="Times New Roman"/>
                <w:szCs w:val="21"/>
              </w:rPr>
            </w:pPr>
            <w:r>
              <w:rPr>
                <w:rFonts w:hint="eastAsia" w:ascii="Times New Roman" w:hAnsi="Times New Roman" w:eastAsia="宋体" w:cs="Times New Roman"/>
                <w:szCs w:val="21"/>
              </w:rPr>
              <w:t>污水处理站</w:t>
            </w:r>
          </w:p>
        </w:tc>
        <w:tc>
          <w:tcPr>
            <w:tcW w:w="695" w:type="dxa"/>
            <w:vAlign w:val="center"/>
          </w:tcPr>
          <w:p w14:paraId="4D4013F5">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415" w:type="dxa"/>
            <w:vAlign w:val="center"/>
          </w:tcPr>
          <w:p w14:paraId="23F5C327">
            <w:pPr>
              <w:jc w:val="center"/>
              <w:rPr>
                <w:rFonts w:ascii="Times New Roman" w:hAnsi="Times New Roman" w:cs="Times New Roman"/>
                <w:szCs w:val="21"/>
              </w:rPr>
            </w:pPr>
            <w:r>
              <w:rPr>
                <w:rFonts w:hint="eastAsia" w:ascii="Times New Roman" w:hAnsi="Times New Roman" w:cs="Times New Roman"/>
                <w:bCs/>
                <w:szCs w:val="21"/>
              </w:rPr>
              <w:t>漆料</w:t>
            </w:r>
          </w:p>
        </w:tc>
        <w:tc>
          <w:tcPr>
            <w:tcW w:w="1365" w:type="dxa"/>
            <w:vAlign w:val="center"/>
          </w:tcPr>
          <w:p w14:paraId="587A70B1">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752" w:type="dxa"/>
            <w:vAlign w:val="center"/>
          </w:tcPr>
          <w:p w14:paraId="5D9038A2">
            <w:pPr>
              <w:jc w:val="center"/>
              <w:rPr>
                <w:rFonts w:ascii="Times New Roman" w:hAnsi="Times New Roman" w:eastAsia="宋体" w:cs="Times New Roman"/>
                <w:szCs w:val="21"/>
              </w:rPr>
            </w:pPr>
            <w:r>
              <w:rPr>
                <w:rFonts w:hint="eastAsia" w:ascii="Times New Roman" w:hAnsi="Times New Roman" w:eastAsia="宋体" w:cs="Times New Roman"/>
                <w:szCs w:val="21"/>
              </w:rPr>
              <w:t>1月</w:t>
            </w:r>
          </w:p>
        </w:tc>
        <w:tc>
          <w:tcPr>
            <w:tcW w:w="829" w:type="dxa"/>
            <w:vAlign w:val="center"/>
          </w:tcPr>
          <w:p w14:paraId="59303D73">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T，In </w:t>
            </w:r>
          </w:p>
        </w:tc>
        <w:tc>
          <w:tcPr>
            <w:tcW w:w="1089" w:type="dxa"/>
            <w:vMerge w:val="continue"/>
            <w:vAlign w:val="center"/>
          </w:tcPr>
          <w:p w14:paraId="61B8B0C3">
            <w:pPr>
              <w:jc w:val="center"/>
              <w:rPr>
                <w:rFonts w:ascii="Times New Roman" w:hAnsi="Times New Roman" w:eastAsia="宋体" w:cs="Times New Roman"/>
                <w:bCs/>
                <w:kern w:val="0"/>
                <w:szCs w:val="21"/>
              </w:rPr>
            </w:pPr>
          </w:p>
        </w:tc>
      </w:tr>
      <w:tr w14:paraId="4B4E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7" w:type="dxa"/>
            <w:vAlign w:val="center"/>
          </w:tcPr>
          <w:p w14:paraId="0BED4706">
            <w:pPr>
              <w:jc w:val="center"/>
              <w:rPr>
                <w:rFonts w:ascii="Times New Roman" w:hAnsi="Times New Roman" w:eastAsia="宋体" w:cs="Times New Roman"/>
                <w:bCs/>
                <w:kern w:val="0"/>
                <w:szCs w:val="21"/>
              </w:rPr>
            </w:pPr>
            <w:r>
              <w:rPr>
                <w:rFonts w:hint="eastAsia" w:ascii="Times New Roman" w:hAnsi="Times New Roman" w:cs="Times New Roman"/>
                <w:bCs/>
                <w:kern w:val="0"/>
                <w:szCs w:val="21"/>
              </w:rPr>
              <w:t>5</w:t>
            </w:r>
          </w:p>
        </w:tc>
        <w:tc>
          <w:tcPr>
            <w:tcW w:w="2378" w:type="dxa"/>
            <w:vAlign w:val="center"/>
          </w:tcPr>
          <w:p w14:paraId="113123A8">
            <w:pPr>
              <w:jc w:val="center"/>
              <w:rPr>
                <w:rFonts w:ascii="Times New Roman" w:hAnsi="Times New Roman" w:eastAsia="宋体" w:cs="Times New Roman"/>
                <w:szCs w:val="21"/>
              </w:rPr>
            </w:pPr>
            <w:r>
              <w:rPr>
                <w:rFonts w:hint="eastAsia" w:ascii="Times New Roman" w:hAnsi="Times New Roman" w:eastAsia="宋体" w:cs="Times New Roman"/>
                <w:szCs w:val="21"/>
              </w:rPr>
              <w:t>废活性炭</w:t>
            </w:r>
          </w:p>
        </w:tc>
        <w:tc>
          <w:tcPr>
            <w:tcW w:w="828" w:type="dxa"/>
            <w:vAlign w:val="center"/>
          </w:tcPr>
          <w:p w14:paraId="7FC6AD10">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58" w:type="dxa"/>
            <w:vAlign w:val="center"/>
          </w:tcPr>
          <w:p w14:paraId="3EBBEBD9">
            <w:pPr>
              <w:jc w:val="center"/>
              <w:rPr>
                <w:rFonts w:ascii="Times New Roman" w:hAnsi="Times New Roman" w:eastAsia="宋体" w:cs="Times New Roman"/>
                <w:szCs w:val="21"/>
              </w:rPr>
            </w:pPr>
            <w:r>
              <w:rPr>
                <w:rFonts w:hint="eastAsia" w:ascii="Times New Roman" w:hAnsi="Times New Roman" w:eastAsia="宋体" w:cs="Times New Roman"/>
                <w:szCs w:val="21"/>
              </w:rPr>
              <w:t>900-039-49</w:t>
            </w:r>
          </w:p>
        </w:tc>
        <w:tc>
          <w:tcPr>
            <w:tcW w:w="1200" w:type="dxa"/>
            <w:vAlign w:val="center"/>
          </w:tcPr>
          <w:p w14:paraId="5CCF57D9">
            <w:pPr>
              <w:jc w:val="center"/>
              <w:rPr>
                <w:rFonts w:ascii="Times New Roman" w:hAnsi="Times New Roman" w:cs="Times New Roman"/>
                <w:szCs w:val="21"/>
              </w:rPr>
            </w:pPr>
            <w:r>
              <w:rPr>
                <w:rFonts w:hint="eastAsia" w:ascii="Times New Roman" w:hAnsi="Times New Roman" w:cs="Times New Roman"/>
                <w:szCs w:val="21"/>
              </w:rPr>
              <w:t>2</w:t>
            </w:r>
          </w:p>
        </w:tc>
        <w:tc>
          <w:tcPr>
            <w:tcW w:w="1934" w:type="dxa"/>
            <w:vAlign w:val="center"/>
          </w:tcPr>
          <w:p w14:paraId="55E96C96">
            <w:pPr>
              <w:jc w:val="center"/>
              <w:rPr>
                <w:rFonts w:ascii="Times New Roman" w:hAnsi="Times New Roman" w:eastAsia="宋体" w:cs="Times New Roman"/>
                <w:szCs w:val="21"/>
              </w:rPr>
            </w:pPr>
            <w:r>
              <w:rPr>
                <w:rFonts w:hint="eastAsia" w:ascii="Times New Roman" w:hAnsi="Times New Roman" w:cs="Times New Roman"/>
                <w:szCs w:val="21"/>
              </w:rPr>
              <w:t>废气治理设施</w:t>
            </w:r>
          </w:p>
        </w:tc>
        <w:tc>
          <w:tcPr>
            <w:tcW w:w="695" w:type="dxa"/>
            <w:vAlign w:val="center"/>
          </w:tcPr>
          <w:p w14:paraId="6B88FB69">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415" w:type="dxa"/>
            <w:vAlign w:val="center"/>
          </w:tcPr>
          <w:p w14:paraId="3B5DDE08">
            <w:pPr>
              <w:jc w:val="center"/>
              <w:rPr>
                <w:rFonts w:ascii="Times New Roman" w:hAnsi="Times New Roman" w:cs="Times New Roman"/>
                <w:szCs w:val="21"/>
              </w:rPr>
            </w:pPr>
            <w:r>
              <w:rPr>
                <w:rFonts w:hint="eastAsia" w:ascii="Times New Roman" w:hAnsi="Times New Roman" w:cs="Times New Roman"/>
                <w:szCs w:val="21"/>
              </w:rPr>
              <w:t>有机物、</w:t>
            </w:r>
            <w:r>
              <w:rPr>
                <w:rFonts w:hint="eastAsia" w:ascii="Times New Roman" w:hAnsi="Times New Roman" w:cs="Times New Roman"/>
                <w:bCs/>
                <w:szCs w:val="21"/>
              </w:rPr>
              <w:t>漆料</w:t>
            </w:r>
          </w:p>
        </w:tc>
        <w:tc>
          <w:tcPr>
            <w:tcW w:w="1365" w:type="dxa"/>
            <w:vAlign w:val="center"/>
          </w:tcPr>
          <w:p w14:paraId="296C833C">
            <w:pPr>
              <w:jc w:val="center"/>
              <w:rPr>
                <w:rFonts w:ascii="Times New Roman" w:hAnsi="Times New Roman" w:eastAsia="宋体" w:cs="Times New Roman"/>
                <w:szCs w:val="21"/>
              </w:rPr>
            </w:pPr>
            <w:r>
              <w:rPr>
                <w:rFonts w:hint="eastAsia" w:ascii="Times New Roman" w:hAnsi="Times New Roman" w:cs="Times New Roman"/>
                <w:szCs w:val="21"/>
              </w:rPr>
              <w:t>有机物、</w:t>
            </w:r>
            <w:r>
              <w:rPr>
                <w:rFonts w:hint="eastAsia" w:ascii="Times New Roman" w:hAnsi="Times New Roman" w:cs="Times New Roman"/>
                <w:bCs/>
                <w:szCs w:val="21"/>
              </w:rPr>
              <w:t>漆料</w:t>
            </w:r>
          </w:p>
        </w:tc>
        <w:tc>
          <w:tcPr>
            <w:tcW w:w="752" w:type="dxa"/>
            <w:vAlign w:val="center"/>
          </w:tcPr>
          <w:p w14:paraId="22BB6BD4">
            <w:pPr>
              <w:jc w:val="center"/>
              <w:rPr>
                <w:rFonts w:ascii="Times New Roman" w:hAnsi="Times New Roman" w:eastAsia="宋体" w:cs="Times New Roman"/>
                <w:szCs w:val="21"/>
              </w:rPr>
            </w:pPr>
            <w:r>
              <w:rPr>
                <w:rFonts w:hint="eastAsia" w:ascii="Times New Roman" w:hAnsi="Times New Roman" w:eastAsia="宋体" w:cs="Times New Roman"/>
                <w:szCs w:val="21"/>
              </w:rPr>
              <w:t>3年</w:t>
            </w:r>
          </w:p>
        </w:tc>
        <w:tc>
          <w:tcPr>
            <w:tcW w:w="829" w:type="dxa"/>
            <w:vAlign w:val="center"/>
          </w:tcPr>
          <w:p w14:paraId="1F500405">
            <w:pPr>
              <w:jc w:val="center"/>
              <w:rPr>
                <w:rFonts w:ascii="Times New Roman" w:hAnsi="Times New Roman" w:eastAsia="宋体" w:cs="Times New Roman"/>
                <w:szCs w:val="21"/>
              </w:rPr>
            </w:pPr>
            <w:r>
              <w:rPr>
                <w:rFonts w:hint="eastAsia" w:ascii="Times New Roman" w:hAnsi="Times New Roman" w:eastAsia="宋体" w:cs="Times New Roman"/>
                <w:szCs w:val="21"/>
              </w:rPr>
              <w:t>T</w:t>
            </w:r>
          </w:p>
        </w:tc>
        <w:tc>
          <w:tcPr>
            <w:tcW w:w="1089" w:type="dxa"/>
            <w:vMerge w:val="continue"/>
            <w:vAlign w:val="center"/>
          </w:tcPr>
          <w:p w14:paraId="364BE012">
            <w:pPr>
              <w:jc w:val="center"/>
              <w:rPr>
                <w:rFonts w:ascii="Times New Roman" w:hAnsi="Times New Roman" w:eastAsia="宋体" w:cs="Times New Roman"/>
                <w:bCs/>
                <w:kern w:val="0"/>
                <w:szCs w:val="21"/>
              </w:rPr>
            </w:pPr>
          </w:p>
        </w:tc>
      </w:tr>
      <w:tr w14:paraId="0512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7" w:type="dxa"/>
            <w:vAlign w:val="center"/>
          </w:tcPr>
          <w:p w14:paraId="7245363E">
            <w:pPr>
              <w:jc w:val="center"/>
              <w:rPr>
                <w:rFonts w:eastAsia="宋体"/>
              </w:rPr>
            </w:pPr>
            <w:r>
              <w:rPr>
                <w:rFonts w:hint="eastAsia"/>
              </w:rPr>
              <w:t>6</w:t>
            </w:r>
          </w:p>
        </w:tc>
        <w:tc>
          <w:tcPr>
            <w:tcW w:w="2378" w:type="dxa"/>
            <w:vAlign w:val="center"/>
          </w:tcPr>
          <w:p w14:paraId="59A4FD9F">
            <w:pPr>
              <w:jc w:val="center"/>
              <w:rPr>
                <w:rFonts w:ascii="Times New Roman" w:hAnsi="Times New Roman" w:eastAsia="宋体" w:cs="Times New Roman"/>
                <w:szCs w:val="21"/>
              </w:rPr>
            </w:pPr>
            <w:r>
              <w:rPr>
                <w:rFonts w:hint="eastAsia" w:ascii="Times New Roman" w:hAnsi="Times New Roman" w:eastAsia="宋体" w:cs="Times New Roman"/>
                <w:szCs w:val="21"/>
              </w:rPr>
              <w:t>喷枪清洗废水</w:t>
            </w:r>
          </w:p>
        </w:tc>
        <w:tc>
          <w:tcPr>
            <w:tcW w:w="828" w:type="dxa"/>
            <w:vAlign w:val="center"/>
          </w:tcPr>
          <w:p w14:paraId="37A3CEE1">
            <w:pPr>
              <w:jc w:val="center"/>
              <w:rPr>
                <w:rFonts w:ascii="Times New Roman" w:hAnsi="Times New Roman" w:eastAsia="宋体" w:cs="Times New Roman"/>
                <w:szCs w:val="21"/>
              </w:rPr>
            </w:pPr>
            <w:r>
              <w:rPr>
                <w:rFonts w:hint="eastAsia" w:ascii="Times New Roman" w:hAnsi="Times New Roman" w:eastAsia="宋体" w:cs="Times New Roman"/>
                <w:szCs w:val="21"/>
              </w:rPr>
              <w:t>HW09</w:t>
            </w:r>
          </w:p>
        </w:tc>
        <w:tc>
          <w:tcPr>
            <w:tcW w:w="1258" w:type="dxa"/>
            <w:vAlign w:val="center"/>
          </w:tcPr>
          <w:p w14:paraId="00EA1395">
            <w:pPr>
              <w:jc w:val="center"/>
              <w:rPr>
                <w:rFonts w:ascii="Times New Roman" w:hAnsi="Times New Roman" w:eastAsia="宋体" w:cs="Times New Roman"/>
                <w:szCs w:val="21"/>
              </w:rPr>
            </w:pPr>
            <w:r>
              <w:rPr>
                <w:rFonts w:ascii="Times New Roman" w:hAnsi="Times New Roman" w:eastAsia="宋体" w:cs="Times New Roman"/>
                <w:szCs w:val="21"/>
              </w:rPr>
              <w:t>900-007-09</w:t>
            </w:r>
          </w:p>
        </w:tc>
        <w:tc>
          <w:tcPr>
            <w:tcW w:w="1200" w:type="dxa"/>
            <w:vAlign w:val="center"/>
          </w:tcPr>
          <w:p w14:paraId="7204212D">
            <w:pPr>
              <w:jc w:val="center"/>
              <w:rPr>
                <w:rFonts w:ascii="Times New Roman" w:hAnsi="Times New Roman" w:cs="Times New Roman"/>
                <w:szCs w:val="21"/>
              </w:rPr>
            </w:pPr>
            <w:r>
              <w:rPr>
                <w:rFonts w:hint="eastAsia" w:ascii="Times New Roman" w:hAnsi="Times New Roman" w:cs="Times New Roman"/>
                <w:szCs w:val="21"/>
              </w:rPr>
              <w:t>0.2</w:t>
            </w:r>
          </w:p>
        </w:tc>
        <w:tc>
          <w:tcPr>
            <w:tcW w:w="1934" w:type="dxa"/>
            <w:vAlign w:val="center"/>
          </w:tcPr>
          <w:p w14:paraId="6D4D0271">
            <w:pPr>
              <w:jc w:val="center"/>
              <w:rPr>
                <w:rFonts w:ascii="Times New Roman" w:hAnsi="Times New Roman" w:cs="Times New Roman"/>
                <w:szCs w:val="21"/>
              </w:rPr>
            </w:pPr>
            <w:r>
              <w:rPr>
                <w:rFonts w:hint="eastAsia" w:ascii="Times New Roman" w:hAnsi="Times New Roman" w:cs="Times New Roman"/>
                <w:szCs w:val="21"/>
              </w:rPr>
              <w:t>喷枪清洗</w:t>
            </w:r>
          </w:p>
        </w:tc>
        <w:tc>
          <w:tcPr>
            <w:tcW w:w="695" w:type="dxa"/>
            <w:vAlign w:val="center"/>
          </w:tcPr>
          <w:p w14:paraId="44A8C061">
            <w:pPr>
              <w:jc w:val="center"/>
              <w:rPr>
                <w:rFonts w:ascii="Times New Roman" w:hAnsi="Times New Roman" w:cs="Times New Roman"/>
                <w:szCs w:val="21"/>
              </w:rPr>
            </w:pPr>
            <w:r>
              <w:rPr>
                <w:rFonts w:hint="eastAsia" w:ascii="Times New Roman" w:hAnsi="Times New Roman" w:eastAsia="宋体" w:cs="Times New Roman"/>
                <w:szCs w:val="21"/>
              </w:rPr>
              <w:t>液态</w:t>
            </w:r>
          </w:p>
        </w:tc>
        <w:tc>
          <w:tcPr>
            <w:tcW w:w="1415" w:type="dxa"/>
            <w:vAlign w:val="center"/>
          </w:tcPr>
          <w:p w14:paraId="13829B26">
            <w:pPr>
              <w:jc w:val="center"/>
              <w:rPr>
                <w:rFonts w:ascii="Times New Roman" w:hAnsi="Times New Roman" w:cs="Times New Roman"/>
                <w:szCs w:val="21"/>
              </w:rPr>
            </w:pPr>
            <w:r>
              <w:rPr>
                <w:rFonts w:hint="eastAsia" w:ascii="Times New Roman" w:hAnsi="Times New Roman" w:cs="Times New Roman"/>
                <w:bCs/>
                <w:szCs w:val="21"/>
              </w:rPr>
              <w:t>漆料</w:t>
            </w:r>
          </w:p>
        </w:tc>
        <w:tc>
          <w:tcPr>
            <w:tcW w:w="1365" w:type="dxa"/>
            <w:vAlign w:val="center"/>
          </w:tcPr>
          <w:p w14:paraId="7D10492C">
            <w:pPr>
              <w:jc w:val="center"/>
              <w:rPr>
                <w:rFonts w:ascii="Times New Roman" w:hAnsi="Times New Roman" w:cs="Times New Roman"/>
                <w:szCs w:val="21"/>
              </w:rPr>
            </w:pPr>
            <w:r>
              <w:rPr>
                <w:rFonts w:hint="eastAsia" w:ascii="Times New Roman" w:hAnsi="Times New Roman" w:cs="Times New Roman"/>
                <w:bCs/>
                <w:szCs w:val="21"/>
              </w:rPr>
              <w:t>漆料</w:t>
            </w:r>
          </w:p>
        </w:tc>
        <w:tc>
          <w:tcPr>
            <w:tcW w:w="752" w:type="dxa"/>
            <w:vAlign w:val="center"/>
          </w:tcPr>
          <w:p w14:paraId="1AC8E5B0">
            <w:pPr>
              <w:jc w:val="center"/>
              <w:rPr>
                <w:rFonts w:ascii="Times New Roman" w:hAnsi="Times New Roman" w:eastAsia="宋体" w:cs="Times New Roman"/>
                <w:szCs w:val="21"/>
              </w:rPr>
            </w:pPr>
            <w:r>
              <w:rPr>
                <w:rFonts w:hint="eastAsia" w:ascii="Times New Roman" w:hAnsi="Times New Roman" w:eastAsia="宋体" w:cs="Times New Roman"/>
                <w:szCs w:val="21"/>
              </w:rPr>
              <w:t>1周</w:t>
            </w:r>
          </w:p>
        </w:tc>
        <w:tc>
          <w:tcPr>
            <w:tcW w:w="829" w:type="dxa"/>
            <w:vAlign w:val="center"/>
          </w:tcPr>
          <w:p w14:paraId="48135C25">
            <w:pPr>
              <w:jc w:val="center"/>
              <w:rPr>
                <w:rFonts w:ascii="Times New Roman" w:hAnsi="Times New Roman" w:eastAsia="宋体" w:cs="Times New Roman"/>
                <w:szCs w:val="21"/>
              </w:rPr>
            </w:pPr>
            <w:r>
              <w:rPr>
                <w:rFonts w:ascii="Times New Roman" w:hAnsi="Times New Roman" w:eastAsia="宋体" w:cs="Times New Roman"/>
                <w:szCs w:val="21"/>
              </w:rPr>
              <w:t>T</w:t>
            </w:r>
          </w:p>
        </w:tc>
        <w:tc>
          <w:tcPr>
            <w:tcW w:w="1089" w:type="dxa"/>
            <w:vMerge w:val="continue"/>
            <w:vAlign w:val="center"/>
          </w:tcPr>
          <w:p w14:paraId="576EFB1D">
            <w:pPr>
              <w:jc w:val="center"/>
              <w:rPr>
                <w:rFonts w:ascii="Times New Roman" w:hAnsi="Times New Roman" w:eastAsia="宋体" w:cs="Times New Roman"/>
                <w:szCs w:val="21"/>
              </w:rPr>
            </w:pPr>
          </w:p>
        </w:tc>
      </w:tr>
      <w:tr w14:paraId="6F95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7" w:type="dxa"/>
            <w:vAlign w:val="center"/>
          </w:tcPr>
          <w:p w14:paraId="45830549">
            <w:pPr>
              <w:jc w:val="center"/>
              <w:rPr>
                <w:rFonts w:ascii="Times New Roman" w:hAnsi="Times New Roman" w:eastAsia="宋体" w:cs="Times New Roman"/>
                <w:szCs w:val="21"/>
              </w:rPr>
            </w:pPr>
            <w:r>
              <w:rPr>
                <w:rFonts w:hint="eastAsia" w:ascii="Times New Roman" w:hAnsi="Times New Roman" w:cs="Times New Roman"/>
                <w:szCs w:val="21"/>
              </w:rPr>
              <w:t>7</w:t>
            </w:r>
          </w:p>
        </w:tc>
        <w:tc>
          <w:tcPr>
            <w:tcW w:w="2378" w:type="dxa"/>
            <w:vAlign w:val="center"/>
          </w:tcPr>
          <w:p w14:paraId="52949186">
            <w:pPr>
              <w:jc w:val="center"/>
              <w:rPr>
                <w:rFonts w:ascii="Times New Roman" w:hAnsi="Times New Roman" w:eastAsia="宋体" w:cs="Times New Roman"/>
                <w:szCs w:val="21"/>
              </w:rPr>
            </w:pPr>
            <w:r>
              <w:rPr>
                <w:rFonts w:hint="eastAsia" w:ascii="Times New Roman" w:hAnsi="Times New Roman" w:eastAsia="宋体" w:cs="Times New Roman"/>
                <w:szCs w:val="21"/>
              </w:rPr>
              <w:t>废催化剂</w:t>
            </w:r>
          </w:p>
        </w:tc>
        <w:tc>
          <w:tcPr>
            <w:tcW w:w="828" w:type="dxa"/>
            <w:vAlign w:val="center"/>
          </w:tcPr>
          <w:p w14:paraId="4FCAFBFB">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58" w:type="dxa"/>
            <w:vAlign w:val="center"/>
          </w:tcPr>
          <w:p w14:paraId="460CD6D9">
            <w:pPr>
              <w:jc w:val="center"/>
              <w:rPr>
                <w:rFonts w:ascii="Times New Roman" w:hAnsi="Times New Roman" w:eastAsia="宋体" w:cs="Times New Roman"/>
                <w:szCs w:val="21"/>
              </w:rPr>
            </w:pPr>
            <w:r>
              <w:rPr>
                <w:rFonts w:hint="eastAsia" w:ascii="Times New Roman" w:hAnsi="Times New Roman" w:eastAsia="宋体" w:cs="Times New Roman"/>
                <w:szCs w:val="21"/>
              </w:rPr>
              <w:t>900-041-49</w:t>
            </w:r>
          </w:p>
        </w:tc>
        <w:tc>
          <w:tcPr>
            <w:tcW w:w="1200" w:type="dxa"/>
            <w:vAlign w:val="center"/>
          </w:tcPr>
          <w:p w14:paraId="7CA1420A">
            <w:pPr>
              <w:jc w:val="center"/>
              <w:rPr>
                <w:rFonts w:ascii="Times New Roman" w:hAnsi="Times New Roman" w:cs="Times New Roman"/>
                <w:szCs w:val="21"/>
              </w:rPr>
            </w:pPr>
            <w:r>
              <w:rPr>
                <w:rFonts w:hint="eastAsia" w:ascii="Times New Roman" w:hAnsi="Times New Roman" w:cs="Times New Roman"/>
                <w:szCs w:val="21"/>
              </w:rPr>
              <w:t>0.33</w:t>
            </w:r>
          </w:p>
        </w:tc>
        <w:tc>
          <w:tcPr>
            <w:tcW w:w="1934" w:type="dxa"/>
            <w:vAlign w:val="center"/>
          </w:tcPr>
          <w:p w14:paraId="6EF2EE3D">
            <w:pPr>
              <w:jc w:val="center"/>
              <w:rPr>
                <w:rFonts w:ascii="Times New Roman" w:hAnsi="Times New Roman" w:cs="Times New Roman"/>
                <w:szCs w:val="21"/>
              </w:rPr>
            </w:pPr>
            <w:r>
              <w:rPr>
                <w:rFonts w:hint="eastAsia" w:ascii="Times New Roman" w:hAnsi="Times New Roman" w:cs="Times New Roman"/>
                <w:szCs w:val="21"/>
              </w:rPr>
              <w:t>废气治理设施</w:t>
            </w:r>
          </w:p>
        </w:tc>
        <w:tc>
          <w:tcPr>
            <w:tcW w:w="695" w:type="dxa"/>
            <w:vAlign w:val="center"/>
          </w:tcPr>
          <w:p w14:paraId="62802A49">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415" w:type="dxa"/>
            <w:vAlign w:val="center"/>
          </w:tcPr>
          <w:p w14:paraId="5D9744DC">
            <w:pPr>
              <w:jc w:val="center"/>
              <w:rPr>
                <w:rFonts w:ascii="Times New Roman" w:hAnsi="Times New Roman" w:cs="Times New Roman"/>
                <w:szCs w:val="21"/>
              </w:rPr>
            </w:pPr>
            <w:r>
              <w:rPr>
                <w:rFonts w:ascii="Times New Roman" w:hAnsi="Times New Roman" w:cs="Times New Roman"/>
                <w:szCs w:val="21"/>
              </w:rPr>
              <w:t>陶瓷、Pt、Pd</w:t>
            </w:r>
          </w:p>
        </w:tc>
        <w:tc>
          <w:tcPr>
            <w:tcW w:w="1365" w:type="dxa"/>
            <w:vAlign w:val="center"/>
          </w:tcPr>
          <w:p w14:paraId="1B828FAF">
            <w:pPr>
              <w:jc w:val="center"/>
              <w:rPr>
                <w:rFonts w:ascii="Times New Roman" w:hAnsi="Times New Roman" w:cs="Times New Roman"/>
                <w:szCs w:val="21"/>
              </w:rPr>
            </w:pPr>
            <w:r>
              <w:rPr>
                <w:rFonts w:ascii="Times New Roman" w:hAnsi="Times New Roman" w:cs="Times New Roman"/>
                <w:szCs w:val="21"/>
              </w:rPr>
              <w:t>陶瓷、Pt、Pd</w:t>
            </w:r>
          </w:p>
        </w:tc>
        <w:tc>
          <w:tcPr>
            <w:tcW w:w="752" w:type="dxa"/>
            <w:vAlign w:val="center"/>
          </w:tcPr>
          <w:p w14:paraId="5846AEE7">
            <w:pPr>
              <w:jc w:val="center"/>
              <w:rPr>
                <w:rFonts w:ascii="Times New Roman" w:hAnsi="Times New Roman" w:eastAsia="宋体" w:cs="Times New Roman"/>
                <w:szCs w:val="21"/>
              </w:rPr>
            </w:pPr>
            <w:r>
              <w:rPr>
                <w:rFonts w:hint="eastAsia" w:ascii="Times New Roman" w:hAnsi="Times New Roman" w:eastAsia="宋体" w:cs="Times New Roman"/>
                <w:szCs w:val="21"/>
              </w:rPr>
              <w:t>5年</w:t>
            </w:r>
          </w:p>
        </w:tc>
        <w:tc>
          <w:tcPr>
            <w:tcW w:w="829" w:type="dxa"/>
            <w:vAlign w:val="center"/>
          </w:tcPr>
          <w:p w14:paraId="61EBE768">
            <w:pPr>
              <w:jc w:val="center"/>
              <w:rPr>
                <w:rFonts w:ascii="Times New Roman" w:hAnsi="Times New Roman" w:eastAsia="宋体" w:cs="Times New Roman"/>
                <w:szCs w:val="21"/>
              </w:rPr>
            </w:pPr>
            <w:r>
              <w:rPr>
                <w:rFonts w:hint="eastAsia" w:ascii="Times New Roman" w:hAnsi="Times New Roman" w:eastAsia="宋体" w:cs="Times New Roman"/>
                <w:szCs w:val="21"/>
              </w:rPr>
              <w:t>T/In</w:t>
            </w:r>
          </w:p>
        </w:tc>
        <w:tc>
          <w:tcPr>
            <w:tcW w:w="1089" w:type="dxa"/>
            <w:vMerge w:val="continue"/>
            <w:vAlign w:val="center"/>
          </w:tcPr>
          <w:p w14:paraId="14394259">
            <w:pPr>
              <w:jc w:val="center"/>
              <w:rPr>
                <w:rFonts w:ascii="Times New Roman" w:hAnsi="Times New Roman" w:eastAsia="宋体" w:cs="Times New Roman"/>
                <w:szCs w:val="21"/>
              </w:rPr>
            </w:pPr>
          </w:p>
        </w:tc>
      </w:tr>
      <w:tr w14:paraId="4138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7" w:type="dxa"/>
            <w:vAlign w:val="center"/>
          </w:tcPr>
          <w:p w14:paraId="1084D9A8">
            <w:pPr>
              <w:jc w:val="center"/>
              <w:rPr>
                <w:rFonts w:ascii="Times New Roman" w:hAnsi="Times New Roman" w:cs="Times New Roman"/>
                <w:szCs w:val="21"/>
              </w:rPr>
            </w:pPr>
            <w:r>
              <w:rPr>
                <w:rFonts w:hint="eastAsia" w:ascii="Times New Roman" w:hAnsi="Times New Roman" w:cs="Times New Roman"/>
                <w:szCs w:val="21"/>
              </w:rPr>
              <w:t>8</w:t>
            </w:r>
          </w:p>
        </w:tc>
        <w:tc>
          <w:tcPr>
            <w:tcW w:w="2378" w:type="dxa"/>
            <w:vAlign w:val="center"/>
          </w:tcPr>
          <w:p w14:paraId="2812ECA7">
            <w:pPr>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废机油</w:t>
            </w:r>
          </w:p>
        </w:tc>
        <w:tc>
          <w:tcPr>
            <w:tcW w:w="828" w:type="dxa"/>
            <w:vAlign w:val="center"/>
          </w:tcPr>
          <w:p w14:paraId="110DD4DF">
            <w:pPr>
              <w:jc w:val="center"/>
              <w:rPr>
                <w:rFonts w:ascii="Times New Roman" w:hAnsi="Times New Roman" w:eastAsia="宋体" w:cs="Times New Roman"/>
                <w:szCs w:val="21"/>
              </w:rPr>
            </w:pPr>
            <w:r>
              <w:rPr>
                <w:rFonts w:hint="eastAsia" w:ascii="Times New Roman" w:hAnsi="Times New Roman" w:eastAsia="宋体" w:cs="Times New Roman"/>
                <w:szCs w:val="21"/>
              </w:rPr>
              <w:t>HW08</w:t>
            </w:r>
          </w:p>
        </w:tc>
        <w:tc>
          <w:tcPr>
            <w:tcW w:w="1258" w:type="dxa"/>
            <w:vAlign w:val="center"/>
          </w:tcPr>
          <w:p w14:paraId="553A5C67">
            <w:pPr>
              <w:jc w:val="center"/>
              <w:rPr>
                <w:rFonts w:ascii="Times New Roman" w:hAnsi="Times New Roman" w:eastAsia="宋体" w:cs="Times New Roman"/>
                <w:szCs w:val="21"/>
              </w:rPr>
            </w:pPr>
            <w:r>
              <w:rPr>
                <w:rFonts w:ascii="Times New Roman" w:hAnsi="Times New Roman" w:eastAsia="宋体" w:cs="Times New Roman"/>
                <w:szCs w:val="21"/>
              </w:rPr>
              <w:t>900-217-08</w:t>
            </w:r>
          </w:p>
        </w:tc>
        <w:tc>
          <w:tcPr>
            <w:tcW w:w="1200" w:type="dxa"/>
            <w:vAlign w:val="center"/>
          </w:tcPr>
          <w:p w14:paraId="733C20D0">
            <w:pPr>
              <w:jc w:val="center"/>
              <w:rPr>
                <w:rFonts w:ascii="Times New Roman" w:hAnsi="Times New Roman" w:eastAsia="宋体" w:cs="Times New Roman"/>
                <w:szCs w:val="21"/>
              </w:rPr>
            </w:pPr>
            <w:r>
              <w:rPr>
                <w:rFonts w:hint="eastAsia" w:ascii="Times New Roman" w:hAnsi="Times New Roman" w:cs="Times New Roman"/>
                <w:szCs w:val="21"/>
              </w:rPr>
              <w:t>0.1</w:t>
            </w:r>
          </w:p>
        </w:tc>
        <w:tc>
          <w:tcPr>
            <w:tcW w:w="1934" w:type="dxa"/>
            <w:vAlign w:val="center"/>
          </w:tcPr>
          <w:p w14:paraId="53ECCC33">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695" w:type="dxa"/>
            <w:vAlign w:val="center"/>
          </w:tcPr>
          <w:p w14:paraId="14F72E89">
            <w:pPr>
              <w:jc w:val="center"/>
              <w:rPr>
                <w:rFonts w:ascii="Times New Roman" w:hAnsi="Times New Roman" w:eastAsia="宋体" w:cs="Times New Roman"/>
                <w:szCs w:val="21"/>
              </w:rPr>
            </w:pPr>
            <w:r>
              <w:rPr>
                <w:rFonts w:hint="eastAsia" w:ascii="Times New Roman" w:hAnsi="Times New Roman" w:eastAsia="宋体" w:cs="Times New Roman"/>
                <w:szCs w:val="21"/>
              </w:rPr>
              <w:t>液态</w:t>
            </w:r>
          </w:p>
        </w:tc>
        <w:tc>
          <w:tcPr>
            <w:tcW w:w="1415" w:type="dxa"/>
            <w:vAlign w:val="center"/>
          </w:tcPr>
          <w:p w14:paraId="570B3B61">
            <w:pPr>
              <w:jc w:val="center"/>
              <w:rPr>
                <w:rFonts w:ascii="Times New Roman" w:hAnsi="Times New Roman" w:eastAsia="宋体" w:cs="Times New Roman"/>
                <w:szCs w:val="21"/>
              </w:rPr>
            </w:pPr>
            <w:r>
              <w:rPr>
                <w:rFonts w:hint="eastAsia" w:ascii="Times New Roman" w:hAnsi="Times New Roman" w:cs="Times New Roman"/>
                <w:szCs w:val="21"/>
              </w:rPr>
              <w:t>油类物质</w:t>
            </w:r>
          </w:p>
        </w:tc>
        <w:tc>
          <w:tcPr>
            <w:tcW w:w="1365" w:type="dxa"/>
            <w:vAlign w:val="center"/>
          </w:tcPr>
          <w:p w14:paraId="654F7F9A">
            <w:pPr>
              <w:jc w:val="center"/>
              <w:rPr>
                <w:rFonts w:ascii="Times New Roman" w:hAnsi="Times New Roman" w:eastAsia="宋体" w:cs="Times New Roman"/>
                <w:szCs w:val="21"/>
              </w:rPr>
            </w:pPr>
            <w:r>
              <w:rPr>
                <w:rFonts w:hint="eastAsia" w:ascii="Times New Roman" w:hAnsi="Times New Roman" w:cs="Times New Roman"/>
                <w:szCs w:val="21"/>
              </w:rPr>
              <w:t>油类物质</w:t>
            </w:r>
          </w:p>
        </w:tc>
        <w:tc>
          <w:tcPr>
            <w:tcW w:w="752" w:type="dxa"/>
            <w:vAlign w:val="center"/>
          </w:tcPr>
          <w:p w14:paraId="07B54179">
            <w:pPr>
              <w:jc w:val="center"/>
              <w:rPr>
                <w:rFonts w:ascii="Times New Roman" w:hAnsi="Times New Roman" w:eastAsia="宋体" w:cs="Times New Roman"/>
                <w:szCs w:val="21"/>
              </w:rPr>
            </w:pPr>
            <w:r>
              <w:rPr>
                <w:rFonts w:hint="eastAsia" w:ascii="Times New Roman" w:hAnsi="Times New Roman" w:eastAsia="宋体" w:cs="Times New Roman"/>
                <w:szCs w:val="21"/>
              </w:rPr>
              <w:t>半年</w:t>
            </w:r>
          </w:p>
        </w:tc>
        <w:tc>
          <w:tcPr>
            <w:tcW w:w="829" w:type="dxa"/>
            <w:vAlign w:val="center"/>
          </w:tcPr>
          <w:p w14:paraId="103C665E">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T，I </w:t>
            </w:r>
          </w:p>
        </w:tc>
        <w:tc>
          <w:tcPr>
            <w:tcW w:w="1089" w:type="dxa"/>
            <w:vMerge w:val="continue"/>
            <w:vAlign w:val="center"/>
          </w:tcPr>
          <w:p w14:paraId="30360A68">
            <w:pPr>
              <w:jc w:val="center"/>
              <w:rPr>
                <w:rFonts w:ascii="Times New Roman" w:hAnsi="Times New Roman" w:eastAsia="宋体" w:cs="Times New Roman"/>
                <w:szCs w:val="21"/>
              </w:rPr>
            </w:pPr>
          </w:p>
        </w:tc>
      </w:tr>
      <w:tr w14:paraId="387B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7" w:type="dxa"/>
            <w:vAlign w:val="center"/>
          </w:tcPr>
          <w:p w14:paraId="64E9D60C">
            <w:pPr>
              <w:jc w:val="center"/>
              <w:rPr>
                <w:rFonts w:ascii="Times New Roman" w:hAnsi="Times New Roman" w:cs="Times New Roman"/>
                <w:szCs w:val="21"/>
              </w:rPr>
            </w:pPr>
            <w:r>
              <w:rPr>
                <w:rFonts w:hint="eastAsia" w:ascii="Times New Roman" w:hAnsi="Times New Roman" w:cs="Times New Roman"/>
                <w:szCs w:val="21"/>
              </w:rPr>
              <w:t>9</w:t>
            </w:r>
          </w:p>
        </w:tc>
        <w:tc>
          <w:tcPr>
            <w:tcW w:w="2378" w:type="dxa"/>
            <w:vAlign w:val="center"/>
          </w:tcPr>
          <w:p w14:paraId="712CCF92">
            <w:pPr>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废过滤棉（含漆渣）</w:t>
            </w:r>
          </w:p>
        </w:tc>
        <w:tc>
          <w:tcPr>
            <w:tcW w:w="828" w:type="dxa"/>
            <w:vAlign w:val="center"/>
          </w:tcPr>
          <w:p w14:paraId="04C4B01B">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58" w:type="dxa"/>
            <w:vAlign w:val="center"/>
          </w:tcPr>
          <w:p w14:paraId="6B4297BF">
            <w:pPr>
              <w:jc w:val="center"/>
              <w:rPr>
                <w:rFonts w:ascii="Times New Roman" w:hAnsi="Times New Roman" w:eastAsia="宋体" w:cs="Times New Roman"/>
                <w:szCs w:val="21"/>
              </w:rPr>
            </w:pPr>
            <w:r>
              <w:rPr>
                <w:rFonts w:hint="eastAsia" w:ascii="Times New Roman" w:hAnsi="Times New Roman" w:eastAsia="宋体" w:cs="Times New Roman"/>
                <w:szCs w:val="21"/>
              </w:rPr>
              <w:t>900-041-49</w:t>
            </w:r>
          </w:p>
        </w:tc>
        <w:tc>
          <w:tcPr>
            <w:tcW w:w="1200" w:type="dxa"/>
            <w:vAlign w:val="center"/>
          </w:tcPr>
          <w:p w14:paraId="5A4534E3">
            <w:pPr>
              <w:jc w:val="center"/>
              <w:rPr>
                <w:rFonts w:ascii="Times New Roman" w:hAnsi="Times New Roman" w:eastAsia="宋体" w:cs="Times New Roman"/>
                <w:szCs w:val="21"/>
              </w:rPr>
            </w:pPr>
            <w:r>
              <w:rPr>
                <w:rFonts w:hint="eastAsia" w:ascii="Times New Roman" w:hAnsi="Times New Roman" w:cs="Times New Roman"/>
                <w:szCs w:val="21"/>
              </w:rPr>
              <w:t>0.5</w:t>
            </w:r>
          </w:p>
        </w:tc>
        <w:tc>
          <w:tcPr>
            <w:tcW w:w="1934" w:type="dxa"/>
            <w:vAlign w:val="center"/>
          </w:tcPr>
          <w:p w14:paraId="63FE50D7">
            <w:pPr>
              <w:jc w:val="center"/>
              <w:rPr>
                <w:rFonts w:ascii="Times New Roman" w:hAnsi="Times New Roman" w:eastAsia="宋体" w:cs="Times New Roman"/>
                <w:szCs w:val="21"/>
              </w:rPr>
            </w:pPr>
            <w:r>
              <w:rPr>
                <w:rFonts w:hint="eastAsia" w:ascii="Times New Roman" w:hAnsi="Times New Roman" w:cs="Times New Roman"/>
                <w:szCs w:val="21"/>
              </w:rPr>
              <w:t>废气治理设施</w:t>
            </w:r>
          </w:p>
        </w:tc>
        <w:tc>
          <w:tcPr>
            <w:tcW w:w="695" w:type="dxa"/>
            <w:vAlign w:val="center"/>
          </w:tcPr>
          <w:p w14:paraId="3842F065">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15" w:type="dxa"/>
            <w:vAlign w:val="center"/>
          </w:tcPr>
          <w:p w14:paraId="5BCE9652">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365" w:type="dxa"/>
            <w:vAlign w:val="center"/>
          </w:tcPr>
          <w:p w14:paraId="6CDB0A6D">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752" w:type="dxa"/>
            <w:vAlign w:val="center"/>
          </w:tcPr>
          <w:p w14:paraId="23272AD4">
            <w:pPr>
              <w:jc w:val="center"/>
              <w:rPr>
                <w:rFonts w:ascii="Times New Roman" w:hAnsi="Times New Roman" w:eastAsia="宋体" w:cs="Times New Roman"/>
                <w:szCs w:val="21"/>
              </w:rPr>
            </w:pPr>
            <w:r>
              <w:rPr>
                <w:rFonts w:hint="eastAsia" w:ascii="Times New Roman" w:hAnsi="Times New Roman" w:eastAsia="宋体" w:cs="Times New Roman"/>
                <w:bCs/>
                <w:kern w:val="0"/>
                <w:szCs w:val="21"/>
              </w:rPr>
              <w:t>1月</w:t>
            </w:r>
          </w:p>
        </w:tc>
        <w:tc>
          <w:tcPr>
            <w:tcW w:w="829" w:type="dxa"/>
            <w:vAlign w:val="center"/>
          </w:tcPr>
          <w:p w14:paraId="4D7CB00A">
            <w:pPr>
              <w:jc w:val="center"/>
              <w:rPr>
                <w:rFonts w:ascii="Times New Roman" w:hAnsi="Times New Roman" w:eastAsia="宋体" w:cs="Times New Roman"/>
                <w:szCs w:val="21"/>
              </w:rPr>
            </w:pPr>
            <w:r>
              <w:rPr>
                <w:rFonts w:hint="eastAsia" w:ascii="Times New Roman" w:hAnsi="Times New Roman" w:eastAsia="宋体" w:cs="Times New Roman"/>
                <w:szCs w:val="21"/>
              </w:rPr>
              <w:t>T/In</w:t>
            </w:r>
          </w:p>
        </w:tc>
        <w:tc>
          <w:tcPr>
            <w:tcW w:w="1089" w:type="dxa"/>
            <w:vMerge w:val="continue"/>
            <w:vAlign w:val="center"/>
          </w:tcPr>
          <w:p w14:paraId="4ADB936E">
            <w:pPr>
              <w:jc w:val="center"/>
              <w:rPr>
                <w:rFonts w:ascii="Times New Roman" w:hAnsi="Times New Roman" w:eastAsia="宋体" w:cs="Times New Roman"/>
                <w:szCs w:val="21"/>
              </w:rPr>
            </w:pPr>
          </w:p>
        </w:tc>
      </w:tr>
    </w:tbl>
    <w:p w14:paraId="751B6548">
      <w:pPr>
        <w:pStyle w:val="17"/>
        <w:ind w:firstLine="0"/>
      </w:pPr>
    </w:p>
    <w:p w14:paraId="0F2A840D">
      <w:pPr>
        <w:sectPr>
          <w:headerReference r:id="rId15" w:type="default"/>
          <w:pgSz w:w="16838" w:h="11906" w:orient="landscape"/>
          <w:pgMar w:top="1800" w:right="1440" w:bottom="1800" w:left="1440" w:header="851" w:footer="992" w:gutter="0"/>
          <w:pgNumType w:fmt="decimal"/>
          <w:cols w:space="425" w:num="1"/>
          <w:docGrid w:type="lines" w:linePitch="312" w:charSpace="0"/>
        </w:sectPr>
      </w:pPr>
    </w:p>
    <w:p w14:paraId="27623A78">
      <w:pPr>
        <w:pStyle w:val="3"/>
        <w:numPr>
          <w:ilvl w:val="1"/>
          <w:numId w:val="30"/>
        </w:numPr>
      </w:pPr>
      <w:bookmarkStart w:id="115" w:name="_Toc1230"/>
      <w:r>
        <w:rPr>
          <w:rFonts w:hint="eastAsia"/>
        </w:rPr>
        <w:t>清洁生产措施分析</w:t>
      </w:r>
      <w:bookmarkEnd w:id="115"/>
    </w:p>
    <w:p w14:paraId="5FA9B31B">
      <w:pPr>
        <w:spacing w:line="360" w:lineRule="auto"/>
        <w:ind w:firstLine="480" w:firstLineChars="200"/>
        <w:rPr>
          <w:rFonts w:ascii="Times New Roman" w:hAnsi="Times New Roman" w:cs="Times New Roman"/>
          <w:sz w:val="24"/>
        </w:rPr>
      </w:pPr>
      <w:r>
        <w:rPr>
          <w:rFonts w:ascii="Times New Roman" w:hAnsi="Times New Roman" w:cs="Times New Roman"/>
          <w:sz w:val="24"/>
        </w:rPr>
        <w:t>清洁生产是通过采取技术集约化管理的生产方式，最大限度利用生产过程中的各种资源和能源，减少废物产生量和排放量，以减少对环境的污染和危害。其实质就是在生产发展的过程中，坚持采用新工艺、新技术，通过生产全过程的控制和资源、能源的合理配置，最大限度地把原料转化为产品，把污染消灭在生产过程中，从而达到节能、降耗、减污、增效的目的，实现经济建设与环境保护的协调发展。</w:t>
      </w:r>
    </w:p>
    <w:p w14:paraId="48EDB751">
      <w:pPr>
        <w:spacing w:line="360" w:lineRule="auto"/>
        <w:ind w:firstLine="480" w:firstLineChars="200"/>
        <w:rPr>
          <w:rFonts w:ascii="Times New Roman" w:hAnsi="Times New Roman" w:cs="Times New Roman"/>
          <w:sz w:val="24"/>
        </w:rPr>
      </w:pPr>
      <w:r>
        <w:rPr>
          <w:rFonts w:ascii="Times New Roman" w:hAnsi="Times New Roman" w:cs="Times New Roman"/>
          <w:sz w:val="24"/>
        </w:rPr>
        <w:t>推行清洁生产，首先要强调生产全过程系统化预防意识，生产必须具有明确的整体目标，生产者对生产过程各个环节了如指掌；其次，必须采取一定的建设性措施，如改进企业的管理方式，规范物料和水量平衡的计量方式和方法，改进原料、能源一次利用方式，或改进产品方案，或开发、引进专门的高效利用资源技术、工艺、设备等；第三，选用技术先进、经济上可行的污染治理技术，完善生产过程中的污染治理措施，治理所得的物质优先考虑进行资源化利用；第四，要以持之以恒的思想，定期检查推行清洁生产的效益和效果，不断总结经验，改进措施。</w:t>
      </w:r>
    </w:p>
    <w:p w14:paraId="17291BEF">
      <w:pPr>
        <w:spacing w:line="360" w:lineRule="auto"/>
        <w:ind w:firstLine="480" w:firstLineChars="200"/>
        <w:rPr>
          <w:rFonts w:ascii="Times New Roman" w:hAnsi="Times New Roman" w:cs="Times New Roman"/>
          <w:sz w:val="24"/>
        </w:rPr>
      </w:pPr>
      <w:r>
        <w:rPr>
          <w:rFonts w:ascii="Times New Roman" w:hAnsi="Times New Roman" w:cs="Times New Roman"/>
          <w:sz w:val="24"/>
        </w:rPr>
        <w:t>清洁生产分析是基于对生产全过程废物无量化、减量化、资源化、无害化的技术、措施、管理分析，以及可量化的效益或效果分析，是对以污染物浓度控制为主线传统环境影响评价的重要补充。清洁生产分析的基础是对工程物料平衡和水平衡的正确分析。分析指标不仅考虑污染物浓度，还要着重考虑污染物的介质形态和数量，特别是单位产品污染物产生量。其分析对象着重在生产过程，而非生产末端。</w:t>
      </w:r>
    </w:p>
    <w:p w14:paraId="7C13F087">
      <w:pPr>
        <w:spacing w:line="360" w:lineRule="auto"/>
        <w:ind w:firstLine="480" w:firstLineChars="200"/>
        <w:rPr>
          <w:rFonts w:ascii="Times New Roman" w:hAnsi="Times New Roman" w:cs="Times New Roman"/>
          <w:sz w:val="24"/>
        </w:rPr>
      </w:pPr>
      <w:r>
        <w:rPr>
          <w:rFonts w:ascii="Times New Roman" w:hAnsi="Times New Roman" w:cs="Times New Roman"/>
          <w:sz w:val="24"/>
        </w:rPr>
        <w:t>（1）原辅材料及来源</w:t>
      </w:r>
    </w:p>
    <w:p w14:paraId="23CC57CB">
      <w:pPr>
        <w:spacing w:line="360" w:lineRule="auto"/>
        <w:ind w:firstLine="480" w:firstLineChars="200"/>
        <w:rPr>
          <w:rFonts w:ascii="Times New Roman" w:hAnsi="Times New Roman" w:cs="Times New Roman"/>
          <w:sz w:val="24"/>
        </w:rPr>
      </w:pPr>
      <w:r>
        <w:rPr>
          <w:rFonts w:ascii="Times New Roman" w:hAnsi="Times New Roman" w:cs="Times New Roman"/>
          <w:sz w:val="24"/>
        </w:rPr>
        <w:t>原材料是清洁生产首先要考虑的问题，只有从源头上加强控制和管理，减少有毒有害原料的种类和使用量，清洁生产技术在整个产品的生产周期的改进和控制作用才能起到事半功倍的效果。</w:t>
      </w:r>
    </w:p>
    <w:p w14:paraId="5642345F">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本项目主要原料为木材，属于无毒物质，辅助材料为油漆、稀释剂、固化剂、热熔胶、白乳胶等，使用过程中需严格按照操作要求进行存储、使用。</w:t>
      </w:r>
    </w:p>
    <w:p w14:paraId="4CB12B71">
      <w:pPr>
        <w:spacing w:line="360" w:lineRule="auto"/>
        <w:ind w:firstLine="480" w:firstLineChars="200"/>
        <w:rPr>
          <w:rFonts w:ascii="Times New Roman" w:hAnsi="Times New Roman" w:cs="Times New Roman"/>
          <w:sz w:val="24"/>
        </w:rPr>
      </w:pPr>
      <w:r>
        <w:rPr>
          <w:rFonts w:ascii="Times New Roman" w:hAnsi="Times New Roman" w:cs="Times New Roman"/>
          <w:sz w:val="24"/>
        </w:rPr>
        <w:t>本项目在生产、使用全过程中应加强操作管理，严格控制原辅材料的质量，对原材料进仓前进行严格检验，防止劣质原料进入生产线造成资源的浪费。工程原辅材料按要求选取低杂质、高纯度的原料，可以有效的减少在生产过程中的污染物产生量；原辅材料的存储和输送设备选取密封性能好的生产设备，最大程度的减少物料的无组织散失；原辅材料的管理应规范化，设置专门人员对物料进行管理，保证项目原辅材料满足清洁生产的要求。</w:t>
      </w:r>
    </w:p>
    <w:p w14:paraId="0D20B8E2">
      <w:pPr>
        <w:spacing w:line="360" w:lineRule="auto"/>
        <w:ind w:firstLine="480" w:firstLineChars="200"/>
        <w:rPr>
          <w:rFonts w:ascii="Times New Roman" w:hAnsi="Times New Roman" w:cs="Times New Roman"/>
          <w:sz w:val="24"/>
        </w:rPr>
      </w:pPr>
      <w:r>
        <w:rPr>
          <w:rFonts w:ascii="Times New Roman" w:hAnsi="Times New Roman" w:cs="Times New Roman"/>
          <w:sz w:val="24"/>
        </w:rPr>
        <w:t>本项目所用能源主要为水、电力等，均为清洁能源。项目能源使用符合清洁生产要求。</w:t>
      </w:r>
    </w:p>
    <w:p w14:paraId="17E20B8D">
      <w:pPr>
        <w:spacing w:line="360" w:lineRule="auto"/>
        <w:ind w:firstLine="480" w:firstLineChars="200"/>
        <w:rPr>
          <w:rFonts w:ascii="Times New Roman" w:hAnsi="Times New Roman" w:cs="Times New Roman"/>
          <w:sz w:val="24"/>
        </w:rPr>
      </w:pPr>
      <w:r>
        <w:rPr>
          <w:rFonts w:ascii="Times New Roman" w:hAnsi="Times New Roman" w:cs="Times New Roman"/>
          <w:sz w:val="24"/>
        </w:rPr>
        <w:t>（2）产品</w:t>
      </w:r>
    </w:p>
    <w:p w14:paraId="46F7E5BB">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本项目产品为木质室内套装门，产品在使用过程中不会对环境造成影响，且产品在报废后可作为废木材出售或回用，不会对环境造成影响。因此，产品符合清洁生产要求。</w:t>
      </w:r>
    </w:p>
    <w:p w14:paraId="3B8654DA">
      <w:pPr>
        <w:spacing w:line="360" w:lineRule="auto"/>
        <w:ind w:firstLine="480" w:firstLineChars="200"/>
        <w:rPr>
          <w:rFonts w:ascii="Times New Roman" w:hAnsi="Times New Roman" w:cs="Times New Roman"/>
          <w:sz w:val="24"/>
        </w:rPr>
      </w:pPr>
      <w:r>
        <w:rPr>
          <w:rFonts w:ascii="Times New Roman" w:hAnsi="Times New Roman" w:cs="Times New Roman"/>
          <w:sz w:val="24"/>
        </w:rPr>
        <w:t>（3）工艺装备水平</w:t>
      </w:r>
    </w:p>
    <w:p w14:paraId="0E631FEA">
      <w:pPr>
        <w:spacing w:line="360" w:lineRule="auto"/>
        <w:ind w:firstLine="480" w:firstLineChars="200"/>
        <w:rPr>
          <w:rFonts w:ascii="Times New Roman" w:hAnsi="Times New Roman" w:cs="Times New Roman"/>
          <w:sz w:val="24"/>
        </w:rPr>
      </w:pPr>
      <w:r>
        <w:rPr>
          <w:rFonts w:ascii="Times New Roman" w:hAnsi="Times New Roman" w:cs="Times New Roman"/>
          <w:sz w:val="24"/>
        </w:rPr>
        <w:t>本项目在下料过程中木门加工生产中采用加工精度高、自动化程度高的精密锯，一般只需更改数控程序，即可达到对部件的修改。生产过程中不消耗水、耗能低，技术水平较为先进。</w:t>
      </w:r>
    </w:p>
    <w:p w14:paraId="2FD9D567">
      <w:pPr>
        <w:spacing w:line="360" w:lineRule="auto"/>
        <w:ind w:firstLine="480" w:firstLineChars="200"/>
        <w:rPr>
          <w:rFonts w:ascii="Times New Roman" w:hAnsi="Times New Roman" w:cs="Times New Roman"/>
          <w:sz w:val="24"/>
        </w:rPr>
      </w:pPr>
      <w:r>
        <w:rPr>
          <w:rFonts w:ascii="Times New Roman" w:hAnsi="Times New Roman" w:cs="Times New Roman"/>
          <w:sz w:val="24"/>
        </w:rPr>
        <w:t>喷漆工序为室内喷漆，生产设备为国产定型设备，无国家明令规定的落后设备，分析认为设备装备较为先进。</w:t>
      </w:r>
    </w:p>
    <w:p w14:paraId="275C00DE">
      <w:pPr>
        <w:spacing w:line="360" w:lineRule="auto"/>
        <w:ind w:firstLine="480" w:firstLineChars="200"/>
        <w:rPr>
          <w:rFonts w:ascii="Times New Roman" w:hAnsi="Times New Roman" w:cs="Times New Roman"/>
          <w:sz w:val="24"/>
        </w:rPr>
      </w:pPr>
      <w:r>
        <w:rPr>
          <w:rFonts w:ascii="Times New Roman" w:hAnsi="Times New Roman" w:cs="Times New Roman"/>
          <w:sz w:val="24"/>
        </w:rPr>
        <w:t>（4）污染防治措施</w:t>
      </w:r>
    </w:p>
    <w:p w14:paraId="2C74C2A7">
      <w:pPr>
        <w:spacing w:line="360" w:lineRule="auto"/>
        <w:ind w:firstLine="480" w:firstLineChars="200"/>
        <w:rPr>
          <w:rFonts w:ascii="Times New Roman" w:hAnsi="Times New Roman" w:cs="Times New Roman"/>
          <w:sz w:val="24"/>
        </w:rPr>
      </w:pPr>
      <w:r>
        <w:rPr>
          <w:rFonts w:ascii="Times New Roman" w:hAnsi="Times New Roman" w:cs="Times New Roman"/>
          <w:sz w:val="24"/>
        </w:rPr>
        <w:t>该项目在生产工艺设计、污染防治过程中充分注意到清洁生产问题，具体体现在以下几点：</w:t>
      </w:r>
    </w:p>
    <w:p w14:paraId="420220AD">
      <w:pPr>
        <w:spacing w:line="360" w:lineRule="auto"/>
        <w:ind w:firstLine="480" w:firstLineChars="200"/>
        <w:rPr>
          <w:rFonts w:ascii="Times New Roman" w:hAnsi="Times New Roman" w:cs="Times New Roman"/>
          <w:sz w:val="24"/>
        </w:rPr>
      </w:pPr>
      <w:r>
        <w:rPr>
          <w:rFonts w:ascii="Times New Roman" w:hAnsi="Times New Roman" w:cs="Times New Roman"/>
          <w:sz w:val="24"/>
        </w:rPr>
        <w:t>①废气处理废气处理：木材加工粉尘：集气罩+中央除尘系统+15m排气筒（DA001）；</w:t>
      </w:r>
    </w:p>
    <w:p w14:paraId="1101A9DB">
      <w:pPr>
        <w:spacing w:line="360" w:lineRule="auto"/>
        <w:ind w:firstLine="480" w:firstLineChars="200"/>
        <w:rPr>
          <w:rFonts w:ascii="Times New Roman" w:hAnsi="Times New Roman" w:cs="Times New Roman"/>
          <w:sz w:val="24"/>
        </w:rPr>
      </w:pPr>
      <w:r>
        <w:rPr>
          <w:rFonts w:ascii="Times New Roman" w:hAnsi="Times New Roman" w:cs="Times New Roman"/>
          <w:sz w:val="24"/>
        </w:rPr>
        <w:t>修正油磨粉尘：负压收集脉冲布袋除尘器</w:t>
      </w:r>
      <w:r>
        <w:rPr>
          <w:rFonts w:hint="eastAsia" w:ascii="Times New Roman" w:hAnsi="Times New Roman" w:cs="Times New Roman"/>
          <w:sz w:val="24"/>
          <w:lang w:val="en-US" w:eastAsia="zh-CN"/>
        </w:rPr>
        <w:t>处理后无组织排放</w:t>
      </w:r>
      <w:r>
        <w:rPr>
          <w:rFonts w:ascii="Times New Roman" w:hAnsi="Times New Roman" w:cs="Times New Roman"/>
          <w:sz w:val="24"/>
        </w:rPr>
        <w:t>；</w:t>
      </w:r>
    </w:p>
    <w:p w14:paraId="62F76B3C">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lang w:val="en-US" w:eastAsia="zh-CN"/>
        </w:rPr>
        <w:t>喷</w:t>
      </w:r>
      <w:r>
        <w:rPr>
          <w:rFonts w:hint="eastAsia" w:ascii="Times New Roman" w:hAnsi="Times New Roman" w:eastAsia="宋体" w:cs="Times New Roman"/>
          <w:bCs/>
          <w:kern w:val="0"/>
          <w:sz w:val="24"/>
        </w:rPr>
        <w:t>漆房（含调漆、晾干）废气</w:t>
      </w:r>
      <w:r>
        <w:rPr>
          <w:rFonts w:hint="eastAsia" w:ascii="Times New Roman" w:hAnsi="Times New Roman" w:eastAsia="宋体" w:cs="Times New Roman"/>
          <w:bCs/>
          <w:kern w:val="0"/>
          <w:sz w:val="24"/>
          <w:lang w:val="en-US" w:eastAsia="zh-CN"/>
        </w:rPr>
        <w:t>经</w:t>
      </w:r>
      <w:r>
        <w:rPr>
          <w:rFonts w:hint="eastAsia" w:ascii="Times New Roman" w:hAnsi="Times New Roman" w:eastAsia="宋体" w:cs="Times New Roman"/>
          <w:bCs/>
          <w:kern w:val="0"/>
          <w:sz w:val="24"/>
        </w:rPr>
        <w:t>水幕帘+漆雾过滤器+活性炭吸附—脱附催化燃烧+15m排气筒（DA00</w:t>
      </w:r>
      <w:r>
        <w:rPr>
          <w:rFonts w:hint="eastAsia" w:ascii="Times New Roman" w:hAnsi="Times New Roman" w:eastAsia="宋体" w:cs="Times New Roman"/>
          <w:bCs/>
          <w:kern w:val="0"/>
          <w:sz w:val="24"/>
          <w:lang w:val="en-US" w:eastAsia="zh-CN"/>
        </w:rPr>
        <w:t>2</w:t>
      </w:r>
      <w:r>
        <w:rPr>
          <w:rFonts w:hint="eastAsia" w:ascii="Times New Roman" w:hAnsi="Times New Roman" w:eastAsia="宋体" w:cs="Times New Roman"/>
          <w:bCs/>
          <w:kern w:val="0"/>
          <w:sz w:val="24"/>
        </w:rPr>
        <w:t>）</w:t>
      </w:r>
      <w:r>
        <w:rPr>
          <w:rFonts w:hint="eastAsia" w:ascii="Times New Roman" w:hAnsi="Times New Roman" w:eastAsia="宋体" w:cs="Times New Roman"/>
          <w:bCs/>
          <w:kern w:val="0"/>
          <w:sz w:val="24"/>
          <w:lang w:eastAsia="zh-CN"/>
        </w:rPr>
        <w:t>，</w:t>
      </w:r>
      <w:r>
        <w:rPr>
          <w:rFonts w:hint="eastAsia" w:ascii="Times New Roman" w:hAnsi="Times New Roman" w:eastAsia="宋体" w:cs="Times New Roman"/>
          <w:bCs/>
          <w:kern w:val="0"/>
          <w:sz w:val="24"/>
        </w:rPr>
        <w:t>拼板冷压、封边、热压、擦色</w:t>
      </w:r>
      <w:r>
        <w:rPr>
          <w:rFonts w:hint="eastAsia" w:ascii="Times New Roman" w:hAnsi="Times New Roman" w:eastAsia="宋体" w:cs="Times New Roman"/>
          <w:bCs/>
          <w:kern w:val="0"/>
          <w:sz w:val="24"/>
          <w:lang w:val="en-US" w:eastAsia="zh-CN"/>
        </w:rPr>
        <w:t>废气引入喷漆房配套</w:t>
      </w:r>
      <w:r>
        <w:rPr>
          <w:rFonts w:hint="eastAsia" w:ascii="Times New Roman" w:hAnsi="Times New Roman" w:eastAsia="宋体" w:cs="Times New Roman"/>
          <w:bCs/>
          <w:kern w:val="0"/>
          <w:sz w:val="24"/>
        </w:rPr>
        <w:t>活性炭吸附—脱附催化燃烧+15m排气筒</w:t>
      </w:r>
      <w:r>
        <w:rPr>
          <w:rFonts w:ascii="Times New Roman" w:hAnsi="Times New Roman" w:eastAsia="宋体" w:cs="Times New Roman"/>
          <w:bCs/>
          <w:kern w:val="0"/>
          <w:sz w:val="24"/>
        </w:rPr>
        <w:t>。</w:t>
      </w:r>
    </w:p>
    <w:p w14:paraId="33F1E350">
      <w:pPr>
        <w:spacing w:line="360" w:lineRule="auto"/>
        <w:ind w:firstLine="480" w:firstLineChars="200"/>
        <w:rPr>
          <w:rFonts w:ascii="Times New Roman" w:hAnsi="Times New Roman" w:cs="Times New Roman"/>
          <w:sz w:val="24"/>
        </w:rPr>
      </w:pPr>
      <w:r>
        <w:rPr>
          <w:rFonts w:ascii="Times New Roman" w:hAnsi="Times New Roman" w:cs="Times New Roman"/>
          <w:sz w:val="24"/>
        </w:rPr>
        <w:t>②建设项目所选用的部分设备选用国内先进设备，低噪声，低能耗，具有较高的工艺自控水平，全面提高了工作效率和工作质量。</w:t>
      </w:r>
    </w:p>
    <w:p w14:paraId="77DE4995">
      <w:pPr>
        <w:spacing w:line="360" w:lineRule="auto"/>
        <w:ind w:firstLine="480" w:firstLineChars="200"/>
        <w:rPr>
          <w:rFonts w:ascii="Times New Roman" w:hAnsi="Times New Roman" w:cs="Times New Roman"/>
          <w:sz w:val="24"/>
        </w:rPr>
      </w:pPr>
      <w:r>
        <w:rPr>
          <w:rFonts w:ascii="Times New Roman" w:hAnsi="Times New Roman" w:cs="Times New Roman"/>
          <w:sz w:val="24"/>
        </w:rPr>
        <w:t>③生活污水经化粪池处理、水帘废水经厂内污水处理站处理后一并通过厂区废水总排口接管进入清丰中州水务有限公司第二污水处理厂，尾水排入潴龙河。</w:t>
      </w:r>
    </w:p>
    <w:p w14:paraId="20D824E2">
      <w:pPr>
        <w:spacing w:line="360" w:lineRule="auto"/>
        <w:ind w:firstLine="480" w:firstLineChars="200"/>
        <w:rPr>
          <w:rFonts w:ascii="Times New Roman" w:hAnsi="Times New Roman" w:cs="Times New Roman"/>
          <w:sz w:val="24"/>
        </w:rPr>
      </w:pPr>
      <w:r>
        <w:rPr>
          <w:rFonts w:ascii="Times New Roman" w:hAnsi="Times New Roman" w:cs="Times New Roman"/>
          <w:sz w:val="24"/>
        </w:rPr>
        <w:t>④各固体废物均采取有效的治理措施，处置率100%。</w:t>
      </w:r>
    </w:p>
    <w:p w14:paraId="58ADDD2F">
      <w:pPr>
        <w:spacing w:line="360" w:lineRule="auto"/>
        <w:ind w:firstLine="480" w:firstLineChars="200"/>
        <w:rPr>
          <w:rFonts w:ascii="Times New Roman" w:hAnsi="Times New Roman" w:cs="Times New Roman"/>
          <w:sz w:val="24"/>
        </w:rPr>
      </w:pPr>
      <w:r>
        <w:rPr>
          <w:rFonts w:ascii="Times New Roman" w:hAnsi="Times New Roman" w:cs="Times New Roman"/>
          <w:sz w:val="24"/>
        </w:rPr>
        <w:t>⑤防渗：本项目厂内相应区域防渗设计分别按照重点污染防治区和一般污染防治区的要求进行设计。</w:t>
      </w:r>
    </w:p>
    <w:p w14:paraId="04DF8570">
      <w:pPr>
        <w:spacing w:line="360" w:lineRule="auto"/>
        <w:ind w:firstLine="480" w:firstLineChars="200"/>
        <w:rPr>
          <w:rFonts w:ascii="Times New Roman" w:hAnsi="Times New Roman" w:cs="Times New Roman"/>
          <w:sz w:val="24"/>
        </w:rPr>
      </w:pPr>
      <w:r>
        <w:rPr>
          <w:rFonts w:ascii="Times New Roman" w:hAnsi="Times New Roman" w:cs="Times New Roman"/>
          <w:sz w:val="24"/>
        </w:rPr>
        <w:t>本项目采取了行之有效的全过程控制，尽量减少污染物产、排量，符合清洁生产要求。本项目采用的环保设备属国内较先进的专用环保设备，对相应污染物处理效率较高，可以满足国家规定的环保处理要求。</w:t>
      </w:r>
    </w:p>
    <w:p w14:paraId="5AA44F9A">
      <w:pPr>
        <w:spacing w:line="360" w:lineRule="auto"/>
        <w:ind w:firstLine="480" w:firstLineChars="200"/>
        <w:rPr>
          <w:rFonts w:ascii="Times New Roman" w:hAnsi="Times New Roman" w:cs="Times New Roman"/>
          <w:sz w:val="24"/>
        </w:rPr>
      </w:pPr>
      <w:r>
        <w:rPr>
          <w:rFonts w:ascii="Times New Roman" w:hAnsi="Times New Roman" w:cs="Times New Roman"/>
          <w:sz w:val="24"/>
        </w:rPr>
        <w:t>（5）环境管理要求</w:t>
      </w:r>
    </w:p>
    <w:p w14:paraId="6C4B57A3">
      <w:pPr>
        <w:spacing w:line="360" w:lineRule="auto"/>
        <w:ind w:firstLine="480" w:firstLineChars="200"/>
        <w:rPr>
          <w:rFonts w:ascii="Times New Roman" w:hAnsi="Times New Roman" w:cs="Times New Roman"/>
          <w:sz w:val="24"/>
        </w:rPr>
      </w:pPr>
      <w:r>
        <w:rPr>
          <w:rFonts w:ascii="Times New Roman" w:hAnsi="Times New Roman" w:cs="Times New Roman"/>
          <w:sz w:val="24"/>
        </w:rPr>
        <w:t>企业管理措施是推行清洁生产的重要手段。由于管理措施一般不涉及生产的工艺过程，花费较少，却可以取得较大的效果。清洁生产要贯穿生产的全过程，落实到公司的各个层次，分解到生产过程的各个环节，并于企业管理紧密地结合起来。企业环境管理的作用主要体现在协调发展生产和保护环境的关系，环境管理应依据清洁生产与末端治理相结合的思路，从生产原料进厂到产品出厂整个过程中对原料使用、能源利用、设备维护、污染治理等方面认真做到严格管理，加强员工清洁生产意识，严格操作规程，杜绝生产过程中不必要的原料及能源设备的损耗，保证清洁生产稳定持续发展，协调社会、经济、环境效益。</w:t>
      </w:r>
    </w:p>
    <w:p w14:paraId="41F9E912">
      <w:pPr>
        <w:spacing w:line="360" w:lineRule="auto"/>
        <w:ind w:firstLine="480" w:firstLineChars="200"/>
        <w:rPr>
          <w:rFonts w:ascii="Times New Roman" w:hAnsi="Times New Roman" w:cs="Times New Roman"/>
          <w:sz w:val="24"/>
        </w:rPr>
      </w:pPr>
      <w:r>
        <w:rPr>
          <w:rFonts w:ascii="Times New Roman" w:hAnsi="Times New Roman" w:cs="Times New Roman"/>
          <w:sz w:val="24"/>
        </w:rPr>
        <w:t>综合以上分析，拟建项目利用国内先进的生产技术设备，生产中严格控制能耗和物耗，有效的防止能源浪费和环境污染，在生产全过程控制及废物综合利用中贯彻了预防为主、废物最小化的清洁生产思想，符合清洁生产要求。</w:t>
      </w:r>
    </w:p>
    <w:p w14:paraId="5B118CDC">
      <w:pPr>
        <w:pStyle w:val="3"/>
        <w:numPr>
          <w:ilvl w:val="1"/>
          <w:numId w:val="30"/>
        </w:numPr>
      </w:pPr>
      <w:bookmarkStart w:id="116" w:name="_Toc510"/>
      <w:r>
        <w:rPr>
          <w:rFonts w:hint="eastAsia"/>
        </w:rPr>
        <w:t>非正常工况源强分析</w:t>
      </w:r>
      <w:bookmarkEnd w:id="116"/>
    </w:p>
    <w:p w14:paraId="531C2E1B">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根据《环境影响评价技术导则 大气环境》（HJ 2.2-2018），非正常排放指生产过程中开停车（工、炉）、设备检修、工艺设备转异常等非正常工况下的污染物排放，以及污染物排放控制措施达不到应有效率等情况下的排放，不包括事故排放（泄露、火灾爆炸）。</w:t>
      </w:r>
    </w:p>
    <w:p w14:paraId="17F2005D">
      <w:pPr>
        <w:pStyle w:val="87"/>
        <w:adjustRightInd/>
        <w:snapToGrid/>
        <w:ind w:firstLine="480"/>
        <w:rPr>
          <w:snapToGrid w:val="0"/>
        </w:rPr>
      </w:pPr>
      <w:r>
        <w:rPr>
          <w:rFonts w:hint="eastAsia" w:ascii="Times New Roman" w:hAnsi="Times New Roman" w:eastAsia="宋体" w:cs="Times New Roman"/>
        </w:rPr>
        <w:t>根据项目特点，本项目废气非正常排放主要考虑污染控制措施达不到应有效率的情形，本项目各个工序废气处理设施同时发生故障的概率极少。</w:t>
      </w:r>
      <w:r>
        <w:rPr>
          <w:rFonts w:hint="eastAsia" w:ascii="Times New Roman" w:hAnsi="Times New Roman" w:cs="Times New Roman"/>
        </w:rPr>
        <w:t>考虑各个工序产生的污染物种类、数量及对大气环境的影响程度，</w:t>
      </w:r>
      <w:r>
        <w:rPr>
          <w:snapToGrid w:val="0"/>
        </w:rPr>
        <w:t>本项目有机废气处理采用</w:t>
      </w:r>
      <w:r>
        <w:rPr>
          <w:rFonts w:hint="eastAsia"/>
          <w:snapToGrid w:val="0"/>
        </w:rPr>
        <w:t>活性炭吸附</w:t>
      </w:r>
      <w:r>
        <w:rPr>
          <w:rFonts w:ascii="Times New Roman" w:hAnsi="Times New Roman" w:cs="Times New Roman"/>
          <w:snapToGrid w:val="0"/>
        </w:rPr>
        <w:t>/</w:t>
      </w:r>
      <w:r>
        <w:rPr>
          <w:rFonts w:hint="eastAsia"/>
          <w:snapToGrid w:val="0"/>
        </w:rPr>
        <w:t>脱附催化燃烧装置</w:t>
      </w:r>
      <w:r>
        <w:rPr>
          <w:snapToGrid w:val="0"/>
        </w:rPr>
        <w:t>处理方式，本次评价按照</w:t>
      </w:r>
      <w:r>
        <w:rPr>
          <w:rFonts w:hint="eastAsia"/>
          <w:snapToGrid w:val="0"/>
        </w:rPr>
        <w:t>以活性炭吸附</w:t>
      </w:r>
      <w:r>
        <w:rPr>
          <w:rFonts w:ascii="Times New Roman" w:hAnsi="Times New Roman" w:cs="Times New Roman"/>
          <w:snapToGrid w:val="0"/>
        </w:rPr>
        <w:t>/</w:t>
      </w:r>
      <w:r>
        <w:rPr>
          <w:rFonts w:hint="eastAsia"/>
          <w:snapToGrid w:val="0"/>
        </w:rPr>
        <w:t>脱附催化燃烧装置废气</w:t>
      </w:r>
      <w:r>
        <w:rPr>
          <w:snapToGrid w:val="0"/>
        </w:rPr>
        <w:t>系统故障，造成废气处理效率</w:t>
      </w:r>
      <w:r>
        <w:rPr>
          <w:rFonts w:ascii="Times New Roman" w:hAnsi="Times New Roman" w:cs="Times New Roman"/>
          <w:snapToGrid w:val="0"/>
        </w:rPr>
        <w:t>为0%的情</w:t>
      </w:r>
      <w:r>
        <w:rPr>
          <w:snapToGrid w:val="0"/>
        </w:rPr>
        <w:t>况为非正常工况，具体见下表所示。</w:t>
      </w:r>
    </w:p>
    <w:p w14:paraId="2441C28F">
      <w:pPr>
        <w:pStyle w:val="17"/>
        <w:numPr>
          <w:ilvl w:val="0"/>
          <w:numId w:val="41"/>
        </w:numPr>
        <w:jc w:val="center"/>
        <w:rPr>
          <w:rFonts w:ascii="Times New Roman" w:hAnsi="Times New Roman" w:eastAsia="宋体" w:cs="Times New Roman"/>
          <w:b/>
          <w:bCs/>
          <w:szCs w:val="21"/>
        </w:rPr>
      </w:pPr>
      <w:r>
        <w:rPr>
          <w:rFonts w:hint="eastAsia" w:ascii="Times New Roman" w:hAnsi="Times New Roman" w:cs="Times New Roman"/>
          <w:b/>
          <w:bCs/>
          <w:szCs w:val="21"/>
        </w:rPr>
        <w:t xml:space="preserve">  </w:t>
      </w:r>
      <w:r>
        <w:rPr>
          <w:rFonts w:ascii="Times New Roman" w:hAnsi="Times New Roman" w:eastAsia="宋体" w:cs="Times New Roman"/>
          <w:b/>
          <w:bCs/>
          <w:szCs w:val="21"/>
        </w:rPr>
        <w:t xml:space="preserve"> </w:t>
      </w:r>
      <w:r>
        <w:rPr>
          <w:rFonts w:hint="eastAsia" w:ascii="Times New Roman" w:hAnsi="Times New Roman" w:eastAsia="宋体" w:cs="Times New Roman"/>
          <w:b/>
          <w:bCs/>
          <w:szCs w:val="21"/>
        </w:rPr>
        <w:t>本项目</w:t>
      </w:r>
      <w:r>
        <w:rPr>
          <w:rFonts w:ascii="Times New Roman" w:hAnsi="Times New Roman" w:eastAsia="宋体" w:cs="Times New Roman"/>
          <w:b/>
          <w:bCs/>
          <w:szCs w:val="21"/>
        </w:rPr>
        <w:t>非正常工况下废气污染源排放情况</w:t>
      </w:r>
    </w:p>
    <w:tbl>
      <w:tblPr>
        <w:tblStyle w:val="30"/>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477"/>
        <w:gridCol w:w="2178"/>
        <w:gridCol w:w="1566"/>
        <w:gridCol w:w="938"/>
        <w:gridCol w:w="1214"/>
        <w:gridCol w:w="963"/>
        <w:gridCol w:w="1026"/>
      </w:tblGrid>
      <w:tr w14:paraId="2966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90" w:hRule="atLeast"/>
          <w:jc w:val="center"/>
        </w:trPr>
        <w:tc>
          <w:tcPr>
            <w:tcW w:w="477" w:type="dxa"/>
            <w:tcBorders>
              <w:tl2br w:val="nil"/>
              <w:tr2bl w:val="nil"/>
            </w:tcBorders>
            <w:vAlign w:val="center"/>
          </w:tcPr>
          <w:p w14:paraId="7C800CCC">
            <w:pPr>
              <w:jc w:val="center"/>
              <w:rPr>
                <w:rFonts w:ascii="Times New Roman" w:hAnsi="Times New Roman" w:cs="Times New Roman"/>
                <w:szCs w:val="21"/>
              </w:rPr>
            </w:pPr>
            <w:r>
              <w:rPr>
                <w:rFonts w:ascii="Times New Roman" w:hAnsi="Times New Roman" w:cs="Times New Roman"/>
                <w:szCs w:val="21"/>
              </w:rPr>
              <w:t>序号</w:t>
            </w:r>
          </w:p>
        </w:tc>
        <w:tc>
          <w:tcPr>
            <w:tcW w:w="2178" w:type="dxa"/>
            <w:tcBorders>
              <w:tl2br w:val="nil"/>
              <w:tr2bl w:val="nil"/>
            </w:tcBorders>
            <w:vAlign w:val="center"/>
          </w:tcPr>
          <w:p w14:paraId="31FD6B19">
            <w:pPr>
              <w:jc w:val="center"/>
              <w:rPr>
                <w:rFonts w:ascii="Times New Roman" w:hAnsi="Times New Roman" w:cs="Times New Roman"/>
                <w:szCs w:val="21"/>
              </w:rPr>
            </w:pPr>
            <w:r>
              <w:rPr>
                <w:rFonts w:ascii="Times New Roman" w:hAnsi="Times New Roman" w:cs="Times New Roman"/>
                <w:szCs w:val="21"/>
              </w:rPr>
              <w:t>污染源</w:t>
            </w:r>
          </w:p>
        </w:tc>
        <w:tc>
          <w:tcPr>
            <w:tcW w:w="1566" w:type="dxa"/>
            <w:tcBorders>
              <w:tl2br w:val="nil"/>
              <w:tr2bl w:val="nil"/>
            </w:tcBorders>
            <w:vAlign w:val="center"/>
          </w:tcPr>
          <w:p w14:paraId="7DF02688">
            <w:pPr>
              <w:jc w:val="center"/>
              <w:rPr>
                <w:rFonts w:ascii="Times New Roman" w:hAnsi="Times New Roman" w:cs="Times New Roman"/>
                <w:szCs w:val="21"/>
              </w:rPr>
            </w:pPr>
            <w:r>
              <w:rPr>
                <w:rFonts w:ascii="Times New Roman" w:hAnsi="Times New Roman" w:cs="Times New Roman"/>
                <w:szCs w:val="21"/>
              </w:rPr>
              <w:t>污染物</w:t>
            </w:r>
          </w:p>
        </w:tc>
        <w:tc>
          <w:tcPr>
            <w:tcW w:w="938" w:type="dxa"/>
            <w:tcBorders>
              <w:tl2br w:val="nil"/>
              <w:tr2bl w:val="nil"/>
            </w:tcBorders>
            <w:vAlign w:val="center"/>
          </w:tcPr>
          <w:p w14:paraId="40598C7C">
            <w:pPr>
              <w:jc w:val="center"/>
              <w:rPr>
                <w:rFonts w:ascii="Times New Roman" w:hAnsi="Times New Roman" w:cs="Times New Roman"/>
                <w:szCs w:val="21"/>
              </w:rPr>
            </w:pPr>
            <w:r>
              <w:rPr>
                <w:rFonts w:ascii="Times New Roman" w:hAnsi="Times New Roman" w:cs="Times New Roman"/>
                <w:szCs w:val="21"/>
              </w:rPr>
              <w:t>风量</w:t>
            </w:r>
          </w:p>
          <w:p w14:paraId="4BB5BB3F">
            <w:pPr>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/h）</w:t>
            </w:r>
          </w:p>
        </w:tc>
        <w:tc>
          <w:tcPr>
            <w:tcW w:w="1214" w:type="dxa"/>
            <w:tcBorders>
              <w:tl2br w:val="nil"/>
              <w:tr2bl w:val="nil"/>
            </w:tcBorders>
            <w:vAlign w:val="center"/>
          </w:tcPr>
          <w:p w14:paraId="4AB14833">
            <w:pPr>
              <w:jc w:val="center"/>
              <w:rPr>
                <w:rFonts w:ascii="Times New Roman" w:hAnsi="Times New Roman" w:cs="Times New Roman"/>
                <w:szCs w:val="21"/>
              </w:rPr>
            </w:pPr>
            <w:r>
              <w:rPr>
                <w:rFonts w:ascii="Times New Roman" w:hAnsi="Times New Roman" w:cs="Times New Roman"/>
                <w:szCs w:val="21"/>
              </w:rPr>
              <w:t>污染物排放速率（kg/h）</w:t>
            </w:r>
          </w:p>
        </w:tc>
        <w:tc>
          <w:tcPr>
            <w:tcW w:w="963" w:type="dxa"/>
            <w:tcBorders>
              <w:tl2br w:val="nil"/>
              <w:tr2bl w:val="nil"/>
            </w:tcBorders>
            <w:vAlign w:val="center"/>
          </w:tcPr>
          <w:p w14:paraId="3559DCD1">
            <w:pPr>
              <w:jc w:val="center"/>
              <w:rPr>
                <w:rFonts w:ascii="Times New Roman" w:hAnsi="Times New Roman" w:eastAsia="宋体" w:cs="Times New Roman"/>
                <w:szCs w:val="21"/>
              </w:rPr>
            </w:pPr>
            <w:r>
              <w:rPr>
                <w:rFonts w:ascii="Times New Roman" w:hAnsi="Times New Roman" w:eastAsia="宋体" w:cs="Times New Roman"/>
                <w:szCs w:val="21"/>
              </w:rPr>
              <w:t>持续</w:t>
            </w:r>
          </w:p>
          <w:p w14:paraId="069D4427">
            <w:pPr>
              <w:jc w:val="center"/>
              <w:rPr>
                <w:rFonts w:ascii="Times New Roman" w:hAnsi="Times New Roman" w:eastAsia="宋体" w:cs="Times New Roman"/>
                <w:szCs w:val="21"/>
              </w:rPr>
            </w:pPr>
            <w:r>
              <w:rPr>
                <w:rFonts w:ascii="Times New Roman" w:hAnsi="Times New Roman" w:eastAsia="宋体" w:cs="Times New Roman"/>
                <w:szCs w:val="21"/>
              </w:rPr>
              <w:t>时间</w:t>
            </w:r>
          </w:p>
        </w:tc>
        <w:tc>
          <w:tcPr>
            <w:tcW w:w="1026" w:type="dxa"/>
            <w:tcBorders>
              <w:tl2br w:val="nil"/>
              <w:tr2bl w:val="nil"/>
            </w:tcBorders>
            <w:vAlign w:val="center"/>
          </w:tcPr>
          <w:p w14:paraId="1796C5F9">
            <w:pPr>
              <w:jc w:val="center"/>
              <w:rPr>
                <w:rFonts w:ascii="Times New Roman" w:hAnsi="Times New Roman" w:cs="Times New Roman"/>
                <w:szCs w:val="21"/>
              </w:rPr>
            </w:pPr>
            <w:r>
              <w:rPr>
                <w:rFonts w:ascii="Times New Roman" w:hAnsi="Times New Roman" w:eastAsia="宋体" w:cs="Times New Roman"/>
                <w:szCs w:val="21"/>
              </w:rPr>
              <w:t>年发生频次/次</w:t>
            </w:r>
          </w:p>
        </w:tc>
      </w:tr>
      <w:tr w14:paraId="71D8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96" w:hRule="atLeast"/>
          <w:jc w:val="center"/>
        </w:trPr>
        <w:tc>
          <w:tcPr>
            <w:tcW w:w="477" w:type="dxa"/>
            <w:vMerge w:val="restart"/>
            <w:tcBorders>
              <w:tl2br w:val="nil"/>
              <w:tr2bl w:val="nil"/>
            </w:tcBorders>
            <w:vAlign w:val="center"/>
          </w:tcPr>
          <w:p w14:paraId="090BB845">
            <w:pPr>
              <w:jc w:val="center"/>
              <w:rPr>
                <w:rFonts w:ascii="Times New Roman" w:hAnsi="Times New Roman" w:cs="Times New Roman"/>
                <w:szCs w:val="21"/>
              </w:rPr>
            </w:pPr>
            <w:r>
              <w:rPr>
                <w:rFonts w:ascii="Times New Roman" w:hAnsi="Times New Roman" w:cs="Times New Roman"/>
                <w:szCs w:val="21"/>
              </w:rPr>
              <w:t>1</w:t>
            </w:r>
          </w:p>
        </w:tc>
        <w:tc>
          <w:tcPr>
            <w:tcW w:w="2178" w:type="dxa"/>
            <w:vMerge w:val="restart"/>
            <w:tcBorders>
              <w:tl2br w:val="nil"/>
              <w:tr2bl w:val="nil"/>
            </w:tcBorders>
            <w:vAlign w:val="center"/>
          </w:tcPr>
          <w:p w14:paraId="4D4255F5">
            <w:pPr>
              <w:jc w:val="center"/>
              <w:rPr>
                <w:rFonts w:ascii="Times New Roman" w:hAnsi="Times New Roman" w:eastAsia="宋体" w:cs="Times New Roman"/>
                <w:szCs w:val="21"/>
              </w:rPr>
            </w:pPr>
            <w:r>
              <w:rPr>
                <w:rFonts w:ascii="Times New Roman" w:hAnsi="Times New Roman" w:cs="Times New Roman"/>
                <w:szCs w:val="21"/>
              </w:rPr>
              <w:t>拼板冷压、封边、热压、擦色、底漆房（含</w:t>
            </w:r>
            <w:r>
              <w:rPr>
                <w:rFonts w:hint="eastAsia" w:ascii="Times New Roman" w:hAnsi="Times New Roman" w:cs="Times New Roman"/>
                <w:szCs w:val="21"/>
              </w:rPr>
              <w:t>调漆、</w:t>
            </w:r>
            <w:r>
              <w:rPr>
                <w:rFonts w:ascii="Times New Roman" w:hAnsi="Times New Roman" w:cs="Times New Roman"/>
                <w:szCs w:val="21"/>
              </w:rPr>
              <w:t>晾干）废气（DA00</w:t>
            </w:r>
            <w:r>
              <w:rPr>
                <w:rFonts w:hint="eastAsia" w:ascii="Times New Roman" w:hAnsi="Times New Roman" w:cs="Times New Roman"/>
                <w:szCs w:val="21"/>
                <w:lang w:val="en-US" w:eastAsia="zh-CN"/>
              </w:rPr>
              <w:t>2</w:t>
            </w:r>
            <w:r>
              <w:rPr>
                <w:rFonts w:ascii="Times New Roman" w:hAnsi="Times New Roman" w:cs="Times New Roman"/>
                <w:szCs w:val="21"/>
              </w:rPr>
              <w:t>）</w:t>
            </w:r>
          </w:p>
        </w:tc>
        <w:tc>
          <w:tcPr>
            <w:tcW w:w="1566" w:type="dxa"/>
            <w:tcBorders>
              <w:tl2br w:val="nil"/>
              <w:tr2bl w:val="nil"/>
            </w:tcBorders>
            <w:vAlign w:val="center"/>
          </w:tcPr>
          <w:p w14:paraId="6456546B">
            <w:pPr>
              <w:adjustRightInd w:val="0"/>
              <w:snapToGrid w:val="0"/>
              <w:spacing w:line="280" w:lineRule="exact"/>
              <w:jc w:val="center"/>
              <w:textAlignment w:val="baseline"/>
              <w:rPr>
                <w:rFonts w:ascii="Times New Roman" w:hAnsi="Times New Roman" w:cs="Times New Roman"/>
                <w:szCs w:val="21"/>
              </w:rPr>
            </w:pPr>
            <w:r>
              <w:rPr>
                <w:rFonts w:ascii="Times New Roman" w:hAnsi="Times New Roman" w:cs="Times New Roman"/>
                <w:kern w:val="0"/>
                <w:szCs w:val="21"/>
              </w:rPr>
              <w:t>颗粒物</w:t>
            </w:r>
          </w:p>
        </w:tc>
        <w:tc>
          <w:tcPr>
            <w:tcW w:w="938" w:type="dxa"/>
            <w:vMerge w:val="restart"/>
            <w:tcBorders>
              <w:tl2br w:val="nil"/>
              <w:tr2bl w:val="nil"/>
            </w:tcBorders>
            <w:vAlign w:val="center"/>
          </w:tcPr>
          <w:p w14:paraId="54FF1F41">
            <w:pPr>
              <w:jc w:val="center"/>
              <w:rPr>
                <w:rFonts w:ascii="Times New Roman" w:hAnsi="Times New Roman" w:cs="Times New Roman"/>
                <w:szCs w:val="21"/>
              </w:rPr>
            </w:pPr>
            <w:r>
              <w:rPr>
                <w:rFonts w:hint="eastAsia" w:ascii="Times New Roman" w:hAnsi="Times New Roman" w:cs="Times New Roman"/>
                <w:szCs w:val="21"/>
                <w:lang w:val="en-US" w:eastAsia="zh-CN"/>
              </w:rPr>
              <w:t>65</w:t>
            </w:r>
            <w:r>
              <w:rPr>
                <w:rFonts w:ascii="Times New Roman" w:hAnsi="Times New Roman" w:cs="Times New Roman"/>
                <w:szCs w:val="21"/>
              </w:rPr>
              <w:t>000</w:t>
            </w:r>
          </w:p>
        </w:tc>
        <w:tc>
          <w:tcPr>
            <w:tcW w:w="1214" w:type="dxa"/>
            <w:tcBorders>
              <w:tl2br w:val="nil"/>
              <w:tr2bl w:val="nil"/>
            </w:tcBorders>
            <w:vAlign w:val="center"/>
          </w:tcPr>
          <w:p w14:paraId="3BABF4DA">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kern w:val="0"/>
                <w:szCs w:val="21"/>
                <w:lang w:val="en-US" w:eastAsia="zh-CN"/>
              </w:rPr>
              <w:t>1.343</w:t>
            </w:r>
          </w:p>
        </w:tc>
        <w:tc>
          <w:tcPr>
            <w:tcW w:w="963" w:type="dxa"/>
            <w:vMerge w:val="restart"/>
            <w:tcBorders>
              <w:tl2br w:val="nil"/>
              <w:tr2bl w:val="nil"/>
            </w:tcBorders>
            <w:vAlign w:val="center"/>
          </w:tcPr>
          <w:p w14:paraId="21812ECB">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20min</w:t>
            </w:r>
          </w:p>
        </w:tc>
        <w:tc>
          <w:tcPr>
            <w:tcW w:w="1026" w:type="dxa"/>
            <w:vMerge w:val="restart"/>
            <w:tcBorders>
              <w:tl2br w:val="nil"/>
              <w:tr2bl w:val="nil"/>
            </w:tcBorders>
            <w:vAlign w:val="center"/>
          </w:tcPr>
          <w:p w14:paraId="79111167">
            <w:pPr>
              <w:widowControl/>
              <w:jc w:val="center"/>
              <w:textAlignment w:val="center"/>
              <w:rPr>
                <w:rFonts w:ascii="Times New Roman" w:hAnsi="Times New Roman" w:cs="Times New Roman"/>
                <w:szCs w:val="21"/>
              </w:rPr>
            </w:pPr>
            <w:r>
              <w:rPr>
                <w:rFonts w:hint="eastAsia" w:ascii="Times New Roman" w:hAnsi="Times New Roman" w:cs="Times New Roman"/>
                <w:kern w:val="0"/>
                <w:szCs w:val="21"/>
              </w:rPr>
              <w:t>1年</w:t>
            </w:r>
          </w:p>
        </w:tc>
      </w:tr>
      <w:tr w14:paraId="14E5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140" w:hRule="atLeast"/>
          <w:jc w:val="center"/>
        </w:trPr>
        <w:tc>
          <w:tcPr>
            <w:tcW w:w="477" w:type="dxa"/>
            <w:vMerge w:val="continue"/>
            <w:tcBorders>
              <w:tl2br w:val="nil"/>
              <w:tr2bl w:val="nil"/>
            </w:tcBorders>
            <w:vAlign w:val="center"/>
          </w:tcPr>
          <w:p w14:paraId="6E1A6EF2">
            <w:pPr>
              <w:jc w:val="center"/>
              <w:rPr>
                <w:rFonts w:ascii="Times New Roman" w:hAnsi="Times New Roman" w:cs="Times New Roman"/>
                <w:szCs w:val="21"/>
              </w:rPr>
            </w:pPr>
          </w:p>
        </w:tc>
        <w:tc>
          <w:tcPr>
            <w:tcW w:w="2178" w:type="dxa"/>
            <w:vMerge w:val="continue"/>
            <w:tcBorders>
              <w:tl2br w:val="nil"/>
              <w:tr2bl w:val="nil"/>
            </w:tcBorders>
            <w:vAlign w:val="center"/>
          </w:tcPr>
          <w:p w14:paraId="2B5DECF0">
            <w:pPr>
              <w:jc w:val="center"/>
              <w:rPr>
                <w:rFonts w:ascii="Times New Roman" w:hAnsi="Times New Roman" w:cs="Times New Roman"/>
                <w:szCs w:val="21"/>
              </w:rPr>
            </w:pPr>
          </w:p>
        </w:tc>
        <w:tc>
          <w:tcPr>
            <w:tcW w:w="1566" w:type="dxa"/>
            <w:tcBorders>
              <w:tl2br w:val="nil"/>
              <w:tr2bl w:val="nil"/>
            </w:tcBorders>
            <w:vAlign w:val="center"/>
          </w:tcPr>
          <w:p w14:paraId="175EE9D0">
            <w:pPr>
              <w:adjustRightInd w:val="0"/>
              <w:snapToGrid w:val="0"/>
              <w:spacing w:line="280" w:lineRule="exact"/>
              <w:jc w:val="center"/>
              <w:textAlignment w:val="baseline"/>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苯</w:t>
            </w:r>
          </w:p>
        </w:tc>
        <w:tc>
          <w:tcPr>
            <w:tcW w:w="938" w:type="dxa"/>
            <w:vMerge w:val="continue"/>
            <w:tcBorders>
              <w:tl2br w:val="nil"/>
              <w:tr2bl w:val="nil"/>
            </w:tcBorders>
            <w:vAlign w:val="center"/>
          </w:tcPr>
          <w:p w14:paraId="6E5D98E2">
            <w:pPr>
              <w:jc w:val="center"/>
              <w:rPr>
                <w:rFonts w:ascii="Times New Roman" w:hAnsi="Times New Roman" w:cs="Times New Roman"/>
                <w:szCs w:val="21"/>
              </w:rPr>
            </w:pPr>
          </w:p>
        </w:tc>
        <w:tc>
          <w:tcPr>
            <w:tcW w:w="1214" w:type="dxa"/>
            <w:tcBorders>
              <w:tl2br w:val="nil"/>
              <w:tr2bl w:val="nil"/>
            </w:tcBorders>
            <w:vAlign w:val="center"/>
          </w:tcPr>
          <w:p w14:paraId="4687D371">
            <w:pPr>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0.044</w:t>
            </w:r>
          </w:p>
        </w:tc>
        <w:tc>
          <w:tcPr>
            <w:tcW w:w="963" w:type="dxa"/>
            <w:vMerge w:val="continue"/>
            <w:tcBorders>
              <w:tl2br w:val="nil"/>
              <w:tr2bl w:val="nil"/>
            </w:tcBorders>
            <w:vAlign w:val="center"/>
          </w:tcPr>
          <w:p w14:paraId="7A40F3F0">
            <w:pPr>
              <w:widowControl/>
              <w:jc w:val="center"/>
              <w:textAlignment w:val="center"/>
              <w:rPr>
                <w:rFonts w:ascii="Times New Roman" w:hAnsi="Times New Roman" w:eastAsia="宋体" w:cs="Times New Roman"/>
                <w:kern w:val="0"/>
                <w:szCs w:val="21"/>
              </w:rPr>
            </w:pPr>
          </w:p>
        </w:tc>
        <w:tc>
          <w:tcPr>
            <w:tcW w:w="1026" w:type="dxa"/>
            <w:vMerge w:val="continue"/>
            <w:tcBorders>
              <w:tl2br w:val="nil"/>
              <w:tr2bl w:val="nil"/>
            </w:tcBorders>
            <w:vAlign w:val="center"/>
          </w:tcPr>
          <w:p w14:paraId="018938D9">
            <w:pPr>
              <w:widowControl/>
              <w:jc w:val="center"/>
              <w:textAlignment w:val="center"/>
              <w:rPr>
                <w:rFonts w:hint="eastAsia" w:ascii="Times New Roman" w:hAnsi="Times New Roman" w:cs="Times New Roman"/>
                <w:kern w:val="0"/>
                <w:szCs w:val="21"/>
              </w:rPr>
            </w:pPr>
          </w:p>
        </w:tc>
      </w:tr>
      <w:tr w14:paraId="3123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83" w:hRule="atLeast"/>
          <w:jc w:val="center"/>
        </w:trPr>
        <w:tc>
          <w:tcPr>
            <w:tcW w:w="477" w:type="dxa"/>
            <w:vMerge w:val="continue"/>
            <w:tcBorders>
              <w:tl2br w:val="nil"/>
              <w:tr2bl w:val="nil"/>
            </w:tcBorders>
            <w:vAlign w:val="center"/>
          </w:tcPr>
          <w:p w14:paraId="5F906B04">
            <w:pPr>
              <w:jc w:val="center"/>
              <w:rPr>
                <w:rFonts w:ascii="Times New Roman" w:hAnsi="Times New Roman" w:cs="Times New Roman"/>
                <w:szCs w:val="21"/>
              </w:rPr>
            </w:pPr>
          </w:p>
        </w:tc>
        <w:tc>
          <w:tcPr>
            <w:tcW w:w="2178" w:type="dxa"/>
            <w:vMerge w:val="continue"/>
            <w:tcBorders>
              <w:tl2br w:val="nil"/>
              <w:tr2bl w:val="nil"/>
            </w:tcBorders>
            <w:vAlign w:val="center"/>
          </w:tcPr>
          <w:p w14:paraId="6D3DAA35">
            <w:pPr>
              <w:jc w:val="center"/>
              <w:rPr>
                <w:rFonts w:ascii="Times New Roman" w:hAnsi="Times New Roman" w:cs="Times New Roman"/>
                <w:kern w:val="0"/>
                <w:szCs w:val="21"/>
                <w:lang w:bidi="ar"/>
              </w:rPr>
            </w:pPr>
          </w:p>
        </w:tc>
        <w:tc>
          <w:tcPr>
            <w:tcW w:w="1566" w:type="dxa"/>
            <w:tcBorders>
              <w:tl2br w:val="nil"/>
              <w:tr2bl w:val="nil"/>
            </w:tcBorders>
            <w:vAlign w:val="center"/>
          </w:tcPr>
          <w:p w14:paraId="62ED38B1">
            <w:pPr>
              <w:adjustRightInd w:val="0"/>
              <w:snapToGrid w:val="0"/>
              <w:spacing w:line="280" w:lineRule="exact"/>
              <w:jc w:val="center"/>
              <w:textAlignment w:val="baseline"/>
              <w:rPr>
                <w:rFonts w:ascii="Times New Roman" w:hAnsi="Times New Roman" w:cs="Times New Roman"/>
                <w:szCs w:val="21"/>
              </w:rPr>
            </w:pPr>
            <w:r>
              <w:rPr>
                <w:rFonts w:ascii="Times New Roman" w:hAnsi="Times New Roman" w:cs="Times New Roman"/>
                <w:kern w:val="0"/>
                <w:szCs w:val="21"/>
              </w:rPr>
              <w:t>甲苯</w:t>
            </w:r>
          </w:p>
        </w:tc>
        <w:tc>
          <w:tcPr>
            <w:tcW w:w="938" w:type="dxa"/>
            <w:vMerge w:val="continue"/>
            <w:tcBorders>
              <w:tl2br w:val="nil"/>
              <w:tr2bl w:val="nil"/>
            </w:tcBorders>
            <w:vAlign w:val="center"/>
          </w:tcPr>
          <w:p w14:paraId="177B927F">
            <w:pPr>
              <w:jc w:val="center"/>
              <w:rPr>
                <w:rFonts w:ascii="Times New Roman" w:hAnsi="Times New Roman" w:cs="Times New Roman"/>
                <w:szCs w:val="21"/>
              </w:rPr>
            </w:pPr>
          </w:p>
        </w:tc>
        <w:tc>
          <w:tcPr>
            <w:tcW w:w="1214" w:type="dxa"/>
            <w:tcBorders>
              <w:tl2br w:val="nil"/>
              <w:tr2bl w:val="nil"/>
            </w:tcBorders>
            <w:vAlign w:val="center"/>
          </w:tcPr>
          <w:p w14:paraId="21C340B4">
            <w:pPr>
              <w:jc w:val="center"/>
              <w:rPr>
                <w:rFonts w:hint="default" w:ascii="Times New Roman" w:hAnsi="Times New Roman" w:cs="Times New Roman" w:eastAsiaTheme="minorEastAsia"/>
                <w:kern w:val="0"/>
                <w:szCs w:val="21"/>
                <w:lang w:val="en-US" w:eastAsia="zh-CN" w:bidi="ar"/>
              </w:rPr>
            </w:pPr>
            <w:r>
              <w:rPr>
                <w:rFonts w:hint="eastAsia" w:ascii="Times New Roman" w:hAnsi="Times New Roman" w:cs="Times New Roman"/>
                <w:kern w:val="0"/>
                <w:szCs w:val="21"/>
                <w:lang w:val="en-US" w:eastAsia="zh-CN" w:bidi="ar"/>
              </w:rPr>
              <w:t>0.2</w:t>
            </w:r>
          </w:p>
        </w:tc>
        <w:tc>
          <w:tcPr>
            <w:tcW w:w="963" w:type="dxa"/>
            <w:vMerge w:val="continue"/>
            <w:tcBorders>
              <w:tl2br w:val="nil"/>
              <w:tr2bl w:val="nil"/>
            </w:tcBorders>
            <w:vAlign w:val="center"/>
          </w:tcPr>
          <w:p w14:paraId="2DB6A18B">
            <w:pPr>
              <w:widowControl/>
              <w:jc w:val="center"/>
              <w:textAlignment w:val="center"/>
              <w:rPr>
                <w:rFonts w:ascii="Times New Roman" w:hAnsi="Times New Roman" w:eastAsia="宋体" w:cs="Times New Roman"/>
                <w:kern w:val="0"/>
                <w:szCs w:val="21"/>
              </w:rPr>
            </w:pPr>
          </w:p>
        </w:tc>
        <w:tc>
          <w:tcPr>
            <w:tcW w:w="1026" w:type="dxa"/>
            <w:vMerge w:val="continue"/>
            <w:tcBorders>
              <w:tl2br w:val="nil"/>
              <w:tr2bl w:val="nil"/>
            </w:tcBorders>
            <w:vAlign w:val="center"/>
          </w:tcPr>
          <w:p w14:paraId="0BA9B681">
            <w:pPr>
              <w:widowControl/>
              <w:jc w:val="center"/>
              <w:textAlignment w:val="center"/>
              <w:rPr>
                <w:rFonts w:ascii="Times New Roman" w:hAnsi="Times New Roman" w:cs="Times New Roman"/>
                <w:kern w:val="0"/>
                <w:szCs w:val="21"/>
              </w:rPr>
            </w:pPr>
          </w:p>
        </w:tc>
      </w:tr>
      <w:tr w14:paraId="3292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83" w:hRule="atLeast"/>
          <w:jc w:val="center"/>
        </w:trPr>
        <w:tc>
          <w:tcPr>
            <w:tcW w:w="477" w:type="dxa"/>
            <w:vMerge w:val="continue"/>
            <w:tcBorders>
              <w:tl2br w:val="nil"/>
              <w:tr2bl w:val="nil"/>
            </w:tcBorders>
            <w:vAlign w:val="center"/>
          </w:tcPr>
          <w:p w14:paraId="2B61E29F">
            <w:pPr>
              <w:jc w:val="center"/>
              <w:rPr>
                <w:rFonts w:ascii="Times New Roman" w:hAnsi="Times New Roman" w:cs="Times New Roman"/>
                <w:szCs w:val="21"/>
              </w:rPr>
            </w:pPr>
          </w:p>
        </w:tc>
        <w:tc>
          <w:tcPr>
            <w:tcW w:w="2178" w:type="dxa"/>
            <w:vMerge w:val="continue"/>
            <w:tcBorders>
              <w:tl2br w:val="nil"/>
              <w:tr2bl w:val="nil"/>
            </w:tcBorders>
            <w:vAlign w:val="center"/>
          </w:tcPr>
          <w:p w14:paraId="5D7E2536">
            <w:pPr>
              <w:jc w:val="center"/>
              <w:rPr>
                <w:rFonts w:ascii="Times New Roman" w:hAnsi="Times New Roman" w:cs="Times New Roman"/>
                <w:kern w:val="0"/>
                <w:szCs w:val="21"/>
                <w:lang w:bidi="ar"/>
              </w:rPr>
            </w:pPr>
          </w:p>
        </w:tc>
        <w:tc>
          <w:tcPr>
            <w:tcW w:w="1566" w:type="dxa"/>
            <w:tcBorders>
              <w:tl2br w:val="nil"/>
              <w:tr2bl w:val="nil"/>
            </w:tcBorders>
            <w:vAlign w:val="center"/>
          </w:tcPr>
          <w:p w14:paraId="49DEFBD5">
            <w:pPr>
              <w:adjustRightInd w:val="0"/>
              <w:snapToGrid w:val="0"/>
              <w:spacing w:line="280" w:lineRule="exact"/>
              <w:jc w:val="center"/>
              <w:textAlignment w:val="baseline"/>
              <w:rPr>
                <w:rFonts w:ascii="Times New Roman" w:hAnsi="Times New Roman" w:cs="Times New Roman"/>
                <w:szCs w:val="21"/>
              </w:rPr>
            </w:pPr>
            <w:r>
              <w:rPr>
                <w:rFonts w:ascii="Times New Roman" w:hAnsi="Times New Roman" w:cs="Times New Roman"/>
                <w:kern w:val="0"/>
                <w:szCs w:val="21"/>
              </w:rPr>
              <w:t>二甲苯</w:t>
            </w:r>
          </w:p>
        </w:tc>
        <w:tc>
          <w:tcPr>
            <w:tcW w:w="938" w:type="dxa"/>
            <w:vMerge w:val="continue"/>
            <w:tcBorders>
              <w:tl2br w:val="nil"/>
              <w:tr2bl w:val="nil"/>
            </w:tcBorders>
            <w:vAlign w:val="center"/>
          </w:tcPr>
          <w:p w14:paraId="1902F8B3">
            <w:pPr>
              <w:jc w:val="center"/>
              <w:rPr>
                <w:rFonts w:ascii="Times New Roman" w:hAnsi="Times New Roman" w:cs="Times New Roman"/>
                <w:szCs w:val="21"/>
              </w:rPr>
            </w:pPr>
          </w:p>
        </w:tc>
        <w:tc>
          <w:tcPr>
            <w:tcW w:w="1214" w:type="dxa"/>
            <w:tcBorders>
              <w:tl2br w:val="nil"/>
              <w:tr2bl w:val="nil"/>
            </w:tcBorders>
            <w:vAlign w:val="center"/>
          </w:tcPr>
          <w:p w14:paraId="02285A84">
            <w:pPr>
              <w:jc w:val="center"/>
              <w:rPr>
                <w:rFonts w:hint="default" w:ascii="Times New Roman" w:hAnsi="Times New Roman" w:cs="Times New Roman" w:eastAsiaTheme="minorEastAsia"/>
                <w:kern w:val="0"/>
                <w:szCs w:val="21"/>
                <w:lang w:val="en-US" w:eastAsia="zh-CN" w:bidi="ar"/>
              </w:rPr>
            </w:pPr>
            <w:r>
              <w:rPr>
                <w:rFonts w:hint="eastAsia" w:ascii="Times New Roman" w:hAnsi="Times New Roman" w:cs="Times New Roman"/>
                <w:kern w:val="0"/>
                <w:szCs w:val="21"/>
                <w:lang w:bidi="ar"/>
              </w:rPr>
              <w:t>0.</w:t>
            </w:r>
            <w:r>
              <w:rPr>
                <w:rFonts w:hint="eastAsia" w:ascii="Times New Roman" w:hAnsi="Times New Roman" w:cs="Times New Roman"/>
                <w:kern w:val="0"/>
                <w:szCs w:val="21"/>
                <w:lang w:val="en-US" w:eastAsia="zh-CN" w:bidi="ar"/>
              </w:rPr>
              <w:t>443</w:t>
            </w:r>
          </w:p>
        </w:tc>
        <w:tc>
          <w:tcPr>
            <w:tcW w:w="963" w:type="dxa"/>
            <w:vMerge w:val="continue"/>
            <w:tcBorders>
              <w:tl2br w:val="nil"/>
              <w:tr2bl w:val="nil"/>
            </w:tcBorders>
            <w:vAlign w:val="center"/>
          </w:tcPr>
          <w:p w14:paraId="00624453">
            <w:pPr>
              <w:widowControl/>
              <w:jc w:val="center"/>
              <w:textAlignment w:val="center"/>
              <w:rPr>
                <w:rFonts w:ascii="Times New Roman" w:hAnsi="Times New Roman" w:eastAsia="宋体" w:cs="Times New Roman"/>
                <w:kern w:val="0"/>
                <w:szCs w:val="21"/>
              </w:rPr>
            </w:pPr>
          </w:p>
        </w:tc>
        <w:tc>
          <w:tcPr>
            <w:tcW w:w="1026" w:type="dxa"/>
            <w:vMerge w:val="continue"/>
            <w:tcBorders>
              <w:tl2br w:val="nil"/>
              <w:tr2bl w:val="nil"/>
            </w:tcBorders>
            <w:vAlign w:val="center"/>
          </w:tcPr>
          <w:p w14:paraId="28445337">
            <w:pPr>
              <w:widowControl/>
              <w:jc w:val="center"/>
              <w:textAlignment w:val="center"/>
              <w:rPr>
                <w:rFonts w:ascii="Times New Roman" w:hAnsi="Times New Roman" w:cs="Times New Roman"/>
                <w:kern w:val="0"/>
                <w:szCs w:val="21"/>
              </w:rPr>
            </w:pPr>
          </w:p>
        </w:tc>
      </w:tr>
      <w:tr w14:paraId="49EF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83" w:hRule="atLeast"/>
          <w:jc w:val="center"/>
        </w:trPr>
        <w:tc>
          <w:tcPr>
            <w:tcW w:w="477" w:type="dxa"/>
            <w:vMerge w:val="continue"/>
            <w:tcBorders>
              <w:tl2br w:val="nil"/>
              <w:tr2bl w:val="nil"/>
            </w:tcBorders>
            <w:vAlign w:val="center"/>
          </w:tcPr>
          <w:p w14:paraId="5A72A541">
            <w:pPr>
              <w:jc w:val="center"/>
              <w:rPr>
                <w:rFonts w:ascii="Times New Roman" w:hAnsi="Times New Roman" w:cs="Times New Roman"/>
                <w:szCs w:val="21"/>
              </w:rPr>
            </w:pPr>
          </w:p>
        </w:tc>
        <w:tc>
          <w:tcPr>
            <w:tcW w:w="2178" w:type="dxa"/>
            <w:vMerge w:val="continue"/>
            <w:tcBorders>
              <w:tl2br w:val="nil"/>
              <w:tr2bl w:val="nil"/>
            </w:tcBorders>
            <w:vAlign w:val="center"/>
          </w:tcPr>
          <w:p w14:paraId="1B30D3E4">
            <w:pPr>
              <w:jc w:val="center"/>
              <w:rPr>
                <w:rFonts w:ascii="Times New Roman" w:hAnsi="Times New Roman" w:cs="Times New Roman"/>
                <w:kern w:val="0"/>
                <w:szCs w:val="21"/>
                <w:lang w:bidi="ar"/>
              </w:rPr>
            </w:pPr>
          </w:p>
        </w:tc>
        <w:tc>
          <w:tcPr>
            <w:tcW w:w="1566" w:type="dxa"/>
            <w:tcBorders>
              <w:tl2br w:val="nil"/>
              <w:tr2bl w:val="nil"/>
            </w:tcBorders>
            <w:vAlign w:val="center"/>
          </w:tcPr>
          <w:p w14:paraId="57821F7F">
            <w:pPr>
              <w:adjustRightInd w:val="0"/>
              <w:snapToGrid w:val="0"/>
              <w:spacing w:line="280" w:lineRule="exact"/>
              <w:jc w:val="center"/>
              <w:textAlignment w:val="baseline"/>
              <w:rPr>
                <w:rFonts w:ascii="Times New Roman" w:hAnsi="Times New Roman" w:cs="Times New Roman"/>
                <w:szCs w:val="21"/>
              </w:rPr>
            </w:pPr>
            <w:r>
              <w:rPr>
                <w:rFonts w:ascii="Times New Roman" w:hAnsi="Times New Roman" w:cs="Times New Roman"/>
                <w:kern w:val="0"/>
                <w:szCs w:val="21"/>
              </w:rPr>
              <w:t>非甲烷总烃</w:t>
            </w:r>
          </w:p>
        </w:tc>
        <w:tc>
          <w:tcPr>
            <w:tcW w:w="938" w:type="dxa"/>
            <w:vMerge w:val="continue"/>
            <w:tcBorders>
              <w:tl2br w:val="nil"/>
              <w:tr2bl w:val="nil"/>
            </w:tcBorders>
            <w:vAlign w:val="center"/>
          </w:tcPr>
          <w:p w14:paraId="283C5827">
            <w:pPr>
              <w:jc w:val="center"/>
              <w:rPr>
                <w:rFonts w:ascii="Times New Roman" w:hAnsi="Times New Roman" w:cs="Times New Roman"/>
                <w:szCs w:val="21"/>
              </w:rPr>
            </w:pPr>
          </w:p>
        </w:tc>
        <w:tc>
          <w:tcPr>
            <w:tcW w:w="1214" w:type="dxa"/>
            <w:tcBorders>
              <w:tl2br w:val="nil"/>
              <w:tr2bl w:val="nil"/>
            </w:tcBorders>
            <w:vAlign w:val="center"/>
          </w:tcPr>
          <w:p w14:paraId="2282A7FE">
            <w:pPr>
              <w:jc w:val="center"/>
              <w:rPr>
                <w:rFonts w:hint="default" w:ascii="Times New Roman" w:hAnsi="Times New Roman" w:cs="Times New Roman" w:eastAsiaTheme="minorEastAsia"/>
                <w:kern w:val="0"/>
                <w:szCs w:val="21"/>
                <w:lang w:val="en-US" w:eastAsia="zh-CN" w:bidi="ar"/>
              </w:rPr>
            </w:pPr>
            <w:r>
              <w:rPr>
                <w:rFonts w:hint="eastAsia" w:ascii="Times New Roman" w:hAnsi="Times New Roman" w:cs="Times New Roman"/>
                <w:kern w:val="0"/>
                <w:szCs w:val="21"/>
                <w:lang w:val="en-US" w:eastAsia="zh-CN" w:bidi="ar"/>
              </w:rPr>
              <w:t>3.764</w:t>
            </w:r>
          </w:p>
        </w:tc>
        <w:tc>
          <w:tcPr>
            <w:tcW w:w="963" w:type="dxa"/>
            <w:vMerge w:val="continue"/>
            <w:tcBorders>
              <w:tl2br w:val="nil"/>
              <w:tr2bl w:val="nil"/>
            </w:tcBorders>
            <w:vAlign w:val="center"/>
          </w:tcPr>
          <w:p w14:paraId="0E398CA2">
            <w:pPr>
              <w:widowControl/>
              <w:jc w:val="center"/>
              <w:textAlignment w:val="center"/>
              <w:rPr>
                <w:rFonts w:ascii="Times New Roman" w:hAnsi="Times New Roman" w:eastAsia="宋体" w:cs="Times New Roman"/>
                <w:kern w:val="0"/>
                <w:szCs w:val="21"/>
              </w:rPr>
            </w:pPr>
          </w:p>
        </w:tc>
        <w:tc>
          <w:tcPr>
            <w:tcW w:w="1026" w:type="dxa"/>
            <w:vMerge w:val="continue"/>
            <w:tcBorders>
              <w:tl2br w:val="nil"/>
              <w:tr2bl w:val="nil"/>
            </w:tcBorders>
            <w:vAlign w:val="center"/>
          </w:tcPr>
          <w:p w14:paraId="05CA8297">
            <w:pPr>
              <w:widowControl/>
              <w:jc w:val="center"/>
              <w:textAlignment w:val="center"/>
              <w:rPr>
                <w:rFonts w:ascii="Times New Roman" w:hAnsi="Times New Roman" w:cs="Times New Roman"/>
                <w:kern w:val="0"/>
                <w:szCs w:val="21"/>
              </w:rPr>
            </w:pPr>
          </w:p>
        </w:tc>
      </w:tr>
    </w:tbl>
    <w:p w14:paraId="74894DF3">
      <w:pPr>
        <w:spacing w:line="360" w:lineRule="auto"/>
        <w:ind w:firstLine="480" w:firstLineChars="200"/>
        <w:rPr>
          <w:sz w:val="24"/>
        </w:rPr>
      </w:pPr>
      <w:r>
        <w:rPr>
          <w:sz w:val="24"/>
        </w:rPr>
        <w:t>本项目环保设施均属节能和高效处理设施，只要建设单位重视环保设施的正常检修，加强设备的运行管理，出现事故的概率较小，可避免非正常排放对环境的影响，同时企业拟采取以下防范措施：</w:t>
      </w:r>
    </w:p>
    <w:p w14:paraId="6E558EA2">
      <w:pPr>
        <w:spacing w:line="360" w:lineRule="auto"/>
        <w:ind w:firstLine="480" w:firstLineChars="200"/>
        <w:rPr>
          <w:rFonts w:ascii="Times New Roman" w:hAnsi="Times New Roman" w:cs="Times New Roman"/>
          <w:sz w:val="24"/>
        </w:rPr>
      </w:pPr>
      <w:r>
        <w:rPr>
          <w:rFonts w:ascii="Times New Roman" w:hAnsi="Times New Roman" w:cs="Times New Roman"/>
          <w:sz w:val="24"/>
        </w:rPr>
        <w:t>①对非正常状态下排放的危害加强认识，建立一套完善的环保设施检修体制；</w:t>
      </w:r>
    </w:p>
    <w:p w14:paraId="5DF2A644">
      <w:pPr>
        <w:spacing w:line="360" w:lineRule="auto"/>
        <w:ind w:firstLine="480" w:firstLineChars="200"/>
        <w:rPr>
          <w:rFonts w:ascii="Times New Roman" w:hAnsi="Times New Roman" w:cs="Times New Roman"/>
          <w:sz w:val="24"/>
        </w:rPr>
      </w:pPr>
      <w:r>
        <w:rPr>
          <w:rFonts w:ascii="Times New Roman" w:hAnsi="Times New Roman" w:cs="Times New Roman"/>
          <w:sz w:val="24"/>
        </w:rPr>
        <w:t>②建设单位应做好生产设备和环保设施的管理、维修工作，选用质量好的设备；派专人对易发生非正常排放的设备进行管理，出现异常，及时维修处理；</w:t>
      </w:r>
    </w:p>
    <w:p w14:paraId="70D2F90B">
      <w:pPr>
        <w:spacing w:line="360" w:lineRule="auto"/>
        <w:ind w:firstLine="480" w:firstLineChars="200"/>
        <w:rPr>
          <w:sz w:val="24"/>
        </w:rPr>
      </w:pPr>
      <w:r>
        <w:rPr>
          <w:rFonts w:ascii="Times New Roman" w:hAnsi="Times New Roman" w:cs="Times New Roman"/>
          <w:sz w:val="24"/>
        </w:rPr>
        <w:t>③出现事故情况</w:t>
      </w:r>
      <w:r>
        <w:rPr>
          <w:sz w:val="24"/>
        </w:rPr>
        <w:t>，必要时应立即停产检修，待检修完毕后方可再进行生产。</w:t>
      </w:r>
    </w:p>
    <w:p w14:paraId="16F88F13">
      <w:pPr>
        <w:pStyle w:val="3"/>
        <w:numPr>
          <w:ilvl w:val="1"/>
          <w:numId w:val="30"/>
        </w:numPr>
      </w:pPr>
      <w:bookmarkStart w:id="117" w:name="_Toc23986"/>
      <w:r>
        <w:rPr>
          <w:rFonts w:hint="eastAsia"/>
        </w:rPr>
        <w:t>污染源强汇总</w:t>
      </w:r>
      <w:bookmarkEnd w:id="117"/>
    </w:p>
    <w:p w14:paraId="615E90BD">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本项目源强汇总情况见下表。</w:t>
      </w:r>
    </w:p>
    <w:p w14:paraId="7DCBB6C9">
      <w:pPr>
        <w:pStyle w:val="17"/>
        <w:numPr>
          <w:ilvl w:val="0"/>
          <w:numId w:val="42"/>
        </w:numPr>
        <w:jc w:val="center"/>
        <w:rPr>
          <w:rFonts w:ascii="Times New Roman" w:hAnsi="Times New Roman"/>
          <w:b/>
          <w:bCs/>
          <w:szCs w:val="21"/>
        </w:rPr>
      </w:pPr>
      <w:bookmarkStart w:id="118" w:name="_Toc30150"/>
      <w:r>
        <w:rPr>
          <w:rFonts w:ascii="Times New Roman" w:hAnsi="Times New Roman"/>
          <w:b/>
          <w:bCs/>
          <w:szCs w:val="21"/>
        </w:rPr>
        <w:t xml:space="preserve"> </w:t>
      </w:r>
      <w:r>
        <w:rPr>
          <w:rFonts w:hint="eastAsia" w:ascii="Times New Roman" w:hAnsi="Times New Roman"/>
          <w:b/>
          <w:bCs/>
          <w:szCs w:val="21"/>
        </w:rPr>
        <w:t>本项目</w:t>
      </w:r>
      <w:r>
        <w:rPr>
          <w:rFonts w:ascii="Times New Roman" w:hAnsi="Times New Roman"/>
          <w:b/>
          <w:bCs/>
          <w:szCs w:val="21"/>
        </w:rPr>
        <w:t>污染物排放情况汇总表</w:t>
      </w:r>
      <w:bookmarkEnd w:id="118"/>
      <w:r>
        <w:rPr>
          <w:rFonts w:ascii="Times New Roman" w:hAnsi="Times New Roman"/>
          <w:b/>
          <w:bCs/>
          <w:szCs w:val="21"/>
        </w:rPr>
        <w:t>（单位：t/a）</w:t>
      </w:r>
    </w:p>
    <w:tbl>
      <w:tblPr>
        <w:tblStyle w:val="30"/>
        <w:tblW w:w="833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771"/>
        <w:gridCol w:w="1867"/>
        <w:gridCol w:w="1476"/>
        <w:gridCol w:w="1448"/>
        <w:gridCol w:w="2170"/>
      </w:tblGrid>
      <w:tr w14:paraId="1ACFE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blHeader/>
        </w:trPr>
        <w:tc>
          <w:tcPr>
            <w:tcW w:w="3239" w:type="dxa"/>
            <w:gridSpan w:val="3"/>
            <w:tcBorders>
              <w:tl2br w:val="nil"/>
              <w:tr2bl w:val="nil"/>
            </w:tcBorders>
            <w:tcMar>
              <w:top w:w="15" w:type="dxa"/>
              <w:left w:w="15" w:type="dxa"/>
              <w:right w:w="15" w:type="dxa"/>
            </w:tcMar>
            <w:vAlign w:val="center"/>
          </w:tcPr>
          <w:p w14:paraId="320E6C86">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污染物名称</w:t>
            </w:r>
          </w:p>
        </w:tc>
        <w:tc>
          <w:tcPr>
            <w:tcW w:w="1476" w:type="dxa"/>
            <w:tcBorders>
              <w:tl2br w:val="nil"/>
              <w:tr2bl w:val="nil"/>
            </w:tcBorders>
            <w:tcMar>
              <w:top w:w="15" w:type="dxa"/>
              <w:left w:w="15" w:type="dxa"/>
              <w:right w:w="15" w:type="dxa"/>
            </w:tcMar>
            <w:vAlign w:val="center"/>
          </w:tcPr>
          <w:p w14:paraId="23E1A9C8">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产生量</w:t>
            </w:r>
          </w:p>
        </w:tc>
        <w:tc>
          <w:tcPr>
            <w:tcW w:w="1448" w:type="dxa"/>
            <w:tcBorders>
              <w:tl2br w:val="nil"/>
              <w:tr2bl w:val="nil"/>
            </w:tcBorders>
            <w:tcMar>
              <w:top w:w="15" w:type="dxa"/>
              <w:left w:w="15" w:type="dxa"/>
              <w:right w:w="15" w:type="dxa"/>
            </w:tcMar>
            <w:vAlign w:val="center"/>
          </w:tcPr>
          <w:p w14:paraId="1E39A243">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削减量</w:t>
            </w:r>
          </w:p>
        </w:tc>
        <w:tc>
          <w:tcPr>
            <w:tcW w:w="2170" w:type="dxa"/>
            <w:tcBorders>
              <w:tl2br w:val="nil"/>
              <w:tr2bl w:val="nil"/>
            </w:tcBorders>
            <w:tcMar>
              <w:top w:w="15" w:type="dxa"/>
              <w:left w:w="15" w:type="dxa"/>
              <w:right w:w="15" w:type="dxa"/>
            </w:tcMar>
            <w:vAlign w:val="center"/>
          </w:tcPr>
          <w:p w14:paraId="1204FCA4">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排放量</w:t>
            </w:r>
          </w:p>
        </w:tc>
      </w:tr>
      <w:tr w14:paraId="29957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 w:hRule="atLeast"/>
        </w:trPr>
        <w:tc>
          <w:tcPr>
            <w:tcW w:w="601" w:type="dxa"/>
            <w:vMerge w:val="restart"/>
            <w:tcBorders>
              <w:top w:val="single" w:color="auto" w:sz="4" w:space="0"/>
              <w:tl2br w:val="nil"/>
              <w:tr2bl w:val="nil"/>
            </w:tcBorders>
            <w:tcMar>
              <w:top w:w="15" w:type="dxa"/>
              <w:left w:w="15" w:type="dxa"/>
              <w:right w:w="15" w:type="dxa"/>
            </w:tcMar>
            <w:vAlign w:val="center"/>
          </w:tcPr>
          <w:p w14:paraId="6333A694">
            <w:pPr>
              <w:jc w:val="center"/>
              <w:rPr>
                <w:rFonts w:ascii="Times New Roman" w:hAnsi="Times New Roman" w:eastAsia="宋体" w:cs="Times New Roman"/>
                <w:szCs w:val="21"/>
              </w:rPr>
            </w:pPr>
            <w:r>
              <w:rPr>
                <w:rFonts w:ascii="Times New Roman" w:hAnsi="Times New Roman" w:eastAsia="宋体" w:cs="Times New Roman"/>
                <w:kern w:val="0"/>
                <w:szCs w:val="21"/>
                <w:lang w:bidi="ar"/>
              </w:rPr>
              <w:t>废气</w:t>
            </w:r>
          </w:p>
        </w:tc>
        <w:tc>
          <w:tcPr>
            <w:tcW w:w="771" w:type="dxa"/>
            <w:vMerge w:val="restart"/>
            <w:tcBorders>
              <w:top w:val="single" w:color="auto" w:sz="4" w:space="0"/>
              <w:tl2br w:val="nil"/>
              <w:tr2bl w:val="nil"/>
            </w:tcBorders>
            <w:tcMar>
              <w:top w:w="15" w:type="dxa"/>
              <w:left w:w="15" w:type="dxa"/>
              <w:right w:w="15" w:type="dxa"/>
            </w:tcMar>
            <w:vAlign w:val="center"/>
          </w:tcPr>
          <w:p w14:paraId="1A27DFF9">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有组织</w:t>
            </w:r>
          </w:p>
        </w:tc>
        <w:tc>
          <w:tcPr>
            <w:tcW w:w="1867" w:type="dxa"/>
            <w:tcBorders>
              <w:tl2br w:val="nil"/>
              <w:tr2bl w:val="nil"/>
            </w:tcBorders>
            <w:tcMar>
              <w:top w:w="15" w:type="dxa"/>
              <w:left w:w="15" w:type="dxa"/>
              <w:right w:w="15" w:type="dxa"/>
            </w:tcMar>
            <w:vAlign w:val="center"/>
          </w:tcPr>
          <w:p w14:paraId="15CAADEA">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颗粒物</w:t>
            </w:r>
          </w:p>
        </w:tc>
        <w:tc>
          <w:tcPr>
            <w:tcW w:w="1476" w:type="dxa"/>
            <w:tcBorders>
              <w:tl2br w:val="nil"/>
              <w:tr2bl w:val="nil"/>
            </w:tcBorders>
            <w:tcMar>
              <w:top w:w="15" w:type="dxa"/>
              <w:left w:w="15" w:type="dxa"/>
              <w:right w:w="15" w:type="dxa"/>
            </w:tcMar>
            <w:vAlign w:val="center"/>
          </w:tcPr>
          <w:p w14:paraId="0C7832D0">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5.774</w:t>
            </w:r>
          </w:p>
        </w:tc>
        <w:tc>
          <w:tcPr>
            <w:tcW w:w="1448" w:type="dxa"/>
            <w:tcBorders>
              <w:tl2br w:val="nil"/>
              <w:tr2bl w:val="nil"/>
            </w:tcBorders>
            <w:tcMar>
              <w:top w:w="15" w:type="dxa"/>
              <w:left w:w="15" w:type="dxa"/>
              <w:right w:w="15" w:type="dxa"/>
            </w:tcMar>
            <w:vAlign w:val="center"/>
          </w:tcPr>
          <w:p w14:paraId="5E833DEF">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5.4258</w:t>
            </w:r>
          </w:p>
        </w:tc>
        <w:tc>
          <w:tcPr>
            <w:tcW w:w="2170" w:type="dxa"/>
            <w:tcBorders>
              <w:tl2br w:val="nil"/>
              <w:tr2bl w:val="nil"/>
            </w:tcBorders>
            <w:tcMar>
              <w:top w:w="15" w:type="dxa"/>
              <w:left w:w="15" w:type="dxa"/>
              <w:right w:w="15" w:type="dxa"/>
            </w:tcMar>
            <w:vAlign w:val="center"/>
          </w:tcPr>
          <w:p w14:paraId="76E0C5A8">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3482</w:t>
            </w:r>
          </w:p>
        </w:tc>
      </w:tr>
      <w:tr w14:paraId="03D49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601" w:type="dxa"/>
            <w:vMerge w:val="continue"/>
            <w:tcBorders>
              <w:tl2br w:val="nil"/>
              <w:tr2bl w:val="nil"/>
            </w:tcBorders>
            <w:tcMar>
              <w:top w:w="15" w:type="dxa"/>
              <w:left w:w="15" w:type="dxa"/>
              <w:right w:w="15" w:type="dxa"/>
            </w:tcMar>
            <w:vAlign w:val="center"/>
          </w:tcPr>
          <w:p w14:paraId="2F79A516">
            <w:pPr>
              <w:widowControl/>
              <w:jc w:val="center"/>
              <w:textAlignment w:val="center"/>
              <w:rPr>
                <w:rFonts w:ascii="Times New Roman" w:hAnsi="Times New Roman" w:eastAsia="宋体" w:cs="Times New Roman"/>
                <w:szCs w:val="21"/>
              </w:rPr>
            </w:pPr>
          </w:p>
        </w:tc>
        <w:tc>
          <w:tcPr>
            <w:tcW w:w="771" w:type="dxa"/>
            <w:vMerge w:val="continue"/>
            <w:tcBorders>
              <w:tl2br w:val="nil"/>
              <w:tr2bl w:val="nil"/>
            </w:tcBorders>
            <w:tcMar>
              <w:top w:w="15" w:type="dxa"/>
              <w:left w:w="15" w:type="dxa"/>
              <w:right w:w="15" w:type="dxa"/>
            </w:tcMar>
            <w:vAlign w:val="center"/>
          </w:tcPr>
          <w:p w14:paraId="345D0BA6">
            <w:pPr>
              <w:widowControl/>
              <w:jc w:val="center"/>
              <w:textAlignment w:val="center"/>
              <w:rPr>
                <w:rFonts w:ascii="Times New Roman" w:hAnsi="Times New Roman" w:eastAsia="宋体" w:cs="Times New Roman"/>
                <w:szCs w:val="21"/>
              </w:rPr>
            </w:pPr>
          </w:p>
        </w:tc>
        <w:tc>
          <w:tcPr>
            <w:tcW w:w="1867" w:type="dxa"/>
            <w:tcBorders>
              <w:bottom w:val="single" w:color="auto" w:sz="4" w:space="0"/>
              <w:tl2br w:val="nil"/>
              <w:tr2bl w:val="nil"/>
            </w:tcBorders>
            <w:tcMar>
              <w:top w:w="15" w:type="dxa"/>
              <w:left w:w="15" w:type="dxa"/>
              <w:right w:w="15" w:type="dxa"/>
            </w:tcMar>
            <w:vAlign w:val="center"/>
          </w:tcPr>
          <w:p w14:paraId="5F6DFB8A">
            <w:pPr>
              <w:autoSpaceDE w:val="0"/>
              <w:autoSpaceDN w:val="0"/>
              <w:adjustRightInd w:val="0"/>
              <w:jc w:val="center"/>
              <w:rPr>
                <w:rFonts w:ascii="Times New Roman" w:hAnsi="Times New Roman" w:eastAsia="宋体" w:cs="Times New Roman"/>
                <w:szCs w:val="21"/>
              </w:rPr>
            </w:pPr>
            <w:r>
              <w:rPr>
                <w:rFonts w:hint="eastAsia" w:ascii="Times New Roman" w:hAnsi="Times New Roman" w:eastAsia="宋体" w:cs="Times New Roman"/>
                <w:kern w:val="0"/>
                <w:szCs w:val="21"/>
              </w:rPr>
              <w:t>苯</w:t>
            </w:r>
          </w:p>
        </w:tc>
        <w:tc>
          <w:tcPr>
            <w:tcW w:w="1476" w:type="dxa"/>
            <w:tcBorders>
              <w:bottom w:val="single" w:color="auto" w:sz="4" w:space="0"/>
              <w:tl2br w:val="nil"/>
              <w:tr2bl w:val="nil"/>
            </w:tcBorders>
            <w:tcMar>
              <w:top w:w="15" w:type="dxa"/>
              <w:left w:w="15" w:type="dxa"/>
              <w:right w:w="15" w:type="dxa"/>
            </w:tcMar>
            <w:vAlign w:val="center"/>
          </w:tcPr>
          <w:p w14:paraId="1EF79CE5">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0.1064</w:t>
            </w:r>
          </w:p>
        </w:tc>
        <w:tc>
          <w:tcPr>
            <w:tcW w:w="1448" w:type="dxa"/>
            <w:tcBorders>
              <w:bottom w:val="single" w:color="auto" w:sz="4" w:space="0"/>
              <w:tl2br w:val="nil"/>
              <w:tr2bl w:val="nil"/>
            </w:tcBorders>
            <w:tcMar>
              <w:top w:w="15" w:type="dxa"/>
              <w:left w:w="15" w:type="dxa"/>
              <w:right w:w="15" w:type="dxa"/>
            </w:tcMar>
            <w:vAlign w:val="center"/>
          </w:tcPr>
          <w:p w14:paraId="50B0D38F">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0.0929</w:t>
            </w:r>
          </w:p>
        </w:tc>
        <w:tc>
          <w:tcPr>
            <w:tcW w:w="2170" w:type="dxa"/>
            <w:tcBorders>
              <w:bottom w:val="single" w:color="auto" w:sz="4" w:space="0"/>
              <w:tl2br w:val="nil"/>
              <w:tr2bl w:val="nil"/>
            </w:tcBorders>
            <w:tcMar>
              <w:top w:w="15" w:type="dxa"/>
              <w:left w:w="15" w:type="dxa"/>
              <w:right w:w="15" w:type="dxa"/>
            </w:tcMar>
            <w:vAlign w:val="center"/>
          </w:tcPr>
          <w:p w14:paraId="17377D59">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0.0135</w:t>
            </w:r>
          </w:p>
        </w:tc>
      </w:tr>
      <w:tr w14:paraId="2B3BC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601" w:type="dxa"/>
            <w:vMerge w:val="continue"/>
            <w:tcBorders>
              <w:tl2br w:val="nil"/>
              <w:tr2bl w:val="nil"/>
            </w:tcBorders>
            <w:tcMar>
              <w:top w:w="15" w:type="dxa"/>
              <w:left w:w="15" w:type="dxa"/>
              <w:right w:w="15" w:type="dxa"/>
            </w:tcMar>
            <w:vAlign w:val="center"/>
          </w:tcPr>
          <w:p w14:paraId="593C50F9">
            <w:pPr>
              <w:widowControl/>
              <w:jc w:val="center"/>
              <w:textAlignment w:val="center"/>
              <w:rPr>
                <w:rFonts w:ascii="Times New Roman" w:hAnsi="Times New Roman" w:eastAsia="宋体" w:cs="Times New Roman"/>
                <w:szCs w:val="21"/>
              </w:rPr>
            </w:pPr>
          </w:p>
        </w:tc>
        <w:tc>
          <w:tcPr>
            <w:tcW w:w="771" w:type="dxa"/>
            <w:vMerge w:val="continue"/>
            <w:tcBorders>
              <w:tl2br w:val="nil"/>
              <w:tr2bl w:val="nil"/>
            </w:tcBorders>
            <w:tcMar>
              <w:top w:w="15" w:type="dxa"/>
              <w:left w:w="15" w:type="dxa"/>
              <w:right w:w="15" w:type="dxa"/>
            </w:tcMar>
            <w:vAlign w:val="center"/>
          </w:tcPr>
          <w:p w14:paraId="0563E8CD">
            <w:pPr>
              <w:widowControl/>
              <w:jc w:val="center"/>
              <w:textAlignment w:val="center"/>
              <w:rPr>
                <w:rFonts w:ascii="Times New Roman" w:hAnsi="Times New Roman" w:eastAsia="宋体" w:cs="Times New Roman"/>
                <w:szCs w:val="21"/>
              </w:rPr>
            </w:pPr>
          </w:p>
        </w:tc>
        <w:tc>
          <w:tcPr>
            <w:tcW w:w="1867" w:type="dxa"/>
            <w:tcBorders>
              <w:top w:val="single" w:color="auto" w:sz="4" w:space="0"/>
              <w:tl2br w:val="nil"/>
              <w:tr2bl w:val="nil"/>
            </w:tcBorders>
            <w:tcMar>
              <w:top w:w="15" w:type="dxa"/>
              <w:left w:w="15" w:type="dxa"/>
              <w:right w:w="15" w:type="dxa"/>
            </w:tcMar>
            <w:vAlign w:val="center"/>
          </w:tcPr>
          <w:p w14:paraId="644778FA">
            <w:pPr>
              <w:autoSpaceDE w:val="0"/>
              <w:autoSpaceDN w:val="0"/>
              <w:adjustRightInd w:val="0"/>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甲苯</w:t>
            </w:r>
          </w:p>
        </w:tc>
        <w:tc>
          <w:tcPr>
            <w:tcW w:w="1476" w:type="dxa"/>
            <w:tcBorders>
              <w:top w:val="single" w:color="auto" w:sz="4" w:space="0"/>
              <w:tl2br w:val="nil"/>
              <w:tr2bl w:val="nil"/>
            </w:tcBorders>
            <w:tcMar>
              <w:top w:w="15" w:type="dxa"/>
              <w:left w:w="15" w:type="dxa"/>
              <w:right w:w="15" w:type="dxa"/>
            </w:tcMar>
            <w:vAlign w:val="center"/>
          </w:tcPr>
          <w:p w14:paraId="6F73ED8F">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0.4788</w:t>
            </w:r>
          </w:p>
        </w:tc>
        <w:tc>
          <w:tcPr>
            <w:tcW w:w="1448" w:type="dxa"/>
            <w:tcBorders>
              <w:top w:val="single" w:color="auto" w:sz="4" w:space="0"/>
              <w:tl2br w:val="nil"/>
              <w:tr2bl w:val="nil"/>
            </w:tcBorders>
            <w:tcMar>
              <w:top w:w="15" w:type="dxa"/>
              <w:left w:w="15" w:type="dxa"/>
              <w:right w:w="15" w:type="dxa"/>
            </w:tcMar>
            <w:vAlign w:val="center"/>
          </w:tcPr>
          <w:p w14:paraId="48833992">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0.418</w:t>
            </w:r>
          </w:p>
        </w:tc>
        <w:tc>
          <w:tcPr>
            <w:tcW w:w="2170" w:type="dxa"/>
            <w:tcBorders>
              <w:top w:val="single" w:color="auto" w:sz="4" w:space="0"/>
              <w:tl2br w:val="nil"/>
              <w:tr2bl w:val="nil"/>
            </w:tcBorders>
            <w:tcMar>
              <w:top w:w="15" w:type="dxa"/>
              <w:left w:w="15" w:type="dxa"/>
              <w:right w:w="15" w:type="dxa"/>
            </w:tcMar>
            <w:vAlign w:val="center"/>
          </w:tcPr>
          <w:p w14:paraId="427B4CF5">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0.0608</w:t>
            </w:r>
          </w:p>
        </w:tc>
      </w:tr>
      <w:tr w14:paraId="787CA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1" w:type="dxa"/>
            <w:vMerge w:val="continue"/>
            <w:tcBorders>
              <w:tl2br w:val="nil"/>
              <w:tr2bl w:val="nil"/>
            </w:tcBorders>
            <w:tcMar>
              <w:top w:w="15" w:type="dxa"/>
              <w:left w:w="15" w:type="dxa"/>
              <w:right w:w="15" w:type="dxa"/>
            </w:tcMar>
            <w:vAlign w:val="center"/>
          </w:tcPr>
          <w:p w14:paraId="5746EAD9">
            <w:pPr>
              <w:widowControl/>
              <w:jc w:val="center"/>
              <w:textAlignment w:val="center"/>
              <w:rPr>
                <w:rFonts w:ascii="Times New Roman" w:hAnsi="Times New Roman" w:eastAsia="宋体" w:cs="Times New Roman"/>
                <w:szCs w:val="21"/>
              </w:rPr>
            </w:pPr>
          </w:p>
        </w:tc>
        <w:tc>
          <w:tcPr>
            <w:tcW w:w="771" w:type="dxa"/>
            <w:vMerge w:val="continue"/>
            <w:tcBorders>
              <w:tl2br w:val="nil"/>
              <w:tr2bl w:val="nil"/>
            </w:tcBorders>
            <w:tcMar>
              <w:top w:w="15" w:type="dxa"/>
              <w:left w:w="15" w:type="dxa"/>
              <w:right w:w="15" w:type="dxa"/>
            </w:tcMar>
            <w:vAlign w:val="center"/>
          </w:tcPr>
          <w:p w14:paraId="0C114C06">
            <w:pPr>
              <w:widowControl/>
              <w:jc w:val="center"/>
              <w:textAlignment w:val="center"/>
              <w:rPr>
                <w:rFonts w:ascii="Times New Roman" w:hAnsi="Times New Roman" w:eastAsia="宋体" w:cs="Times New Roman"/>
                <w:szCs w:val="21"/>
              </w:rPr>
            </w:pPr>
          </w:p>
        </w:tc>
        <w:tc>
          <w:tcPr>
            <w:tcW w:w="1867" w:type="dxa"/>
            <w:tcBorders>
              <w:tl2br w:val="nil"/>
              <w:tr2bl w:val="nil"/>
            </w:tcBorders>
            <w:tcMar>
              <w:top w:w="15" w:type="dxa"/>
              <w:left w:w="15" w:type="dxa"/>
              <w:right w:w="15" w:type="dxa"/>
            </w:tcMar>
            <w:vAlign w:val="center"/>
          </w:tcPr>
          <w:p w14:paraId="6BBC9F02">
            <w:pPr>
              <w:autoSpaceDE w:val="0"/>
              <w:autoSpaceDN w:val="0"/>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二甲苯</w:t>
            </w:r>
          </w:p>
        </w:tc>
        <w:tc>
          <w:tcPr>
            <w:tcW w:w="1476" w:type="dxa"/>
            <w:tcBorders>
              <w:tl2br w:val="nil"/>
              <w:tr2bl w:val="nil"/>
            </w:tcBorders>
            <w:tcMar>
              <w:top w:w="15" w:type="dxa"/>
              <w:left w:w="15" w:type="dxa"/>
              <w:right w:w="15" w:type="dxa"/>
            </w:tcMar>
            <w:vAlign w:val="center"/>
          </w:tcPr>
          <w:p w14:paraId="2FEF8112">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1.064</w:t>
            </w:r>
          </w:p>
        </w:tc>
        <w:tc>
          <w:tcPr>
            <w:tcW w:w="1448" w:type="dxa"/>
            <w:tcBorders>
              <w:tl2br w:val="nil"/>
              <w:tr2bl w:val="nil"/>
            </w:tcBorders>
            <w:tcMar>
              <w:top w:w="15" w:type="dxa"/>
              <w:left w:w="15" w:type="dxa"/>
              <w:right w:w="15" w:type="dxa"/>
            </w:tcMar>
            <w:vAlign w:val="center"/>
          </w:tcPr>
          <w:p w14:paraId="2322FED8">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0.9289</w:t>
            </w:r>
          </w:p>
        </w:tc>
        <w:tc>
          <w:tcPr>
            <w:tcW w:w="2170" w:type="dxa"/>
            <w:tcBorders>
              <w:tl2br w:val="nil"/>
              <w:tr2bl w:val="nil"/>
            </w:tcBorders>
            <w:tcMar>
              <w:top w:w="15" w:type="dxa"/>
              <w:left w:w="15" w:type="dxa"/>
              <w:right w:w="15" w:type="dxa"/>
            </w:tcMar>
            <w:vAlign w:val="center"/>
          </w:tcPr>
          <w:p w14:paraId="1D1E56CB">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0.1351</w:t>
            </w:r>
          </w:p>
        </w:tc>
      </w:tr>
      <w:tr w14:paraId="5FB7C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601" w:type="dxa"/>
            <w:vMerge w:val="continue"/>
            <w:tcBorders>
              <w:tl2br w:val="nil"/>
              <w:tr2bl w:val="nil"/>
            </w:tcBorders>
            <w:tcMar>
              <w:top w:w="15" w:type="dxa"/>
              <w:left w:w="15" w:type="dxa"/>
              <w:right w:w="15" w:type="dxa"/>
            </w:tcMar>
            <w:vAlign w:val="center"/>
          </w:tcPr>
          <w:p w14:paraId="397BC5BC">
            <w:pPr>
              <w:widowControl/>
              <w:jc w:val="center"/>
              <w:textAlignment w:val="center"/>
              <w:rPr>
                <w:rFonts w:ascii="Times New Roman" w:hAnsi="Times New Roman" w:eastAsia="宋体" w:cs="Times New Roman"/>
                <w:szCs w:val="21"/>
              </w:rPr>
            </w:pPr>
          </w:p>
        </w:tc>
        <w:tc>
          <w:tcPr>
            <w:tcW w:w="771" w:type="dxa"/>
            <w:vMerge w:val="continue"/>
            <w:tcBorders>
              <w:tl2br w:val="nil"/>
              <w:tr2bl w:val="nil"/>
            </w:tcBorders>
            <w:tcMar>
              <w:top w:w="15" w:type="dxa"/>
              <w:left w:w="15" w:type="dxa"/>
              <w:right w:w="15" w:type="dxa"/>
            </w:tcMar>
            <w:vAlign w:val="center"/>
          </w:tcPr>
          <w:p w14:paraId="15C27209">
            <w:pPr>
              <w:widowControl/>
              <w:jc w:val="center"/>
              <w:textAlignment w:val="center"/>
              <w:rPr>
                <w:rFonts w:ascii="Times New Roman" w:hAnsi="Times New Roman" w:eastAsia="宋体" w:cs="Times New Roman"/>
                <w:szCs w:val="21"/>
              </w:rPr>
            </w:pPr>
          </w:p>
        </w:tc>
        <w:tc>
          <w:tcPr>
            <w:tcW w:w="1867" w:type="dxa"/>
            <w:tcBorders>
              <w:tl2br w:val="nil"/>
              <w:tr2bl w:val="nil"/>
            </w:tcBorders>
            <w:tcMar>
              <w:top w:w="15" w:type="dxa"/>
              <w:left w:w="15" w:type="dxa"/>
              <w:right w:w="15" w:type="dxa"/>
            </w:tcMar>
            <w:vAlign w:val="center"/>
          </w:tcPr>
          <w:p w14:paraId="17154E71">
            <w:pPr>
              <w:autoSpaceDE w:val="0"/>
              <w:autoSpaceDN w:val="0"/>
              <w:adjustRightInd w:val="0"/>
              <w:jc w:val="center"/>
              <w:rPr>
                <w:rFonts w:ascii="Times New Roman" w:hAnsi="Times New Roman" w:eastAsia="宋体" w:cs="Times New Roman"/>
                <w:szCs w:val="21"/>
              </w:rPr>
            </w:pPr>
            <w:r>
              <w:rPr>
                <w:rFonts w:ascii="Times New Roman" w:hAnsi="Times New Roman" w:eastAsia="宋体" w:cs="Times New Roman"/>
                <w:kern w:val="0"/>
                <w:szCs w:val="21"/>
              </w:rPr>
              <w:t>非甲烷总烃</w:t>
            </w:r>
          </w:p>
        </w:tc>
        <w:tc>
          <w:tcPr>
            <w:tcW w:w="1476" w:type="dxa"/>
            <w:tcBorders>
              <w:tl2br w:val="nil"/>
              <w:tr2bl w:val="nil"/>
            </w:tcBorders>
            <w:tcMar>
              <w:top w:w="15" w:type="dxa"/>
              <w:left w:w="15" w:type="dxa"/>
              <w:right w:w="15" w:type="dxa"/>
            </w:tcMar>
            <w:vAlign w:val="center"/>
          </w:tcPr>
          <w:p w14:paraId="78E91223">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9.0328</w:t>
            </w:r>
          </w:p>
        </w:tc>
        <w:tc>
          <w:tcPr>
            <w:tcW w:w="1448" w:type="dxa"/>
            <w:tcBorders>
              <w:tl2br w:val="nil"/>
              <w:tr2bl w:val="nil"/>
            </w:tcBorders>
            <w:tcMar>
              <w:top w:w="15" w:type="dxa"/>
              <w:left w:w="15" w:type="dxa"/>
              <w:right w:w="15" w:type="dxa"/>
            </w:tcMar>
            <w:vAlign w:val="center"/>
          </w:tcPr>
          <w:p w14:paraId="05346808">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7.8855</w:t>
            </w:r>
          </w:p>
        </w:tc>
        <w:tc>
          <w:tcPr>
            <w:tcW w:w="2170" w:type="dxa"/>
            <w:tcBorders>
              <w:tl2br w:val="nil"/>
              <w:tr2bl w:val="nil"/>
            </w:tcBorders>
            <w:tcMar>
              <w:top w:w="15" w:type="dxa"/>
              <w:left w:w="15" w:type="dxa"/>
              <w:right w:w="15" w:type="dxa"/>
            </w:tcMar>
            <w:vAlign w:val="center"/>
          </w:tcPr>
          <w:p w14:paraId="3B853E63">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1.1473</w:t>
            </w:r>
          </w:p>
        </w:tc>
      </w:tr>
      <w:tr w14:paraId="0E1A0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01" w:type="dxa"/>
            <w:vMerge w:val="continue"/>
            <w:tcBorders>
              <w:tl2br w:val="nil"/>
              <w:tr2bl w:val="nil"/>
            </w:tcBorders>
            <w:tcMar>
              <w:top w:w="15" w:type="dxa"/>
              <w:left w:w="15" w:type="dxa"/>
              <w:right w:w="15" w:type="dxa"/>
            </w:tcMar>
            <w:vAlign w:val="center"/>
          </w:tcPr>
          <w:p w14:paraId="77A59B34">
            <w:pPr>
              <w:jc w:val="center"/>
              <w:rPr>
                <w:rFonts w:ascii="Times New Roman" w:hAnsi="Times New Roman" w:eastAsia="宋体" w:cs="Times New Roman"/>
                <w:szCs w:val="21"/>
              </w:rPr>
            </w:pPr>
          </w:p>
        </w:tc>
        <w:tc>
          <w:tcPr>
            <w:tcW w:w="771" w:type="dxa"/>
            <w:vMerge w:val="restart"/>
            <w:tcBorders>
              <w:tl2br w:val="nil"/>
              <w:tr2bl w:val="nil"/>
            </w:tcBorders>
            <w:tcMar>
              <w:top w:w="15" w:type="dxa"/>
              <w:left w:w="15" w:type="dxa"/>
              <w:right w:w="15" w:type="dxa"/>
            </w:tcMar>
            <w:vAlign w:val="center"/>
          </w:tcPr>
          <w:p w14:paraId="1450621A">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无组织</w:t>
            </w:r>
          </w:p>
        </w:tc>
        <w:tc>
          <w:tcPr>
            <w:tcW w:w="1867" w:type="dxa"/>
            <w:tcBorders>
              <w:bottom w:val="single" w:color="auto" w:sz="4" w:space="0"/>
              <w:tl2br w:val="nil"/>
              <w:tr2bl w:val="nil"/>
            </w:tcBorders>
            <w:tcMar>
              <w:top w:w="15" w:type="dxa"/>
              <w:left w:w="15" w:type="dxa"/>
              <w:right w:w="15" w:type="dxa"/>
            </w:tcMar>
            <w:vAlign w:val="center"/>
          </w:tcPr>
          <w:p w14:paraId="2CCC911D">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颗粒物</w:t>
            </w:r>
          </w:p>
        </w:tc>
        <w:tc>
          <w:tcPr>
            <w:tcW w:w="1476" w:type="dxa"/>
            <w:tcBorders>
              <w:bottom w:val="single" w:color="auto" w:sz="4" w:space="0"/>
              <w:tl2br w:val="nil"/>
              <w:tr2bl w:val="nil"/>
            </w:tcBorders>
            <w:tcMar>
              <w:top w:w="15" w:type="dxa"/>
              <w:left w:w="15" w:type="dxa"/>
              <w:right w:w="15" w:type="dxa"/>
            </w:tcMar>
            <w:vAlign w:val="center"/>
          </w:tcPr>
          <w:p w14:paraId="2676C574">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1.347</w:t>
            </w:r>
          </w:p>
        </w:tc>
        <w:tc>
          <w:tcPr>
            <w:tcW w:w="1448" w:type="dxa"/>
            <w:tcBorders>
              <w:bottom w:val="single" w:color="auto" w:sz="4" w:space="0"/>
              <w:tl2br w:val="nil"/>
              <w:tr2bl w:val="nil"/>
            </w:tcBorders>
            <w:tcMar>
              <w:top w:w="15" w:type="dxa"/>
              <w:left w:w="15" w:type="dxa"/>
              <w:right w:w="15" w:type="dxa"/>
            </w:tcMar>
            <w:vAlign w:val="center"/>
          </w:tcPr>
          <w:p w14:paraId="003FE15B">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0.884</w:t>
            </w:r>
          </w:p>
        </w:tc>
        <w:tc>
          <w:tcPr>
            <w:tcW w:w="2170" w:type="dxa"/>
            <w:tcBorders>
              <w:bottom w:val="single" w:color="auto" w:sz="4" w:space="0"/>
              <w:tl2br w:val="nil"/>
              <w:tr2bl w:val="nil"/>
            </w:tcBorders>
            <w:tcMar>
              <w:top w:w="15" w:type="dxa"/>
              <w:left w:w="15" w:type="dxa"/>
              <w:right w:w="15" w:type="dxa"/>
            </w:tcMar>
            <w:vAlign w:val="center"/>
          </w:tcPr>
          <w:p w14:paraId="21A2C75F">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463</w:t>
            </w:r>
          </w:p>
        </w:tc>
      </w:tr>
      <w:tr w14:paraId="6E0F0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601" w:type="dxa"/>
            <w:vMerge w:val="continue"/>
            <w:tcBorders>
              <w:tl2br w:val="nil"/>
              <w:tr2bl w:val="nil"/>
            </w:tcBorders>
            <w:tcMar>
              <w:top w:w="15" w:type="dxa"/>
              <w:left w:w="15" w:type="dxa"/>
              <w:right w:w="15" w:type="dxa"/>
            </w:tcMar>
            <w:vAlign w:val="center"/>
          </w:tcPr>
          <w:p w14:paraId="3668FB25">
            <w:pPr>
              <w:jc w:val="center"/>
              <w:rPr>
                <w:rFonts w:ascii="Times New Roman" w:hAnsi="Times New Roman" w:eastAsia="宋体" w:cs="Times New Roman"/>
                <w:szCs w:val="21"/>
              </w:rPr>
            </w:pPr>
          </w:p>
        </w:tc>
        <w:tc>
          <w:tcPr>
            <w:tcW w:w="771" w:type="dxa"/>
            <w:vMerge w:val="continue"/>
            <w:tcBorders>
              <w:tl2br w:val="nil"/>
              <w:tr2bl w:val="nil"/>
            </w:tcBorders>
            <w:tcMar>
              <w:top w:w="15" w:type="dxa"/>
              <w:left w:w="15" w:type="dxa"/>
              <w:right w:w="15" w:type="dxa"/>
            </w:tcMar>
            <w:vAlign w:val="center"/>
          </w:tcPr>
          <w:p w14:paraId="536ED9CC">
            <w:pPr>
              <w:widowControl/>
              <w:jc w:val="center"/>
              <w:textAlignment w:val="center"/>
              <w:rPr>
                <w:rFonts w:ascii="Times New Roman" w:hAnsi="Times New Roman" w:eastAsia="宋体" w:cs="Times New Roman"/>
                <w:kern w:val="0"/>
                <w:szCs w:val="21"/>
                <w:lang w:bidi="ar"/>
              </w:rPr>
            </w:pPr>
          </w:p>
        </w:tc>
        <w:tc>
          <w:tcPr>
            <w:tcW w:w="1867" w:type="dxa"/>
            <w:tcBorders>
              <w:top w:val="single" w:color="auto" w:sz="4" w:space="0"/>
              <w:tl2br w:val="nil"/>
              <w:tr2bl w:val="nil"/>
            </w:tcBorders>
            <w:tcMar>
              <w:top w:w="15" w:type="dxa"/>
              <w:left w:w="15" w:type="dxa"/>
              <w:right w:w="15" w:type="dxa"/>
            </w:tcMar>
            <w:vAlign w:val="center"/>
          </w:tcPr>
          <w:p w14:paraId="6C8DC8E0">
            <w:pPr>
              <w:autoSpaceDE w:val="0"/>
              <w:autoSpaceDN w:val="0"/>
              <w:adjustRightIn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rPr>
              <w:t>苯</w:t>
            </w:r>
          </w:p>
        </w:tc>
        <w:tc>
          <w:tcPr>
            <w:tcW w:w="1476" w:type="dxa"/>
            <w:tcBorders>
              <w:top w:val="single" w:color="auto" w:sz="4" w:space="0"/>
              <w:tl2br w:val="nil"/>
              <w:tr2bl w:val="nil"/>
            </w:tcBorders>
            <w:tcMar>
              <w:top w:w="15" w:type="dxa"/>
              <w:left w:w="15" w:type="dxa"/>
              <w:right w:w="15" w:type="dxa"/>
            </w:tcMar>
            <w:vAlign w:val="center"/>
          </w:tcPr>
          <w:p w14:paraId="3A66E62A">
            <w:pPr>
              <w:widowControl/>
              <w:jc w:val="center"/>
              <w:textAlignment w:val="center"/>
              <w:rPr>
                <w:rFonts w:hint="eastAsia" w:ascii="Times New Roman" w:hAnsi="Times New Roman" w:eastAsia="宋体" w:cs="Times New Roman"/>
                <w:szCs w:val="21"/>
              </w:rPr>
            </w:pPr>
            <w:r>
              <w:rPr>
                <w:rFonts w:hint="eastAsia" w:ascii="Times New Roman" w:hAnsi="Times New Roman" w:cs="Times New Roman"/>
                <w:kern w:val="0"/>
                <w:szCs w:val="21"/>
                <w:lang w:val="en-US" w:eastAsia="zh-CN"/>
              </w:rPr>
              <w:t>0.0056</w:t>
            </w:r>
          </w:p>
        </w:tc>
        <w:tc>
          <w:tcPr>
            <w:tcW w:w="1448" w:type="dxa"/>
            <w:tcBorders>
              <w:top w:val="single" w:color="auto" w:sz="4" w:space="0"/>
              <w:tl2br w:val="nil"/>
              <w:tr2bl w:val="nil"/>
            </w:tcBorders>
            <w:tcMar>
              <w:top w:w="15" w:type="dxa"/>
              <w:left w:w="15" w:type="dxa"/>
              <w:right w:w="15" w:type="dxa"/>
            </w:tcMar>
            <w:vAlign w:val="center"/>
          </w:tcPr>
          <w:p w14:paraId="0B640990">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2170" w:type="dxa"/>
            <w:tcBorders>
              <w:top w:val="single" w:color="auto" w:sz="4" w:space="0"/>
              <w:tl2br w:val="nil"/>
              <w:tr2bl w:val="nil"/>
            </w:tcBorders>
            <w:tcMar>
              <w:top w:w="15" w:type="dxa"/>
              <w:left w:w="15" w:type="dxa"/>
              <w:right w:w="15" w:type="dxa"/>
            </w:tcMar>
            <w:vAlign w:val="center"/>
          </w:tcPr>
          <w:p w14:paraId="5D1756E2">
            <w:pPr>
              <w:widowControl/>
              <w:jc w:val="center"/>
              <w:textAlignment w:val="center"/>
              <w:rPr>
                <w:rFonts w:hint="eastAsia" w:ascii="Times New Roman" w:hAnsi="Times New Roman" w:eastAsia="宋体" w:cs="Times New Roman"/>
                <w:szCs w:val="21"/>
              </w:rPr>
            </w:pPr>
            <w:r>
              <w:rPr>
                <w:rFonts w:hint="eastAsia" w:ascii="Times New Roman" w:hAnsi="Times New Roman" w:cs="Times New Roman"/>
                <w:kern w:val="0"/>
                <w:szCs w:val="21"/>
                <w:lang w:val="en-US" w:eastAsia="zh-CN"/>
              </w:rPr>
              <w:t>0.0056</w:t>
            </w:r>
          </w:p>
        </w:tc>
      </w:tr>
      <w:tr w14:paraId="72012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601" w:type="dxa"/>
            <w:vMerge w:val="continue"/>
            <w:tcBorders>
              <w:tl2br w:val="nil"/>
              <w:tr2bl w:val="nil"/>
            </w:tcBorders>
            <w:tcMar>
              <w:top w:w="15" w:type="dxa"/>
              <w:left w:w="15" w:type="dxa"/>
              <w:right w:w="15" w:type="dxa"/>
            </w:tcMar>
            <w:vAlign w:val="center"/>
          </w:tcPr>
          <w:p w14:paraId="4636D0E0">
            <w:pPr>
              <w:widowControl/>
              <w:jc w:val="center"/>
              <w:textAlignment w:val="center"/>
              <w:rPr>
                <w:rFonts w:ascii="Times New Roman" w:hAnsi="Times New Roman" w:eastAsia="宋体" w:cs="Times New Roman"/>
                <w:szCs w:val="21"/>
              </w:rPr>
            </w:pPr>
          </w:p>
        </w:tc>
        <w:tc>
          <w:tcPr>
            <w:tcW w:w="771" w:type="dxa"/>
            <w:vMerge w:val="continue"/>
            <w:tcBorders>
              <w:tl2br w:val="nil"/>
              <w:tr2bl w:val="nil"/>
            </w:tcBorders>
            <w:tcMar>
              <w:top w:w="15" w:type="dxa"/>
              <w:left w:w="15" w:type="dxa"/>
              <w:right w:w="15" w:type="dxa"/>
            </w:tcMar>
            <w:vAlign w:val="center"/>
          </w:tcPr>
          <w:p w14:paraId="5B0E1233">
            <w:pPr>
              <w:widowControl/>
              <w:jc w:val="center"/>
              <w:textAlignment w:val="center"/>
              <w:rPr>
                <w:rFonts w:ascii="Times New Roman" w:hAnsi="Times New Roman" w:eastAsia="宋体" w:cs="Times New Roman"/>
                <w:szCs w:val="21"/>
              </w:rPr>
            </w:pPr>
          </w:p>
        </w:tc>
        <w:tc>
          <w:tcPr>
            <w:tcW w:w="1867" w:type="dxa"/>
            <w:tcBorders>
              <w:tl2br w:val="nil"/>
              <w:tr2bl w:val="nil"/>
            </w:tcBorders>
            <w:tcMar>
              <w:top w:w="15" w:type="dxa"/>
              <w:left w:w="15" w:type="dxa"/>
              <w:right w:w="15" w:type="dxa"/>
            </w:tcMar>
            <w:vAlign w:val="center"/>
          </w:tcPr>
          <w:p w14:paraId="67EBBE03">
            <w:pPr>
              <w:autoSpaceDE w:val="0"/>
              <w:autoSpaceDN w:val="0"/>
              <w:adjustRightInd w:val="0"/>
              <w:jc w:val="center"/>
              <w:rPr>
                <w:rFonts w:ascii="Times New Roman" w:hAnsi="Times New Roman" w:eastAsia="宋体" w:cs="Times New Roman"/>
                <w:szCs w:val="21"/>
              </w:rPr>
            </w:pPr>
            <w:r>
              <w:rPr>
                <w:rFonts w:hint="eastAsia" w:ascii="Times New Roman" w:hAnsi="Times New Roman" w:eastAsia="宋体" w:cs="Times New Roman"/>
                <w:kern w:val="0"/>
                <w:szCs w:val="21"/>
              </w:rPr>
              <w:t>甲苯</w:t>
            </w:r>
          </w:p>
        </w:tc>
        <w:tc>
          <w:tcPr>
            <w:tcW w:w="1476" w:type="dxa"/>
            <w:tcBorders>
              <w:tl2br w:val="nil"/>
              <w:tr2bl w:val="nil"/>
            </w:tcBorders>
            <w:tcMar>
              <w:top w:w="15" w:type="dxa"/>
              <w:left w:w="15" w:type="dxa"/>
              <w:right w:w="15" w:type="dxa"/>
            </w:tcMar>
            <w:vAlign w:val="center"/>
          </w:tcPr>
          <w:p w14:paraId="30354998">
            <w:pPr>
              <w:widowControl/>
              <w:jc w:val="center"/>
              <w:textAlignment w:val="center"/>
              <w:rPr>
                <w:rFonts w:ascii="Times New Roman" w:hAnsi="Times New Roman" w:eastAsia="宋体" w:cs="Times New Roman"/>
                <w:szCs w:val="21"/>
              </w:rPr>
            </w:pPr>
            <w:r>
              <w:rPr>
                <w:rFonts w:hint="eastAsia" w:ascii="Times New Roman" w:hAnsi="Times New Roman" w:cs="Times New Roman"/>
                <w:kern w:val="0"/>
                <w:szCs w:val="21"/>
                <w:lang w:val="en-US" w:eastAsia="zh-CN"/>
              </w:rPr>
              <w:t>0.0252</w:t>
            </w:r>
          </w:p>
        </w:tc>
        <w:tc>
          <w:tcPr>
            <w:tcW w:w="1448" w:type="dxa"/>
            <w:tcBorders>
              <w:tl2br w:val="nil"/>
              <w:tr2bl w:val="nil"/>
            </w:tcBorders>
            <w:tcMar>
              <w:top w:w="15" w:type="dxa"/>
              <w:left w:w="15" w:type="dxa"/>
              <w:right w:w="15" w:type="dxa"/>
            </w:tcMar>
            <w:vAlign w:val="center"/>
          </w:tcPr>
          <w:p w14:paraId="56CCEA49">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2170" w:type="dxa"/>
            <w:tcBorders>
              <w:tl2br w:val="nil"/>
              <w:tr2bl w:val="nil"/>
            </w:tcBorders>
            <w:tcMar>
              <w:top w:w="15" w:type="dxa"/>
              <w:left w:w="15" w:type="dxa"/>
              <w:right w:w="15" w:type="dxa"/>
            </w:tcMar>
            <w:vAlign w:val="center"/>
          </w:tcPr>
          <w:p w14:paraId="2FBC172D">
            <w:pPr>
              <w:widowControl/>
              <w:jc w:val="center"/>
              <w:textAlignment w:val="center"/>
              <w:rPr>
                <w:rFonts w:ascii="Times New Roman" w:hAnsi="Times New Roman" w:eastAsia="宋体" w:cs="Times New Roman"/>
                <w:szCs w:val="21"/>
              </w:rPr>
            </w:pPr>
            <w:r>
              <w:rPr>
                <w:rFonts w:hint="eastAsia" w:ascii="Times New Roman" w:hAnsi="Times New Roman" w:cs="Times New Roman"/>
                <w:kern w:val="0"/>
                <w:szCs w:val="21"/>
                <w:lang w:val="en-US" w:eastAsia="zh-CN"/>
              </w:rPr>
              <w:t>0.0252</w:t>
            </w:r>
          </w:p>
        </w:tc>
      </w:tr>
      <w:tr w14:paraId="29A16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601" w:type="dxa"/>
            <w:vMerge w:val="continue"/>
            <w:tcBorders>
              <w:tl2br w:val="nil"/>
              <w:tr2bl w:val="nil"/>
            </w:tcBorders>
            <w:tcMar>
              <w:top w:w="15" w:type="dxa"/>
              <w:left w:w="15" w:type="dxa"/>
              <w:right w:w="15" w:type="dxa"/>
            </w:tcMar>
            <w:vAlign w:val="center"/>
          </w:tcPr>
          <w:p w14:paraId="14B23FCD">
            <w:pPr>
              <w:widowControl/>
              <w:jc w:val="center"/>
              <w:textAlignment w:val="center"/>
              <w:rPr>
                <w:rFonts w:ascii="Times New Roman" w:hAnsi="Times New Roman" w:eastAsia="宋体" w:cs="Times New Roman"/>
                <w:szCs w:val="21"/>
              </w:rPr>
            </w:pPr>
          </w:p>
        </w:tc>
        <w:tc>
          <w:tcPr>
            <w:tcW w:w="771" w:type="dxa"/>
            <w:vMerge w:val="continue"/>
            <w:tcBorders>
              <w:tl2br w:val="nil"/>
              <w:tr2bl w:val="nil"/>
            </w:tcBorders>
            <w:tcMar>
              <w:top w:w="15" w:type="dxa"/>
              <w:left w:w="15" w:type="dxa"/>
              <w:right w:w="15" w:type="dxa"/>
            </w:tcMar>
            <w:vAlign w:val="center"/>
          </w:tcPr>
          <w:p w14:paraId="1EF75268">
            <w:pPr>
              <w:widowControl/>
              <w:jc w:val="center"/>
              <w:textAlignment w:val="center"/>
              <w:rPr>
                <w:rFonts w:ascii="Times New Roman" w:hAnsi="Times New Roman" w:eastAsia="宋体" w:cs="Times New Roman"/>
                <w:szCs w:val="21"/>
              </w:rPr>
            </w:pPr>
          </w:p>
        </w:tc>
        <w:tc>
          <w:tcPr>
            <w:tcW w:w="1867" w:type="dxa"/>
            <w:tcBorders>
              <w:tl2br w:val="nil"/>
              <w:tr2bl w:val="nil"/>
            </w:tcBorders>
            <w:tcMar>
              <w:top w:w="15" w:type="dxa"/>
              <w:left w:w="15" w:type="dxa"/>
              <w:right w:w="15" w:type="dxa"/>
            </w:tcMar>
            <w:vAlign w:val="center"/>
          </w:tcPr>
          <w:p w14:paraId="4FC4A6D9">
            <w:pPr>
              <w:autoSpaceDE w:val="0"/>
              <w:autoSpaceDN w:val="0"/>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二甲苯</w:t>
            </w:r>
          </w:p>
        </w:tc>
        <w:tc>
          <w:tcPr>
            <w:tcW w:w="1476" w:type="dxa"/>
            <w:tcBorders>
              <w:tl2br w:val="nil"/>
              <w:tr2bl w:val="nil"/>
            </w:tcBorders>
            <w:tcMar>
              <w:top w:w="15" w:type="dxa"/>
              <w:left w:w="15" w:type="dxa"/>
              <w:right w:w="15" w:type="dxa"/>
            </w:tcMar>
            <w:vAlign w:val="center"/>
          </w:tcPr>
          <w:p w14:paraId="01EB3BD9">
            <w:pPr>
              <w:widowControl/>
              <w:jc w:val="center"/>
              <w:textAlignment w:val="center"/>
              <w:rPr>
                <w:rFonts w:ascii="Times New Roman" w:hAnsi="Times New Roman" w:eastAsia="宋体" w:cs="Times New Roman"/>
                <w:szCs w:val="21"/>
              </w:rPr>
            </w:pPr>
            <w:r>
              <w:rPr>
                <w:rFonts w:hint="eastAsia" w:ascii="Times New Roman" w:hAnsi="Times New Roman" w:cs="Times New Roman"/>
                <w:kern w:val="0"/>
                <w:szCs w:val="21"/>
                <w:lang w:val="en-US" w:eastAsia="zh-CN"/>
              </w:rPr>
              <w:t>0.056</w:t>
            </w:r>
          </w:p>
        </w:tc>
        <w:tc>
          <w:tcPr>
            <w:tcW w:w="1448" w:type="dxa"/>
            <w:tcBorders>
              <w:tl2br w:val="nil"/>
              <w:tr2bl w:val="nil"/>
            </w:tcBorders>
            <w:tcMar>
              <w:top w:w="15" w:type="dxa"/>
              <w:left w:w="15" w:type="dxa"/>
              <w:right w:w="15" w:type="dxa"/>
            </w:tcMar>
            <w:vAlign w:val="center"/>
          </w:tcPr>
          <w:p w14:paraId="79FDD1FA">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0</w:t>
            </w:r>
          </w:p>
        </w:tc>
        <w:tc>
          <w:tcPr>
            <w:tcW w:w="2170" w:type="dxa"/>
            <w:tcBorders>
              <w:tl2br w:val="nil"/>
              <w:tr2bl w:val="nil"/>
            </w:tcBorders>
            <w:tcMar>
              <w:top w:w="15" w:type="dxa"/>
              <w:left w:w="15" w:type="dxa"/>
              <w:right w:w="15" w:type="dxa"/>
            </w:tcMar>
            <w:vAlign w:val="center"/>
          </w:tcPr>
          <w:p w14:paraId="02953261">
            <w:pPr>
              <w:widowControl/>
              <w:jc w:val="center"/>
              <w:textAlignment w:val="center"/>
              <w:rPr>
                <w:rFonts w:ascii="Times New Roman" w:hAnsi="Times New Roman" w:eastAsia="宋体" w:cs="Times New Roman"/>
                <w:szCs w:val="21"/>
              </w:rPr>
            </w:pPr>
            <w:r>
              <w:rPr>
                <w:rFonts w:hint="eastAsia" w:ascii="Times New Roman" w:hAnsi="Times New Roman" w:cs="Times New Roman"/>
                <w:kern w:val="0"/>
                <w:szCs w:val="21"/>
                <w:lang w:val="en-US" w:eastAsia="zh-CN"/>
              </w:rPr>
              <w:t>0.056</w:t>
            </w:r>
          </w:p>
        </w:tc>
      </w:tr>
      <w:tr w14:paraId="5CD18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601" w:type="dxa"/>
            <w:vMerge w:val="continue"/>
            <w:tcBorders>
              <w:tl2br w:val="nil"/>
              <w:tr2bl w:val="nil"/>
            </w:tcBorders>
            <w:tcMar>
              <w:top w:w="15" w:type="dxa"/>
              <w:left w:w="15" w:type="dxa"/>
              <w:right w:w="15" w:type="dxa"/>
            </w:tcMar>
            <w:vAlign w:val="center"/>
          </w:tcPr>
          <w:p w14:paraId="5307F88E">
            <w:pPr>
              <w:widowControl/>
              <w:jc w:val="center"/>
              <w:textAlignment w:val="center"/>
              <w:rPr>
                <w:rFonts w:ascii="Times New Roman" w:hAnsi="Times New Roman" w:eastAsia="宋体" w:cs="Times New Roman"/>
                <w:szCs w:val="21"/>
              </w:rPr>
            </w:pPr>
          </w:p>
        </w:tc>
        <w:tc>
          <w:tcPr>
            <w:tcW w:w="771" w:type="dxa"/>
            <w:vMerge w:val="continue"/>
            <w:tcBorders>
              <w:tl2br w:val="nil"/>
              <w:tr2bl w:val="nil"/>
            </w:tcBorders>
            <w:tcMar>
              <w:top w:w="15" w:type="dxa"/>
              <w:left w:w="15" w:type="dxa"/>
              <w:right w:w="15" w:type="dxa"/>
            </w:tcMar>
            <w:vAlign w:val="center"/>
          </w:tcPr>
          <w:p w14:paraId="218BAA74">
            <w:pPr>
              <w:widowControl/>
              <w:jc w:val="center"/>
              <w:textAlignment w:val="center"/>
              <w:rPr>
                <w:rFonts w:ascii="Times New Roman" w:hAnsi="Times New Roman" w:eastAsia="宋体" w:cs="Times New Roman"/>
                <w:szCs w:val="21"/>
              </w:rPr>
            </w:pPr>
          </w:p>
        </w:tc>
        <w:tc>
          <w:tcPr>
            <w:tcW w:w="1867" w:type="dxa"/>
            <w:tcBorders>
              <w:tl2br w:val="nil"/>
              <w:tr2bl w:val="nil"/>
            </w:tcBorders>
            <w:tcMar>
              <w:top w:w="15" w:type="dxa"/>
              <w:left w:w="15" w:type="dxa"/>
              <w:right w:w="15" w:type="dxa"/>
            </w:tcMar>
            <w:vAlign w:val="center"/>
          </w:tcPr>
          <w:p w14:paraId="4E22BFE9">
            <w:pPr>
              <w:autoSpaceDE w:val="0"/>
              <w:autoSpaceDN w:val="0"/>
              <w:adjustRightInd w:val="0"/>
              <w:jc w:val="center"/>
              <w:rPr>
                <w:rFonts w:ascii="Times New Roman" w:hAnsi="Times New Roman" w:eastAsia="宋体" w:cs="Times New Roman"/>
                <w:szCs w:val="21"/>
              </w:rPr>
            </w:pPr>
            <w:r>
              <w:rPr>
                <w:rFonts w:ascii="Times New Roman" w:hAnsi="Times New Roman" w:eastAsia="宋体" w:cs="Times New Roman"/>
                <w:kern w:val="0"/>
                <w:szCs w:val="21"/>
              </w:rPr>
              <w:t>非甲烷总烃</w:t>
            </w:r>
          </w:p>
        </w:tc>
        <w:tc>
          <w:tcPr>
            <w:tcW w:w="1476" w:type="dxa"/>
            <w:tcBorders>
              <w:tl2br w:val="nil"/>
              <w:tr2bl w:val="nil"/>
            </w:tcBorders>
            <w:tcMar>
              <w:top w:w="15" w:type="dxa"/>
              <w:left w:w="15" w:type="dxa"/>
              <w:right w:w="15" w:type="dxa"/>
            </w:tcMar>
            <w:vAlign w:val="center"/>
          </w:tcPr>
          <w:p w14:paraId="5D74954E">
            <w:pPr>
              <w:widowControl/>
              <w:jc w:val="center"/>
              <w:textAlignment w:val="center"/>
              <w:rPr>
                <w:rFonts w:hint="default" w:ascii="Times New Roman" w:hAnsi="Times New Roman" w:eastAsia="宋体" w:cs="Times New Roman"/>
                <w:szCs w:val="21"/>
                <w:lang w:val="en-US"/>
              </w:rPr>
            </w:pPr>
            <w:r>
              <w:rPr>
                <w:rFonts w:hint="eastAsia" w:ascii="Times New Roman" w:hAnsi="Times New Roman" w:cs="Times New Roman"/>
                <w:kern w:val="0"/>
                <w:szCs w:val="21"/>
                <w:lang w:val="en-US" w:eastAsia="zh-CN"/>
              </w:rPr>
              <w:t>0.4925</w:t>
            </w:r>
          </w:p>
        </w:tc>
        <w:tc>
          <w:tcPr>
            <w:tcW w:w="1448" w:type="dxa"/>
            <w:tcBorders>
              <w:tl2br w:val="nil"/>
              <w:tr2bl w:val="nil"/>
            </w:tcBorders>
            <w:tcMar>
              <w:top w:w="15" w:type="dxa"/>
              <w:left w:w="15" w:type="dxa"/>
              <w:right w:w="15" w:type="dxa"/>
            </w:tcMar>
            <w:vAlign w:val="center"/>
          </w:tcPr>
          <w:p w14:paraId="2E74218B">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0</w:t>
            </w:r>
          </w:p>
        </w:tc>
        <w:tc>
          <w:tcPr>
            <w:tcW w:w="2170" w:type="dxa"/>
            <w:tcBorders>
              <w:tl2br w:val="nil"/>
              <w:tr2bl w:val="nil"/>
            </w:tcBorders>
            <w:tcMar>
              <w:top w:w="15" w:type="dxa"/>
              <w:left w:w="15" w:type="dxa"/>
              <w:right w:w="15" w:type="dxa"/>
            </w:tcMar>
            <w:vAlign w:val="center"/>
          </w:tcPr>
          <w:p w14:paraId="73204A33">
            <w:pPr>
              <w:widowControl/>
              <w:jc w:val="center"/>
              <w:textAlignment w:val="center"/>
              <w:rPr>
                <w:rFonts w:hint="default" w:ascii="Times New Roman" w:hAnsi="Times New Roman" w:eastAsia="宋体" w:cs="Times New Roman"/>
                <w:szCs w:val="21"/>
                <w:lang w:val="en-US"/>
              </w:rPr>
            </w:pPr>
            <w:r>
              <w:rPr>
                <w:rFonts w:hint="eastAsia" w:ascii="Times New Roman" w:hAnsi="Times New Roman" w:cs="Times New Roman"/>
                <w:kern w:val="0"/>
                <w:szCs w:val="21"/>
                <w:lang w:val="en-US" w:eastAsia="zh-CN"/>
              </w:rPr>
              <w:t>0.4925</w:t>
            </w:r>
          </w:p>
        </w:tc>
      </w:tr>
      <w:tr w14:paraId="5FE3C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01" w:type="dxa"/>
            <w:vMerge w:val="restart"/>
            <w:tcBorders>
              <w:tl2br w:val="nil"/>
              <w:tr2bl w:val="nil"/>
            </w:tcBorders>
            <w:tcMar>
              <w:top w:w="15" w:type="dxa"/>
              <w:left w:w="15" w:type="dxa"/>
              <w:right w:w="15" w:type="dxa"/>
            </w:tcMar>
            <w:vAlign w:val="center"/>
          </w:tcPr>
          <w:p w14:paraId="062A0420">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废水</w:t>
            </w:r>
          </w:p>
        </w:tc>
        <w:tc>
          <w:tcPr>
            <w:tcW w:w="2638" w:type="dxa"/>
            <w:gridSpan w:val="2"/>
            <w:tcBorders>
              <w:tl2br w:val="nil"/>
              <w:tr2bl w:val="nil"/>
            </w:tcBorders>
            <w:tcMar>
              <w:top w:w="15" w:type="dxa"/>
              <w:left w:w="15" w:type="dxa"/>
              <w:right w:w="15" w:type="dxa"/>
            </w:tcMar>
            <w:vAlign w:val="center"/>
          </w:tcPr>
          <w:p w14:paraId="129E449E">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废水量</w:t>
            </w: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m</w:t>
            </w:r>
            <w:r>
              <w:rPr>
                <w:rFonts w:ascii="Times New Roman" w:hAnsi="Times New Roman" w:eastAsia="宋体" w:cs="Times New Roman"/>
                <w:kern w:val="0"/>
                <w:szCs w:val="21"/>
                <w:vertAlign w:val="superscript"/>
                <w:lang w:bidi="ar"/>
              </w:rPr>
              <w:t>3</w:t>
            </w:r>
            <w:r>
              <w:rPr>
                <w:rFonts w:ascii="Times New Roman" w:hAnsi="Times New Roman" w:eastAsia="宋体" w:cs="Times New Roman"/>
                <w:kern w:val="0"/>
                <w:szCs w:val="21"/>
                <w:lang w:bidi="ar"/>
              </w:rPr>
              <w:t>/a</w:t>
            </w:r>
            <w:r>
              <w:rPr>
                <w:rFonts w:hint="eastAsia" w:ascii="Times New Roman" w:hAnsi="Times New Roman" w:eastAsia="宋体" w:cs="Times New Roman"/>
                <w:kern w:val="0"/>
                <w:szCs w:val="21"/>
                <w:lang w:bidi="ar"/>
              </w:rPr>
              <w:t>）</w:t>
            </w:r>
          </w:p>
        </w:tc>
        <w:tc>
          <w:tcPr>
            <w:tcW w:w="1476" w:type="dxa"/>
            <w:tcBorders>
              <w:tl2br w:val="nil"/>
              <w:tr2bl w:val="nil"/>
            </w:tcBorders>
            <w:tcMar>
              <w:top w:w="15" w:type="dxa"/>
              <w:left w:w="15" w:type="dxa"/>
              <w:right w:w="15" w:type="dxa"/>
            </w:tcMar>
            <w:vAlign w:val="center"/>
          </w:tcPr>
          <w:p w14:paraId="78B89C59">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1542</w:t>
            </w:r>
          </w:p>
        </w:tc>
        <w:tc>
          <w:tcPr>
            <w:tcW w:w="1448" w:type="dxa"/>
            <w:tcBorders>
              <w:tl2br w:val="nil"/>
              <w:tr2bl w:val="nil"/>
            </w:tcBorders>
            <w:tcMar>
              <w:top w:w="15" w:type="dxa"/>
              <w:left w:w="15" w:type="dxa"/>
              <w:right w:w="15" w:type="dxa"/>
            </w:tcMar>
            <w:vAlign w:val="center"/>
          </w:tcPr>
          <w:p w14:paraId="4871AB68">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0</w:t>
            </w:r>
          </w:p>
        </w:tc>
        <w:tc>
          <w:tcPr>
            <w:tcW w:w="2170" w:type="dxa"/>
            <w:tcBorders>
              <w:tl2br w:val="nil"/>
              <w:tr2bl w:val="nil"/>
            </w:tcBorders>
            <w:tcMar>
              <w:top w:w="15" w:type="dxa"/>
              <w:left w:w="15" w:type="dxa"/>
              <w:right w:w="15" w:type="dxa"/>
            </w:tcMar>
            <w:vAlign w:val="center"/>
          </w:tcPr>
          <w:p w14:paraId="057BCF63">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1542</w:t>
            </w:r>
          </w:p>
        </w:tc>
      </w:tr>
      <w:tr w14:paraId="2C9E6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01" w:type="dxa"/>
            <w:vMerge w:val="continue"/>
            <w:tcBorders>
              <w:tl2br w:val="nil"/>
              <w:tr2bl w:val="nil"/>
            </w:tcBorders>
            <w:tcMar>
              <w:top w:w="15" w:type="dxa"/>
              <w:left w:w="15" w:type="dxa"/>
              <w:right w:w="15" w:type="dxa"/>
            </w:tcMar>
            <w:vAlign w:val="center"/>
          </w:tcPr>
          <w:p w14:paraId="4B548263">
            <w:pPr>
              <w:jc w:val="center"/>
              <w:rPr>
                <w:rFonts w:ascii="Times New Roman" w:hAnsi="Times New Roman" w:eastAsia="宋体" w:cs="Times New Roman"/>
                <w:szCs w:val="21"/>
              </w:rPr>
            </w:pPr>
          </w:p>
        </w:tc>
        <w:tc>
          <w:tcPr>
            <w:tcW w:w="2638" w:type="dxa"/>
            <w:gridSpan w:val="2"/>
            <w:tcBorders>
              <w:tl2br w:val="nil"/>
              <w:tr2bl w:val="nil"/>
            </w:tcBorders>
            <w:tcMar>
              <w:top w:w="15" w:type="dxa"/>
              <w:left w:w="15" w:type="dxa"/>
              <w:right w:w="15" w:type="dxa"/>
            </w:tcMar>
            <w:vAlign w:val="center"/>
          </w:tcPr>
          <w:p w14:paraId="11E22634">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废水量</w:t>
            </w: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m</w:t>
            </w:r>
            <w:r>
              <w:rPr>
                <w:rFonts w:ascii="Times New Roman" w:hAnsi="Times New Roman" w:eastAsia="宋体" w:cs="Times New Roman"/>
                <w:kern w:val="0"/>
                <w:szCs w:val="21"/>
                <w:vertAlign w:val="superscript"/>
                <w:lang w:bidi="ar"/>
              </w:rPr>
              <w:t>3</w:t>
            </w:r>
            <w:r>
              <w:rPr>
                <w:rFonts w:ascii="Times New Roman" w:hAnsi="Times New Roman" w:eastAsia="宋体" w:cs="Times New Roman"/>
                <w:kern w:val="0"/>
                <w:szCs w:val="21"/>
                <w:lang w:bidi="ar"/>
              </w:rPr>
              <w:t>/</w:t>
            </w:r>
            <w:r>
              <w:rPr>
                <w:rFonts w:hint="eastAsia" w:ascii="Times New Roman" w:hAnsi="Times New Roman" w:eastAsia="宋体" w:cs="Times New Roman"/>
                <w:kern w:val="0"/>
                <w:szCs w:val="21"/>
                <w:lang w:bidi="ar"/>
              </w:rPr>
              <w:t>d）</w:t>
            </w:r>
          </w:p>
        </w:tc>
        <w:tc>
          <w:tcPr>
            <w:tcW w:w="1476" w:type="dxa"/>
            <w:tcBorders>
              <w:tl2br w:val="nil"/>
              <w:tr2bl w:val="nil"/>
            </w:tcBorders>
            <w:tcMar>
              <w:top w:w="15" w:type="dxa"/>
              <w:left w:w="15" w:type="dxa"/>
              <w:right w:w="15" w:type="dxa"/>
            </w:tcMar>
            <w:vAlign w:val="center"/>
          </w:tcPr>
          <w:p w14:paraId="504DD945">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5.14</w:t>
            </w:r>
          </w:p>
        </w:tc>
        <w:tc>
          <w:tcPr>
            <w:tcW w:w="1448" w:type="dxa"/>
            <w:tcBorders>
              <w:tl2br w:val="nil"/>
              <w:tr2bl w:val="nil"/>
            </w:tcBorders>
            <w:tcMar>
              <w:top w:w="15" w:type="dxa"/>
              <w:left w:w="15" w:type="dxa"/>
              <w:right w:w="15" w:type="dxa"/>
            </w:tcMar>
            <w:vAlign w:val="center"/>
          </w:tcPr>
          <w:p w14:paraId="2293736B">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0</w:t>
            </w:r>
          </w:p>
        </w:tc>
        <w:tc>
          <w:tcPr>
            <w:tcW w:w="2170" w:type="dxa"/>
            <w:tcBorders>
              <w:tl2br w:val="nil"/>
              <w:tr2bl w:val="nil"/>
            </w:tcBorders>
            <w:tcMar>
              <w:top w:w="15" w:type="dxa"/>
              <w:left w:w="15" w:type="dxa"/>
              <w:right w:w="15" w:type="dxa"/>
            </w:tcMar>
            <w:vAlign w:val="center"/>
          </w:tcPr>
          <w:p w14:paraId="6DCE1FAF">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5.14</w:t>
            </w:r>
          </w:p>
        </w:tc>
      </w:tr>
      <w:tr w14:paraId="3E104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01" w:type="dxa"/>
            <w:vMerge w:val="continue"/>
            <w:tcBorders>
              <w:tl2br w:val="nil"/>
              <w:tr2bl w:val="nil"/>
            </w:tcBorders>
            <w:tcMar>
              <w:top w:w="15" w:type="dxa"/>
              <w:left w:w="15" w:type="dxa"/>
              <w:right w:w="15" w:type="dxa"/>
            </w:tcMar>
            <w:vAlign w:val="center"/>
          </w:tcPr>
          <w:p w14:paraId="6C2A87D0">
            <w:pPr>
              <w:jc w:val="center"/>
              <w:rPr>
                <w:rFonts w:ascii="Times New Roman" w:hAnsi="Times New Roman" w:eastAsia="宋体" w:cs="Times New Roman"/>
                <w:szCs w:val="21"/>
              </w:rPr>
            </w:pPr>
          </w:p>
        </w:tc>
        <w:tc>
          <w:tcPr>
            <w:tcW w:w="2638" w:type="dxa"/>
            <w:gridSpan w:val="2"/>
            <w:tcBorders>
              <w:tl2br w:val="nil"/>
              <w:tr2bl w:val="nil"/>
            </w:tcBorders>
            <w:tcMar>
              <w:top w:w="15" w:type="dxa"/>
              <w:left w:w="15" w:type="dxa"/>
              <w:right w:w="15" w:type="dxa"/>
            </w:tcMar>
            <w:vAlign w:val="center"/>
          </w:tcPr>
          <w:p w14:paraId="14E7B760">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COD</w:t>
            </w:r>
          </w:p>
        </w:tc>
        <w:tc>
          <w:tcPr>
            <w:tcW w:w="1476" w:type="dxa"/>
            <w:tcBorders>
              <w:tl2br w:val="nil"/>
              <w:tr2bl w:val="nil"/>
            </w:tcBorders>
            <w:noWrap/>
            <w:tcMar>
              <w:top w:w="15" w:type="dxa"/>
              <w:left w:w="15" w:type="dxa"/>
              <w:right w:w="15" w:type="dxa"/>
            </w:tcMar>
            <w:vAlign w:val="center"/>
          </w:tcPr>
          <w:p w14:paraId="75F52E19">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0.7466</w:t>
            </w:r>
          </w:p>
        </w:tc>
        <w:tc>
          <w:tcPr>
            <w:tcW w:w="1448" w:type="dxa"/>
            <w:tcBorders>
              <w:tl2br w:val="nil"/>
              <w:tr2bl w:val="nil"/>
            </w:tcBorders>
            <w:noWrap/>
            <w:tcMar>
              <w:top w:w="15" w:type="dxa"/>
              <w:left w:w="15" w:type="dxa"/>
              <w:right w:w="15" w:type="dxa"/>
            </w:tcMar>
            <w:vAlign w:val="center"/>
          </w:tcPr>
          <w:p w14:paraId="0F69166B">
            <w:pPr>
              <w:widowControl/>
              <w:jc w:val="center"/>
              <w:textAlignment w:val="center"/>
              <w:rPr>
                <w:rFonts w:ascii="Times New Roman" w:hAnsi="Times New Roman" w:eastAsia="宋体" w:cs="Times New Roman"/>
                <w:color w:val="auto"/>
                <w:kern w:val="0"/>
                <w:szCs w:val="21"/>
                <w:highlight w:val="yellow"/>
                <w:lang w:bidi="ar"/>
              </w:rPr>
            </w:pPr>
            <w:r>
              <w:rPr>
                <w:rFonts w:hint="eastAsia" w:ascii="Times New Roman" w:hAnsi="Times New Roman" w:eastAsia="宋体" w:cs="Times New Roman"/>
                <w:color w:val="auto"/>
                <w:kern w:val="0"/>
                <w:szCs w:val="21"/>
                <w:lang w:bidi="ar"/>
              </w:rPr>
              <w:t>0.337</w:t>
            </w:r>
          </w:p>
        </w:tc>
        <w:tc>
          <w:tcPr>
            <w:tcW w:w="2170" w:type="dxa"/>
            <w:tcBorders>
              <w:tl2br w:val="nil"/>
              <w:tr2bl w:val="nil"/>
            </w:tcBorders>
            <w:noWrap/>
            <w:tcMar>
              <w:top w:w="15" w:type="dxa"/>
              <w:left w:w="15" w:type="dxa"/>
              <w:right w:w="15" w:type="dxa"/>
            </w:tcMar>
            <w:vAlign w:val="center"/>
          </w:tcPr>
          <w:p w14:paraId="66CF85B9">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0.4096</w:t>
            </w:r>
          </w:p>
        </w:tc>
      </w:tr>
      <w:tr w14:paraId="40871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01" w:type="dxa"/>
            <w:vMerge w:val="continue"/>
            <w:tcBorders>
              <w:tl2br w:val="nil"/>
              <w:tr2bl w:val="nil"/>
            </w:tcBorders>
            <w:tcMar>
              <w:top w:w="15" w:type="dxa"/>
              <w:left w:w="15" w:type="dxa"/>
              <w:right w:w="15" w:type="dxa"/>
            </w:tcMar>
            <w:vAlign w:val="center"/>
          </w:tcPr>
          <w:p w14:paraId="4914B588">
            <w:pPr>
              <w:jc w:val="center"/>
              <w:rPr>
                <w:rFonts w:ascii="Times New Roman" w:hAnsi="Times New Roman" w:eastAsia="宋体" w:cs="Times New Roman"/>
                <w:szCs w:val="21"/>
              </w:rPr>
            </w:pPr>
          </w:p>
        </w:tc>
        <w:tc>
          <w:tcPr>
            <w:tcW w:w="2638" w:type="dxa"/>
            <w:gridSpan w:val="2"/>
            <w:tcBorders>
              <w:tl2br w:val="nil"/>
              <w:tr2bl w:val="nil"/>
            </w:tcBorders>
            <w:tcMar>
              <w:top w:w="15" w:type="dxa"/>
              <w:left w:w="15" w:type="dxa"/>
              <w:right w:w="15" w:type="dxa"/>
            </w:tcMar>
            <w:vAlign w:val="center"/>
          </w:tcPr>
          <w:p w14:paraId="6EC0D0C3">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NH</w:t>
            </w:r>
            <w:r>
              <w:rPr>
                <w:rFonts w:ascii="Times New Roman" w:hAnsi="Times New Roman" w:eastAsia="宋体" w:cs="Times New Roman"/>
                <w:kern w:val="0"/>
                <w:szCs w:val="21"/>
                <w:vertAlign w:val="subscript"/>
                <w:lang w:bidi="ar"/>
              </w:rPr>
              <w:t>3</w:t>
            </w:r>
            <w:r>
              <w:rPr>
                <w:rFonts w:ascii="Times New Roman" w:hAnsi="Times New Roman" w:eastAsia="宋体" w:cs="Times New Roman"/>
                <w:kern w:val="0"/>
                <w:szCs w:val="21"/>
                <w:lang w:bidi="ar"/>
              </w:rPr>
              <w:t>-N</w:t>
            </w:r>
          </w:p>
        </w:tc>
        <w:tc>
          <w:tcPr>
            <w:tcW w:w="1476" w:type="dxa"/>
            <w:tcBorders>
              <w:tl2br w:val="nil"/>
              <w:tr2bl w:val="nil"/>
            </w:tcBorders>
            <w:noWrap/>
            <w:tcMar>
              <w:top w:w="15" w:type="dxa"/>
              <w:left w:w="15" w:type="dxa"/>
              <w:right w:w="15" w:type="dxa"/>
            </w:tcMar>
            <w:vAlign w:val="center"/>
          </w:tcPr>
          <w:p w14:paraId="74EE142B">
            <w:pPr>
              <w:widowControl/>
              <w:jc w:val="center"/>
              <w:textAlignment w:val="center"/>
              <w:rPr>
                <w:rFonts w:ascii="Times New Roman" w:hAnsi="Times New Roman" w:eastAsia="宋体" w:cs="Times New Roman"/>
                <w:color w:val="auto"/>
                <w:kern w:val="0"/>
                <w:szCs w:val="21"/>
                <w:lang w:bidi="ar"/>
              </w:rPr>
            </w:pPr>
            <w:r>
              <w:rPr>
                <w:rFonts w:ascii="Times New Roman" w:hAnsi="Times New Roman" w:eastAsia="宋体" w:cs="Times New Roman"/>
                <w:color w:val="auto"/>
                <w:kern w:val="0"/>
                <w:szCs w:val="21"/>
                <w:lang w:bidi="ar"/>
              </w:rPr>
              <w:t>0.</w:t>
            </w:r>
            <w:r>
              <w:rPr>
                <w:rFonts w:hint="eastAsia" w:ascii="Times New Roman" w:hAnsi="Times New Roman" w:eastAsia="宋体" w:cs="Times New Roman"/>
                <w:color w:val="auto"/>
                <w:kern w:val="0"/>
                <w:szCs w:val="21"/>
                <w:lang w:bidi="ar"/>
              </w:rPr>
              <w:t>039</w:t>
            </w:r>
          </w:p>
        </w:tc>
        <w:tc>
          <w:tcPr>
            <w:tcW w:w="1448" w:type="dxa"/>
            <w:tcBorders>
              <w:tl2br w:val="nil"/>
              <w:tr2bl w:val="nil"/>
            </w:tcBorders>
            <w:noWrap/>
            <w:tcMar>
              <w:top w:w="15" w:type="dxa"/>
              <w:left w:w="15" w:type="dxa"/>
              <w:right w:w="15" w:type="dxa"/>
            </w:tcMar>
            <w:vAlign w:val="center"/>
          </w:tcPr>
          <w:p w14:paraId="1EC5D234">
            <w:pPr>
              <w:widowControl/>
              <w:jc w:val="center"/>
              <w:textAlignment w:val="center"/>
              <w:rPr>
                <w:rFonts w:ascii="Times New Roman" w:hAnsi="Times New Roman" w:eastAsia="宋体" w:cs="Times New Roman"/>
                <w:color w:val="auto"/>
                <w:kern w:val="0"/>
                <w:szCs w:val="21"/>
                <w:highlight w:val="yellow"/>
                <w:lang w:bidi="ar"/>
              </w:rPr>
            </w:pPr>
            <w:r>
              <w:rPr>
                <w:rFonts w:ascii="Times New Roman" w:hAnsi="Times New Roman" w:eastAsia="宋体" w:cs="Times New Roman"/>
                <w:color w:val="auto"/>
                <w:kern w:val="0"/>
                <w:szCs w:val="21"/>
                <w:lang w:bidi="ar"/>
              </w:rPr>
              <w:t>0.0</w:t>
            </w:r>
            <w:r>
              <w:rPr>
                <w:rFonts w:hint="eastAsia" w:ascii="Times New Roman" w:hAnsi="Times New Roman" w:eastAsia="宋体" w:cs="Times New Roman"/>
                <w:color w:val="auto"/>
                <w:kern w:val="0"/>
                <w:szCs w:val="21"/>
                <w:lang w:bidi="ar"/>
              </w:rPr>
              <w:t>022</w:t>
            </w:r>
          </w:p>
        </w:tc>
        <w:tc>
          <w:tcPr>
            <w:tcW w:w="2170" w:type="dxa"/>
            <w:tcBorders>
              <w:tl2br w:val="nil"/>
              <w:tr2bl w:val="nil"/>
            </w:tcBorders>
            <w:noWrap/>
            <w:tcMar>
              <w:top w:w="15" w:type="dxa"/>
              <w:left w:w="15" w:type="dxa"/>
              <w:right w:w="15" w:type="dxa"/>
            </w:tcMar>
            <w:vAlign w:val="center"/>
          </w:tcPr>
          <w:p w14:paraId="4C185416">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szCs w:val="21"/>
              </w:rPr>
              <w:t>0.0368</w:t>
            </w:r>
          </w:p>
        </w:tc>
      </w:tr>
      <w:tr w14:paraId="2EE55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01" w:type="dxa"/>
            <w:vMerge w:val="restart"/>
            <w:tcBorders>
              <w:tl2br w:val="nil"/>
              <w:tr2bl w:val="nil"/>
            </w:tcBorders>
            <w:tcMar>
              <w:top w:w="15" w:type="dxa"/>
              <w:left w:w="15" w:type="dxa"/>
              <w:right w:w="15" w:type="dxa"/>
            </w:tcMar>
            <w:vAlign w:val="center"/>
          </w:tcPr>
          <w:p w14:paraId="58E5265D">
            <w:pPr>
              <w:widowControl/>
              <w:jc w:val="center"/>
              <w:textAlignment w:val="center"/>
              <w:rPr>
                <w:rFonts w:ascii="Times New Roman" w:hAnsi="Times New Roman" w:eastAsia="宋体" w:cs="Times New Roman"/>
                <w:szCs w:val="21"/>
              </w:rPr>
            </w:pPr>
            <w:bookmarkStart w:id="119" w:name="OLE_LINK6" w:colFirst="3" w:colLast="3"/>
            <w:r>
              <w:rPr>
                <w:rFonts w:ascii="Times New Roman" w:hAnsi="Times New Roman" w:eastAsia="宋体" w:cs="Times New Roman"/>
                <w:kern w:val="0"/>
                <w:szCs w:val="21"/>
                <w:lang w:bidi="ar"/>
              </w:rPr>
              <w:t>固废</w:t>
            </w:r>
          </w:p>
        </w:tc>
        <w:tc>
          <w:tcPr>
            <w:tcW w:w="2638" w:type="dxa"/>
            <w:gridSpan w:val="2"/>
            <w:tcBorders>
              <w:tl2br w:val="nil"/>
              <w:tr2bl w:val="nil"/>
            </w:tcBorders>
            <w:tcMar>
              <w:top w:w="15" w:type="dxa"/>
              <w:left w:w="15" w:type="dxa"/>
              <w:right w:w="15" w:type="dxa"/>
            </w:tcMar>
            <w:vAlign w:val="center"/>
          </w:tcPr>
          <w:p w14:paraId="094729DA">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一般固废（t/a）</w:t>
            </w:r>
          </w:p>
        </w:tc>
        <w:tc>
          <w:tcPr>
            <w:tcW w:w="1476" w:type="dxa"/>
            <w:tcBorders>
              <w:tl2br w:val="nil"/>
              <w:tr2bl w:val="nil"/>
            </w:tcBorders>
            <w:tcMar>
              <w:top w:w="15" w:type="dxa"/>
              <w:left w:w="15" w:type="dxa"/>
              <w:right w:w="15" w:type="dxa"/>
            </w:tcMar>
            <w:vAlign w:val="center"/>
          </w:tcPr>
          <w:p w14:paraId="12190AFB">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8.899</w:t>
            </w:r>
          </w:p>
        </w:tc>
        <w:tc>
          <w:tcPr>
            <w:tcW w:w="1448" w:type="dxa"/>
            <w:tcBorders>
              <w:tl2br w:val="nil"/>
              <w:tr2bl w:val="nil"/>
            </w:tcBorders>
            <w:tcMar>
              <w:top w:w="15" w:type="dxa"/>
              <w:left w:w="15" w:type="dxa"/>
              <w:right w:w="15" w:type="dxa"/>
            </w:tcMar>
            <w:vAlign w:val="center"/>
          </w:tcPr>
          <w:p w14:paraId="5F07EFE8">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8.899</w:t>
            </w:r>
          </w:p>
        </w:tc>
        <w:tc>
          <w:tcPr>
            <w:tcW w:w="2170" w:type="dxa"/>
            <w:tcBorders>
              <w:tl2br w:val="nil"/>
              <w:tr2bl w:val="nil"/>
            </w:tcBorders>
            <w:tcMar>
              <w:top w:w="15" w:type="dxa"/>
              <w:left w:w="15" w:type="dxa"/>
              <w:right w:w="15" w:type="dxa"/>
            </w:tcMar>
            <w:vAlign w:val="center"/>
          </w:tcPr>
          <w:p w14:paraId="55F1AD99">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0</w:t>
            </w:r>
          </w:p>
        </w:tc>
      </w:tr>
      <w:tr w14:paraId="0DF72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01" w:type="dxa"/>
            <w:vMerge w:val="continue"/>
            <w:tcBorders>
              <w:tl2br w:val="nil"/>
              <w:tr2bl w:val="nil"/>
            </w:tcBorders>
            <w:tcMar>
              <w:top w:w="15" w:type="dxa"/>
              <w:left w:w="15" w:type="dxa"/>
              <w:right w:w="15" w:type="dxa"/>
            </w:tcMar>
            <w:vAlign w:val="center"/>
          </w:tcPr>
          <w:p w14:paraId="58076402">
            <w:pPr>
              <w:jc w:val="center"/>
              <w:rPr>
                <w:rFonts w:ascii="Times New Roman" w:hAnsi="Times New Roman" w:eastAsia="宋体" w:cs="Times New Roman"/>
                <w:szCs w:val="21"/>
              </w:rPr>
            </w:pPr>
          </w:p>
        </w:tc>
        <w:tc>
          <w:tcPr>
            <w:tcW w:w="2638" w:type="dxa"/>
            <w:gridSpan w:val="2"/>
            <w:tcBorders>
              <w:tl2br w:val="nil"/>
              <w:tr2bl w:val="nil"/>
            </w:tcBorders>
            <w:tcMar>
              <w:top w:w="15" w:type="dxa"/>
              <w:left w:w="15" w:type="dxa"/>
              <w:right w:w="15" w:type="dxa"/>
            </w:tcMar>
            <w:vAlign w:val="center"/>
          </w:tcPr>
          <w:p w14:paraId="343D483F">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危险废物（t/a）</w:t>
            </w:r>
          </w:p>
        </w:tc>
        <w:tc>
          <w:tcPr>
            <w:tcW w:w="1476" w:type="dxa"/>
            <w:tcBorders>
              <w:tl2br w:val="nil"/>
              <w:tr2bl w:val="nil"/>
            </w:tcBorders>
            <w:tcMar>
              <w:top w:w="15" w:type="dxa"/>
              <w:left w:w="15" w:type="dxa"/>
              <w:right w:w="15" w:type="dxa"/>
            </w:tcMar>
            <w:vAlign w:val="center"/>
          </w:tcPr>
          <w:p w14:paraId="381BA932">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5.55</w:t>
            </w:r>
          </w:p>
        </w:tc>
        <w:tc>
          <w:tcPr>
            <w:tcW w:w="1448" w:type="dxa"/>
            <w:tcBorders>
              <w:tl2br w:val="nil"/>
              <w:tr2bl w:val="nil"/>
            </w:tcBorders>
            <w:tcMar>
              <w:top w:w="15" w:type="dxa"/>
              <w:left w:w="15" w:type="dxa"/>
              <w:right w:w="15" w:type="dxa"/>
            </w:tcMar>
            <w:vAlign w:val="center"/>
          </w:tcPr>
          <w:p w14:paraId="5591B66D">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5.55</w:t>
            </w:r>
          </w:p>
        </w:tc>
        <w:tc>
          <w:tcPr>
            <w:tcW w:w="2170" w:type="dxa"/>
            <w:tcBorders>
              <w:tl2br w:val="nil"/>
              <w:tr2bl w:val="nil"/>
            </w:tcBorders>
            <w:tcMar>
              <w:top w:w="15" w:type="dxa"/>
              <w:left w:w="15" w:type="dxa"/>
              <w:right w:w="15" w:type="dxa"/>
            </w:tcMar>
            <w:vAlign w:val="center"/>
          </w:tcPr>
          <w:p w14:paraId="21C6877A">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0</w:t>
            </w:r>
          </w:p>
        </w:tc>
      </w:tr>
      <w:tr w14:paraId="5C458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01" w:type="dxa"/>
            <w:vMerge w:val="continue"/>
            <w:tcBorders>
              <w:tl2br w:val="nil"/>
              <w:tr2bl w:val="nil"/>
            </w:tcBorders>
            <w:tcMar>
              <w:top w:w="15" w:type="dxa"/>
              <w:left w:w="15" w:type="dxa"/>
              <w:right w:w="15" w:type="dxa"/>
            </w:tcMar>
            <w:vAlign w:val="center"/>
          </w:tcPr>
          <w:p w14:paraId="5121E8E5">
            <w:pPr>
              <w:jc w:val="center"/>
              <w:rPr>
                <w:rFonts w:ascii="Times New Roman" w:hAnsi="Times New Roman" w:eastAsia="宋体" w:cs="Times New Roman"/>
                <w:szCs w:val="21"/>
              </w:rPr>
            </w:pPr>
          </w:p>
        </w:tc>
        <w:tc>
          <w:tcPr>
            <w:tcW w:w="2638" w:type="dxa"/>
            <w:gridSpan w:val="2"/>
            <w:tcBorders>
              <w:tl2br w:val="nil"/>
              <w:tr2bl w:val="nil"/>
            </w:tcBorders>
            <w:tcMar>
              <w:top w:w="15" w:type="dxa"/>
              <w:left w:w="15" w:type="dxa"/>
              <w:right w:w="15" w:type="dxa"/>
            </w:tcMar>
            <w:vAlign w:val="center"/>
          </w:tcPr>
          <w:p w14:paraId="3F87489B">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生活垃圾（t/a）</w:t>
            </w:r>
          </w:p>
        </w:tc>
        <w:tc>
          <w:tcPr>
            <w:tcW w:w="1476" w:type="dxa"/>
            <w:tcBorders>
              <w:tl2br w:val="nil"/>
              <w:tr2bl w:val="nil"/>
            </w:tcBorders>
            <w:tcMar>
              <w:top w:w="15" w:type="dxa"/>
              <w:left w:w="15" w:type="dxa"/>
              <w:right w:w="15" w:type="dxa"/>
            </w:tcMar>
            <w:vAlign w:val="center"/>
          </w:tcPr>
          <w:p w14:paraId="09F0AC55">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1448" w:type="dxa"/>
            <w:tcBorders>
              <w:tl2br w:val="nil"/>
              <w:tr2bl w:val="nil"/>
            </w:tcBorders>
            <w:tcMar>
              <w:top w:w="15" w:type="dxa"/>
              <w:left w:w="15" w:type="dxa"/>
              <w:right w:w="15" w:type="dxa"/>
            </w:tcMar>
            <w:vAlign w:val="center"/>
          </w:tcPr>
          <w:p w14:paraId="396096C7">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2170" w:type="dxa"/>
            <w:tcBorders>
              <w:tl2br w:val="nil"/>
              <w:tr2bl w:val="nil"/>
            </w:tcBorders>
            <w:tcMar>
              <w:top w:w="15" w:type="dxa"/>
              <w:left w:w="15" w:type="dxa"/>
              <w:right w:w="15" w:type="dxa"/>
            </w:tcMar>
            <w:vAlign w:val="center"/>
          </w:tcPr>
          <w:p w14:paraId="727A58E3">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0</w:t>
            </w:r>
          </w:p>
        </w:tc>
      </w:tr>
      <w:bookmarkEnd w:id="119"/>
    </w:tbl>
    <w:p w14:paraId="1C6A20A8">
      <w:pPr>
        <w:pStyle w:val="3"/>
        <w:numPr>
          <w:ilvl w:val="1"/>
          <w:numId w:val="30"/>
        </w:numPr>
      </w:pPr>
      <w:bookmarkStart w:id="120" w:name="_Toc25464"/>
      <w:r>
        <w:rPr>
          <w:rFonts w:hint="eastAsia"/>
        </w:rPr>
        <w:t>总量控制指标</w:t>
      </w:r>
      <w:bookmarkEnd w:id="120"/>
    </w:p>
    <w:p w14:paraId="1D6E8DBA">
      <w:pPr>
        <w:spacing w:line="360" w:lineRule="auto"/>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cs="Times New Roman"/>
          <w:color w:val="auto"/>
          <w:sz w:val="24"/>
          <w:szCs w:val="24"/>
          <w:highlight w:val="none"/>
          <w:u w:val="none"/>
        </w:rPr>
        <w:t>根据项目所在地环境特征和工程特征，结合项目污染物排放特征，评价建议实施总量控制的污染物如下</w:t>
      </w:r>
      <w:r>
        <w:rPr>
          <w:rFonts w:hint="default" w:ascii="Times New Roman" w:hAnsi="Times New Roman" w:cs="Times New Roman"/>
          <w:color w:val="auto"/>
          <w:sz w:val="24"/>
          <w:szCs w:val="24"/>
          <w:highlight w:val="none"/>
          <w:u w:val="none"/>
          <w:lang w:eastAsia="zh-CN"/>
        </w:rPr>
        <w:t>：</w:t>
      </w:r>
    </w:p>
    <w:p w14:paraId="4ADA139A">
      <w:pPr>
        <w:spacing w:line="360" w:lineRule="auto"/>
        <w:ind w:firstLine="480" w:firstLineChars="200"/>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rPr>
        <w:t>废气污染物</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颗粒物、VOCs</w:t>
      </w:r>
    </w:p>
    <w:p w14:paraId="69AE01D4">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废水污染物</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COD、</w:t>
      </w:r>
      <w:r>
        <w:rPr>
          <w:rFonts w:hint="default" w:ascii="Times New Roman" w:hAnsi="Times New Roman" w:cs="Times New Roman"/>
          <w:color w:val="auto"/>
          <w:sz w:val="24"/>
          <w:szCs w:val="24"/>
          <w:highlight w:val="none"/>
          <w:u w:val="none"/>
          <w:lang w:eastAsia="zh-CN"/>
        </w:rPr>
        <w:t>NH</w:t>
      </w:r>
      <w:r>
        <w:rPr>
          <w:rFonts w:hint="default" w:ascii="Times New Roman" w:hAnsi="Times New Roman" w:cs="Times New Roman"/>
          <w:color w:val="auto"/>
          <w:sz w:val="24"/>
          <w:szCs w:val="24"/>
          <w:highlight w:val="none"/>
          <w:u w:val="none"/>
          <w:vertAlign w:val="subscript"/>
          <w:lang w:eastAsia="zh-CN"/>
        </w:rPr>
        <w:t>3</w:t>
      </w:r>
      <w:r>
        <w:rPr>
          <w:rFonts w:hint="default" w:ascii="Times New Roman" w:hAnsi="Times New Roman" w:cs="Times New Roman"/>
          <w:color w:val="auto"/>
          <w:sz w:val="24"/>
          <w:szCs w:val="24"/>
          <w:highlight w:val="none"/>
          <w:u w:val="none"/>
        </w:rPr>
        <w:t>-N</w:t>
      </w:r>
    </w:p>
    <w:p w14:paraId="40CA7DAD">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eastAsia="zh-CN"/>
        </w:rPr>
        <w:t>（</w:t>
      </w:r>
      <w:r>
        <w:rPr>
          <w:rFonts w:hint="default" w:ascii="Times New Roman" w:hAnsi="Times New Roman" w:cs="Times New Roman"/>
          <w:b/>
          <w:bCs/>
          <w:color w:val="auto"/>
          <w:sz w:val="24"/>
          <w:szCs w:val="24"/>
          <w:highlight w:val="none"/>
          <w:u w:val="single"/>
          <w:lang w:val="en-US" w:eastAsia="zh-CN"/>
        </w:rPr>
        <w:t>1）废水排放总量</w:t>
      </w:r>
    </w:p>
    <w:p w14:paraId="7F484398">
      <w:pPr>
        <w:bidi w:val="0"/>
        <w:spacing w:line="360" w:lineRule="auto"/>
        <w:ind w:firstLine="482" w:firstLineChars="200"/>
        <w:rPr>
          <w:rFonts w:hint="default" w:ascii="Times New Roman" w:hAnsi="Times New Roman" w:cs="Times New Roman"/>
          <w:b/>
          <w:bCs/>
          <w:color w:val="auto"/>
          <w:sz w:val="24"/>
          <w:szCs w:val="24"/>
          <w:highlight w:val="yellow"/>
          <w:u w:val="single"/>
          <w:lang w:eastAsia="zh-CN"/>
        </w:rPr>
      </w:pPr>
      <w:r>
        <w:rPr>
          <w:rFonts w:hint="default" w:ascii="Times New Roman" w:hAnsi="Times New Roman" w:cs="Times New Roman"/>
          <w:b/>
          <w:bCs/>
          <w:color w:val="auto"/>
          <w:sz w:val="24"/>
          <w:szCs w:val="24"/>
          <w:highlight w:val="none"/>
          <w:u w:val="single"/>
          <w:lang w:val="en-US" w:eastAsia="zh-CN"/>
        </w:rPr>
        <w:t>本项目废水经厂区污水处理站处理后经市政管网进入</w:t>
      </w:r>
      <w:r>
        <w:rPr>
          <w:rFonts w:hint="eastAsia" w:ascii="Times New Roman" w:hAnsi="Times New Roman" w:cs="Times New Roman"/>
          <w:b/>
          <w:bCs/>
          <w:sz w:val="24"/>
          <w:u w:val="single"/>
        </w:rPr>
        <w:t>清丰中州水务有限公司第二污水处理厂</w:t>
      </w:r>
      <w:r>
        <w:rPr>
          <w:rFonts w:hint="default" w:ascii="Times New Roman" w:hAnsi="Times New Roman" w:cs="Times New Roman"/>
          <w:b/>
          <w:bCs/>
          <w:color w:val="auto"/>
          <w:sz w:val="24"/>
          <w:szCs w:val="24"/>
          <w:highlight w:val="none"/>
          <w:u w:val="single"/>
          <w:lang w:val="en-US" w:eastAsia="zh-CN"/>
        </w:rPr>
        <w:t>进一步处理，最后排入</w:t>
      </w:r>
      <w:r>
        <w:rPr>
          <w:rFonts w:hint="eastAsia" w:ascii="Times New Roman" w:hAnsi="Times New Roman" w:cs="Times New Roman"/>
          <w:b/>
          <w:bCs/>
          <w:color w:val="auto"/>
          <w:sz w:val="24"/>
          <w:szCs w:val="24"/>
          <w:highlight w:val="none"/>
          <w:u w:val="single"/>
          <w:lang w:val="en-US" w:eastAsia="zh-CN"/>
        </w:rPr>
        <w:t>潴龙河</w:t>
      </w:r>
      <w:r>
        <w:rPr>
          <w:rFonts w:hint="default" w:ascii="Times New Roman" w:hAnsi="Times New Roman" w:cs="Times New Roman"/>
          <w:b/>
          <w:bCs/>
          <w:color w:val="auto"/>
          <w:sz w:val="24"/>
          <w:szCs w:val="24"/>
          <w:highlight w:val="none"/>
          <w:u w:val="single"/>
          <w:lang w:val="en-US" w:eastAsia="zh-CN"/>
        </w:rPr>
        <w:t>。</w:t>
      </w:r>
      <w:r>
        <w:rPr>
          <w:rFonts w:hint="eastAsia" w:ascii="Times New Roman" w:hAnsi="Times New Roman" w:cs="Times New Roman"/>
          <w:b/>
          <w:bCs/>
          <w:sz w:val="24"/>
          <w:u w:val="single"/>
        </w:rPr>
        <w:t>清丰中州水务有限公司第二污水处理厂</w:t>
      </w:r>
      <w:r>
        <w:rPr>
          <w:rFonts w:hint="default" w:ascii="Times New Roman" w:hAnsi="Times New Roman" w:cs="Times New Roman"/>
          <w:b/>
          <w:bCs/>
          <w:color w:val="auto"/>
          <w:sz w:val="24"/>
          <w:szCs w:val="24"/>
          <w:highlight w:val="none"/>
          <w:u w:val="single"/>
          <w:lang w:val="en-US" w:eastAsia="zh-CN"/>
        </w:rPr>
        <w:t>COD、氨氮</w:t>
      </w:r>
      <w:r>
        <w:rPr>
          <w:rFonts w:hint="default" w:ascii="Times New Roman" w:hAnsi="Times New Roman" w:cs="Times New Roman"/>
          <w:b/>
          <w:bCs/>
          <w:color w:val="auto"/>
          <w:sz w:val="24"/>
          <w:szCs w:val="24"/>
          <w:highlight w:val="none"/>
          <w:u w:val="single"/>
        </w:rPr>
        <w:t>出水水质执行《地表水环境质量标准》（GB3838-2002）Ⅴ类标准（COD40mg/L、氨氮2mg/L）</w:t>
      </w:r>
      <w:r>
        <w:rPr>
          <w:rFonts w:hint="default" w:ascii="Times New Roman" w:hAnsi="Times New Roman" w:cs="Times New Roman"/>
          <w:b/>
          <w:bCs/>
          <w:color w:val="auto"/>
          <w:sz w:val="24"/>
          <w:szCs w:val="24"/>
          <w:highlight w:val="none"/>
          <w:u w:val="single"/>
          <w:lang w:eastAsia="zh-CN"/>
        </w:rPr>
        <w:t>。</w:t>
      </w:r>
    </w:p>
    <w:p w14:paraId="0CD97A3E">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fldChar w:fldCharType="begin"/>
      </w:r>
      <w:r>
        <w:rPr>
          <w:rFonts w:hint="default" w:ascii="Times New Roman" w:hAnsi="Times New Roman" w:cs="Times New Roman"/>
          <w:b/>
          <w:bCs/>
          <w:color w:val="auto"/>
          <w:sz w:val="24"/>
          <w:szCs w:val="24"/>
          <w:highlight w:val="none"/>
          <w:u w:val="single"/>
          <w:lang w:val="en-US" w:eastAsia="zh-CN"/>
        </w:rPr>
        <w:instrText xml:space="preserve"> = 1 \* GB3 \* MERGEFORMAT </w:instrText>
      </w:r>
      <w:r>
        <w:rPr>
          <w:rFonts w:hint="default" w:ascii="Times New Roman" w:hAnsi="Times New Roman" w:cs="Times New Roman"/>
          <w:b/>
          <w:bCs/>
          <w:color w:val="auto"/>
          <w:sz w:val="24"/>
          <w:szCs w:val="24"/>
          <w:highlight w:val="none"/>
          <w:u w:val="single"/>
          <w:lang w:val="en-US" w:eastAsia="zh-CN"/>
        </w:rPr>
        <w:fldChar w:fldCharType="separate"/>
      </w:r>
      <w:r>
        <w:rPr>
          <w:rFonts w:hint="default" w:ascii="Times New Roman" w:hAnsi="Times New Roman" w:cs="Times New Roman"/>
          <w:b/>
          <w:bCs/>
          <w:color w:val="auto"/>
          <w:sz w:val="24"/>
          <w:szCs w:val="24"/>
          <w:highlight w:val="none"/>
          <w:u w:val="single"/>
        </w:rPr>
        <w:t>①</w:t>
      </w:r>
      <w:r>
        <w:rPr>
          <w:rFonts w:hint="default" w:ascii="Times New Roman" w:hAnsi="Times New Roman" w:cs="Times New Roman"/>
          <w:b/>
          <w:bCs/>
          <w:color w:val="auto"/>
          <w:sz w:val="24"/>
          <w:szCs w:val="24"/>
          <w:highlight w:val="none"/>
          <w:u w:val="single"/>
          <w:lang w:val="en-US" w:eastAsia="zh-CN"/>
        </w:rPr>
        <w:fldChar w:fldCharType="end"/>
      </w:r>
      <w:r>
        <w:rPr>
          <w:rFonts w:hint="default" w:ascii="Times New Roman" w:hAnsi="Times New Roman" w:cs="Times New Roman"/>
          <w:b/>
          <w:bCs/>
          <w:color w:val="auto"/>
          <w:sz w:val="24"/>
          <w:szCs w:val="24"/>
          <w:highlight w:val="none"/>
          <w:u w:val="single"/>
          <w:lang w:val="en-US" w:eastAsia="zh-CN"/>
        </w:rPr>
        <w:t>废水污染物出厂界排放量</w:t>
      </w:r>
    </w:p>
    <w:p w14:paraId="214DAABD">
      <w:pPr>
        <w:bidi w:val="0"/>
        <w:spacing w:line="360" w:lineRule="auto"/>
        <w:ind w:firstLine="482" w:firstLineChars="200"/>
        <w:rPr>
          <w:rFonts w:hint="default" w:ascii="Times New Roman" w:hAnsi="Times New Roman" w:cs="Times New Roman"/>
          <w:b/>
          <w:bCs/>
          <w:color w:val="auto"/>
          <w:sz w:val="24"/>
          <w:szCs w:val="24"/>
          <w:u w:val="single"/>
          <w:lang w:val="en-US" w:eastAsia="zh-CN"/>
        </w:rPr>
      </w:pPr>
      <w:r>
        <w:rPr>
          <w:rFonts w:hint="default" w:ascii="Times New Roman" w:hAnsi="Times New Roman" w:cs="Times New Roman"/>
          <w:b/>
          <w:bCs/>
          <w:color w:val="auto"/>
          <w:sz w:val="24"/>
          <w:szCs w:val="24"/>
          <w:u w:val="single"/>
          <w:lang w:val="en-US" w:eastAsia="zh-CN"/>
        </w:rPr>
        <w:t>根据前文工程分析内容，</w:t>
      </w:r>
      <w:r>
        <w:rPr>
          <w:rFonts w:hint="eastAsia" w:ascii="Times New Roman" w:hAnsi="Times New Roman" w:cs="Times New Roman"/>
          <w:b/>
          <w:bCs/>
          <w:color w:val="auto"/>
          <w:sz w:val="24"/>
          <w:szCs w:val="24"/>
          <w:u w:val="single"/>
          <w:lang w:val="en-US" w:eastAsia="zh-CN"/>
        </w:rPr>
        <w:t>本</w:t>
      </w:r>
      <w:r>
        <w:rPr>
          <w:rFonts w:hint="default" w:ascii="Times New Roman" w:hAnsi="Times New Roman" w:cs="Times New Roman"/>
          <w:b/>
          <w:bCs/>
          <w:color w:val="auto"/>
          <w:sz w:val="24"/>
          <w:szCs w:val="24"/>
          <w:u w:val="single"/>
          <w:lang w:val="en-US" w:eastAsia="zh-CN"/>
        </w:rPr>
        <w:t>项目废水出厂界排放量</w:t>
      </w:r>
      <w:r>
        <w:rPr>
          <w:rFonts w:hint="eastAsia" w:ascii="Times New Roman" w:hAnsi="Times New Roman" w:cs="Times New Roman"/>
          <w:b/>
          <w:bCs/>
          <w:color w:val="auto"/>
          <w:sz w:val="24"/>
          <w:szCs w:val="24"/>
          <w:u w:val="single"/>
          <w:lang w:val="en-US" w:eastAsia="zh-CN"/>
        </w:rPr>
        <w:t>1542</w:t>
      </w:r>
      <w:r>
        <w:rPr>
          <w:rFonts w:hint="default" w:ascii="Times New Roman" w:hAnsi="Times New Roman" w:cs="Times New Roman"/>
          <w:b/>
          <w:bCs/>
          <w:color w:val="auto"/>
          <w:sz w:val="24"/>
          <w:szCs w:val="24"/>
          <w:u w:val="single"/>
          <w:lang w:val="en-US" w:eastAsia="zh-CN"/>
        </w:rPr>
        <w:t>t/a，COD出厂界排放量</w:t>
      </w:r>
      <w:r>
        <w:rPr>
          <w:rFonts w:hint="eastAsia" w:ascii="Times New Roman" w:hAnsi="Times New Roman" w:cs="Times New Roman"/>
          <w:b/>
          <w:bCs/>
          <w:color w:val="auto"/>
          <w:sz w:val="24"/>
          <w:szCs w:val="24"/>
          <w:u w:val="single"/>
          <w:lang w:val="en-US" w:eastAsia="zh-CN"/>
        </w:rPr>
        <w:t>：</w:t>
      </w:r>
      <w:r>
        <w:rPr>
          <w:rFonts w:hint="eastAsia" w:ascii="Times New Roman" w:hAnsi="Times New Roman" w:cs="Times New Roman"/>
          <w:b/>
          <w:bCs/>
          <w:color w:val="auto"/>
          <w:sz w:val="24"/>
          <w:szCs w:val="24"/>
          <w:highlight w:val="none"/>
          <w:u w:val="single"/>
          <w:lang w:val="en-US" w:eastAsia="zh-CN"/>
        </w:rPr>
        <w:t>1542</w:t>
      </w:r>
      <w:r>
        <w:rPr>
          <w:rFonts w:hint="default" w:ascii="Times New Roman" w:hAnsi="Times New Roman" w:cs="Times New Roman"/>
          <w:b/>
          <w:bCs/>
          <w:color w:val="auto"/>
          <w:sz w:val="24"/>
          <w:szCs w:val="24"/>
          <w:highlight w:val="none"/>
          <w:u w:val="single"/>
          <w:lang w:val="en-US" w:eastAsia="zh-CN"/>
        </w:rPr>
        <w:t>×</w:t>
      </w:r>
      <w:r>
        <w:rPr>
          <w:rFonts w:hint="eastAsia" w:ascii="Times New Roman" w:hAnsi="Times New Roman" w:cs="Times New Roman"/>
          <w:b/>
          <w:bCs/>
          <w:color w:val="auto"/>
          <w:sz w:val="24"/>
          <w:szCs w:val="24"/>
          <w:highlight w:val="none"/>
          <w:u w:val="single"/>
          <w:lang w:val="en-US" w:eastAsia="zh-CN"/>
        </w:rPr>
        <w:t>265.63</w:t>
      </w:r>
      <w:r>
        <w:rPr>
          <w:rFonts w:hint="default" w:ascii="Times New Roman" w:hAnsi="Times New Roman" w:cs="Times New Roman"/>
          <w:b/>
          <w:bCs/>
          <w:color w:val="auto"/>
          <w:sz w:val="24"/>
          <w:szCs w:val="24"/>
          <w:highlight w:val="none"/>
          <w:u w:val="single"/>
          <w:lang w:val="en-US" w:eastAsia="zh-CN"/>
        </w:rPr>
        <w:t>×10</w:t>
      </w:r>
      <w:r>
        <w:rPr>
          <w:rFonts w:hint="default" w:ascii="Times New Roman" w:hAnsi="Times New Roman" w:cs="Times New Roman"/>
          <w:b/>
          <w:bCs/>
          <w:color w:val="auto"/>
          <w:sz w:val="24"/>
          <w:szCs w:val="24"/>
          <w:highlight w:val="none"/>
          <w:u w:val="single"/>
          <w:vertAlign w:val="superscript"/>
          <w:lang w:val="en-US" w:eastAsia="zh-CN"/>
        </w:rPr>
        <w:t>-6</w:t>
      </w:r>
      <w:r>
        <w:rPr>
          <w:rFonts w:hint="default" w:ascii="Times New Roman" w:hAnsi="Times New Roman" w:cs="Times New Roman"/>
          <w:b/>
          <w:bCs/>
          <w:color w:val="auto"/>
          <w:sz w:val="24"/>
          <w:szCs w:val="24"/>
          <w:highlight w:val="none"/>
          <w:u w:val="single"/>
          <w:lang w:val="en-US" w:eastAsia="zh-CN"/>
        </w:rPr>
        <w:t>=</w:t>
      </w:r>
      <w:r>
        <w:rPr>
          <w:rFonts w:hint="eastAsia" w:ascii="Times New Roman" w:hAnsi="Times New Roman" w:cs="Times New Roman"/>
          <w:b/>
          <w:bCs/>
          <w:color w:val="auto"/>
          <w:sz w:val="24"/>
          <w:szCs w:val="24"/>
          <w:u w:val="single"/>
          <w:lang w:val="en-US" w:eastAsia="zh-CN"/>
        </w:rPr>
        <w:t>0.4096</w:t>
      </w:r>
      <w:r>
        <w:rPr>
          <w:rFonts w:hint="default" w:ascii="Times New Roman" w:hAnsi="Times New Roman" w:cs="Times New Roman"/>
          <w:b/>
          <w:bCs/>
          <w:color w:val="auto"/>
          <w:sz w:val="24"/>
          <w:szCs w:val="24"/>
          <w:u w:val="single"/>
          <w:lang w:val="en-US" w:eastAsia="zh-CN"/>
        </w:rPr>
        <w:t>t/a，氨氮出厂界排放量</w:t>
      </w:r>
      <w:r>
        <w:rPr>
          <w:rFonts w:hint="eastAsia" w:ascii="Times New Roman" w:hAnsi="Times New Roman" w:cs="Times New Roman"/>
          <w:b/>
          <w:bCs/>
          <w:color w:val="auto"/>
          <w:sz w:val="24"/>
          <w:szCs w:val="24"/>
          <w:highlight w:val="none"/>
          <w:u w:val="single"/>
          <w:lang w:val="en-US" w:eastAsia="zh-CN"/>
        </w:rPr>
        <w:t>1542</w:t>
      </w:r>
      <w:r>
        <w:rPr>
          <w:rFonts w:hint="default" w:ascii="Times New Roman" w:hAnsi="Times New Roman" w:cs="Times New Roman"/>
          <w:b/>
          <w:bCs/>
          <w:color w:val="auto"/>
          <w:sz w:val="24"/>
          <w:szCs w:val="24"/>
          <w:highlight w:val="none"/>
          <w:u w:val="single"/>
          <w:lang w:val="en-US" w:eastAsia="zh-CN"/>
        </w:rPr>
        <w:t>×</w:t>
      </w:r>
      <w:r>
        <w:rPr>
          <w:rFonts w:hint="eastAsia" w:ascii="Times New Roman" w:hAnsi="Times New Roman" w:cs="Times New Roman"/>
          <w:b/>
          <w:bCs/>
          <w:color w:val="auto"/>
          <w:sz w:val="24"/>
          <w:szCs w:val="24"/>
          <w:highlight w:val="none"/>
          <w:u w:val="single"/>
          <w:lang w:val="en-US" w:eastAsia="zh-CN"/>
        </w:rPr>
        <w:t>23.87</w:t>
      </w:r>
      <w:r>
        <w:rPr>
          <w:rFonts w:hint="default" w:ascii="Times New Roman" w:hAnsi="Times New Roman" w:cs="Times New Roman"/>
          <w:b/>
          <w:bCs/>
          <w:color w:val="auto"/>
          <w:sz w:val="24"/>
          <w:szCs w:val="24"/>
          <w:highlight w:val="none"/>
          <w:u w:val="single"/>
          <w:lang w:val="en-US" w:eastAsia="zh-CN"/>
        </w:rPr>
        <w:t>×10</w:t>
      </w:r>
      <w:r>
        <w:rPr>
          <w:rFonts w:hint="default" w:ascii="Times New Roman" w:hAnsi="Times New Roman" w:cs="Times New Roman"/>
          <w:b/>
          <w:bCs/>
          <w:color w:val="auto"/>
          <w:sz w:val="24"/>
          <w:szCs w:val="24"/>
          <w:highlight w:val="none"/>
          <w:u w:val="single"/>
          <w:vertAlign w:val="superscript"/>
          <w:lang w:val="en-US" w:eastAsia="zh-CN"/>
        </w:rPr>
        <w:t>-6</w:t>
      </w:r>
      <w:r>
        <w:rPr>
          <w:rFonts w:hint="eastAsia" w:ascii="Times New Roman" w:hAnsi="Times New Roman" w:cs="Times New Roman"/>
          <w:b/>
          <w:bCs/>
          <w:color w:val="auto"/>
          <w:sz w:val="24"/>
          <w:szCs w:val="24"/>
          <w:highlight w:val="none"/>
          <w:u w:val="single"/>
          <w:vertAlign w:val="baseline"/>
          <w:lang w:val="en-US" w:eastAsia="zh-CN"/>
        </w:rPr>
        <w:t>=</w:t>
      </w:r>
      <w:r>
        <w:rPr>
          <w:rFonts w:hint="default" w:ascii="Times New Roman" w:hAnsi="Times New Roman" w:cs="Times New Roman"/>
          <w:b/>
          <w:bCs/>
          <w:color w:val="auto"/>
          <w:sz w:val="24"/>
          <w:szCs w:val="24"/>
          <w:u w:val="single"/>
          <w:lang w:val="en-US" w:eastAsia="zh-CN"/>
        </w:rPr>
        <w:t>0.</w:t>
      </w:r>
      <w:r>
        <w:rPr>
          <w:rFonts w:hint="eastAsia" w:ascii="Times New Roman" w:hAnsi="Times New Roman" w:cs="Times New Roman"/>
          <w:b/>
          <w:bCs/>
          <w:color w:val="auto"/>
          <w:sz w:val="24"/>
          <w:szCs w:val="24"/>
          <w:u w:val="single"/>
          <w:lang w:val="en-US" w:eastAsia="zh-CN"/>
        </w:rPr>
        <w:t>0368</w:t>
      </w:r>
      <w:r>
        <w:rPr>
          <w:rFonts w:hint="default" w:ascii="Times New Roman" w:hAnsi="Times New Roman" w:cs="Times New Roman"/>
          <w:b/>
          <w:bCs/>
          <w:color w:val="auto"/>
          <w:sz w:val="24"/>
          <w:szCs w:val="24"/>
          <w:u w:val="single"/>
          <w:lang w:val="en-US" w:eastAsia="zh-CN"/>
        </w:rPr>
        <w:t>t/a。</w:t>
      </w:r>
    </w:p>
    <w:p w14:paraId="7B8CE082">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fldChar w:fldCharType="begin"/>
      </w:r>
      <w:r>
        <w:rPr>
          <w:rFonts w:hint="default" w:ascii="Times New Roman" w:hAnsi="Times New Roman" w:cs="Times New Roman"/>
          <w:b/>
          <w:bCs/>
          <w:color w:val="auto"/>
          <w:sz w:val="24"/>
          <w:szCs w:val="24"/>
          <w:highlight w:val="none"/>
          <w:u w:val="single"/>
          <w:lang w:val="en-US" w:eastAsia="zh-CN"/>
        </w:rPr>
        <w:instrText xml:space="preserve"> = 2 \* GB3 \* MERGEFORMAT </w:instrText>
      </w:r>
      <w:r>
        <w:rPr>
          <w:rFonts w:hint="default" w:ascii="Times New Roman" w:hAnsi="Times New Roman" w:cs="Times New Roman"/>
          <w:b/>
          <w:bCs/>
          <w:color w:val="auto"/>
          <w:sz w:val="24"/>
          <w:szCs w:val="24"/>
          <w:highlight w:val="none"/>
          <w:u w:val="single"/>
          <w:lang w:val="en-US" w:eastAsia="zh-CN"/>
        </w:rPr>
        <w:fldChar w:fldCharType="separate"/>
      </w:r>
      <w:r>
        <w:rPr>
          <w:rFonts w:hint="default" w:ascii="Times New Roman" w:hAnsi="Times New Roman" w:cs="Times New Roman"/>
          <w:b/>
          <w:bCs/>
          <w:color w:val="auto"/>
          <w:sz w:val="24"/>
          <w:szCs w:val="24"/>
          <w:u w:val="single"/>
        </w:rPr>
        <w:t>②</w:t>
      </w:r>
      <w:r>
        <w:rPr>
          <w:rFonts w:hint="default" w:ascii="Times New Roman" w:hAnsi="Times New Roman" w:cs="Times New Roman"/>
          <w:b/>
          <w:bCs/>
          <w:color w:val="auto"/>
          <w:sz w:val="24"/>
          <w:szCs w:val="24"/>
          <w:highlight w:val="none"/>
          <w:u w:val="single"/>
          <w:lang w:val="en-US" w:eastAsia="zh-CN"/>
        </w:rPr>
        <w:fldChar w:fldCharType="end"/>
      </w:r>
      <w:r>
        <w:rPr>
          <w:rFonts w:hint="default" w:ascii="Times New Roman" w:hAnsi="Times New Roman" w:cs="Times New Roman"/>
          <w:b/>
          <w:bCs/>
          <w:color w:val="auto"/>
          <w:sz w:val="24"/>
          <w:szCs w:val="24"/>
          <w:highlight w:val="none"/>
          <w:u w:val="single"/>
          <w:lang w:val="en-US" w:eastAsia="zh-CN"/>
        </w:rPr>
        <w:t>废水污染物进外环境排放量</w:t>
      </w:r>
    </w:p>
    <w:p w14:paraId="5125AF09">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t>污水处理厂处理后COD的排放浓度为40mg/L，氨氮的排放浓度为2mg/L，则</w:t>
      </w:r>
    </w:p>
    <w:p w14:paraId="0742EDCD">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t>COD排入外环境量=废水排放量×废水排放浓度</w:t>
      </w:r>
    </w:p>
    <w:p w14:paraId="7015BACF">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t>=</w:t>
      </w:r>
      <w:r>
        <w:rPr>
          <w:rFonts w:hint="eastAsia" w:ascii="Times New Roman" w:hAnsi="Times New Roman" w:cs="Times New Roman"/>
          <w:b/>
          <w:bCs/>
          <w:color w:val="auto"/>
          <w:sz w:val="24"/>
          <w:szCs w:val="24"/>
          <w:highlight w:val="none"/>
          <w:u w:val="single"/>
          <w:lang w:val="en-US" w:eastAsia="zh-CN"/>
        </w:rPr>
        <w:t>1542</w:t>
      </w:r>
      <w:r>
        <w:rPr>
          <w:rFonts w:hint="default" w:ascii="Times New Roman" w:hAnsi="Times New Roman" w:cs="Times New Roman"/>
          <w:b/>
          <w:bCs/>
          <w:color w:val="auto"/>
          <w:sz w:val="24"/>
          <w:szCs w:val="24"/>
          <w:highlight w:val="none"/>
          <w:u w:val="single"/>
          <w:lang w:val="en-US" w:eastAsia="zh-CN"/>
        </w:rPr>
        <w:t>×40×10</w:t>
      </w:r>
      <w:r>
        <w:rPr>
          <w:rFonts w:hint="default" w:ascii="Times New Roman" w:hAnsi="Times New Roman" w:cs="Times New Roman"/>
          <w:b/>
          <w:bCs/>
          <w:color w:val="auto"/>
          <w:sz w:val="24"/>
          <w:szCs w:val="24"/>
          <w:highlight w:val="none"/>
          <w:u w:val="single"/>
          <w:vertAlign w:val="superscript"/>
          <w:lang w:val="en-US" w:eastAsia="zh-CN"/>
        </w:rPr>
        <w:t>-6</w:t>
      </w:r>
      <w:r>
        <w:rPr>
          <w:rFonts w:hint="default" w:ascii="Times New Roman" w:hAnsi="Times New Roman" w:cs="Times New Roman"/>
          <w:b/>
          <w:bCs/>
          <w:color w:val="auto"/>
          <w:sz w:val="24"/>
          <w:szCs w:val="24"/>
          <w:highlight w:val="none"/>
          <w:u w:val="single"/>
          <w:lang w:val="en-US" w:eastAsia="zh-CN"/>
        </w:rPr>
        <w:t>=</w:t>
      </w:r>
      <w:r>
        <w:rPr>
          <w:rFonts w:hint="eastAsia" w:ascii="Times New Roman" w:hAnsi="Times New Roman" w:cs="Times New Roman"/>
          <w:b/>
          <w:bCs/>
          <w:color w:val="auto"/>
          <w:sz w:val="24"/>
          <w:szCs w:val="24"/>
          <w:highlight w:val="none"/>
          <w:u w:val="single"/>
          <w:lang w:val="en-US" w:eastAsia="zh-CN"/>
        </w:rPr>
        <w:t>0.0617</w:t>
      </w:r>
      <w:r>
        <w:rPr>
          <w:rFonts w:hint="default" w:ascii="Times New Roman" w:hAnsi="Times New Roman" w:cs="Times New Roman"/>
          <w:b/>
          <w:bCs/>
          <w:color w:val="auto"/>
          <w:sz w:val="24"/>
          <w:szCs w:val="24"/>
          <w:highlight w:val="none"/>
          <w:u w:val="single"/>
          <w:lang w:val="en-US" w:eastAsia="zh-CN"/>
        </w:rPr>
        <w:t>t/a；</w:t>
      </w:r>
    </w:p>
    <w:p w14:paraId="3556A0F0">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t>氨氮排入外环境量=废水排放量×废水排放浓度=</w:t>
      </w:r>
      <w:r>
        <w:rPr>
          <w:rFonts w:hint="eastAsia" w:ascii="Times New Roman" w:hAnsi="Times New Roman" w:cs="Times New Roman"/>
          <w:b/>
          <w:bCs/>
          <w:color w:val="auto"/>
          <w:sz w:val="24"/>
          <w:szCs w:val="24"/>
          <w:highlight w:val="none"/>
          <w:u w:val="single"/>
          <w:lang w:val="en-US" w:eastAsia="zh-CN"/>
        </w:rPr>
        <w:t>1542</w:t>
      </w:r>
      <w:r>
        <w:rPr>
          <w:rFonts w:hint="default" w:ascii="Times New Roman" w:hAnsi="Times New Roman" w:cs="Times New Roman"/>
          <w:b/>
          <w:bCs/>
          <w:color w:val="auto"/>
          <w:sz w:val="24"/>
          <w:szCs w:val="24"/>
          <w:highlight w:val="none"/>
          <w:u w:val="single"/>
          <w:lang w:val="en-US" w:eastAsia="zh-CN"/>
        </w:rPr>
        <w:t>×2×10</w:t>
      </w:r>
      <w:r>
        <w:rPr>
          <w:rFonts w:hint="default" w:ascii="Times New Roman" w:hAnsi="Times New Roman" w:cs="Times New Roman"/>
          <w:b/>
          <w:bCs/>
          <w:color w:val="auto"/>
          <w:sz w:val="24"/>
          <w:szCs w:val="24"/>
          <w:highlight w:val="none"/>
          <w:u w:val="single"/>
          <w:vertAlign w:val="superscript"/>
          <w:lang w:val="en-US" w:eastAsia="zh-CN"/>
        </w:rPr>
        <w:t>-6</w:t>
      </w:r>
      <w:r>
        <w:rPr>
          <w:rFonts w:hint="default" w:ascii="Times New Roman" w:hAnsi="Times New Roman" w:cs="Times New Roman"/>
          <w:b/>
          <w:bCs/>
          <w:color w:val="auto"/>
          <w:sz w:val="24"/>
          <w:szCs w:val="24"/>
          <w:highlight w:val="none"/>
          <w:u w:val="single"/>
          <w:lang w:val="en-US" w:eastAsia="zh-CN"/>
        </w:rPr>
        <w:t>=0.0</w:t>
      </w:r>
      <w:r>
        <w:rPr>
          <w:rFonts w:hint="eastAsia" w:ascii="Times New Roman" w:hAnsi="Times New Roman" w:cs="Times New Roman"/>
          <w:b/>
          <w:bCs/>
          <w:color w:val="auto"/>
          <w:sz w:val="24"/>
          <w:szCs w:val="24"/>
          <w:highlight w:val="none"/>
          <w:u w:val="single"/>
          <w:lang w:val="en-US" w:eastAsia="zh-CN"/>
        </w:rPr>
        <w:t>031</w:t>
      </w:r>
      <w:r>
        <w:rPr>
          <w:rFonts w:hint="default" w:ascii="Times New Roman" w:hAnsi="Times New Roman" w:cs="Times New Roman"/>
          <w:b/>
          <w:bCs/>
          <w:color w:val="auto"/>
          <w:sz w:val="24"/>
          <w:szCs w:val="24"/>
          <w:highlight w:val="none"/>
          <w:u w:val="single"/>
          <w:lang w:val="en-US" w:eastAsia="zh-CN"/>
        </w:rPr>
        <w:t>t/a。</w:t>
      </w:r>
    </w:p>
    <w:p w14:paraId="2E935462">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t>（2）废气排放总量</w:t>
      </w:r>
    </w:p>
    <w:p w14:paraId="10C62738">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t>根据工程分析，本项目废气污染物排入外环境总量：</w:t>
      </w:r>
    </w:p>
    <w:p w14:paraId="6E2CDE70">
      <w:pPr>
        <w:bidi w:val="0"/>
        <w:spacing w:line="360" w:lineRule="auto"/>
        <w:ind w:firstLine="482" w:firstLineChars="200"/>
        <w:rPr>
          <w:rFonts w:hint="eastAsia"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t>颗粒物</w:t>
      </w:r>
      <w:r>
        <w:rPr>
          <w:rFonts w:hint="eastAsia" w:ascii="Times New Roman" w:hAnsi="Times New Roman" w:cs="Times New Roman"/>
          <w:b/>
          <w:bCs/>
          <w:color w:val="auto"/>
          <w:sz w:val="24"/>
          <w:szCs w:val="24"/>
          <w:highlight w:val="none"/>
          <w:u w:val="single"/>
          <w:lang w:val="en-US" w:eastAsia="zh-CN"/>
        </w:rPr>
        <w:t>=有组织+无组织=0.3482+0.463=0.8112</w:t>
      </w:r>
      <w:r>
        <w:rPr>
          <w:rFonts w:hint="default" w:ascii="Times New Roman" w:hAnsi="Times New Roman" w:cs="Times New Roman"/>
          <w:b/>
          <w:bCs/>
          <w:color w:val="auto"/>
          <w:sz w:val="24"/>
          <w:szCs w:val="24"/>
          <w:highlight w:val="none"/>
          <w:u w:val="single"/>
          <w:lang w:val="en-US" w:eastAsia="zh-CN"/>
        </w:rPr>
        <w:t>t/a</w:t>
      </w:r>
      <w:r>
        <w:rPr>
          <w:rFonts w:hint="eastAsia" w:ascii="Times New Roman" w:hAnsi="Times New Roman" w:cs="Times New Roman"/>
          <w:b/>
          <w:bCs/>
          <w:color w:val="auto"/>
          <w:sz w:val="24"/>
          <w:szCs w:val="24"/>
          <w:highlight w:val="none"/>
          <w:u w:val="single"/>
          <w:lang w:val="en-US" w:eastAsia="zh-CN"/>
        </w:rPr>
        <w:t>；</w:t>
      </w:r>
    </w:p>
    <w:p w14:paraId="4E86B6D1">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t>VOC</w:t>
      </w:r>
      <w:r>
        <w:rPr>
          <w:rFonts w:hint="default" w:ascii="Times New Roman" w:hAnsi="Times New Roman" w:cs="Times New Roman"/>
          <w:b/>
          <w:bCs/>
          <w:color w:val="auto"/>
          <w:sz w:val="24"/>
          <w:szCs w:val="24"/>
          <w:highlight w:val="none"/>
          <w:u w:val="single"/>
          <w:vertAlign w:val="subscript"/>
          <w:lang w:val="en-US" w:eastAsia="zh-CN"/>
        </w:rPr>
        <w:t>S</w:t>
      </w:r>
      <w:r>
        <w:rPr>
          <w:rFonts w:hint="eastAsia" w:ascii="Times New Roman" w:hAnsi="Times New Roman" w:cs="Times New Roman"/>
          <w:b/>
          <w:bCs/>
          <w:color w:val="auto"/>
          <w:sz w:val="24"/>
          <w:szCs w:val="24"/>
          <w:highlight w:val="none"/>
          <w:u w:val="single"/>
          <w:vertAlign w:val="baseline"/>
          <w:lang w:val="en-US" w:eastAsia="zh-CN"/>
        </w:rPr>
        <w:t>=苯（有组织+无组织）+甲苯（有组织+无组织）+二甲苯（有组织+无组织）+非甲烷总烃（有组织+无组织）</w:t>
      </w:r>
      <w:r>
        <w:rPr>
          <w:rFonts w:hint="eastAsia" w:ascii="Times New Roman" w:hAnsi="Times New Roman" w:cs="Times New Roman"/>
          <w:b/>
          <w:bCs/>
          <w:color w:val="auto"/>
          <w:sz w:val="24"/>
          <w:szCs w:val="24"/>
          <w:highlight w:val="none"/>
          <w:u w:val="single"/>
          <w:lang w:val="en-US" w:eastAsia="zh-CN"/>
        </w:rPr>
        <w:t>=0.0135+0.0056+0.0608+0.0252+0.1351+0.056+1.1473+0.4925=1.936</w:t>
      </w:r>
      <w:r>
        <w:rPr>
          <w:rFonts w:hint="default" w:ascii="Times New Roman" w:hAnsi="Times New Roman" w:cs="Times New Roman"/>
          <w:b/>
          <w:bCs/>
          <w:color w:val="auto"/>
          <w:sz w:val="24"/>
          <w:szCs w:val="24"/>
          <w:highlight w:val="none"/>
          <w:u w:val="single"/>
          <w:lang w:val="en-US" w:eastAsia="zh-CN"/>
        </w:rPr>
        <w:t>t/a；</w:t>
      </w:r>
    </w:p>
    <w:p w14:paraId="70B30ACC">
      <w:pPr>
        <w:bidi w:val="0"/>
        <w:spacing w:line="360" w:lineRule="auto"/>
        <w:ind w:firstLine="482" w:firstLineChars="200"/>
        <w:rPr>
          <w:rFonts w:hint="default"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综上所述，本项目化学需氧量：0.0617吨/年，氨氮：0.0031吨/年，挥发性有机物：1.936吨/年，颗粒物：0.8112吨/年。</w:t>
      </w:r>
    </w:p>
    <w:p w14:paraId="733FC2EE"/>
    <w:p w14:paraId="19E72539">
      <w:pPr>
        <w:sectPr>
          <w:headerReference r:id="rId16" w:type="default"/>
          <w:pgSz w:w="11906" w:h="16838"/>
          <w:pgMar w:top="1440" w:right="1800" w:bottom="1440" w:left="1800" w:header="851" w:footer="992" w:gutter="0"/>
          <w:pgNumType w:fmt="decimal"/>
          <w:cols w:space="425" w:num="1"/>
          <w:docGrid w:type="lines" w:linePitch="312" w:charSpace="0"/>
        </w:sectPr>
      </w:pPr>
    </w:p>
    <w:p w14:paraId="4A591FFB">
      <w:pPr>
        <w:spacing w:line="360" w:lineRule="auto"/>
        <w:rPr>
          <w:sz w:val="24"/>
        </w:rPr>
      </w:pPr>
    </w:p>
    <w:p w14:paraId="0331B8A7">
      <w:pPr>
        <w:pStyle w:val="2"/>
        <w:numPr>
          <w:ilvl w:val="0"/>
          <w:numId w:val="39"/>
        </w:numPr>
        <w:tabs>
          <w:tab w:val="clear" w:pos="0"/>
        </w:tabs>
      </w:pPr>
      <w:bookmarkStart w:id="121" w:name="_Toc3956"/>
      <w:r>
        <w:rPr>
          <w:rFonts w:hint="eastAsia"/>
        </w:rPr>
        <w:t>环境现状调查与评价</w:t>
      </w:r>
      <w:bookmarkEnd w:id="121"/>
    </w:p>
    <w:p w14:paraId="2B8CBD41"/>
    <w:p w14:paraId="2C35AE27">
      <w:pPr>
        <w:pStyle w:val="3"/>
        <w:numPr>
          <w:ilvl w:val="1"/>
          <w:numId w:val="43"/>
        </w:numPr>
      </w:pPr>
      <w:bookmarkStart w:id="122" w:name="_Toc269574671"/>
      <w:bookmarkStart w:id="123" w:name="_Toc403311629"/>
      <w:bookmarkStart w:id="124" w:name="_Toc193113425"/>
      <w:bookmarkStart w:id="125" w:name="_Toc11901"/>
      <w:bookmarkStart w:id="126" w:name="_Toc287822271"/>
      <w:bookmarkStart w:id="127" w:name="_Toc31691"/>
      <w:bookmarkStart w:id="128" w:name="_Toc532392897"/>
      <w:bookmarkStart w:id="129" w:name="_Toc305849026"/>
      <w:r>
        <w:t>自然环境概况</w:t>
      </w:r>
      <w:bookmarkEnd w:id="122"/>
      <w:bookmarkEnd w:id="123"/>
      <w:bookmarkEnd w:id="124"/>
      <w:bookmarkEnd w:id="125"/>
      <w:bookmarkEnd w:id="126"/>
      <w:bookmarkEnd w:id="127"/>
      <w:bookmarkEnd w:id="128"/>
      <w:bookmarkEnd w:id="129"/>
    </w:p>
    <w:p w14:paraId="70F993DA">
      <w:pPr>
        <w:pStyle w:val="4"/>
        <w:numPr>
          <w:ilvl w:val="2"/>
          <w:numId w:val="44"/>
        </w:numPr>
        <w:tabs>
          <w:tab w:val="clear" w:pos="0"/>
        </w:tabs>
      </w:pPr>
      <w:bookmarkStart w:id="130" w:name="_Toc32452"/>
      <w:bookmarkStart w:id="131" w:name="_Toc8628"/>
      <w:bookmarkStart w:id="132" w:name="_Toc22097"/>
      <w:bookmarkStart w:id="133" w:name="_Toc9652"/>
      <w:bookmarkStart w:id="134" w:name="_Toc19447"/>
      <w:bookmarkStart w:id="135" w:name="_Toc9425"/>
      <w:bookmarkStart w:id="136" w:name="_Toc528243587"/>
      <w:bookmarkStart w:id="137" w:name="_Toc532392900"/>
      <w:bookmarkStart w:id="138" w:name="_Toc27873"/>
      <w:r>
        <w:t>地理位置</w:t>
      </w:r>
      <w:bookmarkEnd w:id="130"/>
      <w:bookmarkEnd w:id="131"/>
      <w:bookmarkEnd w:id="132"/>
      <w:bookmarkEnd w:id="133"/>
      <w:bookmarkEnd w:id="134"/>
      <w:bookmarkEnd w:id="135"/>
    </w:p>
    <w:p w14:paraId="11993211">
      <w:pPr>
        <w:spacing w:line="360" w:lineRule="auto"/>
        <w:ind w:firstLine="480" w:firstLineChars="200"/>
        <w:jc w:val="left"/>
        <w:rPr>
          <w:rFonts w:ascii="Times New Roman" w:hAnsi="Times New Roman" w:eastAsia="宋体" w:cs="Times New Roman"/>
          <w:sz w:val="24"/>
        </w:rPr>
      </w:pPr>
      <w:bookmarkStart w:id="139" w:name="_Toc14012"/>
      <w:bookmarkStart w:id="140" w:name="_Toc11481"/>
      <w:bookmarkStart w:id="141" w:name="_Toc1088"/>
      <w:bookmarkStart w:id="142" w:name="_Toc1800"/>
      <w:r>
        <w:rPr>
          <w:rFonts w:ascii="Times New Roman" w:hAnsi="Times New Roman" w:eastAsia="宋体" w:cs="Times New Roman"/>
          <w:sz w:val="24"/>
        </w:rPr>
        <w:t>清丰县位于濮阳市北部，东与山东省莘县毗邻，南与濮阳市华龙区接壤，西邻内黄县，北依南乐县，西北隔河与河北省魏县相望。全县总面积828平方千米，占全市总面积的19.77%，其中耕地面积5.47万公顷。</w:t>
      </w:r>
    </w:p>
    <w:p w14:paraId="0542829A">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本项目位于濮阳市清丰县产业集聚区人民路南侧、建设路东侧6号。项目地理位置图见附图1，周边环境示意图见附图2。</w:t>
      </w:r>
    </w:p>
    <w:p w14:paraId="4643605F">
      <w:pPr>
        <w:pStyle w:val="4"/>
        <w:numPr>
          <w:ilvl w:val="2"/>
          <w:numId w:val="44"/>
        </w:numPr>
        <w:tabs>
          <w:tab w:val="clear" w:pos="0"/>
        </w:tabs>
      </w:pPr>
      <w:bookmarkStart w:id="143" w:name="_Toc32282"/>
      <w:bookmarkStart w:id="144" w:name="_Toc31410"/>
      <w:r>
        <w:t>地形地貌</w:t>
      </w:r>
      <w:bookmarkEnd w:id="139"/>
      <w:bookmarkEnd w:id="140"/>
      <w:bookmarkEnd w:id="141"/>
      <w:bookmarkEnd w:id="142"/>
      <w:bookmarkEnd w:id="143"/>
      <w:bookmarkEnd w:id="144"/>
    </w:p>
    <w:p w14:paraId="2866374A">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清丰县地处黄河下游冲积平原，地形平坦开阔，该区域由于黄河改道冲积形成了故道、泛区、滩区三大类型。主要土层为粉土、砂土及粘土。地层岩组类型单一，属简单场地。</w:t>
      </w:r>
    </w:p>
    <w:p w14:paraId="7C30924B">
      <w:pPr>
        <w:pStyle w:val="4"/>
        <w:numPr>
          <w:ilvl w:val="2"/>
          <w:numId w:val="44"/>
        </w:numPr>
        <w:tabs>
          <w:tab w:val="clear" w:pos="0"/>
        </w:tabs>
      </w:pPr>
      <w:bookmarkStart w:id="145" w:name="_Toc27850"/>
      <w:bookmarkStart w:id="146" w:name="_Toc4294"/>
      <w:bookmarkStart w:id="147" w:name="_Toc1411"/>
      <w:bookmarkStart w:id="148" w:name="_Toc17018"/>
      <w:bookmarkStart w:id="149" w:name="_Toc9515"/>
      <w:bookmarkStart w:id="150" w:name="_Toc32404"/>
      <w:r>
        <w:t>工程地质</w:t>
      </w:r>
      <w:bookmarkEnd w:id="145"/>
      <w:bookmarkEnd w:id="146"/>
      <w:bookmarkEnd w:id="147"/>
      <w:bookmarkEnd w:id="148"/>
      <w:bookmarkEnd w:id="149"/>
      <w:bookmarkEnd w:id="150"/>
    </w:p>
    <w:p w14:paraId="79A6F957">
      <w:pPr>
        <w:pStyle w:val="14"/>
        <w:spacing w:line="360" w:lineRule="auto"/>
        <w:ind w:firstLine="480"/>
        <w:jc w:val="both"/>
        <w:rPr>
          <w:rFonts w:ascii="Times New Roman" w:hAnsi="Times New Roman" w:eastAsia="宋体" w:cs="Times New Roman"/>
          <w:sz w:val="24"/>
        </w:rPr>
      </w:pPr>
      <w:r>
        <w:rPr>
          <w:rFonts w:ascii="Times New Roman" w:hAnsi="Times New Roman" w:eastAsia="宋体" w:cs="Times New Roman"/>
          <w:sz w:val="24"/>
        </w:rPr>
        <w:t>濮阳市地处华北地震区南部，聊兰地震带中段，位于国家确定的冀鲁豫地震重点监视防御区之内。区内地质构造复杂，活动断裂发育，地震频度较高，全度较大。濮阳市及邻区基底断裂构造的频繁活动，常有地震波及。中国地震动参数区划图（GB18306-2015）清丰县柳格镇峰值加速度为0.15g，反应谱特征周期0.40s，对应的地震烈度为8度。</w:t>
      </w:r>
    </w:p>
    <w:p w14:paraId="1DDF4E42">
      <w:pPr>
        <w:pStyle w:val="4"/>
        <w:numPr>
          <w:ilvl w:val="2"/>
          <w:numId w:val="44"/>
        </w:numPr>
        <w:tabs>
          <w:tab w:val="clear" w:pos="0"/>
        </w:tabs>
      </w:pPr>
      <w:bookmarkStart w:id="151" w:name="_Toc6528"/>
      <w:bookmarkStart w:id="152" w:name="_Toc22167"/>
      <w:bookmarkStart w:id="153" w:name="_Toc25935"/>
      <w:bookmarkStart w:id="154" w:name="_Toc15075"/>
      <w:bookmarkStart w:id="155" w:name="_Toc30851"/>
      <w:bookmarkStart w:id="156" w:name="_Toc21572"/>
      <w:r>
        <w:t>水文地质</w:t>
      </w:r>
      <w:bookmarkEnd w:id="151"/>
      <w:bookmarkEnd w:id="152"/>
      <w:bookmarkEnd w:id="153"/>
      <w:bookmarkEnd w:id="154"/>
      <w:bookmarkEnd w:id="155"/>
      <w:bookmarkEnd w:id="156"/>
    </w:p>
    <w:p w14:paraId="2513D5B4">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濮阳市位于东濮凹陷和内黄隆起与东淮凹陷的接合过渡带，自新生代以来，在北区域500m范围内沉积了巨厚的松散地层，为地下水的储存和运移提供了良好条件。区内以河湖相沉积为主，形成一大套的以中细砂为主，并有粘土、亚粘土互层的含水岩系。随后，不同时期的黄河摆动、决溢、泛滥带来了粗细不同的沉积物，在古河道内，河间地段及泛流区，由于水流搬运作用不同，使区内含水砂层与弱透水或隔水的黏土层在空间的分布十分复杂。</w:t>
      </w:r>
    </w:p>
    <w:p w14:paraId="0040BC63">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根据含水层的岩性结构，埋藏条件及动力特征，项目所在区域松散沉积物空隙含水系统可划分为潜水含水系统、浅层承压含水系统和深层承压含水系统，浅层承压含水系统由上更新统黄河冲积物所组成，其底板厚度为80~103m，顶部有一层粘土、亚粘土、亚砂土所组成的4―20m厚的隔水层，与潜水含水层系统隔开。</w:t>
      </w:r>
    </w:p>
    <w:p w14:paraId="093EEA8A">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地表水：清丰县境内地势平坦，主要河流有卫河、马颊河、潴龙河和第二濮清南干渠、引黄入冀补淀工程，地下水源充沛。</w:t>
      </w:r>
    </w:p>
    <w:p w14:paraId="2B9EED65">
      <w:pPr>
        <w:pStyle w:val="82"/>
        <w:spacing w:line="360" w:lineRule="auto"/>
        <w:ind w:firstLine="480"/>
        <w:rPr>
          <w:rFonts w:ascii="Times New Roman" w:hAnsi="Times New Roman" w:eastAsia="宋体" w:cs="Times New Roman"/>
        </w:rPr>
      </w:pPr>
      <w:r>
        <w:rPr>
          <w:rFonts w:ascii="Times New Roman" w:hAnsi="Times New Roman" w:eastAsia="宋体" w:cs="Times New Roman"/>
        </w:rPr>
        <w:t>该项目位于潴龙河西北约3.3km处，项目污水经清丰中州水务有限公司第二污水处理厂处理后最终排入潴龙河。潴龙河属海河流域大清河系。潴龙河为多沙性河道，是大清河南支主要行洪河道，其上游主要支流系由沙河、磁河、孟良河在北郭村水文站上游汇流后称潴龙河。</w:t>
      </w:r>
    </w:p>
    <w:p w14:paraId="06B51928">
      <w:pPr>
        <w:pStyle w:val="82"/>
        <w:spacing w:line="360" w:lineRule="auto"/>
        <w:ind w:firstLine="480"/>
        <w:rPr>
          <w:rFonts w:ascii="Times New Roman" w:hAnsi="Times New Roman" w:eastAsia="宋体" w:cs="Times New Roman"/>
        </w:rPr>
      </w:pPr>
      <w:r>
        <w:rPr>
          <w:rFonts w:ascii="Times New Roman" w:hAnsi="Times New Roman" w:eastAsia="宋体" w:cs="Times New Roman"/>
        </w:rPr>
        <w:t>潴龙河全长75公里，河口宽250-500米。为季节性河流，含沙量较大，河上建有分洪道，主河道两岸有堤防，</w:t>
      </w:r>
      <w:r>
        <w:rPr>
          <w:rFonts w:ascii="Times New Roman" w:hAnsi="Times New Roman" w:eastAsia="宋体" w:cs="Times New Roman"/>
        </w:rPr>
        <w:fldChar w:fldCharType="begin"/>
      </w:r>
      <w:r>
        <w:rPr>
          <w:rFonts w:ascii="Times New Roman" w:hAnsi="Times New Roman" w:eastAsia="宋体" w:cs="Times New Roman"/>
        </w:rPr>
        <w:instrText xml:space="preserve"> HYPERLINK "http://baike.so.com/doc/4171281-4371609.html" \t "http://baike.so.com/doc/_blank" </w:instrText>
      </w:r>
      <w:r>
        <w:rPr>
          <w:rFonts w:ascii="Times New Roman" w:hAnsi="Times New Roman" w:eastAsia="宋体" w:cs="Times New Roman"/>
        </w:rPr>
        <w:fldChar w:fldCharType="separate"/>
      </w:r>
      <w:r>
        <w:rPr>
          <w:rFonts w:ascii="Times New Roman" w:hAnsi="Times New Roman" w:eastAsia="宋体" w:cs="Times New Roman"/>
        </w:rPr>
        <w:t>堤距</w:t>
      </w:r>
      <w:r>
        <w:rPr>
          <w:rFonts w:ascii="Times New Roman" w:hAnsi="Times New Roman" w:eastAsia="宋体" w:cs="Times New Roman"/>
        </w:rPr>
        <w:fldChar w:fldCharType="end"/>
      </w:r>
      <w:r>
        <w:rPr>
          <w:rFonts w:ascii="Times New Roman" w:hAnsi="Times New Roman" w:eastAsia="宋体" w:cs="Times New Roman"/>
        </w:rPr>
        <w:t>550-4000米，其右堤即千里堤，为国家级重点堤防。潴龙河千里堤为国家一级堤防，左堤为国家三级堤防。两堤间距在800-1800m，河道上宽下窄，最窄处只有550m，潴龙河流经安国、安平、博野、蠡县，于高阳汇入白洋淀。</w:t>
      </w:r>
    </w:p>
    <w:p w14:paraId="4E5DEC7B">
      <w:pPr>
        <w:pStyle w:val="82"/>
        <w:spacing w:line="360" w:lineRule="auto"/>
        <w:ind w:firstLine="480"/>
        <w:rPr>
          <w:rFonts w:ascii="Times New Roman" w:hAnsi="Times New Roman" w:eastAsia="宋体" w:cs="Times New Roman"/>
          <w:b/>
          <w:bCs/>
          <w:u w:val="single"/>
        </w:rPr>
      </w:pPr>
      <w:r>
        <w:rPr>
          <w:rFonts w:ascii="Times New Roman" w:hAnsi="Times New Roman" w:eastAsia="宋体" w:cs="Times New Roman"/>
        </w:rPr>
        <w:t>潴龙河现状水质较差，要使其水质好转还须对潴龙河沿途排污企业综合整治，污水集中治理。</w:t>
      </w:r>
    </w:p>
    <w:p w14:paraId="3471D903">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地下水：清丰县地下水属于潜水类型，是埋藏在地表以下，位于第一个隔水层以下的常年饱和自由重力水，也是具有自由表面的地下水，主要补给来源是大气降水和地表水。清丰县地下水质系重碳酸型淡水，矿化度为0.5～1.0g/L，适合农田灌溉和人畜饮用。浅层含水层的顶板埋深为15～20m，底板埋深为40～60m。区域地下水流向为自西南向东北。</w:t>
      </w:r>
    </w:p>
    <w:p w14:paraId="4A71D49E">
      <w:pPr>
        <w:pStyle w:val="4"/>
        <w:numPr>
          <w:ilvl w:val="2"/>
          <w:numId w:val="44"/>
        </w:numPr>
        <w:tabs>
          <w:tab w:val="clear" w:pos="0"/>
        </w:tabs>
      </w:pPr>
      <w:bookmarkStart w:id="157" w:name="_Toc25515"/>
      <w:bookmarkStart w:id="158" w:name="_Toc21811"/>
      <w:bookmarkStart w:id="159" w:name="_Toc904"/>
      <w:bookmarkStart w:id="160" w:name="_Toc11746"/>
      <w:bookmarkStart w:id="161" w:name="_Toc25334"/>
      <w:bookmarkStart w:id="162" w:name="_Toc18714"/>
      <w:r>
        <w:t>气候气象</w:t>
      </w:r>
      <w:bookmarkEnd w:id="157"/>
      <w:bookmarkEnd w:id="158"/>
      <w:bookmarkEnd w:id="159"/>
      <w:bookmarkEnd w:id="160"/>
      <w:bookmarkEnd w:id="161"/>
      <w:bookmarkEnd w:id="162"/>
    </w:p>
    <w:p w14:paraId="3AE4BDC2">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sz w:val="24"/>
        </w:rPr>
        <w:t>濮阳市位于中纬度地带，常年直接受东南季风环流的控制和影响，属暖温带半湿润季风型大陆性气候，四季分明：春季干旱多风，夏季炎热多雨，秋季晴朗，冬季干冷少雪。</w:t>
      </w:r>
      <w:r>
        <w:rPr>
          <w:rFonts w:hint="eastAsia" w:ascii="Times New Roman" w:hAnsi="Times New Roman" w:eastAsia="宋体" w:cs="Times New Roman"/>
          <w:bCs/>
          <w:sz w:val="24"/>
        </w:rPr>
        <w:t>根据该地近二十年气象资料（</w:t>
      </w:r>
      <w:r>
        <w:rPr>
          <w:rFonts w:ascii="Times New Roman" w:hAnsi="Times New Roman" w:eastAsia="宋体" w:cs="Times New Roman"/>
          <w:bCs/>
          <w:sz w:val="24"/>
        </w:rPr>
        <w:t>2002―2021</w:t>
      </w:r>
      <w:r>
        <w:rPr>
          <w:rFonts w:hint="eastAsia" w:ascii="Times New Roman" w:hAnsi="Times New Roman" w:eastAsia="宋体" w:cs="Times New Roman"/>
          <w:bCs/>
          <w:sz w:val="24"/>
        </w:rPr>
        <w:t>年）统计结果表明，多年平均气温</w:t>
      </w:r>
      <w:r>
        <w:rPr>
          <w:rFonts w:ascii="Times New Roman" w:hAnsi="Times New Roman" w:eastAsia="宋体" w:cs="Times New Roman"/>
          <w:bCs/>
          <w:sz w:val="24"/>
        </w:rPr>
        <w:t>14.3</w:t>
      </w:r>
      <w:r>
        <w:rPr>
          <w:rFonts w:hint="eastAsia" w:ascii="Times New Roman" w:hAnsi="Times New Roman" w:eastAsia="宋体" w:cs="Times New Roman"/>
          <w:bCs/>
          <w:sz w:val="24"/>
        </w:rPr>
        <w:t>℃，极端最低气温</w:t>
      </w:r>
      <w:r>
        <w:rPr>
          <w:rFonts w:ascii="Times New Roman" w:hAnsi="Times New Roman" w:eastAsia="宋体" w:cs="Times New Roman"/>
          <w:bCs/>
          <w:sz w:val="24"/>
        </w:rPr>
        <w:t>-17.1</w:t>
      </w:r>
      <w:r>
        <w:rPr>
          <w:rFonts w:hint="eastAsia" w:ascii="Times New Roman" w:hAnsi="Times New Roman" w:eastAsia="宋体" w:cs="Times New Roman"/>
          <w:bCs/>
          <w:sz w:val="24"/>
        </w:rPr>
        <w:t>℃（出现在</w:t>
      </w:r>
      <w:r>
        <w:rPr>
          <w:rFonts w:ascii="Times New Roman" w:hAnsi="Times New Roman" w:eastAsia="宋体" w:cs="Times New Roman"/>
          <w:bCs/>
          <w:sz w:val="24"/>
        </w:rPr>
        <w:t>2021.1.7</w:t>
      </w:r>
      <w:r>
        <w:rPr>
          <w:rFonts w:hint="eastAsia" w:ascii="Times New Roman" w:hAnsi="Times New Roman" w:eastAsia="宋体" w:cs="Times New Roman"/>
          <w:bCs/>
          <w:sz w:val="24"/>
        </w:rPr>
        <w:t>），极端最高气温为</w:t>
      </w:r>
      <w:r>
        <w:rPr>
          <w:rFonts w:ascii="Times New Roman" w:hAnsi="Times New Roman" w:eastAsia="宋体" w:cs="Times New Roman"/>
          <w:bCs/>
          <w:sz w:val="24"/>
        </w:rPr>
        <w:t>41.4</w:t>
      </w:r>
      <w:r>
        <w:rPr>
          <w:rFonts w:hint="eastAsia" w:ascii="Times New Roman" w:hAnsi="Times New Roman" w:eastAsia="宋体" w:cs="Times New Roman"/>
          <w:bCs/>
          <w:sz w:val="24"/>
        </w:rPr>
        <w:t>℃（出现在</w:t>
      </w:r>
      <w:r>
        <w:rPr>
          <w:rFonts w:ascii="Times New Roman" w:hAnsi="Times New Roman" w:eastAsia="宋体" w:cs="Times New Roman"/>
          <w:bCs/>
          <w:sz w:val="24"/>
        </w:rPr>
        <w:t>2009.6.25</w:t>
      </w:r>
      <w:r>
        <w:rPr>
          <w:rFonts w:hint="eastAsia" w:ascii="Times New Roman" w:hAnsi="Times New Roman" w:eastAsia="宋体" w:cs="Times New Roman"/>
          <w:bCs/>
          <w:sz w:val="24"/>
        </w:rPr>
        <w:t>）。年平均日照时数</w:t>
      </w:r>
      <w:r>
        <w:rPr>
          <w:rFonts w:ascii="Times New Roman" w:hAnsi="Times New Roman" w:eastAsia="宋体" w:cs="Times New Roman"/>
          <w:bCs/>
          <w:sz w:val="24"/>
        </w:rPr>
        <w:t>2135.8h</w:t>
      </w:r>
      <w:r>
        <w:rPr>
          <w:rFonts w:hint="eastAsia" w:ascii="Times New Roman" w:hAnsi="Times New Roman" w:eastAsia="宋体" w:cs="Times New Roman"/>
          <w:bCs/>
          <w:sz w:val="24"/>
        </w:rPr>
        <w:t>；全年霜爆天数</w:t>
      </w:r>
      <w:r>
        <w:rPr>
          <w:rFonts w:ascii="Times New Roman" w:hAnsi="Times New Roman" w:eastAsia="宋体" w:cs="Times New Roman"/>
          <w:bCs/>
          <w:sz w:val="24"/>
        </w:rPr>
        <w:t>17.6</w:t>
      </w:r>
      <w:r>
        <w:rPr>
          <w:rFonts w:hint="eastAsia" w:ascii="Times New Roman" w:hAnsi="Times New Roman" w:eastAsia="宋体" w:cs="Times New Roman"/>
          <w:bCs/>
          <w:sz w:val="24"/>
        </w:rPr>
        <w:t>天。多年平均降水量</w:t>
      </w:r>
      <w:r>
        <w:rPr>
          <w:rFonts w:ascii="Times New Roman" w:hAnsi="Times New Roman" w:eastAsia="宋体" w:cs="Times New Roman"/>
          <w:bCs/>
          <w:sz w:val="24"/>
        </w:rPr>
        <w:t>657.9mm</w:t>
      </w:r>
      <w:r>
        <w:rPr>
          <w:rFonts w:hint="eastAsia" w:ascii="Times New Roman" w:hAnsi="Times New Roman" w:eastAsia="宋体" w:cs="Times New Roman"/>
          <w:bCs/>
          <w:sz w:val="24"/>
        </w:rPr>
        <w:t>之间，最大日降水量</w:t>
      </w:r>
      <w:r>
        <w:rPr>
          <w:rFonts w:ascii="Times New Roman" w:hAnsi="Times New Roman" w:eastAsia="宋体" w:cs="Times New Roman"/>
          <w:bCs/>
          <w:sz w:val="24"/>
        </w:rPr>
        <w:t>147mm</w:t>
      </w:r>
      <w:r>
        <w:rPr>
          <w:rFonts w:hint="eastAsia" w:ascii="Times New Roman" w:hAnsi="Times New Roman" w:eastAsia="宋体" w:cs="Times New Roman"/>
          <w:bCs/>
          <w:sz w:val="24"/>
        </w:rPr>
        <w:t>（出现在</w:t>
      </w:r>
      <w:r>
        <w:rPr>
          <w:rFonts w:ascii="Times New Roman" w:hAnsi="Times New Roman" w:eastAsia="宋体" w:cs="Times New Roman"/>
          <w:bCs/>
          <w:sz w:val="24"/>
        </w:rPr>
        <w:t>2010.9.7</w:t>
      </w:r>
      <w:r>
        <w:rPr>
          <w:rFonts w:hint="eastAsia" w:ascii="Times New Roman" w:hAnsi="Times New Roman" w:eastAsia="宋体" w:cs="Times New Roman"/>
          <w:bCs/>
          <w:sz w:val="24"/>
        </w:rPr>
        <w:t>），最小年降水量</w:t>
      </w:r>
      <w:r>
        <w:rPr>
          <w:rFonts w:ascii="Times New Roman" w:hAnsi="Times New Roman" w:eastAsia="宋体" w:cs="Times New Roman"/>
          <w:bCs/>
          <w:sz w:val="24"/>
        </w:rPr>
        <w:t>413.7mm</w:t>
      </w:r>
      <w:r>
        <w:rPr>
          <w:rFonts w:hint="eastAsia" w:ascii="Times New Roman" w:hAnsi="Times New Roman" w:eastAsia="宋体" w:cs="Times New Roman"/>
          <w:bCs/>
          <w:sz w:val="24"/>
        </w:rPr>
        <w:t>（出现在</w:t>
      </w:r>
      <w:r>
        <w:rPr>
          <w:rFonts w:ascii="Times New Roman" w:hAnsi="Times New Roman" w:eastAsia="宋体" w:cs="Times New Roman"/>
          <w:bCs/>
          <w:sz w:val="24"/>
        </w:rPr>
        <w:t>2012</w:t>
      </w:r>
      <w:r>
        <w:rPr>
          <w:rFonts w:hint="eastAsia" w:ascii="Times New Roman" w:hAnsi="Times New Roman" w:eastAsia="宋体" w:cs="Times New Roman"/>
          <w:bCs/>
          <w:sz w:val="24"/>
        </w:rPr>
        <w:t>年）。</w:t>
      </w:r>
    </w:p>
    <w:p w14:paraId="0A7E83D6">
      <w:pPr>
        <w:autoSpaceDE w:val="0"/>
        <w:autoSpaceDN w:val="0"/>
        <w:adjustRightInd w:val="0"/>
        <w:snapToGrid w:val="0"/>
        <w:spacing w:line="360" w:lineRule="auto"/>
        <w:ind w:firstLine="480"/>
        <w:rPr>
          <w:rFonts w:ascii="Times New Roman" w:hAnsi="Times New Roman" w:eastAsia="宋体" w:cs="Times New Roman"/>
          <w:sz w:val="24"/>
        </w:rPr>
      </w:pPr>
    </w:p>
    <w:p w14:paraId="59B7C065">
      <w:pPr>
        <w:pStyle w:val="4"/>
        <w:numPr>
          <w:ilvl w:val="2"/>
          <w:numId w:val="44"/>
        </w:numPr>
        <w:tabs>
          <w:tab w:val="clear" w:pos="0"/>
        </w:tabs>
      </w:pPr>
      <w:bookmarkStart w:id="163" w:name="_Toc30251"/>
      <w:bookmarkStart w:id="164" w:name="_Toc19193"/>
      <w:bookmarkStart w:id="165" w:name="_Toc26596"/>
      <w:bookmarkStart w:id="166" w:name="_Toc28546"/>
      <w:bookmarkStart w:id="167" w:name="_Toc7910"/>
      <w:r>
        <w:t>土壤</w:t>
      </w:r>
      <w:bookmarkEnd w:id="163"/>
      <w:bookmarkEnd w:id="164"/>
      <w:bookmarkEnd w:id="165"/>
      <w:bookmarkEnd w:id="166"/>
      <w:bookmarkEnd w:id="167"/>
    </w:p>
    <w:p w14:paraId="729645D8">
      <w:pPr>
        <w:pStyle w:val="82"/>
        <w:spacing w:line="360" w:lineRule="auto"/>
        <w:ind w:firstLine="480"/>
        <w:rPr>
          <w:rFonts w:ascii="Times New Roman" w:hAnsi="Times New Roman" w:cs="Times New Roman"/>
        </w:rPr>
      </w:pPr>
      <w:r>
        <w:rPr>
          <w:rFonts w:ascii="Times New Roman" w:hAnsi="Times New Roman" w:cs="Times New Roman"/>
        </w:rPr>
        <w:t>清丰县的土壤可分为两个土类，即潮土和风沙土；三个亚类，即黄潮土、褐土化潮土、冲击性风沙土；六个土属二十六个土种。自西向东土壤依地形的高低分为风沙土、细沙土、沙壤土、小两合土、两合土、於土等。按土壤质地划分，其中沙地占21.9%，青沙地占36.6%，两合土地占23.4%，於土地占10.9%，盐碱地占7.2%。全县地表大部分为第四纪冲击松散沉积物覆盖，主要土层为粉土、砂土及粘土。地层岩组类型单一，属简单场地。</w:t>
      </w:r>
    </w:p>
    <w:p w14:paraId="1BA52F8D">
      <w:pPr>
        <w:pStyle w:val="4"/>
        <w:numPr>
          <w:ilvl w:val="2"/>
          <w:numId w:val="44"/>
        </w:numPr>
        <w:tabs>
          <w:tab w:val="clear" w:pos="0"/>
        </w:tabs>
      </w:pPr>
      <w:bookmarkStart w:id="168" w:name="_Toc23344"/>
      <w:bookmarkStart w:id="169" w:name="_Toc587"/>
      <w:bookmarkStart w:id="170" w:name="_Toc1525"/>
      <w:bookmarkStart w:id="171" w:name="_Toc27113"/>
      <w:bookmarkStart w:id="172" w:name="_Toc12940"/>
      <w:r>
        <w:t xml:space="preserve"> </w:t>
      </w:r>
      <w:bookmarkStart w:id="173" w:name="_Toc437"/>
      <w:r>
        <w:t>生物资源</w:t>
      </w:r>
      <w:bookmarkEnd w:id="168"/>
      <w:bookmarkEnd w:id="169"/>
      <w:bookmarkEnd w:id="170"/>
      <w:bookmarkEnd w:id="171"/>
      <w:bookmarkEnd w:id="172"/>
      <w:bookmarkEnd w:id="173"/>
    </w:p>
    <w:p w14:paraId="7DC84589">
      <w:pPr>
        <w:pStyle w:val="82"/>
        <w:spacing w:line="360" w:lineRule="auto"/>
        <w:ind w:firstLine="480"/>
        <w:rPr>
          <w:rFonts w:ascii="Times New Roman" w:hAnsi="Times New Roman" w:cs="Times New Roman"/>
        </w:rPr>
      </w:pPr>
      <w:r>
        <w:rPr>
          <w:rFonts w:ascii="Times New Roman" w:hAnsi="Times New Roman" w:cs="Times New Roman"/>
        </w:rPr>
        <w:t>清丰县地处温暖带，由于地貌类型不太复杂，生物种类较少。县域内有植物600多种，动物130多种。动物中家畜有牛、羊、马、骡、驴等，野生动物主要有狐狸、刺猬、黄鼠狼、野兔等。植物中主要有农作物小麦、大麦、谷子等，林木主要有毛白杨、小叶杨、银白杨、国槐等。</w:t>
      </w:r>
    </w:p>
    <w:p w14:paraId="3CFE6898">
      <w:pPr>
        <w:pStyle w:val="82"/>
        <w:spacing w:line="360" w:lineRule="auto"/>
        <w:ind w:firstLine="480"/>
        <w:rPr>
          <w:rFonts w:ascii="Times New Roman" w:hAnsi="Times New Roman" w:cs="Times New Roman"/>
        </w:rPr>
      </w:pPr>
      <w:r>
        <w:rPr>
          <w:rFonts w:ascii="Times New Roman" w:hAnsi="Times New Roman" w:cs="Times New Roman"/>
        </w:rPr>
        <w:t>经调查，本项目建设区域无国家重点保护动植物名录中的动植物。</w:t>
      </w:r>
    </w:p>
    <w:bookmarkEnd w:id="136"/>
    <w:bookmarkEnd w:id="137"/>
    <w:bookmarkEnd w:id="138"/>
    <w:p w14:paraId="079C528F">
      <w:pPr>
        <w:pStyle w:val="3"/>
        <w:numPr>
          <w:ilvl w:val="1"/>
          <w:numId w:val="43"/>
        </w:numPr>
      </w:pPr>
      <w:bookmarkStart w:id="174" w:name="_Toc528243588"/>
      <w:bookmarkStart w:id="175" w:name="_Toc532392901"/>
      <w:bookmarkStart w:id="176" w:name="_Toc11604"/>
      <w:bookmarkStart w:id="177" w:name="_Toc16283"/>
      <w:r>
        <w:t>环境空气质量现状监测与评价</w:t>
      </w:r>
      <w:bookmarkEnd w:id="174"/>
      <w:bookmarkEnd w:id="175"/>
      <w:bookmarkEnd w:id="176"/>
      <w:bookmarkEnd w:id="177"/>
    </w:p>
    <w:p w14:paraId="4428A1B5">
      <w:pPr>
        <w:pStyle w:val="4"/>
        <w:numPr>
          <w:ilvl w:val="2"/>
          <w:numId w:val="45"/>
        </w:numPr>
        <w:tabs>
          <w:tab w:val="clear" w:pos="0"/>
        </w:tabs>
      </w:pPr>
      <w:r>
        <w:t>环境空气质量达标区判定</w:t>
      </w:r>
    </w:p>
    <w:p w14:paraId="457483E2">
      <w:pPr>
        <w:spacing w:line="360" w:lineRule="auto"/>
        <w:ind w:firstLine="480" w:firstLineChars="200"/>
        <w:contextualSpacing/>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根据《环境影响评价技术导则 大气环境》（HJ2.2-2018）的要求，对项目所在区域达标判定，优先采用国家或地方生态环境主管部门公开发布的评价基准年环境质量公告或环境质量报告中的数据或结论。项目所在区域达标判断：城市环境空气质量达标情况评价指标为SO</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、NO</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、PM</w:t>
      </w:r>
      <w:r>
        <w:rPr>
          <w:rFonts w:ascii="Times New Roman" w:hAnsi="Times New Roman" w:eastAsia="宋体" w:cs="Times New Roman"/>
          <w:color w:val="000000" w:themeColor="text1"/>
          <w:sz w:val="24"/>
          <w:vertAlign w:val="subscript"/>
          <w14:textFill>
            <w14:solidFill>
              <w14:schemeClr w14:val="tx1"/>
            </w14:solidFill>
          </w14:textFill>
        </w:rPr>
        <w:t>10</w:t>
      </w:r>
      <w:r>
        <w:rPr>
          <w:rFonts w:ascii="Times New Roman" w:hAnsi="Times New Roman" w:eastAsia="宋体" w:cs="Times New Roman"/>
          <w:color w:val="000000" w:themeColor="text1"/>
          <w:sz w:val="24"/>
          <w14:textFill>
            <w14:solidFill>
              <w14:schemeClr w14:val="tx1"/>
            </w14:solidFill>
          </w14:textFill>
        </w:rPr>
        <w:t>、PM</w:t>
      </w:r>
      <w:r>
        <w:rPr>
          <w:rFonts w:ascii="Times New Roman" w:hAnsi="Times New Roman" w:eastAsia="宋体" w:cs="Times New Roman"/>
          <w:color w:val="000000" w:themeColor="text1"/>
          <w:sz w:val="24"/>
          <w:vertAlign w:val="subscript"/>
          <w14:textFill>
            <w14:solidFill>
              <w14:schemeClr w14:val="tx1"/>
            </w14:solidFill>
          </w14:textFill>
        </w:rPr>
        <w:t>2.5</w:t>
      </w:r>
      <w:r>
        <w:rPr>
          <w:rFonts w:ascii="Times New Roman" w:hAnsi="Times New Roman" w:eastAsia="宋体" w:cs="Times New Roman"/>
          <w:color w:val="000000" w:themeColor="text1"/>
          <w:sz w:val="24"/>
          <w14:textFill>
            <w14:solidFill>
              <w14:schemeClr w14:val="tx1"/>
            </w14:solidFill>
          </w14:textFill>
        </w:rPr>
        <w:t>、CO和O</w:t>
      </w:r>
      <w:r>
        <w:rPr>
          <w:rFonts w:ascii="Times New Roman" w:hAnsi="Times New Roman" w:eastAsia="宋体" w:cs="Times New Roman"/>
          <w:color w:val="000000" w:themeColor="text1"/>
          <w:sz w:val="24"/>
          <w:vertAlign w:val="sub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，六项污染物全部达标即为城市环境空气质量达标。</w:t>
      </w:r>
    </w:p>
    <w:p w14:paraId="3A9BBBEB">
      <w:pPr>
        <w:spacing w:line="360" w:lineRule="auto"/>
        <w:ind w:firstLine="480" w:firstLineChars="200"/>
        <w:contextualSpacing/>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位于清丰县河南省濮阳市清丰县产业集聚区人民路南侧、建设路东侧。根据《环境影响评价技术导则-大气环境》（HJ2.2-2018）的相关要求，按HJ663中的统计方法对长期监测数据各污染物的年评价指标进行环境质量现状评价。其中获取连续1年中365个日均值数据，每月至少有30个有效数据（其中2月有2</w:t>
      </w:r>
      <w:r>
        <w:rPr>
          <w:rFonts w:hint="eastAsia" w:ascii="Times New Roman" w:hAnsi="Times New Roman" w:eastAsia="宋体" w:cs="Times New Roman"/>
          <w:color w:val="000000" w:themeColor="text1"/>
          <w:sz w:val="24"/>
          <w14:textFill>
            <w14:solidFill>
              <w14:schemeClr w14:val="tx1"/>
            </w14:solidFill>
          </w14:textFill>
        </w:rPr>
        <w:t>9</w:t>
      </w:r>
      <w:r>
        <w:rPr>
          <w:rFonts w:ascii="Times New Roman" w:hAnsi="Times New Roman" w:eastAsia="宋体" w:cs="Times New Roman"/>
          <w:color w:val="000000" w:themeColor="text1"/>
          <w:sz w:val="24"/>
          <w14:textFill>
            <w14:solidFill>
              <w14:schemeClr w14:val="tx1"/>
            </w14:solidFill>
          </w14:textFill>
        </w:rPr>
        <w:t>个），数据有效性满足GB3095-2012和HJ663中关于数据统计的有效性规定，</w:t>
      </w:r>
      <w:r>
        <w:rPr>
          <w:rFonts w:hint="eastAsia" w:ascii="Times New Roman" w:hAnsi="Times New Roman" w:eastAsia="宋体" w:cs="Times New Roman"/>
          <w:color w:val="000000" w:themeColor="text1"/>
          <w:sz w:val="24"/>
          <w14:textFill>
            <w14:solidFill>
              <w14:schemeClr w14:val="tx1"/>
            </w14:solidFill>
          </w14:textFill>
        </w:rPr>
        <w:t>根据《2022年濮阳市生态环境质量概要》，濮阳市</w:t>
      </w:r>
      <w:r>
        <w:rPr>
          <w:rFonts w:ascii="Times New Roman" w:hAnsi="Times New Roman" w:eastAsia="宋体" w:cs="Times New Roman"/>
          <w:color w:val="000000" w:themeColor="text1"/>
          <w:sz w:val="24"/>
          <w14:textFill>
            <w14:solidFill>
              <w14:schemeClr w14:val="tx1"/>
            </w14:solidFill>
          </w14:textFill>
        </w:rPr>
        <w:t>环境质量调查数据统计结果见下表。</w:t>
      </w:r>
    </w:p>
    <w:p w14:paraId="1D41EA2F">
      <w:pPr>
        <w:tabs>
          <w:tab w:val="left" w:pos="0"/>
        </w:tabs>
        <w:spacing w:line="520" w:lineRule="exact"/>
        <w:jc w:val="center"/>
        <w:rPr>
          <w:rFonts w:ascii="Times New Roman" w:hAnsi="Times New Roman" w:eastAsia="宋体" w:cs="Times New Roman"/>
          <w:b/>
          <w:bCs/>
          <w:sz w:val="24"/>
          <w:szCs w:val="28"/>
        </w:rPr>
      </w:pPr>
    </w:p>
    <w:p w14:paraId="4ABB29C8">
      <w:pPr>
        <w:tabs>
          <w:tab w:val="left" w:pos="0"/>
        </w:tabs>
        <w:spacing w:line="520" w:lineRule="exact"/>
        <w:jc w:val="center"/>
        <w:rPr>
          <w:rFonts w:ascii="Times New Roman" w:hAnsi="Times New Roman" w:eastAsia="宋体" w:cs="Times New Roman"/>
          <w:b/>
          <w:bCs/>
          <w:sz w:val="24"/>
          <w:szCs w:val="28"/>
        </w:rPr>
      </w:pPr>
    </w:p>
    <w:p w14:paraId="16B91709">
      <w:pPr>
        <w:tabs>
          <w:tab w:val="left" w:pos="0"/>
        </w:tabs>
        <w:spacing w:line="520" w:lineRule="exact"/>
        <w:jc w:val="center"/>
        <w:rPr>
          <w:rFonts w:ascii="Times New Roman" w:hAnsi="Times New Roman" w:eastAsia="宋体" w:cs="Times New Roman"/>
          <w:b/>
          <w:bCs/>
          <w:color w:val="auto"/>
          <w:szCs w:val="22"/>
        </w:rPr>
      </w:pPr>
      <w:r>
        <w:rPr>
          <w:rFonts w:hint="eastAsia" w:ascii="Times New Roman" w:hAnsi="Times New Roman" w:eastAsia="宋体" w:cs="Times New Roman"/>
          <w:b/>
          <w:bCs/>
          <w:color w:val="auto"/>
          <w:szCs w:val="22"/>
        </w:rPr>
        <w:t xml:space="preserve">表4.2-1 </w:t>
      </w:r>
      <w:r>
        <w:rPr>
          <w:rFonts w:ascii="Times New Roman" w:hAnsi="Times New Roman" w:eastAsia="宋体" w:cs="Times New Roman"/>
          <w:b/>
          <w:bCs/>
          <w:color w:val="0000FF"/>
          <w:szCs w:val="22"/>
        </w:rPr>
        <w:t xml:space="preserve"> </w:t>
      </w:r>
      <w:r>
        <w:rPr>
          <w:rFonts w:hint="eastAsia" w:ascii="Times New Roman" w:hAnsi="Times New Roman" w:eastAsia="宋体" w:cs="Times New Roman"/>
          <w:b/>
          <w:bCs/>
          <w:color w:val="auto"/>
          <w:szCs w:val="22"/>
        </w:rPr>
        <w:t>濮阳市区域</w:t>
      </w:r>
      <w:r>
        <w:rPr>
          <w:rFonts w:ascii="Times New Roman" w:hAnsi="Times New Roman" w:eastAsia="宋体" w:cs="Times New Roman"/>
          <w:b/>
          <w:bCs/>
          <w:color w:val="auto"/>
          <w:szCs w:val="22"/>
        </w:rPr>
        <w:t>空气质量现状一览表</w:t>
      </w:r>
    </w:p>
    <w:tbl>
      <w:tblPr>
        <w:tblStyle w:val="30"/>
        <w:tblW w:w="85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08" w:type="dxa"/>
          <w:bottom w:w="15" w:type="dxa"/>
          <w:right w:w="108" w:type="dxa"/>
        </w:tblCellMar>
      </w:tblPr>
      <w:tblGrid>
        <w:gridCol w:w="1551"/>
        <w:gridCol w:w="2187"/>
        <w:gridCol w:w="1214"/>
        <w:gridCol w:w="1232"/>
        <w:gridCol w:w="1099"/>
        <w:gridCol w:w="1236"/>
      </w:tblGrid>
      <w:tr w14:paraId="734EE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16" w:hRule="atLeast"/>
        </w:trPr>
        <w:tc>
          <w:tcPr>
            <w:tcW w:w="1551" w:type="dxa"/>
            <w:tcBorders>
              <w:tl2br w:val="nil"/>
              <w:tr2bl w:val="nil"/>
            </w:tcBorders>
            <w:vAlign w:val="center"/>
          </w:tcPr>
          <w:p w14:paraId="7AB51DF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污染物</w:t>
            </w:r>
          </w:p>
        </w:tc>
        <w:tc>
          <w:tcPr>
            <w:tcW w:w="2187" w:type="dxa"/>
            <w:tcBorders>
              <w:tl2br w:val="nil"/>
              <w:tr2bl w:val="nil"/>
            </w:tcBorders>
            <w:vAlign w:val="center"/>
          </w:tcPr>
          <w:p w14:paraId="3180AB2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评价指标</w:t>
            </w:r>
          </w:p>
        </w:tc>
        <w:tc>
          <w:tcPr>
            <w:tcW w:w="1214" w:type="dxa"/>
            <w:tcBorders>
              <w:tl2br w:val="nil"/>
              <w:tr2bl w:val="nil"/>
            </w:tcBorders>
            <w:vAlign w:val="center"/>
          </w:tcPr>
          <w:p w14:paraId="071C6EA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现状浓度</w:t>
            </w:r>
          </w:p>
        </w:tc>
        <w:tc>
          <w:tcPr>
            <w:tcW w:w="1232" w:type="dxa"/>
            <w:tcBorders>
              <w:tl2br w:val="nil"/>
              <w:tr2bl w:val="nil"/>
            </w:tcBorders>
            <w:vAlign w:val="center"/>
          </w:tcPr>
          <w:p w14:paraId="5803111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标准值</w:t>
            </w:r>
          </w:p>
        </w:tc>
        <w:tc>
          <w:tcPr>
            <w:tcW w:w="1099" w:type="dxa"/>
            <w:tcBorders>
              <w:tl2br w:val="nil"/>
              <w:tr2bl w:val="nil"/>
            </w:tcBorders>
            <w:vAlign w:val="center"/>
          </w:tcPr>
          <w:p w14:paraId="2C32FE3F">
            <w:pPr>
              <w:widowControl/>
              <w:jc w:val="center"/>
              <w:rPr>
                <w:rFonts w:ascii="Times New Roman" w:hAnsi="Times New Roman" w:eastAsia="宋体" w:cs="Times New Roman"/>
                <w:color w:val="auto"/>
                <w:kern w:val="0"/>
                <w:szCs w:val="21"/>
              </w:rPr>
            </w:pPr>
            <w:r>
              <w:rPr>
                <w:rFonts w:ascii="Times New Roman" w:hAnsi="Times New Roman" w:cs="Times New Roman"/>
                <w:color w:val="auto"/>
                <w:szCs w:val="21"/>
              </w:rPr>
              <w:t>占标率(/%)</w:t>
            </w:r>
          </w:p>
        </w:tc>
        <w:tc>
          <w:tcPr>
            <w:tcW w:w="1236" w:type="dxa"/>
            <w:tcBorders>
              <w:tl2br w:val="nil"/>
              <w:tr2bl w:val="nil"/>
            </w:tcBorders>
            <w:vAlign w:val="center"/>
          </w:tcPr>
          <w:p w14:paraId="7209F9E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达标情况</w:t>
            </w:r>
          </w:p>
        </w:tc>
      </w:tr>
      <w:tr w14:paraId="5DD8C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16" w:hRule="atLeast"/>
        </w:trPr>
        <w:tc>
          <w:tcPr>
            <w:tcW w:w="1551" w:type="dxa"/>
            <w:tcBorders>
              <w:tl2br w:val="nil"/>
              <w:tr2bl w:val="nil"/>
            </w:tcBorders>
            <w:vAlign w:val="center"/>
          </w:tcPr>
          <w:p w14:paraId="75FCAD60">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二氧化硫μg/m</w:t>
            </w:r>
            <w:r>
              <w:rPr>
                <w:rFonts w:ascii="Times New Roman" w:hAnsi="Times New Roman" w:eastAsia="宋体" w:cs="Times New Roman"/>
                <w:color w:val="auto"/>
                <w:szCs w:val="21"/>
                <w:vertAlign w:val="superscript"/>
              </w:rPr>
              <w:t>3</w:t>
            </w:r>
          </w:p>
        </w:tc>
        <w:tc>
          <w:tcPr>
            <w:tcW w:w="2187" w:type="dxa"/>
            <w:tcBorders>
              <w:tl2br w:val="nil"/>
              <w:tr2bl w:val="nil"/>
            </w:tcBorders>
            <w:vAlign w:val="center"/>
          </w:tcPr>
          <w:p w14:paraId="401EB84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年平均质量浓度</w:t>
            </w:r>
          </w:p>
        </w:tc>
        <w:tc>
          <w:tcPr>
            <w:tcW w:w="1214" w:type="dxa"/>
            <w:tcBorders>
              <w:tl2br w:val="nil"/>
              <w:tr2bl w:val="nil"/>
            </w:tcBorders>
            <w:vAlign w:val="center"/>
          </w:tcPr>
          <w:p w14:paraId="67E86C4F">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10</w:t>
            </w:r>
          </w:p>
        </w:tc>
        <w:tc>
          <w:tcPr>
            <w:tcW w:w="1232" w:type="dxa"/>
            <w:tcBorders>
              <w:tl2br w:val="nil"/>
              <w:tr2bl w:val="nil"/>
            </w:tcBorders>
            <w:vAlign w:val="center"/>
          </w:tcPr>
          <w:p w14:paraId="7998F052">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60</w:t>
            </w:r>
          </w:p>
        </w:tc>
        <w:tc>
          <w:tcPr>
            <w:tcW w:w="1099" w:type="dxa"/>
            <w:tcBorders>
              <w:tl2br w:val="nil"/>
              <w:tr2bl w:val="nil"/>
            </w:tcBorders>
            <w:vAlign w:val="center"/>
          </w:tcPr>
          <w:p w14:paraId="4CA5182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16.7</w:t>
            </w:r>
          </w:p>
        </w:tc>
        <w:tc>
          <w:tcPr>
            <w:tcW w:w="1236" w:type="dxa"/>
            <w:tcBorders>
              <w:tl2br w:val="nil"/>
              <w:tr2bl w:val="nil"/>
            </w:tcBorders>
            <w:vAlign w:val="center"/>
          </w:tcPr>
          <w:p w14:paraId="4E4D10B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达标</w:t>
            </w:r>
          </w:p>
        </w:tc>
      </w:tr>
      <w:tr w14:paraId="64930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16" w:hRule="atLeast"/>
        </w:trPr>
        <w:tc>
          <w:tcPr>
            <w:tcW w:w="1551" w:type="dxa"/>
            <w:tcBorders>
              <w:tl2br w:val="nil"/>
              <w:tr2bl w:val="nil"/>
            </w:tcBorders>
            <w:vAlign w:val="center"/>
          </w:tcPr>
          <w:p w14:paraId="18274452">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二氧化氮μg/m</w:t>
            </w:r>
            <w:r>
              <w:rPr>
                <w:rFonts w:ascii="Times New Roman" w:hAnsi="Times New Roman" w:eastAsia="宋体" w:cs="Times New Roman"/>
                <w:color w:val="auto"/>
                <w:szCs w:val="21"/>
                <w:vertAlign w:val="superscript"/>
              </w:rPr>
              <w:t>3</w:t>
            </w:r>
          </w:p>
        </w:tc>
        <w:tc>
          <w:tcPr>
            <w:tcW w:w="2187" w:type="dxa"/>
            <w:tcBorders>
              <w:tl2br w:val="nil"/>
              <w:tr2bl w:val="nil"/>
            </w:tcBorders>
            <w:vAlign w:val="center"/>
          </w:tcPr>
          <w:p w14:paraId="576A66B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年平均质量浓度</w:t>
            </w:r>
          </w:p>
        </w:tc>
        <w:tc>
          <w:tcPr>
            <w:tcW w:w="1214" w:type="dxa"/>
            <w:tcBorders>
              <w:tl2br w:val="nil"/>
              <w:tr2bl w:val="nil"/>
            </w:tcBorders>
            <w:vAlign w:val="center"/>
          </w:tcPr>
          <w:p w14:paraId="330F1114">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5</w:t>
            </w:r>
          </w:p>
        </w:tc>
        <w:tc>
          <w:tcPr>
            <w:tcW w:w="1232" w:type="dxa"/>
            <w:tcBorders>
              <w:tl2br w:val="nil"/>
              <w:tr2bl w:val="nil"/>
            </w:tcBorders>
            <w:vAlign w:val="center"/>
          </w:tcPr>
          <w:p w14:paraId="01DE4125">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40</w:t>
            </w:r>
          </w:p>
        </w:tc>
        <w:tc>
          <w:tcPr>
            <w:tcW w:w="1099" w:type="dxa"/>
            <w:tcBorders>
              <w:tl2br w:val="nil"/>
              <w:tr2bl w:val="nil"/>
            </w:tcBorders>
            <w:vAlign w:val="center"/>
          </w:tcPr>
          <w:p w14:paraId="2DBD8F8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62.5</w:t>
            </w:r>
          </w:p>
        </w:tc>
        <w:tc>
          <w:tcPr>
            <w:tcW w:w="1236" w:type="dxa"/>
            <w:tcBorders>
              <w:tl2br w:val="nil"/>
              <w:tr2bl w:val="nil"/>
            </w:tcBorders>
            <w:vAlign w:val="center"/>
          </w:tcPr>
          <w:p w14:paraId="2CF8C87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达标</w:t>
            </w:r>
          </w:p>
        </w:tc>
      </w:tr>
      <w:tr w14:paraId="50AE3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16" w:hRule="atLeast"/>
        </w:trPr>
        <w:tc>
          <w:tcPr>
            <w:tcW w:w="1551" w:type="dxa"/>
            <w:tcBorders>
              <w:tl2br w:val="nil"/>
              <w:tr2bl w:val="nil"/>
            </w:tcBorders>
            <w:vAlign w:val="center"/>
          </w:tcPr>
          <w:p w14:paraId="2537B55A">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PM</w:t>
            </w:r>
            <w:r>
              <w:rPr>
                <w:rFonts w:ascii="Times New Roman" w:hAnsi="Times New Roman" w:eastAsia="宋体" w:cs="Times New Roman"/>
                <w:color w:val="auto"/>
                <w:szCs w:val="21"/>
                <w:vertAlign w:val="subscript"/>
              </w:rPr>
              <w:t>2.5</w:t>
            </w:r>
            <w:r>
              <w:rPr>
                <w:rFonts w:ascii="Times New Roman" w:hAnsi="Times New Roman" w:eastAsia="宋体" w:cs="Times New Roman"/>
                <w:color w:val="auto"/>
                <w:szCs w:val="21"/>
              </w:rPr>
              <w:t>μg/m</w:t>
            </w:r>
            <w:r>
              <w:rPr>
                <w:rFonts w:ascii="Times New Roman" w:hAnsi="Times New Roman" w:eastAsia="宋体" w:cs="Times New Roman"/>
                <w:color w:val="auto"/>
                <w:szCs w:val="21"/>
                <w:vertAlign w:val="superscript"/>
              </w:rPr>
              <w:t>3</w:t>
            </w:r>
          </w:p>
        </w:tc>
        <w:tc>
          <w:tcPr>
            <w:tcW w:w="2187" w:type="dxa"/>
            <w:tcBorders>
              <w:tl2br w:val="nil"/>
              <w:tr2bl w:val="nil"/>
            </w:tcBorders>
            <w:vAlign w:val="center"/>
          </w:tcPr>
          <w:p w14:paraId="1CA9500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年平均质量浓度</w:t>
            </w:r>
          </w:p>
        </w:tc>
        <w:tc>
          <w:tcPr>
            <w:tcW w:w="1214" w:type="dxa"/>
            <w:tcBorders>
              <w:tl2br w:val="nil"/>
              <w:tr2bl w:val="nil"/>
            </w:tcBorders>
            <w:vAlign w:val="center"/>
          </w:tcPr>
          <w:p w14:paraId="3DAA73B2">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53</w:t>
            </w:r>
          </w:p>
        </w:tc>
        <w:tc>
          <w:tcPr>
            <w:tcW w:w="1232" w:type="dxa"/>
            <w:tcBorders>
              <w:tl2br w:val="nil"/>
              <w:tr2bl w:val="nil"/>
            </w:tcBorders>
            <w:vAlign w:val="center"/>
          </w:tcPr>
          <w:p w14:paraId="694FC97C">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35</w:t>
            </w:r>
          </w:p>
        </w:tc>
        <w:tc>
          <w:tcPr>
            <w:tcW w:w="1099" w:type="dxa"/>
            <w:tcBorders>
              <w:tl2br w:val="nil"/>
              <w:tr2bl w:val="nil"/>
            </w:tcBorders>
            <w:vAlign w:val="center"/>
          </w:tcPr>
          <w:p w14:paraId="428D873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151.4</w:t>
            </w:r>
          </w:p>
        </w:tc>
        <w:tc>
          <w:tcPr>
            <w:tcW w:w="1236" w:type="dxa"/>
            <w:tcBorders>
              <w:tl2br w:val="nil"/>
              <w:tr2bl w:val="nil"/>
            </w:tcBorders>
            <w:vAlign w:val="center"/>
          </w:tcPr>
          <w:p w14:paraId="3B4734C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超标</w:t>
            </w:r>
          </w:p>
        </w:tc>
      </w:tr>
      <w:tr w14:paraId="35574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16" w:hRule="atLeast"/>
        </w:trPr>
        <w:tc>
          <w:tcPr>
            <w:tcW w:w="1551" w:type="dxa"/>
            <w:tcBorders>
              <w:tl2br w:val="nil"/>
              <w:tr2bl w:val="nil"/>
            </w:tcBorders>
            <w:vAlign w:val="center"/>
          </w:tcPr>
          <w:p w14:paraId="7D95B860">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PM</w:t>
            </w:r>
            <w:r>
              <w:rPr>
                <w:rFonts w:ascii="Times New Roman" w:hAnsi="Times New Roman" w:eastAsia="宋体" w:cs="Times New Roman"/>
                <w:color w:val="auto"/>
                <w:szCs w:val="21"/>
                <w:vertAlign w:val="subscript"/>
              </w:rPr>
              <w:t>10</w:t>
            </w:r>
            <w:r>
              <w:rPr>
                <w:rFonts w:ascii="Times New Roman" w:hAnsi="Times New Roman" w:eastAsia="宋体" w:cs="Times New Roman"/>
                <w:color w:val="auto"/>
                <w:szCs w:val="21"/>
              </w:rPr>
              <w:t>μg/m</w:t>
            </w:r>
            <w:r>
              <w:rPr>
                <w:rFonts w:ascii="Times New Roman" w:hAnsi="Times New Roman" w:eastAsia="宋体" w:cs="Times New Roman"/>
                <w:color w:val="auto"/>
                <w:szCs w:val="21"/>
                <w:vertAlign w:val="superscript"/>
              </w:rPr>
              <w:t>3</w:t>
            </w:r>
          </w:p>
        </w:tc>
        <w:tc>
          <w:tcPr>
            <w:tcW w:w="2187" w:type="dxa"/>
            <w:tcBorders>
              <w:tl2br w:val="nil"/>
              <w:tr2bl w:val="nil"/>
            </w:tcBorders>
            <w:vAlign w:val="center"/>
          </w:tcPr>
          <w:p w14:paraId="09E1530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年平均质量浓度</w:t>
            </w:r>
          </w:p>
        </w:tc>
        <w:tc>
          <w:tcPr>
            <w:tcW w:w="1214" w:type="dxa"/>
            <w:tcBorders>
              <w:tl2br w:val="nil"/>
              <w:tr2bl w:val="nil"/>
            </w:tcBorders>
            <w:vAlign w:val="center"/>
          </w:tcPr>
          <w:p w14:paraId="0AF05A51">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79</w:t>
            </w:r>
          </w:p>
        </w:tc>
        <w:tc>
          <w:tcPr>
            <w:tcW w:w="1232" w:type="dxa"/>
            <w:tcBorders>
              <w:tl2br w:val="nil"/>
              <w:tr2bl w:val="nil"/>
            </w:tcBorders>
            <w:vAlign w:val="center"/>
          </w:tcPr>
          <w:p w14:paraId="7C578ACF">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70</w:t>
            </w:r>
          </w:p>
        </w:tc>
        <w:tc>
          <w:tcPr>
            <w:tcW w:w="1099" w:type="dxa"/>
            <w:tcBorders>
              <w:tl2br w:val="nil"/>
              <w:tr2bl w:val="nil"/>
            </w:tcBorders>
            <w:vAlign w:val="center"/>
          </w:tcPr>
          <w:p w14:paraId="3F74925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112.9</w:t>
            </w:r>
          </w:p>
        </w:tc>
        <w:tc>
          <w:tcPr>
            <w:tcW w:w="1236" w:type="dxa"/>
            <w:tcBorders>
              <w:tl2br w:val="nil"/>
              <w:tr2bl w:val="nil"/>
            </w:tcBorders>
            <w:vAlign w:val="center"/>
          </w:tcPr>
          <w:p w14:paraId="023547F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超标</w:t>
            </w:r>
          </w:p>
        </w:tc>
      </w:tr>
      <w:tr w14:paraId="50C92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60" w:hRule="atLeast"/>
        </w:trPr>
        <w:tc>
          <w:tcPr>
            <w:tcW w:w="1551" w:type="dxa"/>
            <w:tcBorders>
              <w:tl2br w:val="nil"/>
              <w:tr2bl w:val="nil"/>
            </w:tcBorders>
            <w:vAlign w:val="center"/>
          </w:tcPr>
          <w:p w14:paraId="271648B8">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COmg/m</w:t>
            </w:r>
            <w:r>
              <w:rPr>
                <w:rFonts w:ascii="Times New Roman" w:hAnsi="Times New Roman" w:eastAsia="宋体" w:cs="Times New Roman"/>
                <w:color w:val="auto"/>
                <w:szCs w:val="21"/>
                <w:vertAlign w:val="superscript"/>
              </w:rPr>
              <w:t>3</w:t>
            </w:r>
          </w:p>
        </w:tc>
        <w:tc>
          <w:tcPr>
            <w:tcW w:w="2187" w:type="dxa"/>
            <w:tcBorders>
              <w:tl2br w:val="nil"/>
              <w:tr2bl w:val="nil"/>
            </w:tcBorders>
            <w:vAlign w:val="center"/>
          </w:tcPr>
          <w:p w14:paraId="5750879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百分位数日平均浓度</w:t>
            </w:r>
          </w:p>
        </w:tc>
        <w:tc>
          <w:tcPr>
            <w:tcW w:w="1214" w:type="dxa"/>
            <w:tcBorders>
              <w:tl2br w:val="nil"/>
              <w:tr2bl w:val="nil"/>
            </w:tcBorders>
            <w:vAlign w:val="center"/>
          </w:tcPr>
          <w:p w14:paraId="2A85E4E1">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1</w:t>
            </w:r>
          </w:p>
        </w:tc>
        <w:tc>
          <w:tcPr>
            <w:tcW w:w="1232" w:type="dxa"/>
            <w:tcBorders>
              <w:tl2br w:val="nil"/>
              <w:tr2bl w:val="nil"/>
            </w:tcBorders>
            <w:vAlign w:val="center"/>
          </w:tcPr>
          <w:p w14:paraId="16EB3F3A">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4</w:t>
            </w:r>
          </w:p>
        </w:tc>
        <w:tc>
          <w:tcPr>
            <w:tcW w:w="1099" w:type="dxa"/>
            <w:tcBorders>
              <w:tl2br w:val="nil"/>
              <w:tr2bl w:val="nil"/>
            </w:tcBorders>
            <w:vAlign w:val="center"/>
          </w:tcPr>
          <w:p w14:paraId="72D6A17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27.5</w:t>
            </w:r>
          </w:p>
        </w:tc>
        <w:tc>
          <w:tcPr>
            <w:tcW w:w="1236" w:type="dxa"/>
            <w:tcBorders>
              <w:tl2br w:val="nil"/>
              <w:tr2bl w:val="nil"/>
            </w:tcBorders>
            <w:vAlign w:val="center"/>
          </w:tcPr>
          <w:p w14:paraId="5D2481B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达标</w:t>
            </w:r>
          </w:p>
        </w:tc>
      </w:tr>
      <w:tr w14:paraId="00CB5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90" w:hRule="atLeast"/>
        </w:trPr>
        <w:tc>
          <w:tcPr>
            <w:tcW w:w="1551" w:type="dxa"/>
            <w:tcBorders>
              <w:tl2br w:val="nil"/>
              <w:tr2bl w:val="nil"/>
            </w:tcBorders>
            <w:vAlign w:val="center"/>
          </w:tcPr>
          <w:p w14:paraId="265BBAE0">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O</w:t>
            </w:r>
            <w:r>
              <w:rPr>
                <w:rFonts w:ascii="Times New Roman" w:hAnsi="Times New Roman" w:eastAsia="宋体" w:cs="Times New Roman"/>
                <w:color w:val="auto"/>
                <w:szCs w:val="21"/>
                <w:vertAlign w:val="subscript"/>
              </w:rPr>
              <w:t>3</w:t>
            </w:r>
            <w:r>
              <w:rPr>
                <w:rFonts w:ascii="Times New Roman" w:hAnsi="Times New Roman" w:eastAsia="宋体" w:cs="Times New Roman"/>
                <w:color w:val="auto"/>
                <w:szCs w:val="21"/>
              </w:rPr>
              <w:t>μg/m</w:t>
            </w:r>
            <w:r>
              <w:rPr>
                <w:rFonts w:ascii="Times New Roman" w:hAnsi="Times New Roman" w:eastAsia="宋体" w:cs="Times New Roman"/>
                <w:color w:val="auto"/>
                <w:szCs w:val="21"/>
                <w:vertAlign w:val="superscript"/>
              </w:rPr>
              <w:t>3</w:t>
            </w:r>
          </w:p>
        </w:tc>
        <w:tc>
          <w:tcPr>
            <w:tcW w:w="2187" w:type="dxa"/>
            <w:tcBorders>
              <w:tl2br w:val="nil"/>
              <w:tr2bl w:val="nil"/>
            </w:tcBorders>
            <w:vAlign w:val="center"/>
          </w:tcPr>
          <w:p w14:paraId="698C5F4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百分位数日最大8h平均浓度</w:t>
            </w:r>
          </w:p>
        </w:tc>
        <w:tc>
          <w:tcPr>
            <w:tcW w:w="1214" w:type="dxa"/>
            <w:tcBorders>
              <w:tl2br w:val="nil"/>
              <w:tr2bl w:val="nil"/>
            </w:tcBorders>
            <w:vAlign w:val="center"/>
          </w:tcPr>
          <w:p w14:paraId="2AB347B6">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16</w:t>
            </w:r>
            <w:r>
              <w:rPr>
                <w:rFonts w:hint="eastAsia" w:ascii="Times New Roman" w:hAnsi="Times New Roman" w:eastAsia="宋体" w:cs="Times New Roman"/>
                <w:color w:val="auto"/>
                <w:szCs w:val="21"/>
              </w:rPr>
              <w:t>9</w:t>
            </w:r>
          </w:p>
        </w:tc>
        <w:tc>
          <w:tcPr>
            <w:tcW w:w="1232" w:type="dxa"/>
            <w:tcBorders>
              <w:tl2br w:val="nil"/>
              <w:tr2bl w:val="nil"/>
            </w:tcBorders>
            <w:vAlign w:val="center"/>
          </w:tcPr>
          <w:p w14:paraId="2161D109">
            <w:pPr>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160</w:t>
            </w:r>
          </w:p>
        </w:tc>
        <w:tc>
          <w:tcPr>
            <w:tcW w:w="1099" w:type="dxa"/>
            <w:tcBorders>
              <w:tl2br w:val="nil"/>
              <w:tr2bl w:val="nil"/>
            </w:tcBorders>
            <w:vAlign w:val="center"/>
          </w:tcPr>
          <w:p w14:paraId="5FF37A4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105.6</w:t>
            </w:r>
          </w:p>
        </w:tc>
        <w:tc>
          <w:tcPr>
            <w:tcW w:w="1236" w:type="dxa"/>
            <w:tcBorders>
              <w:tl2br w:val="nil"/>
              <w:tr2bl w:val="nil"/>
            </w:tcBorders>
            <w:vAlign w:val="center"/>
          </w:tcPr>
          <w:p w14:paraId="7C628B7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超标</w:t>
            </w:r>
          </w:p>
        </w:tc>
      </w:tr>
    </w:tbl>
    <w:p w14:paraId="6094AAE4">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濮阳市</w:t>
      </w:r>
      <w:r>
        <w:rPr>
          <w:rFonts w:ascii="Times New Roman" w:hAnsi="Times New Roman" w:eastAsia="宋体" w:cs="Times New Roman"/>
          <w:sz w:val="24"/>
        </w:rPr>
        <w:t>202</w:t>
      </w:r>
      <w:r>
        <w:rPr>
          <w:rFonts w:hint="eastAsia" w:ascii="Times New Roman" w:hAnsi="Times New Roman" w:eastAsia="宋体" w:cs="Times New Roman"/>
          <w:sz w:val="24"/>
        </w:rPr>
        <w:t>2</w:t>
      </w:r>
      <w:r>
        <w:rPr>
          <w:rFonts w:ascii="Times New Roman" w:hAnsi="Times New Roman" w:eastAsia="宋体" w:cs="Times New Roman"/>
          <w:sz w:val="24"/>
        </w:rPr>
        <w:t>年SO</w:t>
      </w:r>
      <w:r>
        <w:rPr>
          <w:rFonts w:ascii="Times New Roman" w:hAnsi="Times New Roman" w:eastAsia="宋体" w:cs="Times New Roman"/>
          <w:sz w:val="24"/>
          <w:vertAlign w:val="subscript"/>
        </w:rPr>
        <w:t>2</w:t>
      </w:r>
      <w:r>
        <w:rPr>
          <w:rFonts w:ascii="Times New Roman" w:hAnsi="Times New Roman" w:eastAsia="宋体" w:cs="Times New Roman"/>
          <w:sz w:val="24"/>
        </w:rPr>
        <w:t>、NO</w:t>
      </w:r>
      <w:r>
        <w:rPr>
          <w:rFonts w:ascii="Times New Roman" w:hAnsi="Times New Roman" w:eastAsia="宋体" w:cs="Times New Roman"/>
          <w:sz w:val="24"/>
          <w:vertAlign w:val="subscript"/>
        </w:rPr>
        <w:t>2</w:t>
      </w:r>
      <w:r>
        <w:rPr>
          <w:rFonts w:ascii="Times New Roman" w:hAnsi="Times New Roman" w:eastAsia="宋体" w:cs="Times New Roman"/>
          <w:sz w:val="24"/>
        </w:rPr>
        <w:t>年平均浓度、CO日平均质量浓度以及日平均特定百分位数浓度均满足《环境空气质量标准》</w:t>
      </w:r>
      <w:r>
        <w:rPr>
          <w:rFonts w:hint="eastAsia" w:ascii="Times New Roman" w:hAnsi="Times New Roman" w:eastAsia="宋体" w:cs="Times New Roman"/>
          <w:sz w:val="24"/>
        </w:rPr>
        <w:t>（</w:t>
      </w:r>
      <w:r>
        <w:rPr>
          <w:rFonts w:ascii="Times New Roman" w:hAnsi="Times New Roman" w:eastAsia="宋体" w:cs="Times New Roman"/>
          <w:sz w:val="24"/>
        </w:rPr>
        <w:t>GB3095-2012</w:t>
      </w:r>
      <w:r>
        <w:rPr>
          <w:rFonts w:hint="eastAsia" w:ascii="Times New Roman" w:hAnsi="Times New Roman" w:eastAsia="宋体" w:cs="Times New Roman"/>
          <w:sz w:val="24"/>
        </w:rPr>
        <w:t>）</w:t>
      </w:r>
      <w:r>
        <w:rPr>
          <w:rFonts w:ascii="Times New Roman" w:hAnsi="Times New Roman" w:eastAsia="宋体" w:cs="Times New Roman"/>
          <w:sz w:val="24"/>
        </w:rPr>
        <w:t>二级标准。</w:t>
      </w:r>
      <w:r>
        <w:rPr>
          <w:rFonts w:ascii="Times New Roman" w:hAnsi="Times New Roman" w:eastAsia="宋体" w:cs="Times New Roman"/>
          <w:color w:val="000000"/>
          <w:sz w:val="24"/>
          <w:szCs w:val="22"/>
        </w:rPr>
        <w:t>202</w:t>
      </w:r>
      <w:r>
        <w:rPr>
          <w:rFonts w:hint="eastAsia" w:ascii="Times New Roman" w:hAnsi="Times New Roman" w:eastAsia="宋体" w:cs="Times New Roman"/>
          <w:color w:val="000000"/>
          <w:sz w:val="24"/>
          <w:szCs w:val="22"/>
        </w:rPr>
        <w:t>2</w:t>
      </w:r>
      <w:r>
        <w:rPr>
          <w:rFonts w:ascii="Times New Roman" w:hAnsi="Times New Roman" w:eastAsia="宋体" w:cs="Times New Roman"/>
          <w:color w:val="000000"/>
          <w:sz w:val="24"/>
          <w:szCs w:val="22"/>
        </w:rPr>
        <w:t>年，PM</w:t>
      </w:r>
      <w:r>
        <w:rPr>
          <w:rFonts w:ascii="Times New Roman" w:hAnsi="Times New Roman" w:eastAsia="宋体" w:cs="Times New Roman"/>
          <w:color w:val="000000"/>
          <w:sz w:val="24"/>
          <w:szCs w:val="22"/>
          <w:vertAlign w:val="subscript"/>
        </w:rPr>
        <w:t>10</w:t>
      </w:r>
      <w:r>
        <w:rPr>
          <w:rFonts w:ascii="Times New Roman" w:hAnsi="Times New Roman" w:eastAsia="宋体" w:cs="Times New Roman"/>
          <w:color w:val="000000"/>
          <w:sz w:val="24"/>
          <w:szCs w:val="22"/>
        </w:rPr>
        <w:t>年平均浓度超标倍数为0.</w:t>
      </w:r>
      <w:r>
        <w:rPr>
          <w:rFonts w:hint="eastAsia" w:ascii="Times New Roman" w:hAnsi="Times New Roman" w:eastAsia="宋体" w:cs="Times New Roman"/>
          <w:color w:val="000000"/>
          <w:sz w:val="24"/>
          <w:szCs w:val="22"/>
        </w:rPr>
        <w:t>129</w:t>
      </w:r>
      <w:r>
        <w:rPr>
          <w:rFonts w:ascii="Times New Roman" w:hAnsi="Times New Roman" w:eastAsia="宋体" w:cs="Times New Roman"/>
          <w:color w:val="000000"/>
          <w:sz w:val="24"/>
          <w:szCs w:val="22"/>
        </w:rPr>
        <w:t>；PM</w:t>
      </w:r>
      <w:r>
        <w:rPr>
          <w:rFonts w:ascii="Times New Roman" w:hAnsi="Times New Roman" w:eastAsia="宋体" w:cs="Times New Roman"/>
          <w:color w:val="000000"/>
          <w:sz w:val="24"/>
          <w:szCs w:val="22"/>
          <w:vertAlign w:val="subscript"/>
        </w:rPr>
        <w:t>2.5</w:t>
      </w:r>
      <w:r>
        <w:rPr>
          <w:rFonts w:ascii="Times New Roman" w:hAnsi="Times New Roman" w:eastAsia="宋体" w:cs="Times New Roman"/>
          <w:color w:val="000000"/>
          <w:sz w:val="24"/>
          <w:szCs w:val="22"/>
        </w:rPr>
        <w:t>年平均浓度超标倍数为0.51；O</w:t>
      </w:r>
      <w:r>
        <w:rPr>
          <w:rFonts w:ascii="Times New Roman" w:hAnsi="Times New Roman" w:eastAsia="宋体" w:cs="Times New Roman"/>
          <w:color w:val="000000"/>
          <w:sz w:val="24"/>
          <w:szCs w:val="22"/>
          <w:vertAlign w:val="subscript"/>
        </w:rPr>
        <w:t>3</w:t>
      </w:r>
      <w:r>
        <w:rPr>
          <w:rFonts w:hint="eastAsia" w:ascii="Times New Roman" w:hAnsi="Times New Roman" w:eastAsia="宋体" w:cs="Times New Roman"/>
          <w:color w:val="000000"/>
          <w:sz w:val="24"/>
          <w:szCs w:val="22"/>
        </w:rPr>
        <w:t>最大8h平均浓度</w:t>
      </w:r>
      <w:r>
        <w:rPr>
          <w:rFonts w:ascii="Times New Roman" w:hAnsi="Times New Roman" w:eastAsia="宋体" w:cs="Times New Roman"/>
          <w:color w:val="000000"/>
          <w:sz w:val="24"/>
          <w:szCs w:val="22"/>
        </w:rPr>
        <w:t>特定百分位数浓度超标倍数为0.</w:t>
      </w:r>
      <w:r>
        <w:rPr>
          <w:rFonts w:hint="eastAsia" w:ascii="Times New Roman" w:hAnsi="Times New Roman" w:eastAsia="宋体" w:cs="Times New Roman"/>
          <w:color w:val="000000"/>
          <w:sz w:val="24"/>
          <w:szCs w:val="22"/>
        </w:rPr>
        <w:t>056</w:t>
      </w:r>
      <w:r>
        <w:rPr>
          <w:rFonts w:ascii="Times New Roman" w:hAnsi="Times New Roman" w:eastAsia="宋体" w:cs="Times New Roman"/>
          <w:sz w:val="24"/>
        </w:rPr>
        <w:t>；为不达标区。</w:t>
      </w:r>
    </w:p>
    <w:p w14:paraId="610892FF">
      <w:pPr>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濮阳市生态环境保护委员会办公室关于印发《濮阳市2023年蓝天保卫战实施方案》的通知（濮环委办〔2023〕7号），方案要求深入打好大气污染防治攻坚战，</w:t>
      </w:r>
      <w:r>
        <w:rPr>
          <w:rFonts w:hint="eastAsia" w:ascii="Times New Roman" w:hAnsi="Times New Roman" w:eastAsia="宋体" w:cs="Times New Roman"/>
          <w:sz w:val="24"/>
          <w:szCs w:val="22"/>
        </w:rPr>
        <w:t>持续改善环境空气质量，不断增强人民群众蓝天幸福感，具体如下</w:t>
      </w:r>
      <w:r>
        <w:rPr>
          <w:rFonts w:ascii="Times New Roman" w:hAnsi="Times New Roman" w:eastAsia="宋体" w:cs="Times New Roman"/>
          <w:sz w:val="24"/>
          <w:szCs w:val="22"/>
        </w:rPr>
        <w:t>：</w:t>
      </w:r>
    </w:p>
    <w:p w14:paraId="55B3B6E4">
      <w:pPr>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（一）持续推进</w:t>
      </w:r>
      <w:r>
        <w:rPr>
          <w:rFonts w:ascii="Times New Roman" w:hAnsi="Times New Roman" w:eastAsia="宋体" w:cs="Times New Roman"/>
          <w:sz w:val="24"/>
          <w:szCs w:val="22"/>
        </w:rPr>
        <w:t>产业结构</w:t>
      </w:r>
      <w:r>
        <w:rPr>
          <w:rFonts w:hint="eastAsia" w:ascii="Times New Roman" w:hAnsi="Times New Roman" w:eastAsia="宋体" w:cs="Times New Roman"/>
          <w:sz w:val="24"/>
          <w:szCs w:val="22"/>
        </w:rPr>
        <w:t>优化调整：1.加快传统产业集群升级改造。</w:t>
      </w:r>
      <w:r>
        <w:rPr>
          <w:rFonts w:ascii="Times New Roman" w:hAnsi="Times New Roman" w:eastAsia="宋体" w:cs="Times New Roman"/>
          <w:sz w:val="24"/>
          <w:szCs w:val="22"/>
        </w:rPr>
        <w:t>2.依法依规淘汰落后低效产能</w:t>
      </w:r>
      <w:r>
        <w:rPr>
          <w:rFonts w:hint="eastAsia" w:ascii="Times New Roman" w:hAnsi="Times New Roman" w:eastAsia="宋体" w:cs="Times New Roman"/>
          <w:sz w:val="24"/>
          <w:szCs w:val="22"/>
        </w:rPr>
        <w:t>。</w:t>
      </w:r>
      <w:r>
        <w:rPr>
          <w:rFonts w:ascii="Times New Roman" w:hAnsi="Times New Roman" w:eastAsia="宋体" w:cs="Times New Roman"/>
          <w:sz w:val="24"/>
          <w:szCs w:val="22"/>
        </w:rPr>
        <w:t>（</w:t>
      </w:r>
      <w:r>
        <w:rPr>
          <w:rFonts w:hint="eastAsia" w:ascii="Times New Roman" w:hAnsi="Times New Roman" w:eastAsia="宋体" w:cs="Times New Roman"/>
          <w:sz w:val="24"/>
          <w:szCs w:val="22"/>
        </w:rPr>
        <w:t>二</w:t>
      </w:r>
      <w:r>
        <w:rPr>
          <w:rFonts w:ascii="Times New Roman" w:hAnsi="Times New Roman" w:eastAsia="宋体" w:cs="Times New Roman"/>
          <w:sz w:val="24"/>
          <w:szCs w:val="22"/>
        </w:rPr>
        <w:t>）深入推进能源结构调整</w:t>
      </w:r>
      <w:r>
        <w:rPr>
          <w:rFonts w:hint="eastAsia" w:ascii="Times New Roman" w:hAnsi="Times New Roman" w:eastAsia="宋体" w:cs="Times New Roman"/>
          <w:sz w:val="24"/>
          <w:szCs w:val="22"/>
        </w:rPr>
        <w:t>：3.推进煤电结构优化调整。4.实施工业炉窑清洁能源替代。5.持续巩固清洁取暖成效。6.推进重点领域节能降碳改造。</w:t>
      </w:r>
      <w:r>
        <w:rPr>
          <w:rFonts w:ascii="Times New Roman" w:hAnsi="Times New Roman" w:eastAsia="宋体" w:cs="Times New Roman"/>
          <w:sz w:val="24"/>
          <w:szCs w:val="22"/>
        </w:rPr>
        <w:t>（</w:t>
      </w:r>
      <w:r>
        <w:rPr>
          <w:rFonts w:hint="eastAsia" w:ascii="Times New Roman" w:hAnsi="Times New Roman" w:eastAsia="宋体" w:cs="Times New Roman"/>
          <w:sz w:val="24"/>
          <w:szCs w:val="22"/>
        </w:rPr>
        <w:t>三</w:t>
      </w:r>
      <w:r>
        <w:rPr>
          <w:rFonts w:ascii="Times New Roman" w:hAnsi="Times New Roman" w:eastAsia="宋体" w:cs="Times New Roman"/>
          <w:sz w:val="24"/>
          <w:szCs w:val="22"/>
        </w:rPr>
        <w:t>）持续</w:t>
      </w:r>
      <w:r>
        <w:rPr>
          <w:rFonts w:hint="eastAsia" w:ascii="Times New Roman" w:hAnsi="Times New Roman" w:eastAsia="宋体" w:cs="Times New Roman"/>
          <w:sz w:val="24"/>
          <w:szCs w:val="22"/>
        </w:rPr>
        <w:t>加强</w:t>
      </w:r>
      <w:r>
        <w:rPr>
          <w:rFonts w:ascii="Times New Roman" w:hAnsi="Times New Roman" w:eastAsia="宋体" w:cs="Times New Roman"/>
          <w:sz w:val="24"/>
          <w:szCs w:val="22"/>
        </w:rPr>
        <w:t>交通运输结构</w:t>
      </w:r>
      <w:r>
        <w:rPr>
          <w:rFonts w:hint="eastAsia" w:ascii="Times New Roman" w:hAnsi="Times New Roman" w:eastAsia="宋体" w:cs="Times New Roman"/>
          <w:sz w:val="24"/>
          <w:szCs w:val="22"/>
        </w:rPr>
        <w:t>调整：7.提升大宗物资清洁运输水平。8.加快新能源汽车推广应用。</w:t>
      </w:r>
      <w:r>
        <w:rPr>
          <w:rFonts w:ascii="Times New Roman" w:hAnsi="Times New Roman" w:eastAsia="宋体" w:cs="Times New Roman"/>
          <w:sz w:val="24"/>
          <w:szCs w:val="22"/>
        </w:rPr>
        <w:t>（</w:t>
      </w:r>
      <w:r>
        <w:rPr>
          <w:rFonts w:hint="eastAsia" w:ascii="Times New Roman" w:hAnsi="Times New Roman" w:eastAsia="宋体" w:cs="Times New Roman"/>
          <w:sz w:val="24"/>
          <w:szCs w:val="22"/>
        </w:rPr>
        <w:t>四</w:t>
      </w:r>
      <w:r>
        <w:rPr>
          <w:rFonts w:ascii="Times New Roman" w:hAnsi="Times New Roman" w:eastAsia="宋体" w:cs="Times New Roman"/>
          <w:sz w:val="24"/>
          <w:szCs w:val="22"/>
        </w:rPr>
        <w:t>）强化面源污染</w:t>
      </w:r>
      <w:r>
        <w:rPr>
          <w:rFonts w:hint="eastAsia" w:ascii="Times New Roman" w:hAnsi="Times New Roman" w:eastAsia="宋体" w:cs="Times New Roman"/>
          <w:sz w:val="24"/>
          <w:szCs w:val="22"/>
        </w:rPr>
        <w:t>治理：9.加强扬尘防治精细化管理。10.开展农业面源污染治理。11.加强餐饮油烟和烟花爆竹管控。</w:t>
      </w:r>
      <w:r>
        <w:rPr>
          <w:rFonts w:ascii="Times New Roman" w:hAnsi="Times New Roman" w:eastAsia="宋体" w:cs="Times New Roman"/>
          <w:sz w:val="24"/>
          <w:szCs w:val="22"/>
        </w:rPr>
        <w:t>；（</w:t>
      </w:r>
      <w:r>
        <w:rPr>
          <w:rFonts w:hint="eastAsia" w:ascii="Times New Roman" w:hAnsi="Times New Roman" w:eastAsia="宋体" w:cs="Times New Roman"/>
          <w:sz w:val="24"/>
          <w:szCs w:val="22"/>
        </w:rPr>
        <w:t>五</w:t>
      </w:r>
      <w:r>
        <w:rPr>
          <w:rFonts w:ascii="Times New Roman" w:hAnsi="Times New Roman" w:eastAsia="宋体" w:cs="Times New Roman"/>
          <w:sz w:val="24"/>
          <w:szCs w:val="22"/>
        </w:rPr>
        <w:t>）</w:t>
      </w:r>
      <w:r>
        <w:rPr>
          <w:rFonts w:hint="eastAsia" w:ascii="Times New Roman" w:hAnsi="Times New Roman" w:eastAsia="宋体" w:cs="Times New Roman"/>
          <w:sz w:val="24"/>
          <w:szCs w:val="22"/>
        </w:rPr>
        <w:t>推进</w:t>
      </w:r>
      <w:r>
        <w:rPr>
          <w:rFonts w:ascii="Times New Roman" w:hAnsi="Times New Roman" w:eastAsia="宋体" w:cs="Times New Roman"/>
          <w:sz w:val="24"/>
          <w:szCs w:val="22"/>
        </w:rPr>
        <w:t>工业企业综合治理</w:t>
      </w:r>
      <w:r>
        <w:rPr>
          <w:rFonts w:hint="eastAsia" w:ascii="Times New Roman" w:hAnsi="Times New Roman" w:eastAsia="宋体" w:cs="Times New Roman"/>
          <w:sz w:val="24"/>
          <w:szCs w:val="22"/>
        </w:rPr>
        <w:t>：12.实施重点行业深度治理。13.开展锅炉综合治理“回头看”。14.开展生活垃圾焚烧企业提标治理。15.稳步推进氨污染防控。16.建立重点行业工业企业全口径清单。</w:t>
      </w:r>
      <w:r>
        <w:rPr>
          <w:rFonts w:ascii="Times New Roman" w:hAnsi="Times New Roman" w:eastAsia="宋体" w:cs="Times New Roman"/>
          <w:sz w:val="24"/>
          <w:szCs w:val="22"/>
        </w:rPr>
        <w:t>（</w:t>
      </w:r>
      <w:r>
        <w:rPr>
          <w:rFonts w:hint="eastAsia" w:ascii="Times New Roman" w:hAnsi="Times New Roman" w:eastAsia="宋体" w:cs="Times New Roman"/>
          <w:sz w:val="24"/>
          <w:szCs w:val="22"/>
        </w:rPr>
        <w:t>六</w:t>
      </w:r>
      <w:r>
        <w:rPr>
          <w:rFonts w:ascii="Times New Roman" w:hAnsi="Times New Roman" w:eastAsia="宋体" w:cs="Times New Roman"/>
          <w:sz w:val="24"/>
          <w:szCs w:val="22"/>
        </w:rPr>
        <w:t>）</w:t>
      </w:r>
      <w:r>
        <w:rPr>
          <w:rFonts w:hint="eastAsia" w:ascii="Times New Roman" w:hAnsi="Times New Roman" w:eastAsia="宋体" w:cs="Times New Roman"/>
          <w:sz w:val="24"/>
          <w:szCs w:val="22"/>
        </w:rPr>
        <w:t>加快</w:t>
      </w:r>
      <w:r>
        <w:rPr>
          <w:rFonts w:ascii="Times New Roman" w:hAnsi="Times New Roman" w:eastAsia="宋体" w:cs="Times New Roman"/>
          <w:sz w:val="24"/>
          <w:szCs w:val="22"/>
        </w:rPr>
        <w:t>挥发性有机物治理</w:t>
      </w:r>
      <w:r>
        <w:rPr>
          <w:rFonts w:hint="eastAsia" w:ascii="Times New Roman" w:hAnsi="Times New Roman" w:eastAsia="宋体" w:cs="Times New Roman"/>
          <w:sz w:val="24"/>
          <w:szCs w:val="22"/>
        </w:rPr>
        <w:t>：17.推进低VOCs含量原辅材料源头替代。18.持续加大无组织排放整治力度。19.大力提升治理设施去除效率。20.加强非正常工况废气排放管控。21.提升涉VOCs园区及集群治理水平。</w:t>
      </w:r>
      <w:r>
        <w:rPr>
          <w:rFonts w:ascii="Times New Roman" w:hAnsi="Times New Roman" w:eastAsia="宋体" w:cs="Times New Roman"/>
          <w:sz w:val="24"/>
          <w:szCs w:val="22"/>
        </w:rPr>
        <w:t>（</w:t>
      </w:r>
      <w:r>
        <w:rPr>
          <w:rFonts w:hint="eastAsia" w:ascii="Times New Roman" w:hAnsi="Times New Roman" w:eastAsia="宋体" w:cs="Times New Roman"/>
          <w:sz w:val="24"/>
          <w:szCs w:val="22"/>
        </w:rPr>
        <w:t>七</w:t>
      </w:r>
      <w:r>
        <w:rPr>
          <w:rFonts w:ascii="Times New Roman" w:hAnsi="Times New Roman" w:eastAsia="宋体" w:cs="Times New Roman"/>
          <w:sz w:val="24"/>
          <w:szCs w:val="22"/>
        </w:rPr>
        <w:t>）强化</w:t>
      </w:r>
      <w:r>
        <w:rPr>
          <w:rFonts w:hint="eastAsia" w:ascii="Times New Roman" w:hAnsi="Times New Roman" w:eastAsia="宋体" w:cs="Times New Roman"/>
          <w:sz w:val="24"/>
          <w:szCs w:val="22"/>
        </w:rPr>
        <w:t>区域联防联控：22.优化重点行业绩效分级管理。23.科学有效应对重污染天气。24实施重点行业错峰生产。</w:t>
      </w:r>
      <w:r>
        <w:rPr>
          <w:rFonts w:ascii="Times New Roman" w:hAnsi="Times New Roman" w:eastAsia="宋体" w:cs="Times New Roman"/>
          <w:sz w:val="24"/>
          <w:szCs w:val="22"/>
        </w:rPr>
        <w:t>（</w:t>
      </w:r>
      <w:r>
        <w:rPr>
          <w:rFonts w:hint="eastAsia" w:ascii="Times New Roman" w:hAnsi="Times New Roman" w:eastAsia="宋体" w:cs="Times New Roman"/>
          <w:sz w:val="24"/>
          <w:szCs w:val="22"/>
        </w:rPr>
        <w:t>八</w:t>
      </w:r>
      <w:r>
        <w:rPr>
          <w:rFonts w:ascii="Times New Roman" w:hAnsi="Times New Roman" w:eastAsia="宋体" w:cs="Times New Roman"/>
          <w:sz w:val="24"/>
          <w:szCs w:val="22"/>
        </w:rPr>
        <w:t>）强化大气环境治理能力</w:t>
      </w:r>
      <w:r>
        <w:rPr>
          <w:rFonts w:hint="eastAsia" w:ascii="Times New Roman" w:hAnsi="Times New Roman" w:eastAsia="宋体" w:cs="Times New Roman"/>
          <w:sz w:val="24"/>
          <w:szCs w:val="22"/>
        </w:rPr>
        <w:t>建设：25.强化执法监管能力。26.提升大气环境监测能力。27.加强大气环境监控能力。28.严厉打击监测监控数据造假。</w:t>
      </w:r>
    </w:p>
    <w:p w14:paraId="51459D7B">
      <w:pPr>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待以上大气污染防治计划逐步实施后，濮阳市环境空气质量将得到持续改善。</w:t>
      </w:r>
    </w:p>
    <w:p w14:paraId="3FF15D50">
      <w:pPr>
        <w:pStyle w:val="4"/>
        <w:numPr>
          <w:ilvl w:val="2"/>
          <w:numId w:val="45"/>
        </w:numPr>
        <w:tabs>
          <w:tab w:val="clear" w:pos="0"/>
        </w:tabs>
      </w:pPr>
      <w:r>
        <w:rPr>
          <w:rFonts w:hint="eastAsia"/>
        </w:rPr>
        <w:t>区域污染物环境质量现状</w:t>
      </w:r>
    </w:p>
    <w:p w14:paraId="542795C7">
      <w:pPr>
        <w:pStyle w:val="5"/>
        <w:numPr>
          <w:ilvl w:val="3"/>
          <w:numId w:val="45"/>
        </w:numPr>
        <w:rPr>
          <w:color w:val="auto"/>
        </w:rPr>
      </w:pPr>
      <w:r>
        <w:rPr>
          <w:rFonts w:hint="eastAsia" w:cs="Times New Roman"/>
          <w:color w:val="auto"/>
        </w:rPr>
        <w:t>基</w:t>
      </w:r>
      <w:r>
        <w:rPr>
          <w:rFonts w:cs="Times New Roman"/>
          <w:color w:val="auto"/>
        </w:rPr>
        <w:t>本污染物</w:t>
      </w:r>
    </w:p>
    <w:p w14:paraId="14E58074">
      <w:pPr>
        <w:pStyle w:val="12"/>
        <w:spacing w:line="360" w:lineRule="auto"/>
        <w:ind w:firstLine="480"/>
        <w:rPr>
          <w:rFonts w:ascii="Times New Roman" w:hAnsi="Times New Roman" w:cs="Times New Roman"/>
          <w:color w:val="auto"/>
          <w:sz w:val="24"/>
        </w:rPr>
      </w:pPr>
      <w:r>
        <w:rPr>
          <w:rFonts w:ascii="Times New Roman" w:hAnsi="Times New Roman" w:cs="Times New Roman"/>
          <w:color w:val="auto"/>
          <w:sz w:val="24"/>
        </w:rPr>
        <w:t>本项目评价因子中涉及的基本污染物为PM</w:t>
      </w:r>
      <w:r>
        <w:rPr>
          <w:rFonts w:ascii="Times New Roman" w:hAnsi="Times New Roman" w:eastAsia="宋体" w:cs="Times New Roman"/>
          <w:color w:val="auto"/>
          <w:sz w:val="24"/>
          <w:vertAlign w:val="subscript"/>
        </w:rPr>
        <w:t>10</w:t>
      </w:r>
      <w:r>
        <w:rPr>
          <w:rFonts w:ascii="Times New Roman" w:hAnsi="Times New Roman" w:cs="Times New Roman"/>
          <w:color w:val="auto"/>
          <w:sz w:val="24"/>
        </w:rPr>
        <w:t>，基本污染物环境质量现状需采用评价范围内的环境质量监测数据，本项目大气环境影响评价等级为二级，评价范围为边长5km的矩形。本项目评价范围内无环境空气质量现状监测数据。可选择符合《环境空气质量监测点位布设技术规范（试行）》（HJ664—2013）规定，并且邻近的环境空气质量城市点的监测数据。本项目选择</w:t>
      </w:r>
      <w:r>
        <w:rPr>
          <w:rFonts w:hint="eastAsia" w:ascii="Times New Roman" w:hAnsi="Times New Roman" w:cs="Times New Roman"/>
          <w:color w:val="auto"/>
          <w:sz w:val="24"/>
        </w:rPr>
        <w:t>濮阳市</w:t>
      </w:r>
      <w:r>
        <w:rPr>
          <w:rFonts w:ascii="Times New Roman" w:hAnsi="Times New Roman" w:cs="Times New Roman"/>
          <w:color w:val="auto"/>
          <w:sz w:val="24"/>
        </w:rPr>
        <w:t>环境空气监测网络中的城市点—</w:t>
      </w:r>
      <w:r>
        <w:rPr>
          <w:rFonts w:hint="eastAsia" w:ascii="Times New Roman" w:hAnsi="Times New Roman" w:cs="Times New Roman"/>
          <w:color w:val="auto"/>
          <w:sz w:val="24"/>
        </w:rPr>
        <w:t>濮阳市</w:t>
      </w:r>
      <w:r>
        <w:rPr>
          <w:rFonts w:ascii="Times New Roman" w:hAnsi="Times New Roman" w:cs="Times New Roman"/>
          <w:color w:val="auto"/>
          <w:sz w:val="24"/>
        </w:rPr>
        <w:t>。</w:t>
      </w:r>
    </w:p>
    <w:p w14:paraId="09BB8DDB">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根据《环境影响评价技术导则大气环境》（HJ2.2-2018）-表C.6，基本污染物环境质量现状见下表。</w:t>
      </w:r>
    </w:p>
    <w:p w14:paraId="46697104">
      <w:pPr>
        <w:spacing w:line="240" w:lineRule="auto"/>
        <w:ind w:firstLine="2530" w:firstLineChars="1200"/>
        <w:rPr>
          <w:rFonts w:ascii="Times New Roman" w:hAnsi="Times New Roman" w:cs="Times New Roman"/>
          <w:b/>
          <w:bCs/>
          <w:color w:val="auto"/>
          <w:szCs w:val="21"/>
        </w:rPr>
      </w:pPr>
      <w:r>
        <w:rPr>
          <w:rFonts w:ascii="Times New Roman" w:hAnsi="Times New Roman" w:cs="Times New Roman"/>
          <w:b/>
          <w:bCs/>
          <w:color w:val="auto"/>
          <w:szCs w:val="21"/>
        </w:rPr>
        <w:t>表4.2-2 基本污染物环境质量现状评价表</w:t>
      </w:r>
    </w:p>
    <w:tbl>
      <w:tblPr>
        <w:tblStyle w:val="3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987"/>
        <w:gridCol w:w="1621"/>
        <w:gridCol w:w="1362"/>
        <w:gridCol w:w="1384"/>
        <w:gridCol w:w="1232"/>
        <w:gridCol w:w="907"/>
      </w:tblGrid>
      <w:tr w14:paraId="4ABA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jc w:val="center"/>
        </w:trPr>
        <w:tc>
          <w:tcPr>
            <w:tcW w:w="1024" w:type="dxa"/>
            <w:tcBorders>
              <w:tl2br w:val="nil"/>
              <w:tr2bl w:val="nil"/>
            </w:tcBorders>
            <w:vAlign w:val="center"/>
          </w:tcPr>
          <w:p w14:paraId="50FB68C1">
            <w:pPr>
              <w:pStyle w:val="96"/>
              <w:rPr>
                <w:rFonts w:cs="Times New Roman"/>
                <w:color w:val="auto"/>
                <w:szCs w:val="21"/>
              </w:rPr>
            </w:pPr>
            <w:r>
              <w:rPr>
                <w:rFonts w:cs="Times New Roman"/>
                <w:color w:val="auto"/>
                <w:szCs w:val="21"/>
              </w:rPr>
              <w:t>点位名称</w:t>
            </w:r>
          </w:p>
        </w:tc>
        <w:tc>
          <w:tcPr>
            <w:tcW w:w="987" w:type="dxa"/>
            <w:tcBorders>
              <w:tl2br w:val="nil"/>
              <w:tr2bl w:val="nil"/>
            </w:tcBorders>
            <w:vAlign w:val="center"/>
          </w:tcPr>
          <w:p w14:paraId="190CA8F3">
            <w:pPr>
              <w:pStyle w:val="96"/>
              <w:rPr>
                <w:rFonts w:cs="Times New Roman"/>
                <w:color w:val="auto"/>
                <w:szCs w:val="21"/>
              </w:rPr>
            </w:pPr>
            <w:r>
              <w:rPr>
                <w:rFonts w:cs="Times New Roman"/>
                <w:color w:val="auto"/>
                <w:szCs w:val="21"/>
              </w:rPr>
              <w:t>污染物</w:t>
            </w:r>
          </w:p>
        </w:tc>
        <w:tc>
          <w:tcPr>
            <w:tcW w:w="1621" w:type="dxa"/>
            <w:tcBorders>
              <w:tl2br w:val="nil"/>
              <w:tr2bl w:val="nil"/>
            </w:tcBorders>
            <w:vAlign w:val="center"/>
          </w:tcPr>
          <w:p w14:paraId="47F7F595">
            <w:pPr>
              <w:pStyle w:val="96"/>
              <w:rPr>
                <w:rFonts w:cs="Times New Roman"/>
                <w:color w:val="auto"/>
                <w:szCs w:val="21"/>
              </w:rPr>
            </w:pPr>
            <w:r>
              <w:rPr>
                <w:rFonts w:cs="Times New Roman"/>
                <w:color w:val="auto"/>
                <w:szCs w:val="21"/>
              </w:rPr>
              <w:t>年评价指标</w:t>
            </w:r>
          </w:p>
        </w:tc>
        <w:tc>
          <w:tcPr>
            <w:tcW w:w="1362" w:type="dxa"/>
            <w:tcBorders>
              <w:tl2br w:val="nil"/>
              <w:tr2bl w:val="nil"/>
            </w:tcBorders>
            <w:vAlign w:val="center"/>
          </w:tcPr>
          <w:p w14:paraId="012F7DC2">
            <w:pPr>
              <w:pStyle w:val="96"/>
              <w:rPr>
                <w:rFonts w:cs="Times New Roman"/>
                <w:color w:val="auto"/>
                <w:szCs w:val="21"/>
              </w:rPr>
            </w:pPr>
            <w:r>
              <w:rPr>
                <w:rFonts w:cs="Times New Roman"/>
                <w:color w:val="auto"/>
                <w:szCs w:val="21"/>
              </w:rPr>
              <w:t>浓度(μg/m</w:t>
            </w:r>
            <w:r>
              <w:rPr>
                <w:rFonts w:cs="Times New Roman"/>
                <w:color w:val="auto"/>
                <w:szCs w:val="21"/>
                <w:vertAlign w:val="superscript"/>
              </w:rPr>
              <w:t>3</w:t>
            </w:r>
            <w:r>
              <w:rPr>
                <w:rFonts w:cs="Times New Roman"/>
                <w:color w:val="auto"/>
                <w:szCs w:val="21"/>
              </w:rPr>
              <w:t>)</w:t>
            </w:r>
          </w:p>
        </w:tc>
        <w:tc>
          <w:tcPr>
            <w:tcW w:w="1384" w:type="dxa"/>
            <w:tcBorders>
              <w:tl2br w:val="nil"/>
              <w:tr2bl w:val="nil"/>
            </w:tcBorders>
            <w:vAlign w:val="center"/>
          </w:tcPr>
          <w:p w14:paraId="049172DD">
            <w:pPr>
              <w:pStyle w:val="96"/>
              <w:rPr>
                <w:rFonts w:cs="Times New Roman"/>
                <w:color w:val="auto"/>
                <w:szCs w:val="21"/>
              </w:rPr>
            </w:pPr>
            <w:r>
              <w:rPr>
                <w:rFonts w:cs="Times New Roman"/>
                <w:color w:val="auto"/>
                <w:szCs w:val="21"/>
              </w:rPr>
              <w:t>标准值(μg/m</w:t>
            </w:r>
            <w:r>
              <w:rPr>
                <w:rFonts w:cs="Times New Roman"/>
                <w:color w:val="auto"/>
                <w:szCs w:val="21"/>
                <w:vertAlign w:val="superscript"/>
              </w:rPr>
              <w:t>3</w:t>
            </w:r>
            <w:r>
              <w:rPr>
                <w:rFonts w:cs="Times New Roman"/>
                <w:color w:val="auto"/>
                <w:szCs w:val="21"/>
              </w:rPr>
              <w:t>)</w:t>
            </w:r>
          </w:p>
        </w:tc>
        <w:tc>
          <w:tcPr>
            <w:tcW w:w="1232" w:type="dxa"/>
            <w:tcBorders>
              <w:tl2br w:val="nil"/>
              <w:tr2bl w:val="nil"/>
            </w:tcBorders>
            <w:vAlign w:val="center"/>
          </w:tcPr>
          <w:p w14:paraId="3CD626CE">
            <w:pPr>
              <w:pStyle w:val="96"/>
              <w:rPr>
                <w:rFonts w:cs="Times New Roman"/>
                <w:color w:val="auto"/>
                <w:szCs w:val="21"/>
              </w:rPr>
            </w:pPr>
            <w:r>
              <w:rPr>
                <w:rFonts w:cs="Times New Roman"/>
                <w:color w:val="auto"/>
                <w:szCs w:val="21"/>
              </w:rPr>
              <w:t>占标率(/%)</w:t>
            </w:r>
          </w:p>
        </w:tc>
        <w:tc>
          <w:tcPr>
            <w:tcW w:w="907" w:type="dxa"/>
            <w:tcBorders>
              <w:tl2br w:val="nil"/>
              <w:tr2bl w:val="nil"/>
            </w:tcBorders>
            <w:vAlign w:val="center"/>
          </w:tcPr>
          <w:p w14:paraId="1EF8B50F">
            <w:pPr>
              <w:pStyle w:val="96"/>
              <w:rPr>
                <w:rFonts w:cs="Times New Roman"/>
                <w:color w:val="auto"/>
                <w:szCs w:val="21"/>
              </w:rPr>
            </w:pPr>
            <w:r>
              <w:rPr>
                <w:rFonts w:cs="Times New Roman"/>
                <w:color w:val="auto"/>
                <w:szCs w:val="21"/>
              </w:rPr>
              <w:t>达标情况</w:t>
            </w:r>
          </w:p>
        </w:tc>
      </w:tr>
      <w:tr w14:paraId="1698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tcBorders>
              <w:tl2br w:val="nil"/>
              <w:tr2bl w:val="nil"/>
            </w:tcBorders>
            <w:vAlign w:val="center"/>
          </w:tcPr>
          <w:p w14:paraId="7E7B1E14">
            <w:pPr>
              <w:pStyle w:val="96"/>
              <w:rPr>
                <w:rFonts w:cs="Times New Roman"/>
                <w:color w:val="auto"/>
                <w:szCs w:val="21"/>
              </w:rPr>
            </w:pPr>
            <w:r>
              <w:rPr>
                <w:rFonts w:hint="eastAsia" w:cs="Times New Roman"/>
                <w:color w:val="auto"/>
                <w:szCs w:val="21"/>
              </w:rPr>
              <w:t>濮阳市</w:t>
            </w:r>
          </w:p>
        </w:tc>
        <w:tc>
          <w:tcPr>
            <w:tcW w:w="987" w:type="dxa"/>
            <w:tcBorders>
              <w:tl2br w:val="nil"/>
              <w:tr2bl w:val="nil"/>
            </w:tcBorders>
            <w:vAlign w:val="center"/>
          </w:tcPr>
          <w:p w14:paraId="6EC85783">
            <w:pPr>
              <w:pStyle w:val="96"/>
              <w:rPr>
                <w:rFonts w:cs="Times New Roman"/>
                <w:color w:val="auto"/>
                <w:szCs w:val="21"/>
              </w:rPr>
            </w:pPr>
            <w:r>
              <w:rPr>
                <w:rFonts w:cs="Times New Roman"/>
                <w:color w:val="auto"/>
                <w:szCs w:val="21"/>
              </w:rPr>
              <w:t>PM</w:t>
            </w:r>
            <w:r>
              <w:rPr>
                <w:rFonts w:cs="Times New Roman"/>
                <w:color w:val="auto"/>
                <w:szCs w:val="21"/>
                <w:vertAlign w:val="subscript"/>
              </w:rPr>
              <w:t>10</w:t>
            </w:r>
          </w:p>
        </w:tc>
        <w:tc>
          <w:tcPr>
            <w:tcW w:w="1621" w:type="dxa"/>
            <w:tcBorders>
              <w:tl2br w:val="nil"/>
              <w:tr2bl w:val="nil"/>
            </w:tcBorders>
            <w:vAlign w:val="center"/>
          </w:tcPr>
          <w:p w14:paraId="4592840A">
            <w:pPr>
              <w:pStyle w:val="96"/>
              <w:rPr>
                <w:rFonts w:cs="Times New Roman"/>
                <w:color w:val="auto"/>
              </w:rPr>
            </w:pPr>
            <w:r>
              <w:rPr>
                <w:rFonts w:cs="Times New Roman"/>
                <w:color w:val="auto"/>
              </w:rPr>
              <w:t>年平均浓度</w:t>
            </w:r>
          </w:p>
        </w:tc>
        <w:tc>
          <w:tcPr>
            <w:tcW w:w="1362" w:type="dxa"/>
            <w:tcBorders>
              <w:tl2br w:val="nil"/>
              <w:tr2bl w:val="nil"/>
            </w:tcBorders>
            <w:vAlign w:val="center"/>
          </w:tcPr>
          <w:p w14:paraId="6348D250">
            <w:pPr>
              <w:jc w:val="center"/>
              <w:rPr>
                <w:rFonts w:ascii="Times New Roman" w:hAnsi="Times New Roman" w:cs="Times New Roman"/>
                <w:color w:val="auto"/>
                <w:szCs w:val="21"/>
              </w:rPr>
            </w:pPr>
            <w:r>
              <w:rPr>
                <w:rFonts w:hint="eastAsia" w:ascii="Times New Roman" w:hAnsi="Times New Roman" w:eastAsia="宋体" w:cs="Times New Roman"/>
                <w:color w:val="auto"/>
                <w:szCs w:val="21"/>
              </w:rPr>
              <w:t>79</w:t>
            </w:r>
          </w:p>
        </w:tc>
        <w:tc>
          <w:tcPr>
            <w:tcW w:w="1384" w:type="dxa"/>
            <w:tcBorders>
              <w:tl2br w:val="nil"/>
              <w:tr2bl w:val="nil"/>
            </w:tcBorders>
            <w:vAlign w:val="center"/>
          </w:tcPr>
          <w:p w14:paraId="32245A99">
            <w:pPr>
              <w:jc w:val="center"/>
              <w:rPr>
                <w:rFonts w:ascii="Times New Roman" w:hAnsi="Times New Roman" w:cs="Times New Roman"/>
                <w:color w:val="auto"/>
                <w:szCs w:val="21"/>
              </w:rPr>
            </w:pPr>
            <w:r>
              <w:rPr>
                <w:rFonts w:ascii="Times New Roman" w:hAnsi="Times New Roman" w:eastAsia="宋体" w:cs="Times New Roman"/>
                <w:color w:val="auto"/>
                <w:szCs w:val="21"/>
              </w:rPr>
              <w:t>70</w:t>
            </w:r>
          </w:p>
        </w:tc>
        <w:tc>
          <w:tcPr>
            <w:tcW w:w="1232" w:type="dxa"/>
            <w:tcBorders>
              <w:tl2br w:val="nil"/>
              <w:tr2bl w:val="nil"/>
            </w:tcBorders>
            <w:vAlign w:val="center"/>
          </w:tcPr>
          <w:p w14:paraId="6A6387A8">
            <w:pPr>
              <w:jc w:val="center"/>
              <w:rPr>
                <w:rFonts w:ascii="Times New Roman" w:hAnsi="Times New Roman" w:cs="Times New Roman"/>
                <w:color w:val="auto"/>
              </w:rPr>
            </w:pPr>
            <w:r>
              <w:rPr>
                <w:rFonts w:hint="eastAsia" w:ascii="Times New Roman" w:hAnsi="Times New Roman" w:eastAsia="宋体" w:cs="Times New Roman"/>
                <w:color w:val="auto"/>
                <w:szCs w:val="21"/>
              </w:rPr>
              <w:t>16.7</w:t>
            </w:r>
          </w:p>
        </w:tc>
        <w:tc>
          <w:tcPr>
            <w:tcW w:w="907" w:type="dxa"/>
            <w:tcBorders>
              <w:tl2br w:val="nil"/>
              <w:tr2bl w:val="nil"/>
            </w:tcBorders>
            <w:vAlign w:val="center"/>
          </w:tcPr>
          <w:p w14:paraId="243BDF70">
            <w:pPr>
              <w:pStyle w:val="96"/>
              <w:rPr>
                <w:rFonts w:cs="Times New Roman"/>
                <w:color w:val="auto"/>
                <w:szCs w:val="21"/>
              </w:rPr>
            </w:pPr>
            <w:r>
              <w:rPr>
                <w:rFonts w:cs="Times New Roman"/>
                <w:color w:val="auto"/>
                <w:szCs w:val="21"/>
              </w:rPr>
              <w:t>不达标</w:t>
            </w:r>
          </w:p>
        </w:tc>
      </w:tr>
    </w:tbl>
    <w:p w14:paraId="11A93356">
      <w:pPr>
        <w:pStyle w:val="5"/>
        <w:numPr>
          <w:ilvl w:val="3"/>
          <w:numId w:val="45"/>
        </w:numPr>
        <w:rPr>
          <w:color w:val="auto"/>
        </w:rPr>
      </w:pPr>
      <w:r>
        <w:rPr>
          <w:rFonts w:hint="eastAsia"/>
          <w:color w:val="auto"/>
        </w:rPr>
        <w:t>特征</w:t>
      </w:r>
      <w:r>
        <w:rPr>
          <w:color w:val="auto"/>
        </w:rPr>
        <w:t>污染物补充监测点位</w:t>
      </w:r>
    </w:p>
    <w:p w14:paraId="31C1B9C0">
      <w:pPr>
        <w:spacing w:line="360" w:lineRule="auto"/>
        <w:ind w:firstLine="480" w:firstLineChars="200"/>
        <w:contextualSpacing/>
        <w:rPr>
          <w:rFonts w:ascii="Times New Roman" w:hAnsi="Times New Roman" w:eastAsia="宋体" w:cs="Times New Roman"/>
          <w:color w:val="0000FF"/>
          <w:sz w:val="24"/>
          <w:u w:val="single"/>
        </w:rPr>
      </w:pPr>
      <w:r>
        <w:rPr>
          <w:rFonts w:ascii="Times New Roman" w:hAnsi="Times New Roman" w:eastAsia="宋体" w:cs="Times New Roman"/>
          <w:sz w:val="24"/>
        </w:rPr>
        <w:t>结合本次评价区域局地地形条件、风频分布特征及环境功能区、环境空气保护目标所在方位，评价范围内共设置2个监测点位。由光远检测有限公司于202</w:t>
      </w:r>
      <w:r>
        <w:rPr>
          <w:rFonts w:hint="eastAsia" w:ascii="Times New Roman" w:hAnsi="Times New Roman" w:eastAsia="宋体" w:cs="Times New Roman"/>
          <w:sz w:val="24"/>
        </w:rPr>
        <w:t>3</w:t>
      </w:r>
      <w:r>
        <w:rPr>
          <w:rFonts w:ascii="Times New Roman" w:hAnsi="Times New Roman" w:eastAsia="宋体" w:cs="Times New Roman"/>
          <w:sz w:val="24"/>
        </w:rPr>
        <w:t>年</w:t>
      </w:r>
      <w:r>
        <w:rPr>
          <w:rFonts w:hint="eastAsia" w:ascii="Times New Roman" w:hAnsi="Times New Roman" w:eastAsia="宋体" w:cs="Times New Roman"/>
          <w:sz w:val="24"/>
        </w:rPr>
        <w:t>3</w:t>
      </w:r>
      <w:r>
        <w:rPr>
          <w:rFonts w:ascii="Times New Roman" w:hAnsi="Times New Roman" w:eastAsia="宋体" w:cs="Times New Roman"/>
          <w:sz w:val="24"/>
        </w:rPr>
        <w:t>月</w:t>
      </w:r>
      <w:r>
        <w:rPr>
          <w:rFonts w:hint="eastAsia" w:ascii="Times New Roman" w:hAnsi="Times New Roman" w:eastAsia="宋体" w:cs="Times New Roman"/>
          <w:sz w:val="24"/>
        </w:rPr>
        <w:t>23</w:t>
      </w:r>
      <w:r>
        <w:rPr>
          <w:rFonts w:ascii="Times New Roman" w:hAnsi="Times New Roman" w:eastAsia="宋体" w:cs="Times New Roman"/>
          <w:sz w:val="24"/>
        </w:rPr>
        <w:t>日~202</w:t>
      </w:r>
      <w:r>
        <w:rPr>
          <w:rFonts w:hint="eastAsia" w:ascii="Times New Roman" w:hAnsi="Times New Roman" w:eastAsia="宋体" w:cs="Times New Roman"/>
          <w:sz w:val="24"/>
        </w:rPr>
        <w:t>3</w:t>
      </w:r>
      <w:r>
        <w:rPr>
          <w:rFonts w:ascii="Times New Roman" w:hAnsi="Times New Roman" w:eastAsia="宋体" w:cs="Times New Roman"/>
          <w:sz w:val="24"/>
        </w:rPr>
        <w:t>年</w:t>
      </w:r>
      <w:r>
        <w:rPr>
          <w:rFonts w:hint="eastAsia" w:ascii="Times New Roman" w:hAnsi="Times New Roman" w:eastAsia="宋体" w:cs="Times New Roman"/>
          <w:sz w:val="24"/>
        </w:rPr>
        <w:t>3</w:t>
      </w:r>
      <w:r>
        <w:rPr>
          <w:rFonts w:ascii="Times New Roman" w:hAnsi="Times New Roman" w:eastAsia="宋体" w:cs="Times New Roman"/>
          <w:sz w:val="24"/>
        </w:rPr>
        <w:t>月</w:t>
      </w:r>
      <w:r>
        <w:rPr>
          <w:rFonts w:hint="eastAsia" w:ascii="Times New Roman" w:hAnsi="Times New Roman" w:eastAsia="宋体" w:cs="Times New Roman"/>
          <w:sz w:val="24"/>
        </w:rPr>
        <w:t>29</w:t>
      </w:r>
      <w:r>
        <w:rPr>
          <w:rFonts w:ascii="Times New Roman" w:hAnsi="Times New Roman" w:eastAsia="宋体" w:cs="Times New Roman"/>
          <w:sz w:val="24"/>
        </w:rPr>
        <w:t>日监测七天。</w:t>
      </w:r>
    </w:p>
    <w:p w14:paraId="099A3ACE">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监测点位功能特征及位置详见</w:t>
      </w:r>
      <w:r>
        <w:rPr>
          <w:rFonts w:hint="eastAsia" w:ascii="Times New Roman" w:hAnsi="Times New Roman" w:eastAsia="宋体" w:cs="Times New Roman"/>
          <w:sz w:val="24"/>
        </w:rPr>
        <w:t>下表</w:t>
      </w:r>
      <w:r>
        <w:rPr>
          <w:rFonts w:ascii="Times New Roman" w:hAnsi="Times New Roman" w:eastAsia="宋体" w:cs="Times New Roman"/>
          <w:sz w:val="24"/>
        </w:rPr>
        <w:t>及附图。</w:t>
      </w:r>
    </w:p>
    <w:p w14:paraId="5F17E418">
      <w:pPr>
        <w:spacing w:line="240" w:lineRule="auto"/>
        <w:contextualSpacing/>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表4.2-3</w:t>
      </w:r>
      <w:r>
        <w:rPr>
          <w:rFonts w:ascii="Times New Roman" w:hAnsi="Times New Roman" w:eastAsia="宋体" w:cs="Times New Roman"/>
          <w:b/>
          <w:bCs/>
          <w:szCs w:val="21"/>
        </w:rPr>
        <w:t xml:space="preserve">   其他污染物补充监测点位基本信息一览表</w:t>
      </w:r>
    </w:p>
    <w:tbl>
      <w:tblPr>
        <w:tblStyle w:val="31"/>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11"/>
        <w:gridCol w:w="1180"/>
        <w:gridCol w:w="1715"/>
        <w:gridCol w:w="1219"/>
        <w:gridCol w:w="905"/>
        <w:gridCol w:w="923"/>
      </w:tblGrid>
      <w:tr w14:paraId="71C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84" w:type="dxa"/>
            <w:vMerge w:val="restart"/>
            <w:tcMar>
              <w:top w:w="57" w:type="dxa"/>
              <w:bottom w:w="57" w:type="dxa"/>
            </w:tcMar>
            <w:vAlign w:val="center"/>
          </w:tcPr>
          <w:p w14:paraId="73806F15">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监测点</w:t>
            </w:r>
            <w:r>
              <w:rPr>
                <w:rFonts w:hint="eastAsia" w:ascii="Times New Roman" w:hAnsi="Times New Roman" w:eastAsia="宋体" w:cs="Times New Roman"/>
                <w:szCs w:val="21"/>
              </w:rPr>
              <w:t>位</w:t>
            </w:r>
          </w:p>
          <w:p w14:paraId="569E3783">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2391" w:type="dxa"/>
            <w:gridSpan w:val="2"/>
            <w:tcMar>
              <w:top w:w="57" w:type="dxa"/>
              <w:bottom w:w="57" w:type="dxa"/>
            </w:tcMar>
            <w:vAlign w:val="center"/>
          </w:tcPr>
          <w:p w14:paraId="125FAA97">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监测点坐标/m</w:t>
            </w:r>
          </w:p>
        </w:tc>
        <w:tc>
          <w:tcPr>
            <w:tcW w:w="1715" w:type="dxa"/>
            <w:vMerge w:val="restart"/>
            <w:tcMar>
              <w:top w:w="57" w:type="dxa"/>
              <w:bottom w:w="57" w:type="dxa"/>
            </w:tcMar>
            <w:vAlign w:val="center"/>
          </w:tcPr>
          <w:p w14:paraId="1E0D666C">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监测因子</w:t>
            </w:r>
          </w:p>
        </w:tc>
        <w:tc>
          <w:tcPr>
            <w:tcW w:w="1219" w:type="dxa"/>
            <w:vMerge w:val="restart"/>
            <w:tcMar>
              <w:top w:w="57" w:type="dxa"/>
              <w:bottom w:w="57" w:type="dxa"/>
            </w:tcMar>
            <w:vAlign w:val="center"/>
          </w:tcPr>
          <w:p w14:paraId="56EF101C">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监测时间</w:t>
            </w:r>
          </w:p>
        </w:tc>
        <w:tc>
          <w:tcPr>
            <w:tcW w:w="905" w:type="dxa"/>
            <w:vMerge w:val="restart"/>
            <w:tcMar>
              <w:top w:w="57" w:type="dxa"/>
              <w:bottom w:w="57" w:type="dxa"/>
            </w:tcMar>
            <w:vAlign w:val="center"/>
          </w:tcPr>
          <w:p w14:paraId="513B4675">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相对厂址位置</w:t>
            </w:r>
          </w:p>
        </w:tc>
        <w:tc>
          <w:tcPr>
            <w:tcW w:w="923" w:type="dxa"/>
            <w:vMerge w:val="restart"/>
            <w:tcMar>
              <w:top w:w="57" w:type="dxa"/>
              <w:bottom w:w="57" w:type="dxa"/>
            </w:tcMar>
            <w:vAlign w:val="center"/>
          </w:tcPr>
          <w:p w14:paraId="633990AC">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相对厂界距离</w:t>
            </w:r>
          </w:p>
        </w:tc>
      </w:tr>
      <w:tr w14:paraId="6B4B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84" w:type="dxa"/>
            <w:vMerge w:val="continue"/>
            <w:tcMar>
              <w:top w:w="57" w:type="dxa"/>
              <w:bottom w:w="57" w:type="dxa"/>
            </w:tcMar>
            <w:vAlign w:val="center"/>
          </w:tcPr>
          <w:p w14:paraId="0BCD6D88">
            <w:pPr>
              <w:adjustRightInd w:val="0"/>
              <w:snapToGrid w:val="0"/>
              <w:contextualSpacing/>
              <w:jc w:val="center"/>
              <w:rPr>
                <w:rFonts w:ascii="Times New Roman" w:hAnsi="Times New Roman" w:eastAsia="宋体" w:cs="Times New Roman"/>
                <w:szCs w:val="21"/>
              </w:rPr>
            </w:pPr>
          </w:p>
        </w:tc>
        <w:tc>
          <w:tcPr>
            <w:tcW w:w="1211" w:type="dxa"/>
            <w:tcMar>
              <w:top w:w="57" w:type="dxa"/>
              <w:bottom w:w="57" w:type="dxa"/>
            </w:tcMar>
            <w:vAlign w:val="center"/>
          </w:tcPr>
          <w:p w14:paraId="5F9EA3E4">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X（经度）</w:t>
            </w:r>
          </w:p>
        </w:tc>
        <w:tc>
          <w:tcPr>
            <w:tcW w:w="1180" w:type="dxa"/>
            <w:tcMar>
              <w:top w:w="57" w:type="dxa"/>
              <w:bottom w:w="57" w:type="dxa"/>
            </w:tcMar>
            <w:vAlign w:val="center"/>
          </w:tcPr>
          <w:p w14:paraId="2E330379">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Y（纬度）</w:t>
            </w:r>
          </w:p>
        </w:tc>
        <w:tc>
          <w:tcPr>
            <w:tcW w:w="1715" w:type="dxa"/>
            <w:vMerge w:val="continue"/>
            <w:tcMar>
              <w:top w:w="57" w:type="dxa"/>
              <w:bottom w:w="57" w:type="dxa"/>
            </w:tcMar>
            <w:vAlign w:val="center"/>
          </w:tcPr>
          <w:p w14:paraId="2FF5C979">
            <w:pPr>
              <w:adjustRightInd w:val="0"/>
              <w:snapToGrid w:val="0"/>
              <w:contextualSpacing/>
              <w:jc w:val="center"/>
              <w:rPr>
                <w:rFonts w:ascii="Times New Roman" w:hAnsi="Times New Roman" w:eastAsia="宋体" w:cs="Times New Roman"/>
                <w:szCs w:val="21"/>
              </w:rPr>
            </w:pPr>
          </w:p>
        </w:tc>
        <w:tc>
          <w:tcPr>
            <w:tcW w:w="1219" w:type="dxa"/>
            <w:vMerge w:val="continue"/>
            <w:tcMar>
              <w:top w:w="57" w:type="dxa"/>
              <w:bottom w:w="57" w:type="dxa"/>
            </w:tcMar>
            <w:vAlign w:val="center"/>
          </w:tcPr>
          <w:p w14:paraId="45CF1636">
            <w:pPr>
              <w:adjustRightInd w:val="0"/>
              <w:snapToGrid w:val="0"/>
              <w:contextualSpacing/>
              <w:jc w:val="center"/>
              <w:rPr>
                <w:rFonts w:ascii="Times New Roman" w:hAnsi="Times New Roman" w:eastAsia="宋体" w:cs="Times New Roman"/>
                <w:szCs w:val="21"/>
              </w:rPr>
            </w:pPr>
          </w:p>
        </w:tc>
        <w:tc>
          <w:tcPr>
            <w:tcW w:w="905" w:type="dxa"/>
            <w:vMerge w:val="continue"/>
            <w:tcMar>
              <w:top w:w="57" w:type="dxa"/>
              <w:bottom w:w="57" w:type="dxa"/>
            </w:tcMar>
            <w:vAlign w:val="center"/>
          </w:tcPr>
          <w:p w14:paraId="11185916">
            <w:pPr>
              <w:adjustRightInd w:val="0"/>
              <w:snapToGrid w:val="0"/>
              <w:contextualSpacing/>
              <w:jc w:val="center"/>
              <w:rPr>
                <w:rFonts w:ascii="Times New Roman" w:hAnsi="Times New Roman" w:eastAsia="宋体" w:cs="Times New Roman"/>
                <w:szCs w:val="21"/>
              </w:rPr>
            </w:pPr>
          </w:p>
        </w:tc>
        <w:tc>
          <w:tcPr>
            <w:tcW w:w="923" w:type="dxa"/>
            <w:vMerge w:val="continue"/>
            <w:tcMar>
              <w:top w:w="57" w:type="dxa"/>
              <w:bottom w:w="57" w:type="dxa"/>
            </w:tcMar>
            <w:vAlign w:val="center"/>
          </w:tcPr>
          <w:p w14:paraId="536374A0">
            <w:pPr>
              <w:adjustRightInd w:val="0"/>
              <w:snapToGrid w:val="0"/>
              <w:contextualSpacing/>
              <w:jc w:val="center"/>
              <w:rPr>
                <w:rFonts w:ascii="Times New Roman" w:hAnsi="Times New Roman" w:eastAsia="宋体" w:cs="Times New Roman"/>
                <w:szCs w:val="21"/>
              </w:rPr>
            </w:pPr>
          </w:p>
        </w:tc>
      </w:tr>
      <w:tr w14:paraId="191A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84" w:type="dxa"/>
            <w:tcMar>
              <w:top w:w="57" w:type="dxa"/>
              <w:bottom w:w="57" w:type="dxa"/>
            </w:tcMar>
            <w:vAlign w:val="center"/>
          </w:tcPr>
          <w:p w14:paraId="5D7CF3A5">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厂址</w:t>
            </w:r>
            <w:r>
              <w:rPr>
                <w:rFonts w:hint="eastAsia" w:ascii="Times New Roman" w:hAnsi="Times New Roman" w:eastAsia="宋体" w:cs="Times New Roman"/>
                <w:szCs w:val="21"/>
              </w:rPr>
              <w:t>（本次监测）</w:t>
            </w:r>
          </w:p>
        </w:tc>
        <w:tc>
          <w:tcPr>
            <w:tcW w:w="1211" w:type="dxa"/>
            <w:tcMar>
              <w:top w:w="57" w:type="dxa"/>
              <w:bottom w:w="57" w:type="dxa"/>
            </w:tcMar>
            <w:vAlign w:val="center"/>
          </w:tcPr>
          <w:p w14:paraId="28E74A69">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115.13892889</w:t>
            </w:r>
          </w:p>
        </w:tc>
        <w:tc>
          <w:tcPr>
            <w:tcW w:w="1180" w:type="dxa"/>
            <w:tcMar>
              <w:top w:w="57" w:type="dxa"/>
              <w:bottom w:w="57" w:type="dxa"/>
            </w:tcMar>
            <w:vAlign w:val="center"/>
          </w:tcPr>
          <w:p w14:paraId="7F494B60">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35.87703682</w:t>
            </w:r>
          </w:p>
        </w:tc>
        <w:tc>
          <w:tcPr>
            <w:tcW w:w="1715" w:type="dxa"/>
            <w:vMerge w:val="restart"/>
            <w:tcMar>
              <w:top w:w="57" w:type="dxa"/>
              <w:bottom w:w="57" w:type="dxa"/>
            </w:tcMar>
            <w:vAlign w:val="center"/>
          </w:tcPr>
          <w:p w14:paraId="6D4BDFC4">
            <w:pPr>
              <w:adjustRightInd w:val="0"/>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甲苯、二甲苯、非甲烷总烃</w:t>
            </w:r>
          </w:p>
        </w:tc>
        <w:tc>
          <w:tcPr>
            <w:tcW w:w="1219" w:type="dxa"/>
            <w:vMerge w:val="restart"/>
            <w:tcMar>
              <w:top w:w="57" w:type="dxa"/>
              <w:bottom w:w="57" w:type="dxa"/>
            </w:tcMar>
            <w:vAlign w:val="center"/>
          </w:tcPr>
          <w:p w14:paraId="2B79D970">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2023年03月23日-03月29日</w:t>
            </w:r>
          </w:p>
        </w:tc>
        <w:tc>
          <w:tcPr>
            <w:tcW w:w="905" w:type="dxa"/>
            <w:tcMar>
              <w:top w:w="57" w:type="dxa"/>
              <w:bottom w:w="57" w:type="dxa"/>
            </w:tcMar>
            <w:vAlign w:val="center"/>
          </w:tcPr>
          <w:p w14:paraId="4C9DA122">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w:t>
            </w:r>
          </w:p>
        </w:tc>
        <w:tc>
          <w:tcPr>
            <w:tcW w:w="923" w:type="dxa"/>
            <w:tcMar>
              <w:top w:w="57" w:type="dxa"/>
              <w:bottom w:w="57" w:type="dxa"/>
            </w:tcMar>
            <w:vAlign w:val="center"/>
          </w:tcPr>
          <w:p w14:paraId="625CF2E7">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w:t>
            </w:r>
          </w:p>
        </w:tc>
      </w:tr>
      <w:tr w14:paraId="786A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84" w:type="dxa"/>
            <w:tcMar>
              <w:top w:w="57" w:type="dxa"/>
              <w:bottom w:w="57" w:type="dxa"/>
            </w:tcMar>
            <w:vAlign w:val="center"/>
          </w:tcPr>
          <w:p w14:paraId="239096F3">
            <w:pPr>
              <w:adjustRightInd w:val="0"/>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西大屯村（本次监测）</w:t>
            </w:r>
          </w:p>
        </w:tc>
        <w:tc>
          <w:tcPr>
            <w:tcW w:w="1211" w:type="dxa"/>
            <w:tcMar>
              <w:top w:w="57" w:type="dxa"/>
              <w:bottom w:w="57" w:type="dxa"/>
            </w:tcMar>
            <w:vAlign w:val="center"/>
          </w:tcPr>
          <w:p w14:paraId="09B2FE77">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115.1421690</w:t>
            </w:r>
          </w:p>
        </w:tc>
        <w:tc>
          <w:tcPr>
            <w:tcW w:w="1180" w:type="dxa"/>
            <w:tcMar>
              <w:top w:w="57" w:type="dxa"/>
              <w:bottom w:w="57" w:type="dxa"/>
            </w:tcMar>
            <w:vAlign w:val="center"/>
          </w:tcPr>
          <w:p w14:paraId="14B8C7D6">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35.90323416</w:t>
            </w:r>
          </w:p>
        </w:tc>
        <w:tc>
          <w:tcPr>
            <w:tcW w:w="1715" w:type="dxa"/>
            <w:vMerge w:val="continue"/>
            <w:tcMar>
              <w:top w:w="57" w:type="dxa"/>
              <w:bottom w:w="57" w:type="dxa"/>
            </w:tcMar>
            <w:vAlign w:val="center"/>
          </w:tcPr>
          <w:p w14:paraId="5805D1D6">
            <w:pPr>
              <w:adjustRightInd w:val="0"/>
              <w:snapToGrid w:val="0"/>
              <w:contextualSpacing/>
              <w:jc w:val="center"/>
              <w:rPr>
                <w:rFonts w:ascii="Times New Roman" w:hAnsi="Times New Roman" w:eastAsia="宋体" w:cs="Times New Roman"/>
                <w:szCs w:val="21"/>
              </w:rPr>
            </w:pPr>
          </w:p>
        </w:tc>
        <w:tc>
          <w:tcPr>
            <w:tcW w:w="1219" w:type="dxa"/>
            <w:vMerge w:val="continue"/>
            <w:tcMar>
              <w:top w:w="57" w:type="dxa"/>
              <w:bottom w:w="57" w:type="dxa"/>
            </w:tcMar>
            <w:vAlign w:val="center"/>
          </w:tcPr>
          <w:p w14:paraId="6EC4416F">
            <w:pPr>
              <w:adjustRightInd w:val="0"/>
              <w:snapToGrid w:val="0"/>
              <w:contextualSpacing/>
              <w:jc w:val="center"/>
              <w:rPr>
                <w:rFonts w:ascii="Times New Roman" w:hAnsi="Times New Roman" w:eastAsia="宋体" w:cs="Times New Roman"/>
                <w:szCs w:val="21"/>
              </w:rPr>
            </w:pPr>
          </w:p>
        </w:tc>
        <w:tc>
          <w:tcPr>
            <w:tcW w:w="905" w:type="dxa"/>
            <w:tcMar>
              <w:top w:w="57" w:type="dxa"/>
              <w:bottom w:w="57" w:type="dxa"/>
            </w:tcMar>
            <w:vAlign w:val="center"/>
          </w:tcPr>
          <w:p w14:paraId="38440BE3">
            <w:pPr>
              <w:adjustRightInd w:val="0"/>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北</w:t>
            </w:r>
          </w:p>
        </w:tc>
        <w:tc>
          <w:tcPr>
            <w:tcW w:w="923" w:type="dxa"/>
            <w:tcMar>
              <w:top w:w="57" w:type="dxa"/>
              <w:bottom w:w="57" w:type="dxa"/>
            </w:tcMar>
            <w:vAlign w:val="center"/>
          </w:tcPr>
          <w:p w14:paraId="1D790F9D">
            <w:pPr>
              <w:adjustRightInd w:val="0"/>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2313</w:t>
            </w:r>
            <w:r>
              <w:rPr>
                <w:rFonts w:ascii="Times New Roman" w:hAnsi="Times New Roman" w:eastAsia="宋体" w:cs="Times New Roman"/>
                <w:szCs w:val="21"/>
              </w:rPr>
              <w:t>m</w:t>
            </w:r>
          </w:p>
        </w:tc>
      </w:tr>
    </w:tbl>
    <w:p w14:paraId="7A5465D8">
      <w:pPr>
        <w:spacing w:line="360" w:lineRule="auto"/>
        <w:ind w:firstLine="480" w:firstLineChars="200"/>
        <w:contextualSpacing/>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（2）监测因子及分析方法</w:t>
      </w:r>
    </w:p>
    <w:p w14:paraId="4E612050">
      <w:pPr>
        <w:spacing w:line="360" w:lineRule="auto"/>
        <w:ind w:firstLine="480" w:firstLineChars="200"/>
        <w:contextualSpacing/>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针对本项目排污特点及评价区域环境特征，本次环境空气质量现状监测因子为</w:t>
      </w:r>
      <w:r>
        <w:rPr>
          <w:rFonts w:hint="eastAsia" w:ascii="Times New Roman" w:hAnsi="Times New Roman" w:eastAsia="宋体" w:cs="Times New Roman"/>
          <w:color w:val="000000" w:themeColor="text1"/>
          <w:sz w:val="24"/>
          <w:lang w:val="en-US" w:eastAsia="zh-CN"/>
          <w14:textFill>
            <w14:solidFill>
              <w14:schemeClr w14:val="tx1"/>
            </w14:solidFill>
          </w14:textFill>
        </w:rPr>
        <w:t>苯、</w:t>
      </w:r>
      <w:r>
        <w:rPr>
          <w:rFonts w:hint="eastAsia" w:ascii="Times New Roman" w:hAnsi="Times New Roman" w:eastAsia="宋体" w:cs="Times New Roman"/>
          <w:color w:val="000000" w:themeColor="text1"/>
          <w:sz w:val="24"/>
          <w14:textFill>
            <w14:solidFill>
              <w14:schemeClr w14:val="tx1"/>
            </w14:solidFill>
          </w14:textFill>
        </w:rPr>
        <w:t>甲苯、二甲苯、非甲烷总烃</w:t>
      </w:r>
      <w:r>
        <w:rPr>
          <w:rFonts w:ascii="Times New Roman" w:hAnsi="Times New Roman" w:eastAsia="宋体" w:cs="Times New Roman"/>
          <w:color w:val="000000" w:themeColor="text1"/>
          <w:sz w:val="24"/>
          <w14:textFill>
            <w14:solidFill>
              <w14:schemeClr w14:val="tx1"/>
            </w14:solidFill>
          </w14:textFill>
        </w:rPr>
        <w:t>。监测因子及分析方法见</w:t>
      </w:r>
      <w:r>
        <w:rPr>
          <w:rFonts w:hint="eastAsia" w:ascii="Times New Roman" w:hAnsi="Times New Roman" w:eastAsia="宋体" w:cs="Times New Roman"/>
          <w:color w:val="000000" w:themeColor="text1"/>
          <w:sz w:val="24"/>
          <w14:textFill>
            <w14:solidFill>
              <w14:schemeClr w14:val="tx1"/>
            </w14:solidFill>
          </w14:textFill>
        </w:rPr>
        <w:t>下表</w:t>
      </w:r>
      <w:r>
        <w:rPr>
          <w:rFonts w:ascii="Times New Roman" w:hAnsi="Times New Roman" w:eastAsia="宋体" w:cs="Times New Roman"/>
          <w:color w:val="000000" w:themeColor="text1"/>
          <w:sz w:val="24"/>
          <w14:textFill>
            <w14:solidFill>
              <w14:schemeClr w14:val="tx1"/>
            </w14:solidFill>
          </w14:textFill>
        </w:rPr>
        <w:t>。</w:t>
      </w:r>
    </w:p>
    <w:p w14:paraId="51463F6E">
      <w:pPr>
        <w:pStyle w:val="18"/>
        <w:autoSpaceDE/>
        <w:autoSpaceDN/>
        <w:adjustRightInd/>
        <w:spacing w:line="360" w:lineRule="auto"/>
        <w:ind w:left="0" w:right="0"/>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 xml:space="preserve">表4.2-4 </w:t>
      </w:r>
      <w:r>
        <w:rPr>
          <w:rFonts w:ascii="Times New Roman" w:hAnsi="Times New Roman" w:eastAsia="宋体" w:cs="Times New Roman"/>
          <w:b/>
          <w:bCs/>
          <w:color w:val="000000" w:themeColor="text1"/>
          <w:sz w:val="21"/>
          <w:szCs w:val="21"/>
          <w14:textFill>
            <w14:solidFill>
              <w14:schemeClr w14:val="tx1"/>
            </w14:solidFill>
          </w14:textFill>
        </w:rPr>
        <w:t xml:space="preserve">  环境空气现状监测分析方法</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34"/>
        <w:gridCol w:w="2878"/>
        <w:gridCol w:w="1882"/>
        <w:gridCol w:w="1348"/>
        <w:gridCol w:w="1021"/>
      </w:tblGrid>
      <w:tr w14:paraId="0208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dxa"/>
            <w:tcBorders>
              <w:tl2br w:val="nil"/>
              <w:tr2bl w:val="nil"/>
            </w:tcBorders>
            <w:shd w:val="clear" w:color="auto" w:fill="auto"/>
            <w:vAlign w:val="center"/>
          </w:tcPr>
          <w:p w14:paraId="3D3574F7">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934" w:type="dxa"/>
            <w:tcBorders>
              <w:tl2br w:val="nil"/>
              <w:tr2bl w:val="nil"/>
            </w:tcBorders>
            <w:shd w:val="clear" w:color="auto" w:fill="auto"/>
            <w:vAlign w:val="center"/>
          </w:tcPr>
          <w:p w14:paraId="7752C992">
            <w:pPr>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监测</w:t>
            </w:r>
          </w:p>
          <w:p w14:paraId="1CC751BC">
            <w:pPr>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因子</w:t>
            </w:r>
          </w:p>
        </w:tc>
        <w:tc>
          <w:tcPr>
            <w:tcW w:w="2878" w:type="dxa"/>
            <w:tcBorders>
              <w:tl2br w:val="nil"/>
              <w:tr2bl w:val="nil"/>
            </w:tcBorders>
            <w:shd w:val="clear" w:color="auto" w:fill="auto"/>
            <w:vAlign w:val="center"/>
          </w:tcPr>
          <w:p w14:paraId="7FF35626">
            <w:pPr>
              <w:jc w:val="center"/>
              <w:rPr>
                <w:rFonts w:ascii="Times New Roman" w:hAnsi="Times New Roman" w:cs="Times New Roman"/>
                <w:szCs w:val="21"/>
              </w:rPr>
            </w:pPr>
            <w:r>
              <w:rPr>
                <w:rFonts w:ascii="Times New Roman" w:hAnsi="Times New Roman" w:cs="Times New Roman"/>
                <w:szCs w:val="21"/>
              </w:rPr>
              <w:t>检测方法</w:t>
            </w:r>
          </w:p>
        </w:tc>
        <w:tc>
          <w:tcPr>
            <w:tcW w:w="1882" w:type="dxa"/>
            <w:tcBorders>
              <w:tl2br w:val="nil"/>
              <w:tr2bl w:val="nil"/>
            </w:tcBorders>
            <w:shd w:val="clear" w:color="auto" w:fill="auto"/>
            <w:vAlign w:val="center"/>
          </w:tcPr>
          <w:p w14:paraId="1A9B25AE">
            <w:pPr>
              <w:jc w:val="center"/>
              <w:rPr>
                <w:rFonts w:ascii="Times New Roman" w:hAnsi="Times New Roman" w:cs="Times New Roman"/>
                <w:szCs w:val="21"/>
              </w:rPr>
            </w:pPr>
            <w:r>
              <w:rPr>
                <w:rFonts w:ascii="Times New Roman" w:hAnsi="Times New Roman" w:cs="Times New Roman"/>
                <w:szCs w:val="21"/>
              </w:rPr>
              <w:t>检测依据</w:t>
            </w:r>
          </w:p>
        </w:tc>
        <w:tc>
          <w:tcPr>
            <w:tcW w:w="1348" w:type="dxa"/>
            <w:tcBorders>
              <w:tl2br w:val="nil"/>
              <w:tr2bl w:val="nil"/>
            </w:tcBorders>
            <w:shd w:val="clear" w:color="auto" w:fill="auto"/>
            <w:vAlign w:val="center"/>
          </w:tcPr>
          <w:p w14:paraId="71B2CAD2">
            <w:pPr>
              <w:jc w:val="center"/>
              <w:rPr>
                <w:rFonts w:ascii="Times New Roman" w:hAnsi="Times New Roman" w:cs="Times New Roman"/>
                <w:szCs w:val="21"/>
              </w:rPr>
            </w:pPr>
            <w:r>
              <w:rPr>
                <w:rFonts w:ascii="Times New Roman" w:hAnsi="Times New Roman" w:cs="Times New Roman"/>
                <w:szCs w:val="21"/>
              </w:rPr>
              <w:t>分析仪器</w:t>
            </w:r>
          </w:p>
        </w:tc>
        <w:tc>
          <w:tcPr>
            <w:tcW w:w="1021" w:type="dxa"/>
            <w:tcBorders>
              <w:tl2br w:val="nil"/>
              <w:tr2bl w:val="nil"/>
            </w:tcBorders>
            <w:shd w:val="clear" w:color="auto" w:fill="auto"/>
            <w:vAlign w:val="center"/>
          </w:tcPr>
          <w:p w14:paraId="2E8FF451">
            <w:pPr>
              <w:jc w:val="center"/>
              <w:rPr>
                <w:rFonts w:ascii="Times New Roman" w:hAnsi="Times New Roman" w:cs="Times New Roman"/>
                <w:szCs w:val="21"/>
              </w:rPr>
            </w:pPr>
            <w:r>
              <w:rPr>
                <w:rFonts w:ascii="Times New Roman" w:hAnsi="Times New Roman" w:cs="Times New Roman"/>
                <w:szCs w:val="21"/>
              </w:rPr>
              <w:t>检出限</w:t>
            </w:r>
          </w:p>
        </w:tc>
      </w:tr>
      <w:tr w14:paraId="1808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dxa"/>
            <w:tcBorders>
              <w:tl2br w:val="nil"/>
              <w:tr2bl w:val="nil"/>
            </w:tcBorders>
            <w:vAlign w:val="center"/>
          </w:tcPr>
          <w:p w14:paraId="00546298">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934" w:type="dxa"/>
            <w:tcBorders>
              <w:tl2br w:val="nil"/>
              <w:tr2bl w:val="nil"/>
            </w:tcBorders>
            <w:shd w:val="clear" w:color="auto" w:fill="auto"/>
            <w:vAlign w:val="center"/>
          </w:tcPr>
          <w:p w14:paraId="12769735">
            <w:pPr>
              <w:adjustRightInd w:val="0"/>
              <w:snapToGrid w:val="0"/>
              <w:jc w:val="center"/>
              <w:rPr>
                <w:rFonts w:ascii="Times New Roman" w:hAnsi="Times New Roman" w:eastAsia="宋体" w:cs="Times New Roman"/>
                <w:szCs w:val="21"/>
              </w:rPr>
            </w:pPr>
            <w:r>
              <w:rPr>
                <w:rFonts w:ascii="Times New Roman" w:hAnsi="Times New Roman" w:cs="Times New Roman"/>
                <w:szCs w:val="21"/>
              </w:rPr>
              <w:t>非甲烷总烃</w:t>
            </w:r>
          </w:p>
        </w:tc>
        <w:tc>
          <w:tcPr>
            <w:tcW w:w="2878" w:type="dxa"/>
            <w:tcBorders>
              <w:tl2br w:val="nil"/>
              <w:tr2bl w:val="nil"/>
            </w:tcBorders>
            <w:shd w:val="clear" w:color="auto" w:fill="auto"/>
            <w:vAlign w:val="center"/>
          </w:tcPr>
          <w:p w14:paraId="20488A19">
            <w:pPr>
              <w:adjustRightInd w:val="0"/>
              <w:snapToGrid w:val="0"/>
              <w:jc w:val="center"/>
              <w:rPr>
                <w:rFonts w:ascii="Times New Roman" w:hAnsi="Times New Roman" w:eastAsia="宋体" w:cs="Times New Roman"/>
                <w:szCs w:val="21"/>
              </w:rPr>
            </w:pPr>
            <w:r>
              <w:rPr>
                <w:rFonts w:ascii="Times New Roman" w:hAnsi="Times New Roman" w:cs="Times New Roman"/>
                <w:szCs w:val="21"/>
              </w:rPr>
              <w:t>环境空气 总烃、甲烷和非甲烷总烃的测定 气相色谱法</w:t>
            </w:r>
          </w:p>
        </w:tc>
        <w:tc>
          <w:tcPr>
            <w:tcW w:w="1882" w:type="dxa"/>
            <w:tcBorders>
              <w:tl2br w:val="nil"/>
              <w:tr2bl w:val="nil"/>
            </w:tcBorders>
            <w:shd w:val="clear" w:color="auto" w:fill="auto"/>
            <w:vAlign w:val="center"/>
          </w:tcPr>
          <w:p w14:paraId="0073BCAB">
            <w:pPr>
              <w:adjustRightInd w:val="0"/>
              <w:snapToGrid w:val="0"/>
              <w:jc w:val="center"/>
              <w:rPr>
                <w:rFonts w:ascii="Times New Roman" w:hAnsi="Times New Roman" w:eastAsia="宋体" w:cs="Times New Roman"/>
                <w:szCs w:val="21"/>
              </w:rPr>
            </w:pPr>
            <w:r>
              <w:rPr>
                <w:rFonts w:ascii="Times New Roman" w:hAnsi="Times New Roman" w:cs="Times New Roman"/>
                <w:szCs w:val="21"/>
              </w:rPr>
              <w:t>HJ 604-2017</w:t>
            </w:r>
          </w:p>
        </w:tc>
        <w:tc>
          <w:tcPr>
            <w:tcW w:w="1348" w:type="dxa"/>
            <w:tcBorders>
              <w:tl2br w:val="nil"/>
              <w:tr2bl w:val="nil"/>
            </w:tcBorders>
            <w:shd w:val="clear" w:color="auto" w:fill="auto"/>
            <w:vAlign w:val="center"/>
          </w:tcPr>
          <w:p w14:paraId="544AE97F">
            <w:pPr>
              <w:jc w:val="center"/>
              <w:rPr>
                <w:rFonts w:ascii="Times New Roman" w:hAnsi="Times New Roman" w:eastAsia="宋体" w:cs="Times New Roman"/>
                <w:szCs w:val="21"/>
              </w:rPr>
            </w:pPr>
            <w:r>
              <w:rPr>
                <w:rFonts w:ascii="Times New Roman" w:hAnsi="Times New Roman" w:eastAsia="宋体" w:cs="Times New Roman"/>
                <w:szCs w:val="21"/>
              </w:rPr>
              <w:t>GC-4000A</w:t>
            </w:r>
          </w:p>
          <w:p w14:paraId="210F7ADD">
            <w:pPr>
              <w:adjustRightInd w:val="0"/>
              <w:snapToGrid w:val="0"/>
              <w:jc w:val="center"/>
              <w:rPr>
                <w:rFonts w:ascii="Times New Roman" w:hAnsi="Times New Roman" w:cs="Times New Roman"/>
                <w:szCs w:val="21"/>
              </w:rPr>
            </w:pPr>
            <w:r>
              <w:rPr>
                <w:rFonts w:ascii="Times New Roman" w:hAnsi="Times New Roman" w:cs="Times New Roman"/>
                <w:szCs w:val="21"/>
              </w:rPr>
              <w:t>气相色谱仪</w:t>
            </w:r>
          </w:p>
        </w:tc>
        <w:tc>
          <w:tcPr>
            <w:tcW w:w="1021" w:type="dxa"/>
            <w:tcBorders>
              <w:tl2br w:val="nil"/>
              <w:tr2bl w:val="nil"/>
            </w:tcBorders>
            <w:shd w:val="clear" w:color="auto" w:fill="auto"/>
            <w:vAlign w:val="center"/>
          </w:tcPr>
          <w:p w14:paraId="3132EEBD">
            <w:pPr>
              <w:adjustRightInd w:val="0"/>
              <w:snapToGrid w:val="0"/>
              <w:jc w:val="center"/>
              <w:rPr>
                <w:rFonts w:ascii="Times New Roman" w:hAnsi="Times New Roman" w:cs="Times New Roman"/>
                <w:szCs w:val="21"/>
              </w:rPr>
            </w:pPr>
            <w:r>
              <w:rPr>
                <w:rFonts w:ascii="Times New Roman" w:hAnsi="Times New Roman" w:cs="Times New Roman"/>
                <w:szCs w:val="21"/>
              </w:rPr>
              <w:t>0.07 mg/m</w:t>
            </w:r>
            <w:r>
              <w:rPr>
                <w:rFonts w:ascii="Times New Roman" w:hAnsi="Times New Roman" w:cs="Times New Roman"/>
                <w:szCs w:val="21"/>
                <w:vertAlign w:val="superscript"/>
              </w:rPr>
              <w:t>3</w:t>
            </w:r>
          </w:p>
        </w:tc>
      </w:tr>
      <w:tr w14:paraId="07AC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dxa"/>
            <w:tcBorders>
              <w:tl2br w:val="nil"/>
              <w:tr2bl w:val="nil"/>
            </w:tcBorders>
            <w:vAlign w:val="center"/>
          </w:tcPr>
          <w:p w14:paraId="2FC76467">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934" w:type="dxa"/>
            <w:tcBorders>
              <w:tl2br w:val="nil"/>
              <w:tr2bl w:val="nil"/>
            </w:tcBorders>
            <w:shd w:val="clear" w:color="auto" w:fill="auto"/>
            <w:vAlign w:val="center"/>
          </w:tcPr>
          <w:p w14:paraId="2375C626">
            <w:pPr>
              <w:adjustRightInd w:val="0"/>
              <w:snapToGrid w:val="0"/>
              <w:jc w:val="center"/>
              <w:rPr>
                <w:rFonts w:ascii="Times New Roman" w:hAnsi="Times New Roman" w:cs="Times New Roman"/>
                <w:bCs/>
                <w:szCs w:val="21"/>
              </w:rPr>
            </w:pPr>
            <w:r>
              <w:rPr>
                <w:rFonts w:hint="eastAsia" w:ascii="Times New Roman" w:hAnsi="Times New Roman" w:cs="Times New Roman"/>
                <w:szCs w:val="21"/>
                <w:highlight w:val="none"/>
                <w:lang w:val="en-US" w:eastAsia="zh-CN"/>
              </w:rPr>
              <w:t>苯、</w:t>
            </w:r>
            <w:r>
              <w:rPr>
                <w:rFonts w:ascii="Times New Roman" w:hAnsi="Times New Roman" w:cs="Times New Roman"/>
                <w:szCs w:val="21"/>
                <w:highlight w:val="none"/>
              </w:rPr>
              <w:t>甲苯</w:t>
            </w:r>
            <w:r>
              <w:rPr>
                <w:rFonts w:hint="eastAsia" w:cs="Times New Roman"/>
                <w:szCs w:val="21"/>
                <w:highlight w:val="none"/>
              </w:rPr>
              <w:t>、</w:t>
            </w:r>
            <w:r>
              <w:rPr>
                <w:rFonts w:hint="eastAsia" w:asciiTheme="minorEastAsia" w:hAnsiTheme="minorEastAsia" w:cstheme="minorEastAsia"/>
                <w:szCs w:val="21"/>
                <w:highlight w:val="none"/>
              </w:rPr>
              <w:t>二甲苯</w:t>
            </w:r>
          </w:p>
        </w:tc>
        <w:tc>
          <w:tcPr>
            <w:tcW w:w="2878" w:type="dxa"/>
            <w:tcBorders>
              <w:tl2br w:val="nil"/>
              <w:tr2bl w:val="nil"/>
            </w:tcBorders>
            <w:shd w:val="clear" w:color="auto" w:fill="auto"/>
            <w:vAlign w:val="center"/>
          </w:tcPr>
          <w:p w14:paraId="613A2391">
            <w:pPr>
              <w:adjustRightInd w:val="0"/>
              <w:snapToGrid w:val="0"/>
              <w:jc w:val="center"/>
              <w:rPr>
                <w:rFonts w:ascii="Times New Roman" w:hAnsi="Times New Roman" w:cs="Times New Roman"/>
                <w:szCs w:val="21"/>
              </w:rPr>
            </w:pPr>
            <w:r>
              <w:rPr>
                <w:rFonts w:ascii="Times New Roman" w:hAnsi="Times New Roman" w:cs="Times New Roman"/>
                <w:szCs w:val="21"/>
              </w:rPr>
              <w:t>环境空气  苯系物的测定</w:t>
            </w:r>
          </w:p>
          <w:p w14:paraId="2A752E81">
            <w:pPr>
              <w:adjustRightInd w:val="0"/>
              <w:snapToGrid w:val="0"/>
              <w:jc w:val="center"/>
              <w:rPr>
                <w:rFonts w:ascii="Times New Roman" w:hAnsi="Times New Roman" w:cs="Times New Roman"/>
                <w:bCs/>
                <w:szCs w:val="21"/>
              </w:rPr>
            </w:pPr>
            <w:r>
              <w:rPr>
                <w:rFonts w:ascii="Times New Roman" w:hAnsi="Times New Roman" w:cs="Times New Roman"/>
                <w:szCs w:val="21"/>
              </w:rPr>
              <w:t>活性炭吸附/二硫化碳解吸-气相色谱法</w:t>
            </w:r>
          </w:p>
        </w:tc>
        <w:tc>
          <w:tcPr>
            <w:tcW w:w="1882" w:type="dxa"/>
            <w:tcBorders>
              <w:tl2br w:val="nil"/>
              <w:tr2bl w:val="nil"/>
            </w:tcBorders>
            <w:shd w:val="clear" w:color="auto" w:fill="auto"/>
            <w:vAlign w:val="center"/>
          </w:tcPr>
          <w:p w14:paraId="69BA1424">
            <w:pPr>
              <w:adjustRightInd w:val="0"/>
              <w:snapToGrid w:val="0"/>
              <w:jc w:val="center"/>
              <w:rPr>
                <w:rFonts w:ascii="Times New Roman" w:hAnsi="Times New Roman" w:cs="Times New Roman"/>
                <w:bCs/>
                <w:szCs w:val="21"/>
              </w:rPr>
            </w:pPr>
            <w:r>
              <w:rPr>
                <w:rFonts w:ascii="Times New Roman" w:hAnsi="Times New Roman" w:cs="Times New Roman"/>
                <w:szCs w:val="21"/>
              </w:rPr>
              <w:t>HJ 584-2010</w:t>
            </w:r>
          </w:p>
        </w:tc>
        <w:tc>
          <w:tcPr>
            <w:tcW w:w="1348" w:type="dxa"/>
            <w:tcBorders>
              <w:tl2br w:val="nil"/>
              <w:tr2bl w:val="nil"/>
            </w:tcBorders>
            <w:shd w:val="clear" w:color="auto" w:fill="auto"/>
            <w:vAlign w:val="center"/>
          </w:tcPr>
          <w:p w14:paraId="47A7710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7890B</w:t>
            </w:r>
          </w:p>
          <w:p w14:paraId="7AF147C5">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气相色谱仪</w:t>
            </w:r>
          </w:p>
        </w:tc>
        <w:tc>
          <w:tcPr>
            <w:tcW w:w="1021" w:type="dxa"/>
            <w:tcBorders>
              <w:tl2br w:val="nil"/>
              <w:tr2bl w:val="nil"/>
            </w:tcBorders>
            <w:shd w:val="clear" w:color="auto" w:fill="auto"/>
            <w:vAlign w:val="center"/>
          </w:tcPr>
          <w:p w14:paraId="20235C24">
            <w:pPr>
              <w:adjustRightInd w:val="0"/>
              <w:snapToGrid w:val="0"/>
              <w:jc w:val="center"/>
              <w:rPr>
                <w:rFonts w:ascii="Times New Roman" w:hAnsi="Times New Roman" w:cs="Times New Roman"/>
                <w:bCs/>
                <w:szCs w:val="21"/>
              </w:rPr>
            </w:pPr>
            <w:r>
              <w:rPr>
                <w:rFonts w:ascii="Times New Roman" w:hAnsi="Times New Roman" w:cs="Times New Roman"/>
                <w:szCs w:val="21"/>
              </w:rPr>
              <w:t>1.5×10</w:t>
            </w:r>
            <w:r>
              <w:rPr>
                <w:rFonts w:ascii="Times New Roman" w:hAnsi="Times New Roman" w:cs="Times New Roman"/>
                <w:szCs w:val="21"/>
                <w:vertAlign w:val="superscript"/>
              </w:rPr>
              <w:t xml:space="preserve">-3 </w:t>
            </w:r>
            <w:r>
              <w:rPr>
                <w:rFonts w:ascii="Times New Roman" w:hAnsi="Times New Roman" w:cs="Times New Roman"/>
                <w:szCs w:val="21"/>
              </w:rPr>
              <w:t>mg/m</w:t>
            </w:r>
            <w:r>
              <w:rPr>
                <w:rFonts w:ascii="Times New Roman" w:hAnsi="Times New Roman" w:cs="Times New Roman"/>
                <w:szCs w:val="21"/>
                <w:vertAlign w:val="superscript"/>
              </w:rPr>
              <w:t>3</w:t>
            </w:r>
          </w:p>
        </w:tc>
      </w:tr>
    </w:tbl>
    <w:p w14:paraId="675F122A">
      <w:pPr>
        <w:spacing w:line="360" w:lineRule="auto"/>
        <w:ind w:firstLine="480" w:firstLineChars="200"/>
        <w:contextualSpacing/>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（3）监测时间及监测频率</w:t>
      </w:r>
    </w:p>
    <w:p w14:paraId="7FCFD6CD">
      <w:pPr>
        <w:spacing w:line="360" w:lineRule="auto"/>
        <w:ind w:firstLine="480" w:firstLineChars="200"/>
        <w:contextualSpacing/>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本次环境空气质量现状监测因子</w:t>
      </w:r>
      <w:r>
        <w:rPr>
          <w:rFonts w:hint="eastAsia" w:ascii="Times New Roman" w:hAnsi="Times New Roman" w:eastAsia="宋体" w:cs="Times New Roman"/>
          <w:color w:val="000000" w:themeColor="text1"/>
          <w:sz w:val="24"/>
          <w14:textFill>
            <w14:solidFill>
              <w14:schemeClr w14:val="tx1"/>
            </w14:solidFill>
          </w14:textFill>
        </w:rPr>
        <w:t>为甲苯、二甲苯、非甲烷总烃</w:t>
      </w:r>
      <w:r>
        <w:rPr>
          <w:rFonts w:ascii="Times New Roman" w:hAnsi="Times New Roman" w:eastAsia="宋体" w:cs="Times New Roman"/>
          <w:color w:val="000000" w:themeColor="text1"/>
          <w:sz w:val="24"/>
          <w14:textFill>
            <w14:solidFill>
              <w14:schemeClr w14:val="tx1"/>
            </w14:solidFill>
          </w14:textFill>
        </w:rPr>
        <w:t>。由光远检测有限公司于2023年3月23日~2023年3月29日监测七天。</w:t>
      </w:r>
      <w:r>
        <w:rPr>
          <w:rFonts w:hint="eastAsia" w:ascii="Times New Roman" w:hAnsi="Times New Roman" w:eastAsia="宋体" w:cs="Times New Roman"/>
          <w:b/>
          <w:bCs/>
          <w:color w:val="000000" w:themeColor="text1"/>
          <w:sz w:val="24"/>
          <w:u w:val="single"/>
          <w:lang w:val="en-US" w:eastAsia="zh-CN"/>
          <w14:textFill>
            <w14:solidFill>
              <w14:schemeClr w14:val="tx1"/>
            </w14:solidFill>
          </w14:textFill>
        </w:rPr>
        <w:t>苯引用《濮阳市挥发性有机物综合治理废活性炭集中再生中心(绿岛)项目》环境影响评价报告书中2023年4月26日-2023年5月2日对后荣花树村的监测数据。</w:t>
      </w:r>
    </w:p>
    <w:p w14:paraId="7CAF311D">
      <w:pPr>
        <w:spacing w:line="360" w:lineRule="auto"/>
        <w:ind w:firstLine="480" w:firstLineChars="200"/>
        <w:contextualSpacing/>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监测因子及监测方案见</w:t>
      </w:r>
      <w:r>
        <w:rPr>
          <w:rFonts w:hint="eastAsia" w:ascii="Times New Roman" w:hAnsi="Times New Roman" w:eastAsia="宋体" w:cs="Times New Roman"/>
          <w:color w:val="000000" w:themeColor="text1"/>
          <w:sz w:val="24"/>
          <w14:textFill>
            <w14:solidFill>
              <w14:schemeClr w14:val="tx1"/>
            </w14:solidFill>
          </w14:textFill>
        </w:rPr>
        <w:t>下表</w:t>
      </w:r>
      <w:r>
        <w:rPr>
          <w:rFonts w:ascii="Times New Roman" w:hAnsi="Times New Roman" w:eastAsia="宋体" w:cs="Times New Roman"/>
          <w:color w:val="000000" w:themeColor="text1"/>
          <w:sz w:val="24"/>
          <w14:textFill>
            <w14:solidFill>
              <w14:schemeClr w14:val="tx1"/>
            </w14:solidFill>
          </w14:textFill>
        </w:rPr>
        <w:t>。</w:t>
      </w:r>
    </w:p>
    <w:p w14:paraId="6A40B0C7">
      <w:pPr>
        <w:spacing w:line="360" w:lineRule="auto"/>
        <w:contextualSpacing/>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表4.3-4</w:t>
      </w:r>
      <w:r>
        <w:rPr>
          <w:rFonts w:ascii="Times New Roman" w:hAnsi="Times New Roman" w:eastAsia="宋体" w:cs="Times New Roman"/>
          <w:b/>
          <w:bCs/>
          <w:color w:val="000000" w:themeColor="text1"/>
          <w:szCs w:val="21"/>
          <w14:textFill>
            <w14:solidFill>
              <w14:schemeClr w14:val="tx1"/>
            </w14:solidFill>
          </w14:textFill>
        </w:rPr>
        <w:t xml:space="preserve">   监测因子及监测方案一览表</w:t>
      </w:r>
    </w:p>
    <w:tbl>
      <w:tblPr>
        <w:tblStyle w:val="30"/>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2892"/>
        <w:gridCol w:w="3113"/>
        <w:gridCol w:w="971"/>
      </w:tblGrid>
      <w:tr w14:paraId="24EE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98" w:type="dxa"/>
            <w:tcBorders>
              <w:top w:val="single" w:color="auto" w:sz="4" w:space="0"/>
              <w:left w:val="single" w:color="auto" w:sz="4" w:space="0"/>
              <w:bottom w:val="single" w:color="auto" w:sz="4" w:space="0"/>
              <w:right w:val="single" w:color="auto" w:sz="4" w:space="0"/>
            </w:tcBorders>
            <w:vAlign w:val="center"/>
          </w:tcPr>
          <w:p w14:paraId="1190DA81">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监测指标</w:t>
            </w:r>
          </w:p>
        </w:tc>
        <w:tc>
          <w:tcPr>
            <w:tcW w:w="2892" w:type="dxa"/>
            <w:tcBorders>
              <w:top w:val="single" w:color="auto" w:sz="4" w:space="0"/>
              <w:left w:val="single" w:color="auto" w:sz="4" w:space="0"/>
              <w:bottom w:val="single" w:color="auto" w:sz="4" w:space="0"/>
              <w:right w:val="single" w:color="auto" w:sz="4" w:space="0"/>
            </w:tcBorders>
            <w:vAlign w:val="center"/>
          </w:tcPr>
          <w:p w14:paraId="4FA1E7D6">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小时浓度或一次值</w:t>
            </w:r>
          </w:p>
        </w:tc>
        <w:tc>
          <w:tcPr>
            <w:tcW w:w="3113" w:type="dxa"/>
            <w:tcBorders>
              <w:top w:val="single" w:color="auto" w:sz="4" w:space="0"/>
              <w:left w:val="single" w:color="auto" w:sz="4" w:space="0"/>
              <w:bottom w:val="single" w:color="auto" w:sz="4" w:space="0"/>
              <w:right w:val="single" w:color="auto" w:sz="4" w:space="0"/>
            </w:tcBorders>
            <w:vAlign w:val="center"/>
          </w:tcPr>
          <w:p w14:paraId="114DA82E">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日平均浓度</w:t>
            </w:r>
          </w:p>
        </w:tc>
        <w:tc>
          <w:tcPr>
            <w:tcW w:w="971" w:type="dxa"/>
            <w:tcBorders>
              <w:top w:val="single" w:color="auto" w:sz="4" w:space="0"/>
              <w:left w:val="single" w:color="auto" w:sz="4" w:space="0"/>
              <w:bottom w:val="single" w:color="auto" w:sz="4" w:space="0"/>
              <w:right w:val="single" w:color="auto" w:sz="4" w:space="0"/>
            </w:tcBorders>
            <w:vAlign w:val="center"/>
          </w:tcPr>
          <w:p w14:paraId="2507A08F">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备注</w:t>
            </w:r>
          </w:p>
        </w:tc>
      </w:tr>
      <w:tr w14:paraId="3256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98" w:type="dxa"/>
            <w:tcBorders>
              <w:top w:val="single" w:color="auto" w:sz="4" w:space="0"/>
              <w:left w:val="single" w:color="auto" w:sz="4" w:space="0"/>
              <w:bottom w:val="single" w:color="auto" w:sz="4" w:space="0"/>
              <w:right w:val="single" w:color="auto" w:sz="4" w:space="0"/>
            </w:tcBorders>
            <w:vAlign w:val="center"/>
          </w:tcPr>
          <w:p w14:paraId="08A16C5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苯、</w:t>
            </w:r>
            <w:r>
              <w:rPr>
                <w:rFonts w:ascii="Times New Roman" w:hAnsi="Times New Roman" w:eastAsia="宋体" w:cs="Times New Roman"/>
                <w:color w:val="000000" w:themeColor="text1"/>
                <w:szCs w:val="21"/>
                <w14:textFill>
                  <w14:solidFill>
                    <w14:schemeClr w14:val="tx1"/>
                  </w14:solidFill>
                </w14:textFill>
              </w:rPr>
              <w:t>甲苯、二甲苯、非甲烷总烃</w:t>
            </w:r>
          </w:p>
        </w:tc>
        <w:tc>
          <w:tcPr>
            <w:tcW w:w="2892" w:type="dxa"/>
            <w:tcBorders>
              <w:top w:val="single" w:color="auto" w:sz="4" w:space="0"/>
              <w:left w:val="single" w:color="auto" w:sz="4" w:space="0"/>
              <w:bottom w:val="single" w:color="auto" w:sz="4" w:space="0"/>
              <w:right w:val="single" w:color="auto" w:sz="4" w:space="0"/>
            </w:tcBorders>
            <w:vAlign w:val="center"/>
          </w:tcPr>
          <w:p w14:paraId="20CE5A1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每天02、08、14、20时的一次值，各小时采一次样，每小时至少45分钟采样时间</w:t>
            </w:r>
          </w:p>
        </w:tc>
        <w:tc>
          <w:tcPr>
            <w:tcW w:w="3113" w:type="dxa"/>
            <w:tcBorders>
              <w:top w:val="single" w:color="auto" w:sz="4" w:space="0"/>
              <w:left w:val="single" w:color="auto" w:sz="4" w:space="0"/>
              <w:bottom w:val="single" w:color="auto" w:sz="4" w:space="0"/>
              <w:right w:val="single" w:color="auto" w:sz="4" w:space="0"/>
            </w:tcBorders>
            <w:vAlign w:val="center"/>
          </w:tcPr>
          <w:p w14:paraId="537F9EA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每日应有24个时采样时间</w:t>
            </w:r>
          </w:p>
        </w:tc>
        <w:tc>
          <w:tcPr>
            <w:tcW w:w="971" w:type="dxa"/>
            <w:tcBorders>
              <w:top w:val="single" w:color="auto" w:sz="4" w:space="0"/>
              <w:left w:val="single" w:color="auto" w:sz="4" w:space="0"/>
              <w:right w:val="single" w:color="auto" w:sz="4" w:space="0"/>
            </w:tcBorders>
            <w:vAlign w:val="center"/>
          </w:tcPr>
          <w:p w14:paraId="2AC5E42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监测7天</w:t>
            </w:r>
          </w:p>
        </w:tc>
      </w:tr>
    </w:tbl>
    <w:p w14:paraId="17ADB378">
      <w:pPr>
        <w:pStyle w:val="5"/>
        <w:numPr>
          <w:ilvl w:val="3"/>
          <w:numId w:val="45"/>
        </w:numPr>
      </w:pPr>
      <w:r>
        <w:t>环境空气质量现状评价</w:t>
      </w:r>
    </w:p>
    <w:p w14:paraId="0051DFCE">
      <w:pPr>
        <w:spacing w:line="360" w:lineRule="auto"/>
        <w:ind w:firstLine="480" w:firstLineChars="200"/>
        <w:contextualSpacing/>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（1）评价方法</w:t>
      </w:r>
    </w:p>
    <w:p w14:paraId="350EEBA8">
      <w:pPr>
        <w:spacing w:line="360" w:lineRule="auto"/>
        <w:ind w:firstLine="480" w:firstLineChars="200"/>
        <w:contextualSpacing/>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根据监测结果，采用单因子污染指数法，对照评价标准对环境空气质量现状进行评价，计算公式如下：</w:t>
      </w:r>
    </w:p>
    <w:p w14:paraId="64144A8C">
      <w:pPr>
        <w:spacing w:line="360" w:lineRule="auto"/>
        <w:ind w:firstLine="480" w:firstLineChars="200"/>
        <w:contextualSpacing/>
        <w:jc w:val="center"/>
        <w:rPr>
          <w:rFonts w:ascii="Times New Roman" w:hAnsi="Times New Roman" w:eastAsia="宋体" w:cs="Times New Roman"/>
          <w:sz w:val="24"/>
        </w:rPr>
      </w:pPr>
      <w:r>
        <w:rPr>
          <w:rFonts w:ascii="Times New Roman" w:hAnsi="Times New Roman" w:eastAsia="宋体" w:cs="Times New Roman"/>
          <w:sz w:val="24"/>
        </w:rPr>
        <w:t>P</w:t>
      </w:r>
      <w:r>
        <w:rPr>
          <w:rFonts w:ascii="Times New Roman" w:hAnsi="Times New Roman" w:eastAsia="宋体" w:cs="Times New Roman"/>
          <w:sz w:val="24"/>
          <w:vertAlign w:val="subscript"/>
        </w:rPr>
        <w:t>i</w:t>
      </w:r>
      <w:r>
        <w:rPr>
          <w:rFonts w:ascii="Times New Roman" w:hAnsi="Times New Roman" w:eastAsia="宋体" w:cs="Times New Roman"/>
          <w:sz w:val="24"/>
        </w:rPr>
        <w:t>=C</w:t>
      </w:r>
      <w:r>
        <w:rPr>
          <w:rFonts w:ascii="Times New Roman" w:hAnsi="Times New Roman" w:eastAsia="宋体" w:cs="Times New Roman"/>
          <w:sz w:val="24"/>
          <w:vertAlign w:val="subscript"/>
        </w:rPr>
        <w:t>i</w:t>
      </w:r>
      <w:r>
        <w:rPr>
          <w:rFonts w:ascii="Times New Roman" w:hAnsi="Times New Roman" w:eastAsia="宋体" w:cs="Times New Roman"/>
          <w:sz w:val="24"/>
        </w:rPr>
        <w:t>/S</w:t>
      </w:r>
      <w:r>
        <w:rPr>
          <w:rFonts w:ascii="Times New Roman" w:hAnsi="Times New Roman" w:eastAsia="宋体" w:cs="Times New Roman"/>
          <w:sz w:val="24"/>
          <w:vertAlign w:val="subscript"/>
        </w:rPr>
        <w:t>i</w:t>
      </w:r>
    </w:p>
    <w:p w14:paraId="0EA5C4D1">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式中，P</w:t>
      </w:r>
      <w:r>
        <w:rPr>
          <w:rFonts w:ascii="Times New Roman" w:hAnsi="Times New Roman" w:eastAsia="宋体" w:cs="Times New Roman"/>
          <w:sz w:val="24"/>
          <w:vertAlign w:val="subscript"/>
        </w:rPr>
        <w:t>i</w:t>
      </w:r>
      <w:r>
        <w:rPr>
          <w:rFonts w:ascii="Times New Roman" w:hAnsi="Times New Roman" w:eastAsia="宋体" w:cs="Times New Roman"/>
          <w:sz w:val="24"/>
        </w:rPr>
        <w:t>——i污染物的单因子污染指数</w:t>
      </w:r>
    </w:p>
    <w:p w14:paraId="460C40FF">
      <w:pPr>
        <w:spacing w:line="360" w:lineRule="auto"/>
        <w:ind w:firstLine="480" w:firstLineChars="200"/>
        <w:contextualSpacing/>
        <w:rPr>
          <w:rFonts w:ascii="Times New Roman" w:hAnsi="Times New Roman" w:eastAsia="宋体" w:cs="Times New Roman"/>
          <w:sz w:val="24"/>
          <w:vertAlign w:val="superscript"/>
        </w:rPr>
      </w:pPr>
      <w:r>
        <w:rPr>
          <w:rFonts w:ascii="Times New Roman" w:hAnsi="Times New Roman" w:eastAsia="宋体" w:cs="Times New Roman"/>
          <w:sz w:val="24"/>
        </w:rPr>
        <w:t xml:space="preserve">      C</w:t>
      </w:r>
      <w:r>
        <w:rPr>
          <w:rFonts w:ascii="Times New Roman" w:hAnsi="Times New Roman" w:eastAsia="宋体" w:cs="Times New Roman"/>
          <w:sz w:val="24"/>
          <w:vertAlign w:val="subscript"/>
        </w:rPr>
        <w:t>i</w:t>
      </w:r>
      <w:r>
        <w:rPr>
          <w:rFonts w:ascii="Times New Roman" w:hAnsi="Times New Roman" w:eastAsia="宋体" w:cs="Times New Roman"/>
          <w:sz w:val="24"/>
        </w:rPr>
        <w:t>——i污染物的实测浓度，单位：mg/Nm</w:t>
      </w:r>
      <w:r>
        <w:rPr>
          <w:rFonts w:ascii="Times New Roman" w:hAnsi="Times New Roman" w:eastAsia="宋体" w:cs="Times New Roman"/>
          <w:sz w:val="24"/>
          <w:vertAlign w:val="superscript"/>
        </w:rPr>
        <w:t>3</w:t>
      </w:r>
    </w:p>
    <w:p w14:paraId="008BD1FA">
      <w:pPr>
        <w:spacing w:line="360" w:lineRule="auto"/>
        <w:ind w:firstLine="480" w:firstLineChars="200"/>
        <w:contextualSpacing/>
        <w:rPr>
          <w:rFonts w:ascii="Times New Roman" w:hAnsi="Times New Roman" w:eastAsia="宋体" w:cs="Times New Roman"/>
          <w:sz w:val="24"/>
          <w:vertAlign w:val="superscript"/>
        </w:rPr>
      </w:pPr>
      <w:r>
        <w:rPr>
          <w:rFonts w:ascii="Times New Roman" w:hAnsi="Times New Roman" w:eastAsia="宋体" w:cs="Times New Roman"/>
          <w:sz w:val="24"/>
        </w:rPr>
        <w:t xml:space="preserve">      S</w:t>
      </w:r>
      <w:r>
        <w:rPr>
          <w:rFonts w:ascii="Times New Roman" w:hAnsi="Times New Roman" w:eastAsia="宋体" w:cs="Times New Roman"/>
          <w:sz w:val="24"/>
          <w:vertAlign w:val="subscript"/>
        </w:rPr>
        <w:t>i</w:t>
      </w:r>
      <w:r>
        <w:rPr>
          <w:rFonts w:ascii="Times New Roman" w:hAnsi="Times New Roman" w:eastAsia="宋体" w:cs="Times New Roman"/>
          <w:sz w:val="24"/>
        </w:rPr>
        <w:t>——i污染物的评价标准，单位：mg/Nm</w:t>
      </w:r>
      <w:r>
        <w:rPr>
          <w:rFonts w:ascii="Times New Roman" w:hAnsi="Times New Roman" w:eastAsia="宋体" w:cs="Times New Roman"/>
          <w:sz w:val="24"/>
          <w:vertAlign w:val="superscript"/>
        </w:rPr>
        <w:t>3</w:t>
      </w:r>
    </w:p>
    <w:p w14:paraId="5093F3CC">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（2）评价标准</w:t>
      </w:r>
    </w:p>
    <w:p w14:paraId="26B23281">
      <w:pPr>
        <w:spacing w:line="360" w:lineRule="auto"/>
        <w:ind w:firstLine="480" w:firstLineChars="200"/>
        <w:contextualSpacing/>
        <w:rPr>
          <w:rFonts w:ascii="Times New Roman" w:hAnsi="Times New Roman" w:eastAsia="宋体" w:cs="Times New Roman"/>
          <w:sz w:val="24"/>
          <w:highlight w:val="yellow"/>
        </w:rPr>
      </w:pPr>
      <w:r>
        <w:rPr>
          <w:rFonts w:ascii="Times New Roman" w:hAnsi="Times New Roman" w:eastAsia="宋体" w:cs="Times New Roman"/>
          <w:sz w:val="24"/>
        </w:rPr>
        <w:t>本次环境空气质量现状评价标准值见</w:t>
      </w:r>
      <w:r>
        <w:rPr>
          <w:rFonts w:hint="eastAsia" w:ascii="Times New Roman" w:hAnsi="Times New Roman" w:eastAsia="宋体" w:cs="Times New Roman"/>
          <w:sz w:val="24"/>
        </w:rPr>
        <w:t>表2.4-1</w:t>
      </w:r>
      <w:r>
        <w:rPr>
          <w:rFonts w:ascii="Times New Roman" w:hAnsi="Times New Roman" w:eastAsia="宋体" w:cs="Times New Roman"/>
          <w:sz w:val="24"/>
        </w:rPr>
        <w:t>。</w:t>
      </w:r>
    </w:p>
    <w:p w14:paraId="53956F0A">
      <w:pPr>
        <w:adjustRightInd w:val="0"/>
        <w:snapToGrid w:val="0"/>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（3）监测结果统计及评价</w:t>
      </w:r>
    </w:p>
    <w:p w14:paraId="6716B4A8">
      <w:pPr>
        <w:adjustRightInd w:val="0"/>
        <w:snapToGrid w:val="0"/>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本次环境空气质量现状监测数据统计分析结果见</w:t>
      </w:r>
      <w:r>
        <w:rPr>
          <w:rFonts w:hint="eastAsia" w:ascii="Times New Roman" w:hAnsi="Times New Roman" w:eastAsia="宋体" w:cs="Times New Roman"/>
          <w:sz w:val="24"/>
        </w:rPr>
        <w:t>下表</w:t>
      </w:r>
      <w:r>
        <w:rPr>
          <w:rFonts w:ascii="Times New Roman" w:hAnsi="Times New Roman" w:eastAsia="宋体" w:cs="Times New Roman"/>
          <w:sz w:val="24"/>
        </w:rPr>
        <w:t>。</w:t>
      </w:r>
    </w:p>
    <w:p w14:paraId="4F93C64F">
      <w:pPr>
        <w:spacing w:line="360" w:lineRule="auto"/>
        <w:contextualSpacing/>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表4.2-5</w:t>
      </w:r>
      <w:r>
        <w:rPr>
          <w:rFonts w:ascii="Times New Roman" w:hAnsi="Times New Roman" w:eastAsia="宋体" w:cs="Times New Roman"/>
          <w:b/>
          <w:bCs/>
          <w:szCs w:val="21"/>
        </w:rPr>
        <w:t xml:space="preserve">   大气其他污染物环境监测结果一览表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26"/>
        <w:gridCol w:w="810"/>
        <w:gridCol w:w="1082"/>
        <w:gridCol w:w="1003"/>
        <w:gridCol w:w="900"/>
        <w:gridCol w:w="960"/>
        <w:gridCol w:w="873"/>
        <w:gridCol w:w="660"/>
        <w:gridCol w:w="668"/>
      </w:tblGrid>
      <w:tr w14:paraId="734F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40" w:type="dxa"/>
            <w:vMerge w:val="restart"/>
            <w:tcMar>
              <w:top w:w="57" w:type="dxa"/>
              <w:bottom w:w="57" w:type="dxa"/>
            </w:tcMar>
            <w:vAlign w:val="center"/>
          </w:tcPr>
          <w:p w14:paraId="3AF9359C">
            <w:pPr>
              <w:contextualSpacing/>
              <w:jc w:val="center"/>
              <w:rPr>
                <w:rFonts w:ascii="Times New Roman" w:hAnsi="Times New Roman" w:eastAsia="宋体" w:cs="Times New Roman"/>
                <w:szCs w:val="21"/>
              </w:rPr>
            </w:pPr>
            <w:r>
              <w:rPr>
                <w:rFonts w:ascii="Times New Roman" w:hAnsi="Times New Roman" w:eastAsia="宋体" w:cs="Times New Roman"/>
                <w:szCs w:val="21"/>
              </w:rPr>
              <w:t>点位名称</w:t>
            </w:r>
          </w:p>
        </w:tc>
        <w:tc>
          <w:tcPr>
            <w:tcW w:w="1636" w:type="dxa"/>
            <w:gridSpan w:val="2"/>
            <w:tcMar>
              <w:top w:w="57" w:type="dxa"/>
              <w:bottom w:w="57" w:type="dxa"/>
            </w:tcMar>
            <w:vAlign w:val="center"/>
          </w:tcPr>
          <w:p w14:paraId="56460CFA">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监测点坐标/m</w:t>
            </w:r>
          </w:p>
        </w:tc>
        <w:tc>
          <w:tcPr>
            <w:tcW w:w="1082" w:type="dxa"/>
            <w:vMerge w:val="restart"/>
            <w:tcMar>
              <w:top w:w="57" w:type="dxa"/>
              <w:bottom w:w="57" w:type="dxa"/>
            </w:tcMar>
            <w:vAlign w:val="center"/>
          </w:tcPr>
          <w:p w14:paraId="1D158D21">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污染物</w:t>
            </w:r>
          </w:p>
        </w:tc>
        <w:tc>
          <w:tcPr>
            <w:tcW w:w="1003" w:type="dxa"/>
            <w:vMerge w:val="restart"/>
            <w:tcMar>
              <w:top w:w="57" w:type="dxa"/>
              <w:bottom w:w="57" w:type="dxa"/>
            </w:tcMar>
            <w:vAlign w:val="center"/>
          </w:tcPr>
          <w:p w14:paraId="44201F0E">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平均</w:t>
            </w:r>
          </w:p>
          <w:p w14:paraId="17A5DFEE">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时间</w:t>
            </w:r>
          </w:p>
        </w:tc>
        <w:tc>
          <w:tcPr>
            <w:tcW w:w="900" w:type="dxa"/>
            <w:vMerge w:val="restart"/>
            <w:tcMar>
              <w:top w:w="57" w:type="dxa"/>
              <w:bottom w:w="57" w:type="dxa"/>
            </w:tcMar>
            <w:vAlign w:val="center"/>
          </w:tcPr>
          <w:p w14:paraId="78FA480B">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评价标准（μg/m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p>
        </w:tc>
        <w:tc>
          <w:tcPr>
            <w:tcW w:w="960" w:type="dxa"/>
            <w:vMerge w:val="restart"/>
            <w:tcMar>
              <w:top w:w="57" w:type="dxa"/>
              <w:bottom w:w="57" w:type="dxa"/>
            </w:tcMar>
            <w:vAlign w:val="center"/>
          </w:tcPr>
          <w:p w14:paraId="086402D1">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监测浓度范围（μg/m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p>
        </w:tc>
        <w:tc>
          <w:tcPr>
            <w:tcW w:w="873" w:type="dxa"/>
            <w:vMerge w:val="restart"/>
            <w:tcMar>
              <w:top w:w="57" w:type="dxa"/>
              <w:bottom w:w="57" w:type="dxa"/>
            </w:tcMar>
            <w:vAlign w:val="center"/>
          </w:tcPr>
          <w:p w14:paraId="38223049">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最大浓度占标率%</w:t>
            </w:r>
          </w:p>
        </w:tc>
        <w:tc>
          <w:tcPr>
            <w:tcW w:w="660" w:type="dxa"/>
            <w:vMerge w:val="restart"/>
            <w:tcMar>
              <w:top w:w="57" w:type="dxa"/>
              <w:bottom w:w="57" w:type="dxa"/>
            </w:tcMar>
            <w:vAlign w:val="center"/>
          </w:tcPr>
          <w:p w14:paraId="49A04B5A">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超标率%</w:t>
            </w:r>
          </w:p>
        </w:tc>
        <w:tc>
          <w:tcPr>
            <w:tcW w:w="668" w:type="dxa"/>
            <w:vMerge w:val="restart"/>
            <w:tcMar>
              <w:top w:w="57" w:type="dxa"/>
              <w:bottom w:w="57" w:type="dxa"/>
            </w:tcMar>
            <w:vAlign w:val="center"/>
          </w:tcPr>
          <w:p w14:paraId="5676BE38">
            <w:pPr>
              <w:contextualSpacing/>
              <w:jc w:val="center"/>
              <w:rPr>
                <w:rFonts w:ascii="Times New Roman" w:hAnsi="Times New Roman" w:eastAsia="宋体" w:cs="Times New Roman"/>
                <w:szCs w:val="21"/>
              </w:rPr>
            </w:pPr>
            <w:r>
              <w:rPr>
                <w:rFonts w:ascii="Times New Roman" w:hAnsi="Times New Roman" w:eastAsia="宋体" w:cs="Times New Roman"/>
                <w:szCs w:val="21"/>
              </w:rPr>
              <w:t>达标情况</w:t>
            </w:r>
          </w:p>
        </w:tc>
      </w:tr>
      <w:tr w14:paraId="22C7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40" w:type="dxa"/>
            <w:vMerge w:val="continue"/>
            <w:tcMar>
              <w:top w:w="57" w:type="dxa"/>
              <w:bottom w:w="57" w:type="dxa"/>
            </w:tcMar>
            <w:vAlign w:val="center"/>
          </w:tcPr>
          <w:p w14:paraId="000BF1B4">
            <w:pPr>
              <w:contextualSpacing/>
              <w:jc w:val="center"/>
              <w:rPr>
                <w:rFonts w:ascii="Times New Roman" w:hAnsi="Times New Roman" w:eastAsia="宋体" w:cs="Times New Roman"/>
                <w:szCs w:val="21"/>
              </w:rPr>
            </w:pPr>
          </w:p>
        </w:tc>
        <w:tc>
          <w:tcPr>
            <w:tcW w:w="826" w:type="dxa"/>
            <w:tcMar>
              <w:top w:w="57" w:type="dxa"/>
              <w:bottom w:w="57" w:type="dxa"/>
            </w:tcMar>
            <w:vAlign w:val="center"/>
          </w:tcPr>
          <w:p w14:paraId="36469839">
            <w:pPr>
              <w:contextualSpacing/>
              <w:jc w:val="center"/>
              <w:rPr>
                <w:rFonts w:ascii="Times New Roman" w:hAnsi="Times New Roman" w:eastAsia="宋体" w:cs="Times New Roman"/>
                <w:szCs w:val="21"/>
              </w:rPr>
            </w:pPr>
            <w:r>
              <w:rPr>
                <w:rFonts w:ascii="Times New Roman" w:hAnsi="Times New Roman" w:eastAsia="宋体" w:cs="Times New Roman"/>
                <w:szCs w:val="21"/>
              </w:rPr>
              <w:t>X（经度）</w:t>
            </w:r>
          </w:p>
        </w:tc>
        <w:tc>
          <w:tcPr>
            <w:tcW w:w="810" w:type="dxa"/>
            <w:tcMar>
              <w:top w:w="57" w:type="dxa"/>
              <w:bottom w:w="57" w:type="dxa"/>
            </w:tcMar>
            <w:vAlign w:val="center"/>
          </w:tcPr>
          <w:p w14:paraId="69CF81A2">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Y（纬度）</w:t>
            </w:r>
          </w:p>
        </w:tc>
        <w:tc>
          <w:tcPr>
            <w:tcW w:w="1082" w:type="dxa"/>
            <w:vMerge w:val="continue"/>
            <w:tcMar>
              <w:top w:w="57" w:type="dxa"/>
              <w:bottom w:w="57" w:type="dxa"/>
            </w:tcMar>
            <w:vAlign w:val="center"/>
          </w:tcPr>
          <w:p w14:paraId="1DBD9A90">
            <w:pPr>
              <w:contextualSpacing/>
              <w:jc w:val="center"/>
              <w:rPr>
                <w:rFonts w:ascii="Times New Roman" w:hAnsi="Times New Roman" w:eastAsia="宋体" w:cs="Times New Roman"/>
                <w:b/>
                <w:bCs/>
                <w:color w:val="auto"/>
                <w:szCs w:val="21"/>
              </w:rPr>
            </w:pPr>
          </w:p>
        </w:tc>
        <w:tc>
          <w:tcPr>
            <w:tcW w:w="1003" w:type="dxa"/>
            <w:vMerge w:val="continue"/>
            <w:tcMar>
              <w:top w:w="57" w:type="dxa"/>
              <w:bottom w:w="57" w:type="dxa"/>
            </w:tcMar>
            <w:vAlign w:val="center"/>
          </w:tcPr>
          <w:p w14:paraId="6B09FCC0">
            <w:pPr>
              <w:contextualSpacing/>
              <w:jc w:val="center"/>
              <w:rPr>
                <w:rFonts w:ascii="Times New Roman" w:hAnsi="Times New Roman" w:eastAsia="宋体" w:cs="Times New Roman"/>
                <w:b/>
                <w:bCs/>
                <w:color w:val="auto"/>
                <w:szCs w:val="21"/>
              </w:rPr>
            </w:pPr>
          </w:p>
        </w:tc>
        <w:tc>
          <w:tcPr>
            <w:tcW w:w="900" w:type="dxa"/>
            <w:vMerge w:val="continue"/>
            <w:tcMar>
              <w:top w:w="57" w:type="dxa"/>
              <w:bottom w:w="57" w:type="dxa"/>
            </w:tcMar>
            <w:vAlign w:val="center"/>
          </w:tcPr>
          <w:p w14:paraId="5C47A3FB">
            <w:pPr>
              <w:contextualSpacing/>
              <w:jc w:val="center"/>
              <w:rPr>
                <w:rFonts w:ascii="Times New Roman" w:hAnsi="Times New Roman" w:eastAsia="宋体" w:cs="Times New Roman"/>
                <w:b/>
                <w:bCs/>
                <w:color w:val="auto"/>
                <w:szCs w:val="21"/>
              </w:rPr>
            </w:pPr>
          </w:p>
        </w:tc>
        <w:tc>
          <w:tcPr>
            <w:tcW w:w="960" w:type="dxa"/>
            <w:vMerge w:val="continue"/>
            <w:tcMar>
              <w:top w:w="57" w:type="dxa"/>
              <w:bottom w:w="57" w:type="dxa"/>
            </w:tcMar>
            <w:vAlign w:val="center"/>
          </w:tcPr>
          <w:p w14:paraId="5774A052">
            <w:pPr>
              <w:contextualSpacing/>
              <w:jc w:val="center"/>
              <w:rPr>
                <w:rFonts w:ascii="Times New Roman" w:hAnsi="Times New Roman" w:eastAsia="宋体" w:cs="Times New Roman"/>
                <w:b/>
                <w:bCs/>
                <w:color w:val="auto"/>
                <w:szCs w:val="21"/>
              </w:rPr>
            </w:pPr>
          </w:p>
        </w:tc>
        <w:tc>
          <w:tcPr>
            <w:tcW w:w="873" w:type="dxa"/>
            <w:vMerge w:val="continue"/>
            <w:tcMar>
              <w:top w:w="57" w:type="dxa"/>
              <w:bottom w:w="57" w:type="dxa"/>
            </w:tcMar>
            <w:vAlign w:val="center"/>
          </w:tcPr>
          <w:p w14:paraId="1C7715B2">
            <w:pPr>
              <w:contextualSpacing/>
              <w:jc w:val="center"/>
              <w:rPr>
                <w:rFonts w:ascii="Times New Roman" w:hAnsi="Times New Roman" w:eastAsia="宋体" w:cs="Times New Roman"/>
                <w:b/>
                <w:bCs/>
                <w:color w:val="auto"/>
                <w:szCs w:val="21"/>
              </w:rPr>
            </w:pPr>
          </w:p>
        </w:tc>
        <w:tc>
          <w:tcPr>
            <w:tcW w:w="660" w:type="dxa"/>
            <w:vMerge w:val="continue"/>
            <w:tcMar>
              <w:top w:w="57" w:type="dxa"/>
              <w:bottom w:w="57" w:type="dxa"/>
            </w:tcMar>
            <w:vAlign w:val="center"/>
          </w:tcPr>
          <w:p w14:paraId="32E76FD4">
            <w:pPr>
              <w:contextualSpacing/>
              <w:jc w:val="center"/>
              <w:rPr>
                <w:rFonts w:ascii="Times New Roman" w:hAnsi="Times New Roman" w:eastAsia="宋体" w:cs="Times New Roman"/>
                <w:b/>
                <w:bCs/>
                <w:color w:val="auto"/>
                <w:szCs w:val="21"/>
              </w:rPr>
            </w:pPr>
          </w:p>
        </w:tc>
        <w:tc>
          <w:tcPr>
            <w:tcW w:w="668" w:type="dxa"/>
            <w:vMerge w:val="continue"/>
            <w:tcMar>
              <w:top w:w="57" w:type="dxa"/>
              <w:bottom w:w="57" w:type="dxa"/>
            </w:tcMar>
            <w:vAlign w:val="center"/>
          </w:tcPr>
          <w:p w14:paraId="6F934B46">
            <w:pPr>
              <w:contextualSpacing/>
              <w:jc w:val="center"/>
              <w:rPr>
                <w:rFonts w:ascii="Times New Roman" w:hAnsi="Times New Roman" w:eastAsia="宋体" w:cs="Times New Roman"/>
                <w:b/>
                <w:bCs/>
                <w:szCs w:val="21"/>
              </w:rPr>
            </w:pPr>
          </w:p>
        </w:tc>
      </w:tr>
      <w:tr w14:paraId="671E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restart"/>
            <w:tcMar>
              <w:top w:w="57" w:type="dxa"/>
              <w:bottom w:w="57" w:type="dxa"/>
            </w:tcMar>
            <w:vAlign w:val="center"/>
          </w:tcPr>
          <w:p w14:paraId="75A34DB4">
            <w:pPr>
              <w:contextualSpacing/>
              <w:jc w:val="center"/>
              <w:rPr>
                <w:rFonts w:ascii="Times New Roman" w:hAnsi="Times New Roman" w:eastAsia="宋体" w:cs="Times New Roman"/>
                <w:szCs w:val="21"/>
              </w:rPr>
            </w:pPr>
            <w:r>
              <w:rPr>
                <w:rFonts w:ascii="Times New Roman" w:hAnsi="Times New Roman" w:eastAsia="宋体" w:cs="Times New Roman"/>
                <w:szCs w:val="21"/>
              </w:rPr>
              <w:t>厂址</w:t>
            </w:r>
          </w:p>
        </w:tc>
        <w:tc>
          <w:tcPr>
            <w:tcW w:w="826" w:type="dxa"/>
            <w:vMerge w:val="restart"/>
            <w:tcMar>
              <w:top w:w="57" w:type="dxa"/>
              <w:bottom w:w="57" w:type="dxa"/>
            </w:tcMar>
            <w:vAlign w:val="center"/>
          </w:tcPr>
          <w:p w14:paraId="1C0219A1">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115.13892889</w:t>
            </w:r>
          </w:p>
        </w:tc>
        <w:tc>
          <w:tcPr>
            <w:tcW w:w="810" w:type="dxa"/>
            <w:vMerge w:val="restart"/>
            <w:tcMar>
              <w:top w:w="57" w:type="dxa"/>
              <w:bottom w:w="57" w:type="dxa"/>
            </w:tcMar>
            <w:vAlign w:val="center"/>
          </w:tcPr>
          <w:p w14:paraId="7FDF8390">
            <w:pPr>
              <w:adjustRightInd w:val="0"/>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35.87703682</w:t>
            </w:r>
          </w:p>
        </w:tc>
        <w:tc>
          <w:tcPr>
            <w:tcW w:w="1082" w:type="dxa"/>
            <w:tcMar>
              <w:top w:w="57" w:type="dxa"/>
              <w:bottom w:w="57" w:type="dxa"/>
            </w:tcMar>
            <w:vAlign w:val="center"/>
          </w:tcPr>
          <w:p w14:paraId="26A6A0A0">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甲苯</w:t>
            </w:r>
          </w:p>
        </w:tc>
        <w:tc>
          <w:tcPr>
            <w:tcW w:w="1003" w:type="dxa"/>
            <w:tcMar>
              <w:top w:w="57" w:type="dxa"/>
              <w:bottom w:w="57" w:type="dxa"/>
            </w:tcMar>
            <w:vAlign w:val="center"/>
          </w:tcPr>
          <w:p w14:paraId="2C85FCAC">
            <w:pPr>
              <w:contextualSpacing/>
              <w:jc w:val="center"/>
              <w:rPr>
                <w:rFonts w:ascii="Times New Roman" w:hAnsi="Times New Roman" w:eastAsia="宋体" w:cs="Times New Roman"/>
                <w:szCs w:val="21"/>
              </w:rPr>
            </w:pPr>
            <w:r>
              <w:rPr>
                <w:rFonts w:ascii="Times New Roman" w:hAnsi="Times New Roman" w:eastAsia="宋体" w:cs="Times New Roman"/>
                <w:szCs w:val="21"/>
              </w:rPr>
              <w:t>1h平均</w:t>
            </w:r>
          </w:p>
        </w:tc>
        <w:tc>
          <w:tcPr>
            <w:tcW w:w="900" w:type="dxa"/>
            <w:tcMar>
              <w:top w:w="57" w:type="dxa"/>
              <w:bottom w:w="57" w:type="dxa"/>
            </w:tcMar>
            <w:vAlign w:val="center"/>
          </w:tcPr>
          <w:p w14:paraId="5F1A9660">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960" w:type="dxa"/>
            <w:tcMar>
              <w:top w:w="57" w:type="dxa"/>
              <w:bottom w:w="57" w:type="dxa"/>
            </w:tcMar>
            <w:vAlign w:val="center"/>
          </w:tcPr>
          <w:p w14:paraId="5D40915F">
            <w:pPr>
              <w:contextualSpacing/>
              <w:jc w:val="center"/>
              <w:rPr>
                <w:rFonts w:ascii="Times New Roman" w:hAnsi="Times New Roman" w:eastAsia="宋体" w:cs="Times New Roman"/>
                <w:szCs w:val="21"/>
              </w:rPr>
            </w:pPr>
            <w:r>
              <w:rPr>
                <w:rFonts w:ascii="Times New Roman" w:hAnsi="Times New Roman" w:cs="Times New Roman"/>
                <w:bCs/>
                <w:szCs w:val="21"/>
              </w:rPr>
              <w:t>ND</w:t>
            </w:r>
            <w:r>
              <w:rPr>
                <w:rFonts w:hint="eastAsia" w:ascii="Times New Roman" w:hAnsi="Times New Roman" w:cs="Times New Roman"/>
                <w:bCs/>
                <w:szCs w:val="21"/>
              </w:rPr>
              <w:t>-2.5</w:t>
            </w:r>
          </w:p>
        </w:tc>
        <w:tc>
          <w:tcPr>
            <w:tcW w:w="873" w:type="dxa"/>
            <w:tcMar>
              <w:top w:w="57" w:type="dxa"/>
              <w:bottom w:w="57" w:type="dxa"/>
            </w:tcMar>
            <w:vAlign w:val="center"/>
          </w:tcPr>
          <w:p w14:paraId="04F608A2">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1.25</w:t>
            </w:r>
          </w:p>
        </w:tc>
        <w:tc>
          <w:tcPr>
            <w:tcW w:w="660" w:type="dxa"/>
            <w:tcMar>
              <w:top w:w="57" w:type="dxa"/>
              <w:bottom w:w="57" w:type="dxa"/>
            </w:tcMar>
            <w:vAlign w:val="center"/>
          </w:tcPr>
          <w:p w14:paraId="281C5C3F">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668" w:type="dxa"/>
            <w:tcMar>
              <w:top w:w="57" w:type="dxa"/>
              <w:bottom w:w="57" w:type="dxa"/>
            </w:tcMar>
            <w:vAlign w:val="center"/>
          </w:tcPr>
          <w:p w14:paraId="0AAB164D">
            <w:pPr>
              <w:contextualSpacing/>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580E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continue"/>
            <w:tcMar>
              <w:top w:w="57" w:type="dxa"/>
              <w:bottom w:w="57" w:type="dxa"/>
            </w:tcMar>
            <w:vAlign w:val="center"/>
          </w:tcPr>
          <w:p w14:paraId="5FF28429">
            <w:pPr>
              <w:contextualSpacing/>
              <w:jc w:val="center"/>
              <w:rPr>
                <w:rFonts w:ascii="Times New Roman" w:hAnsi="Times New Roman" w:eastAsia="宋体" w:cs="Times New Roman"/>
                <w:szCs w:val="21"/>
              </w:rPr>
            </w:pPr>
          </w:p>
        </w:tc>
        <w:tc>
          <w:tcPr>
            <w:tcW w:w="826" w:type="dxa"/>
            <w:vMerge w:val="continue"/>
            <w:tcMar>
              <w:top w:w="57" w:type="dxa"/>
              <w:bottom w:w="57" w:type="dxa"/>
            </w:tcMar>
            <w:vAlign w:val="center"/>
          </w:tcPr>
          <w:p w14:paraId="3D949021">
            <w:pPr>
              <w:contextualSpacing/>
              <w:jc w:val="center"/>
              <w:rPr>
                <w:rFonts w:ascii="Times New Roman" w:hAnsi="Times New Roman" w:eastAsia="宋体" w:cs="Times New Roman"/>
                <w:szCs w:val="21"/>
              </w:rPr>
            </w:pPr>
          </w:p>
        </w:tc>
        <w:tc>
          <w:tcPr>
            <w:tcW w:w="810" w:type="dxa"/>
            <w:vMerge w:val="continue"/>
            <w:tcMar>
              <w:top w:w="57" w:type="dxa"/>
              <w:bottom w:w="57" w:type="dxa"/>
            </w:tcMar>
            <w:vAlign w:val="center"/>
          </w:tcPr>
          <w:p w14:paraId="72B5507D">
            <w:pPr>
              <w:contextualSpacing/>
              <w:jc w:val="center"/>
              <w:rPr>
                <w:rFonts w:ascii="Times New Roman" w:hAnsi="Times New Roman" w:eastAsia="宋体" w:cs="Times New Roman"/>
                <w:szCs w:val="21"/>
              </w:rPr>
            </w:pPr>
          </w:p>
        </w:tc>
        <w:tc>
          <w:tcPr>
            <w:tcW w:w="1082" w:type="dxa"/>
            <w:tcMar>
              <w:top w:w="57" w:type="dxa"/>
              <w:bottom w:w="57" w:type="dxa"/>
            </w:tcMar>
            <w:vAlign w:val="center"/>
          </w:tcPr>
          <w:p w14:paraId="5C79E922">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二甲苯</w:t>
            </w:r>
          </w:p>
        </w:tc>
        <w:tc>
          <w:tcPr>
            <w:tcW w:w="1003" w:type="dxa"/>
            <w:tcMar>
              <w:top w:w="57" w:type="dxa"/>
              <w:bottom w:w="57" w:type="dxa"/>
            </w:tcMar>
            <w:vAlign w:val="center"/>
          </w:tcPr>
          <w:p w14:paraId="5DC8DE26">
            <w:pPr>
              <w:contextualSpacing/>
              <w:jc w:val="center"/>
              <w:rPr>
                <w:rFonts w:ascii="Times New Roman" w:hAnsi="Times New Roman" w:eastAsia="宋体" w:cs="Times New Roman"/>
                <w:szCs w:val="21"/>
              </w:rPr>
            </w:pPr>
            <w:r>
              <w:rPr>
                <w:rFonts w:ascii="Times New Roman" w:hAnsi="Times New Roman" w:eastAsia="宋体" w:cs="Times New Roman"/>
                <w:szCs w:val="21"/>
              </w:rPr>
              <w:t>1h平均</w:t>
            </w:r>
          </w:p>
        </w:tc>
        <w:tc>
          <w:tcPr>
            <w:tcW w:w="900" w:type="dxa"/>
            <w:tcMar>
              <w:top w:w="57" w:type="dxa"/>
              <w:bottom w:w="57" w:type="dxa"/>
            </w:tcMar>
            <w:vAlign w:val="center"/>
          </w:tcPr>
          <w:p w14:paraId="3C3A8198">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960" w:type="dxa"/>
            <w:tcMar>
              <w:top w:w="57" w:type="dxa"/>
              <w:bottom w:w="57" w:type="dxa"/>
            </w:tcMar>
            <w:vAlign w:val="center"/>
          </w:tcPr>
          <w:p w14:paraId="53FDB57D">
            <w:pPr>
              <w:contextualSpacing/>
              <w:jc w:val="center"/>
              <w:rPr>
                <w:rFonts w:ascii="Times New Roman" w:hAnsi="Times New Roman" w:eastAsia="宋体" w:cs="Times New Roman"/>
                <w:szCs w:val="21"/>
              </w:rPr>
            </w:pPr>
            <w:r>
              <w:rPr>
                <w:rFonts w:ascii="Times New Roman" w:hAnsi="Times New Roman" w:cs="Times New Roman"/>
                <w:bCs/>
                <w:szCs w:val="21"/>
              </w:rPr>
              <w:t>ND</w:t>
            </w:r>
            <w:r>
              <w:rPr>
                <w:rFonts w:hint="eastAsia" w:ascii="Times New Roman" w:hAnsi="Times New Roman" w:cs="Times New Roman"/>
                <w:bCs/>
                <w:szCs w:val="21"/>
              </w:rPr>
              <w:t>-1.9</w:t>
            </w:r>
          </w:p>
        </w:tc>
        <w:tc>
          <w:tcPr>
            <w:tcW w:w="873" w:type="dxa"/>
            <w:tcMar>
              <w:top w:w="57" w:type="dxa"/>
              <w:bottom w:w="57" w:type="dxa"/>
            </w:tcMar>
            <w:vAlign w:val="center"/>
          </w:tcPr>
          <w:p w14:paraId="13AEB0A0">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0.95</w:t>
            </w:r>
          </w:p>
        </w:tc>
        <w:tc>
          <w:tcPr>
            <w:tcW w:w="660" w:type="dxa"/>
            <w:tcMar>
              <w:top w:w="57" w:type="dxa"/>
              <w:bottom w:w="57" w:type="dxa"/>
            </w:tcMar>
            <w:vAlign w:val="center"/>
          </w:tcPr>
          <w:p w14:paraId="30770697">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668" w:type="dxa"/>
            <w:tcMar>
              <w:top w:w="57" w:type="dxa"/>
              <w:bottom w:w="57" w:type="dxa"/>
            </w:tcMar>
            <w:vAlign w:val="center"/>
          </w:tcPr>
          <w:p w14:paraId="74FFF42E">
            <w:pPr>
              <w:contextualSpacing/>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4B72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continue"/>
            <w:tcMar>
              <w:top w:w="57" w:type="dxa"/>
              <w:bottom w:w="57" w:type="dxa"/>
            </w:tcMar>
            <w:vAlign w:val="center"/>
          </w:tcPr>
          <w:p w14:paraId="640BB5A2">
            <w:pPr>
              <w:contextualSpacing/>
              <w:jc w:val="center"/>
              <w:rPr>
                <w:rFonts w:ascii="Times New Roman" w:hAnsi="Times New Roman" w:eastAsia="宋体" w:cs="Times New Roman"/>
                <w:szCs w:val="21"/>
              </w:rPr>
            </w:pPr>
          </w:p>
        </w:tc>
        <w:tc>
          <w:tcPr>
            <w:tcW w:w="826" w:type="dxa"/>
            <w:vMerge w:val="continue"/>
            <w:tcMar>
              <w:top w:w="57" w:type="dxa"/>
              <w:bottom w:w="57" w:type="dxa"/>
            </w:tcMar>
            <w:vAlign w:val="center"/>
          </w:tcPr>
          <w:p w14:paraId="56DBAF99">
            <w:pPr>
              <w:contextualSpacing/>
              <w:jc w:val="center"/>
              <w:rPr>
                <w:rFonts w:ascii="Times New Roman" w:hAnsi="Times New Roman" w:eastAsia="宋体" w:cs="Times New Roman"/>
                <w:szCs w:val="21"/>
              </w:rPr>
            </w:pPr>
          </w:p>
        </w:tc>
        <w:tc>
          <w:tcPr>
            <w:tcW w:w="810" w:type="dxa"/>
            <w:vMerge w:val="continue"/>
            <w:tcMar>
              <w:top w:w="57" w:type="dxa"/>
              <w:bottom w:w="57" w:type="dxa"/>
            </w:tcMar>
            <w:vAlign w:val="center"/>
          </w:tcPr>
          <w:p w14:paraId="3FB73378">
            <w:pPr>
              <w:contextualSpacing/>
              <w:jc w:val="center"/>
              <w:rPr>
                <w:rFonts w:ascii="Times New Roman" w:hAnsi="Times New Roman" w:eastAsia="宋体" w:cs="Times New Roman"/>
                <w:szCs w:val="21"/>
              </w:rPr>
            </w:pPr>
          </w:p>
        </w:tc>
        <w:tc>
          <w:tcPr>
            <w:tcW w:w="1082" w:type="dxa"/>
            <w:tcMar>
              <w:top w:w="57" w:type="dxa"/>
              <w:bottom w:w="57" w:type="dxa"/>
            </w:tcMar>
            <w:vAlign w:val="center"/>
          </w:tcPr>
          <w:p w14:paraId="796C084F">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1003" w:type="dxa"/>
            <w:tcMar>
              <w:top w:w="57" w:type="dxa"/>
              <w:bottom w:w="57" w:type="dxa"/>
            </w:tcMar>
            <w:vAlign w:val="center"/>
          </w:tcPr>
          <w:p w14:paraId="647DBE14">
            <w:pPr>
              <w:contextualSpacing/>
              <w:jc w:val="center"/>
              <w:rPr>
                <w:rFonts w:ascii="Times New Roman" w:hAnsi="Times New Roman" w:eastAsia="宋体" w:cs="Times New Roman"/>
                <w:szCs w:val="21"/>
              </w:rPr>
            </w:pPr>
            <w:r>
              <w:rPr>
                <w:rFonts w:ascii="Times New Roman" w:hAnsi="Times New Roman" w:eastAsia="宋体" w:cs="Times New Roman"/>
                <w:szCs w:val="21"/>
              </w:rPr>
              <w:t>1h平均</w:t>
            </w:r>
          </w:p>
        </w:tc>
        <w:tc>
          <w:tcPr>
            <w:tcW w:w="900" w:type="dxa"/>
            <w:tcMar>
              <w:top w:w="57" w:type="dxa"/>
              <w:bottom w:w="57" w:type="dxa"/>
            </w:tcMar>
            <w:vAlign w:val="center"/>
          </w:tcPr>
          <w:p w14:paraId="5E99E9AB">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2000</w:t>
            </w:r>
          </w:p>
        </w:tc>
        <w:tc>
          <w:tcPr>
            <w:tcW w:w="960" w:type="dxa"/>
            <w:tcMar>
              <w:top w:w="57" w:type="dxa"/>
              <w:bottom w:w="57" w:type="dxa"/>
            </w:tcMar>
            <w:vAlign w:val="center"/>
          </w:tcPr>
          <w:p w14:paraId="35D88365">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1120-1520</w:t>
            </w:r>
          </w:p>
        </w:tc>
        <w:tc>
          <w:tcPr>
            <w:tcW w:w="873" w:type="dxa"/>
            <w:tcMar>
              <w:top w:w="57" w:type="dxa"/>
              <w:bottom w:w="57" w:type="dxa"/>
            </w:tcMar>
            <w:vAlign w:val="center"/>
          </w:tcPr>
          <w:p w14:paraId="4AE2E3CB">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56-76</w:t>
            </w:r>
          </w:p>
        </w:tc>
        <w:tc>
          <w:tcPr>
            <w:tcW w:w="660" w:type="dxa"/>
            <w:tcMar>
              <w:top w:w="57" w:type="dxa"/>
              <w:bottom w:w="57" w:type="dxa"/>
            </w:tcMar>
            <w:vAlign w:val="center"/>
          </w:tcPr>
          <w:p w14:paraId="51D0F62A">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668" w:type="dxa"/>
            <w:tcMar>
              <w:top w:w="57" w:type="dxa"/>
              <w:bottom w:w="57" w:type="dxa"/>
            </w:tcMar>
            <w:vAlign w:val="center"/>
          </w:tcPr>
          <w:p w14:paraId="051A6922">
            <w:pPr>
              <w:contextualSpacing/>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061A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0" w:type="dxa"/>
            <w:vMerge w:val="restart"/>
            <w:tcMar>
              <w:top w:w="57" w:type="dxa"/>
              <w:bottom w:w="57" w:type="dxa"/>
            </w:tcMar>
            <w:vAlign w:val="center"/>
          </w:tcPr>
          <w:p w14:paraId="3D98219E">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西大屯村</w:t>
            </w:r>
          </w:p>
        </w:tc>
        <w:tc>
          <w:tcPr>
            <w:tcW w:w="826" w:type="dxa"/>
            <w:vMerge w:val="restart"/>
            <w:tcMar>
              <w:top w:w="57" w:type="dxa"/>
              <w:bottom w:w="57" w:type="dxa"/>
            </w:tcMar>
            <w:vAlign w:val="center"/>
          </w:tcPr>
          <w:p w14:paraId="58D79712">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115.1421690</w:t>
            </w:r>
          </w:p>
        </w:tc>
        <w:tc>
          <w:tcPr>
            <w:tcW w:w="810" w:type="dxa"/>
            <w:vMerge w:val="restart"/>
            <w:tcMar>
              <w:top w:w="57" w:type="dxa"/>
              <w:bottom w:w="57" w:type="dxa"/>
            </w:tcMar>
            <w:vAlign w:val="center"/>
          </w:tcPr>
          <w:p w14:paraId="5CF94107">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35.90323416</w:t>
            </w:r>
          </w:p>
        </w:tc>
        <w:tc>
          <w:tcPr>
            <w:tcW w:w="1082" w:type="dxa"/>
            <w:tcMar>
              <w:top w:w="57" w:type="dxa"/>
              <w:bottom w:w="57" w:type="dxa"/>
            </w:tcMar>
            <w:vAlign w:val="center"/>
          </w:tcPr>
          <w:p w14:paraId="6BFEE4A7">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甲苯</w:t>
            </w:r>
          </w:p>
        </w:tc>
        <w:tc>
          <w:tcPr>
            <w:tcW w:w="1003" w:type="dxa"/>
            <w:tcMar>
              <w:top w:w="57" w:type="dxa"/>
              <w:bottom w:w="57" w:type="dxa"/>
            </w:tcMar>
            <w:vAlign w:val="center"/>
          </w:tcPr>
          <w:p w14:paraId="40B84449">
            <w:pPr>
              <w:contextualSpacing/>
              <w:jc w:val="center"/>
              <w:rPr>
                <w:rFonts w:ascii="Times New Roman" w:hAnsi="Times New Roman" w:eastAsia="宋体" w:cs="Times New Roman"/>
                <w:szCs w:val="21"/>
              </w:rPr>
            </w:pPr>
            <w:r>
              <w:rPr>
                <w:rFonts w:ascii="Times New Roman" w:hAnsi="Times New Roman" w:eastAsia="宋体" w:cs="Times New Roman"/>
                <w:szCs w:val="21"/>
              </w:rPr>
              <w:t>1h平均</w:t>
            </w:r>
          </w:p>
        </w:tc>
        <w:tc>
          <w:tcPr>
            <w:tcW w:w="900" w:type="dxa"/>
            <w:tcMar>
              <w:top w:w="57" w:type="dxa"/>
              <w:bottom w:w="57" w:type="dxa"/>
            </w:tcMar>
            <w:vAlign w:val="center"/>
          </w:tcPr>
          <w:p w14:paraId="500389B0">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960" w:type="dxa"/>
            <w:tcMar>
              <w:top w:w="57" w:type="dxa"/>
              <w:bottom w:w="57" w:type="dxa"/>
            </w:tcMar>
            <w:vAlign w:val="center"/>
          </w:tcPr>
          <w:p w14:paraId="2271CB27">
            <w:pPr>
              <w:contextualSpacing/>
              <w:jc w:val="center"/>
              <w:rPr>
                <w:rFonts w:ascii="Times New Roman" w:hAnsi="Times New Roman" w:eastAsia="宋体" w:cs="Times New Roman"/>
                <w:szCs w:val="21"/>
              </w:rPr>
            </w:pPr>
            <w:r>
              <w:rPr>
                <w:rFonts w:ascii="Times New Roman" w:hAnsi="Times New Roman" w:cs="Times New Roman"/>
                <w:bCs/>
                <w:szCs w:val="21"/>
              </w:rPr>
              <w:t>ND</w:t>
            </w:r>
            <w:r>
              <w:rPr>
                <w:rFonts w:hint="eastAsia" w:ascii="Times New Roman" w:hAnsi="Times New Roman" w:cs="Times New Roman"/>
                <w:bCs/>
                <w:szCs w:val="21"/>
              </w:rPr>
              <w:t>-2.1</w:t>
            </w:r>
          </w:p>
        </w:tc>
        <w:tc>
          <w:tcPr>
            <w:tcW w:w="873" w:type="dxa"/>
            <w:tcMar>
              <w:top w:w="57" w:type="dxa"/>
              <w:bottom w:w="57" w:type="dxa"/>
            </w:tcMar>
            <w:vAlign w:val="center"/>
          </w:tcPr>
          <w:p w14:paraId="1370BED9">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1.05</w:t>
            </w:r>
          </w:p>
        </w:tc>
        <w:tc>
          <w:tcPr>
            <w:tcW w:w="660" w:type="dxa"/>
            <w:tcMar>
              <w:top w:w="57" w:type="dxa"/>
              <w:bottom w:w="57" w:type="dxa"/>
            </w:tcMar>
            <w:vAlign w:val="center"/>
          </w:tcPr>
          <w:p w14:paraId="18B062D9">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668" w:type="dxa"/>
            <w:tcMar>
              <w:top w:w="57" w:type="dxa"/>
              <w:bottom w:w="57" w:type="dxa"/>
            </w:tcMar>
            <w:vAlign w:val="center"/>
          </w:tcPr>
          <w:p w14:paraId="75347191">
            <w:pPr>
              <w:contextualSpacing/>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0D6E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continue"/>
            <w:tcMar>
              <w:top w:w="57" w:type="dxa"/>
              <w:bottom w:w="57" w:type="dxa"/>
            </w:tcMar>
            <w:vAlign w:val="center"/>
          </w:tcPr>
          <w:p w14:paraId="7DB095E5">
            <w:pPr>
              <w:contextualSpacing/>
              <w:jc w:val="center"/>
              <w:rPr>
                <w:rFonts w:ascii="Times New Roman" w:hAnsi="Times New Roman" w:eastAsia="宋体" w:cs="Times New Roman"/>
                <w:szCs w:val="21"/>
              </w:rPr>
            </w:pPr>
          </w:p>
        </w:tc>
        <w:tc>
          <w:tcPr>
            <w:tcW w:w="826" w:type="dxa"/>
            <w:vMerge w:val="continue"/>
            <w:tcMar>
              <w:top w:w="57" w:type="dxa"/>
              <w:bottom w:w="57" w:type="dxa"/>
            </w:tcMar>
            <w:vAlign w:val="center"/>
          </w:tcPr>
          <w:p w14:paraId="59DE9C31">
            <w:pPr>
              <w:contextualSpacing/>
              <w:jc w:val="center"/>
              <w:rPr>
                <w:rFonts w:ascii="Times New Roman" w:hAnsi="Times New Roman" w:eastAsia="宋体" w:cs="Times New Roman"/>
                <w:szCs w:val="21"/>
              </w:rPr>
            </w:pPr>
          </w:p>
        </w:tc>
        <w:tc>
          <w:tcPr>
            <w:tcW w:w="810" w:type="dxa"/>
            <w:vMerge w:val="continue"/>
            <w:tcMar>
              <w:top w:w="57" w:type="dxa"/>
              <w:bottom w:w="57" w:type="dxa"/>
            </w:tcMar>
            <w:vAlign w:val="center"/>
          </w:tcPr>
          <w:p w14:paraId="11B08156">
            <w:pPr>
              <w:contextualSpacing/>
              <w:jc w:val="center"/>
              <w:rPr>
                <w:rFonts w:ascii="Times New Roman" w:hAnsi="Times New Roman" w:eastAsia="宋体" w:cs="Times New Roman"/>
                <w:szCs w:val="21"/>
              </w:rPr>
            </w:pPr>
          </w:p>
        </w:tc>
        <w:tc>
          <w:tcPr>
            <w:tcW w:w="1082" w:type="dxa"/>
            <w:tcMar>
              <w:top w:w="57" w:type="dxa"/>
              <w:bottom w:w="57" w:type="dxa"/>
            </w:tcMar>
            <w:vAlign w:val="center"/>
          </w:tcPr>
          <w:p w14:paraId="7D9C7D7C">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二甲苯</w:t>
            </w:r>
          </w:p>
        </w:tc>
        <w:tc>
          <w:tcPr>
            <w:tcW w:w="1003" w:type="dxa"/>
            <w:tcMar>
              <w:top w:w="57" w:type="dxa"/>
              <w:bottom w:w="57" w:type="dxa"/>
            </w:tcMar>
            <w:vAlign w:val="center"/>
          </w:tcPr>
          <w:p w14:paraId="3ED78568">
            <w:pPr>
              <w:contextualSpacing/>
              <w:jc w:val="center"/>
              <w:rPr>
                <w:rFonts w:ascii="Times New Roman" w:hAnsi="Times New Roman" w:eastAsia="宋体" w:cs="Times New Roman"/>
                <w:szCs w:val="21"/>
              </w:rPr>
            </w:pPr>
            <w:r>
              <w:rPr>
                <w:rFonts w:ascii="Times New Roman" w:hAnsi="Times New Roman" w:eastAsia="宋体" w:cs="Times New Roman"/>
                <w:szCs w:val="21"/>
              </w:rPr>
              <w:t>1h平均</w:t>
            </w:r>
          </w:p>
        </w:tc>
        <w:tc>
          <w:tcPr>
            <w:tcW w:w="900" w:type="dxa"/>
            <w:tcMar>
              <w:top w:w="57" w:type="dxa"/>
              <w:bottom w:w="57" w:type="dxa"/>
            </w:tcMar>
            <w:vAlign w:val="center"/>
          </w:tcPr>
          <w:p w14:paraId="30A0BACE">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960" w:type="dxa"/>
            <w:tcMar>
              <w:top w:w="57" w:type="dxa"/>
              <w:bottom w:w="57" w:type="dxa"/>
            </w:tcMar>
            <w:vAlign w:val="center"/>
          </w:tcPr>
          <w:p w14:paraId="3F9F3D92">
            <w:pPr>
              <w:contextualSpacing/>
              <w:jc w:val="center"/>
              <w:rPr>
                <w:rFonts w:ascii="Times New Roman" w:hAnsi="Times New Roman" w:eastAsia="宋体" w:cs="Times New Roman"/>
                <w:szCs w:val="21"/>
              </w:rPr>
            </w:pPr>
            <w:r>
              <w:rPr>
                <w:rFonts w:ascii="Times New Roman" w:hAnsi="Times New Roman" w:cs="Times New Roman"/>
                <w:bCs/>
                <w:szCs w:val="21"/>
              </w:rPr>
              <w:t>ND</w:t>
            </w:r>
            <w:r>
              <w:rPr>
                <w:rFonts w:hint="eastAsia" w:ascii="Times New Roman" w:hAnsi="Times New Roman" w:cs="Times New Roman"/>
                <w:bCs/>
                <w:szCs w:val="21"/>
              </w:rPr>
              <w:t>-9</w:t>
            </w:r>
          </w:p>
        </w:tc>
        <w:tc>
          <w:tcPr>
            <w:tcW w:w="873" w:type="dxa"/>
            <w:tcMar>
              <w:top w:w="57" w:type="dxa"/>
              <w:bottom w:w="57" w:type="dxa"/>
            </w:tcMar>
            <w:vAlign w:val="center"/>
          </w:tcPr>
          <w:p w14:paraId="05513BF8">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660" w:type="dxa"/>
            <w:tcMar>
              <w:top w:w="57" w:type="dxa"/>
              <w:bottom w:w="57" w:type="dxa"/>
            </w:tcMar>
            <w:vAlign w:val="center"/>
          </w:tcPr>
          <w:p w14:paraId="29B0FAF5">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668" w:type="dxa"/>
            <w:tcMar>
              <w:top w:w="57" w:type="dxa"/>
              <w:bottom w:w="57" w:type="dxa"/>
            </w:tcMar>
            <w:vAlign w:val="center"/>
          </w:tcPr>
          <w:p w14:paraId="21F8D17D">
            <w:pPr>
              <w:contextualSpacing/>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6C1E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continue"/>
            <w:tcMar>
              <w:top w:w="57" w:type="dxa"/>
              <w:bottom w:w="57" w:type="dxa"/>
            </w:tcMar>
            <w:vAlign w:val="center"/>
          </w:tcPr>
          <w:p w14:paraId="460F3237">
            <w:pPr>
              <w:contextualSpacing/>
              <w:jc w:val="center"/>
              <w:rPr>
                <w:rFonts w:ascii="Times New Roman" w:hAnsi="Times New Roman" w:eastAsia="宋体" w:cs="Times New Roman"/>
                <w:color w:val="000000" w:themeColor="text1"/>
                <w:szCs w:val="21"/>
                <w14:textFill>
                  <w14:solidFill>
                    <w14:schemeClr w14:val="tx1"/>
                  </w14:solidFill>
                </w14:textFill>
              </w:rPr>
            </w:pPr>
          </w:p>
        </w:tc>
        <w:tc>
          <w:tcPr>
            <w:tcW w:w="826" w:type="dxa"/>
            <w:vMerge w:val="continue"/>
            <w:tcMar>
              <w:top w:w="57" w:type="dxa"/>
              <w:bottom w:w="57" w:type="dxa"/>
            </w:tcMar>
            <w:vAlign w:val="center"/>
          </w:tcPr>
          <w:p w14:paraId="2D9A7861">
            <w:pPr>
              <w:contextualSpacing/>
              <w:jc w:val="center"/>
              <w:rPr>
                <w:rFonts w:ascii="Times New Roman" w:hAnsi="Times New Roman" w:eastAsia="宋体" w:cs="Times New Roman"/>
                <w:color w:val="000000" w:themeColor="text1"/>
                <w:szCs w:val="21"/>
                <w14:textFill>
                  <w14:solidFill>
                    <w14:schemeClr w14:val="tx1"/>
                  </w14:solidFill>
                </w14:textFill>
              </w:rPr>
            </w:pPr>
          </w:p>
        </w:tc>
        <w:tc>
          <w:tcPr>
            <w:tcW w:w="810" w:type="dxa"/>
            <w:vMerge w:val="continue"/>
            <w:tcMar>
              <w:top w:w="57" w:type="dxa"/>
              <w:bottom w:w="57" w:type="dxa"/>
            </w:tcMar>
            <w:vAlign w:val="center"/>
          </w:tcPr>
          <w:p w14:paraId="6891E847">
            <w:pPr>
              <w:contextualSpacing/>
              <w:jc w:val="center"/>
              <w:rPr>
                <w:rFonts w:ascii="Times New Roman" w:hAnsi="Times New Roman" w:eastAsia="宋体" w:cs="Times New Roman"/>
                <w:color w:val="000000" w:themeColor="text1"/>
                <w:szCs w:val="21"/>
                <w14:textFill>
                  <w14:solidFill>
                    <w14:schemeClr w14:val="tx1"/>
                  </w14:solidFill>
                </w14:textFill>
              </w:rPr>
            </w:pPr>
          </w:p>
        </w:tc>
        <w:tc>
          <w:tcPr>
            <w:tcW w:w="1082" w:type="dxa"/>
            <w:tcMar>
              <w:top w:w="57" w:type="dxa"/>
              <w:bottom w:w="57" w:type="dxa"/>
            </w:tcMar>
            <w:vAlign w:val="center"/>
          </w:tcPr>
          <w:p w14:paraId="4F2BA145">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1003" w:type="dxa"/>
            <w:tcMar>
              <w:top w:w="57" w:type="dxa"/>
              <w:bottom w:w="57" w:type="dxa"/>
            </w:tcMar>
            <w:vAlign w:val="center"/>
          </w:tcPr>
          <w:p w14:paraId="2C8FC0C3">
            <w:pPr>
              <w:contextualSpacing/>
              <w:jc w:val="center"/>
              <w:rPr>
                <w:rFonts w:ascii="Times New Roman" w:hAnsi="Times New Roman" w:eastAsia="宋体" w:cs="Times New Roman"/>
                <w:szCs w:val="21"/>
              </w:rPr>
            </w:pPr>
            <w:r>
              <w:rPr>
                <w:rFonts w:ascii="Times New Roman" w:hAnsi="Times New Roman" w:eastAsia="宋体" w:cs="Times New Roman"/>
                <w:szCs w:val="21"/>
              </w:rPr>
              <w:t>1h平均</w:t>
            </w:r>
          </w:p>
        </w:tc>
        <w:tc>
          <w:tcPr>
            <w:tcW w:w="900" w:type="dxa"/>
            <w:tcMar>
              <w:top w:w="57" w:type="dxa"/>
              <w:bottom w:w="57" w:type="dxa"/>
            </w:tcMar>
            <w:vAlign w:val="center"/>
          </w:tcPr>
          <w:p w14:paraId="00042D2D">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2000</w:t>
            </w:r>
          </w:p>
        </w:tc>
        <w:tc>
          <w:tcPr>
            <w:tcW w:w="960" w:type="dxa"/>
            <w:tcMar>
              <w:top w:w="57" w:type="dxa"/>
              <w:bottom w:w="57" w:type="dxa"/>
            </w:tcMar>
            <w:vAlign w:val="center"/>
          </w:tcPr>
          <w:p w14:paraId="11D8B3C6">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1000-1340</w:t>
            </w:r>
          </w:p>
        </w:tc>
        <w:tc>
          <w:tcPr>
            <w:tcW w:w="873" w:type="dxa"/>
            <w:tcMar>
              <w:top w:w="57" w:type="dxa"/>
              <w:bottom w:w="57" w:type="dxa"/>
            </w:tcMar>
            <w:vAlign w:val="center"/>
          </w:tcPr>
          <w:p w14:paraId="672DBBC5">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50-67</w:t>
            </w:r>
          </w:p>
        </w:tc>
        <w:tc>
          <w:tcPr>
            <w:tcW w:w="660" w:type="dxa"/>
            <w:tcMar>
              <w:top w:w="57" w:type="dxa"/>
              <w:bottom w:w="57" w:type="dxa"/>
            </w:tcMar>
            <w:vAlign w:val="center"/>
          </w:tcPr>
          <w:p w14:paraId="12BE34B2">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668" w:type="dxa"/>
            <w:tcMar>
              <w:top w:w="57" w:type="dxa"/>
              <w:bottom w:w="57" w:type="dxa"/>
            </w:tcMar>
            <w:vAlign w:val="center"/>
          </w:tcPr>
          <w:p w14:paraId="2E5FD0DD">
            <w:pPr>
              <w:contextualSpacing/>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2FFC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tcMar>
              <w:top w:w="57" w:type="dxa"/>
              <w:bottom w:w="57" w:type="dxa"/>
            </w:tcMar>
            <w:vAlign w:val="center"/>
          </w:tcPr>
          <w:p w14:paraId="21464E83">
            <w:pPr>
              <w:contextualSpacing/>
              <w:jc w:val="center"/>
              <w:rPr>
                <w:rFonts w:hint="default" w:ascii="Times New Roman" w:hAnsi="Times New Roman" w:eastAsia="宋体" w:cs="Times New Roman"/>
                <w:b/>
                <w:bCs/>
                <w:color w:val="000000" w:themeColor="text1"/>
                <w:szCs w:val="21"/>
                <w:u w:val="singl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u w:val="single"/>
                <w:lang w:val="en-US" w:eastAsia="zh-CN"/>
                <w14:textFill>
                  <w14:solidFill>
                    <w14:schemeClr w14:val="tx1"/>
                  </w14:solidFill>
                </w14:textFill>
              </w:rPr>
              <w:t>后荣花树村</w:t>
            </w:r>
          </w:p>
        </w:tc>
        <w:tc>
          <w:tcPr>
            <w:tcW w:w="826" w:type="dxa"/>
            <w:tcMar>
              <w:top w:w="57" w:type="dxa"/>
              <w:bottom w:w="57" w:type="dxa"/>
            </w:tcMar>
            <w:vAlign w:val="center"/>
          </w:tcPr>
          <w:p w14:paraId="3FBD3053">
            <w:pPr>
              <w:contextualSpacing/>
              <w:jc w:val="center"/>
              <w:rPr>
                <w:rFonts w:ascii="Times New Roman" w:hAnsi="Times New Roman" w:eastAsia="宋体" w:cs="Times New Roman"/>
                <w:b/>
                <w:bCs/>
                <w:color w:val="000000" w:themeColor="text1"/>
                <w:szCs w:val="21"/>
                <w:u w:val="single"/>
                <w14:textFill>
                  <w14:solidFill>
                    <w14:schemeClr w14:val="tx1"/>
                  </w14:solidFill>
                </w14:textFill>
              </w:rPr>
            </w:pPr>
            <w:r>
              <w:rPr>
                <w:rFonts w:hint="eastAsia" w:ascii="Times New Roman" w:hAnsi="Times New Roman" w:eastAsia="宋体" w:cs="Times New Roman"/>
                <w:b/>
                <w:bCs/>
                <w:color w:val="000000" w:themeColor="text1"/>
                <w:szCs w:val="21"/>
                <w:u w:val="single"/>
                <w14:textFill>
                  <w14:solidFill>
                    <w14:schemeClr w14:val="tx1"/>
                  </w14:solidFill>
                </w14:textFill>
              </w:rPr>
              <w:t>115.14884233</w:t>
            </w:r>
          </w:p>
        </w:tc>
        <w:tc>
          <w:tcPr>
            <w:tcW w:w="810" w:type="dxa"/>
            <w:tcMar>
              <w:top w:w="57" w:type="dxa"/>
              <w:bottom w:w="57" w:type="dxa"/>
            </w:tcMar>
            <w:vAlign w:val="center"/>
          </w:tcPr>
          <w:p w14:paraId="20A30D47">
            <w:pPr>
              <w:contextualSpacing/>
              <w:jc w:val="center"/>
              <w:rPr>
                <w:rFonts w:ascii="Times New Roman" w:hAnsi="Times New Roman" w:eastAsia="宋体" w:cs="Times New Roman"/>
                <w:b/>
                <w:bCs/>
                <w:color w:val="000000" w:themeColor="text1"/>
                <w:szCs w:val="21"/>
                <w:u w:val="single"/>
                <w14:textFill>
                  <w14:solidFill>
                    <w14:schemeClr w14:val="tx1"/>
                  </w14:solidFill>
                </w14:textFill>
              </w:rPr>
            </w:pPr>
            <w:r>
              <w:rPr>
                <w:rFonts w:hint="eastAsia" w:ascii="Times New Roman" w:hAnsi="Times New Roman" w:eastAsia="宋体" w:cs="Times New Roman"/>
                <w:b/>
                <w:bCs/>
                <w:color w:val="000000" w:themeColor="text1"/>
                <w:szCs w:val="21"/>
                <w:u w:val="single"/>
                <w14:textFill>
                  <w14:solidFill>
                    <w14:schemeClr w14:val="tx1"/>
                  </w14:solidFill>
                </w14:textFill>
              </w:rPr>
              <w:t>35.85543965</w:t>
            </w:r>
          </w:p>
        </w:tc>
        <w:tc>
          <w:tcPr>
            <w:tcW w:w="1082" w:type="dxa"/>
            <w:tcMar>
              <w:top w:w="57" w:type="dxa"/>
              <w:bottom w:w="57" w:type="dxa"/>
            </w:tcMar>
            <w:vAlign w:val="center"/>
          </w:tcPr>
          <w:p w14:paraId="64790BB1">
            <w:pPr>
              <w:contextualSpacing/>
              <w:jc w:val="center"/>
              <w:rPr>
                <w:rFonts w:hint="eastAsia"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苯</w:t>
            </w:r>
          </w:p>
        </w:tc>
        <w:tc>
          <w:tcPr>
            <w:tcW w:w="1003" w:type="dxa"/>
            <w:tcMar>
              <w:top w:w="57" w:type="dxa"/>
              <w:bottom w:w="57" w:type="dxa"/>
            </w:tcMar>
            <w:vAlign w:val="center"/>
          </w:tcPr>
          <w:p w14:paraId="7CEA525B">
            <w:pPr>
              <w:contextualSpacing/>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1h平均</w:t>
            </w:r>
          </w:p>
        </w:tc>
        <w:tc>
          <w:tcPr>
            <w:tcW w:w="900" w:type="dxa"/>
            <w:tcMar>
              <w:top w:w="57" w:type="dxa"/>
              <w:bottom w:w="57" w:type="dxa"/>
            </w:tcMar>
            <w:vAlign w:val="center"/>
          </w:tcPr>
          <w:p w14:paraId="05EC1BAC">
            <w:pPr>
              <w:contextualSpacing/>
              <w:jc w:val="center"/>
              <w:rPr>
                <w:rFonts w:hint="default"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110</w:t>
            </w:r>
          </w:p>
        </w:tc>
        <w:tc>
          <w:tcPr>
            <w:tcW w:w="960" w:type="dxa"/>
            <w:tcMar>
              <w:top w:w="57" w:type="dxa"/>
              <w:bottom w:w="57" w:type="dxa"/>
            </w:tcMar>
            <w:vAlign w:val="center"/>
          </w:tcPr>
          <w:p w14:paraId="3CC63A80">
            <w:pPr>
              <w:contextualSpacing/>
              <w:jc w:val="center"/>
              <w:rPr>
                <w:rFonts w:hint="default"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0.75</w:t>
            </w:r>
          </w:p>
        </w:tc>
        <w:tc>
          <w:tcPr>
            <w:tcW w:w="873" w:type="dxa"/>
            <w:tcMar>
              <w:top w:w="57" w:type="dxa"/>
              <w:bottom w:w="57" w:type="dxa"/>
            </w:tcMar>
            <w:vAlign w:val="center"/>
          </w:tcPr>
          <w:p w14:paraId="2D850943">
            <w:pPr>
              <w:contextualSpacing/>
              <w:jc w:val="center"/>
              <w:rPr>
                <w:rFonts w:hint="default"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0.68</w:t>
            </w:r>
          </w:p>
        </w:tc>
        <w:tc>
          <w:tcPr>
            <w:tcW w:w="660" w:type="dxa"/>
            <w:tcMar>
              <w:top w:w="57" w:type="dxa"/>
              <w:bottom w:w="57" w:type="dxa"/>
            </w:tcMar>
            <w:vAlign w:val="center"/>
          </w:tcPr>
          <w:p w14:paraId="2181A45E">
            <w:pPr>
              <w:contextualSpacing/>
              <w:jc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rPr>
              <w:t>0</w:t>
            </w:r>
          </w:p>
        </w:tc>
        <w:tc>
          <w:tcPr>
            <w:tcW w:w="668" w:type="dxa"/>
            <w:tcMar>
              <w:top w:w="57" w:type="dxa"/>
              <w:bottom w:w="57" w:type="dxa"/>
            </w:tcMar>
            <w:vAlign w:val="center"/>
          </w:tcPr>
          <w:p w14:paraId="08F73A8E">
            <w:pPr>
              <w:contextualSpacing/>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达标</w:t>
            </w:r>
          </w:p>
        </w:tc>
      </w:tr>
    </w:tbl>
    <w:p w14:paraId="69D1B830">
      <w:pPr>
        <w:contextualSpacing/>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注：ND表示未检出。</w:t>
      </w:r>
    </w:p>
    <w:p w14:paraId="53C96614">
      <w:pPr>
        <w:spacing w:line="520" w:lineRule="exact"/>
        <w:ind w:firstLine="480" w:firstLineChars="200"/>
        <w:contextualSpacing/>
        <w:rPr>
          <w:rFonts w:ascii="Times New Roman" w:hAnsi="Times New Roman" w:eastAsia="宋体" w:cs="Times New Roman"/>
          <w:sz w:val="24"/>
        </w:rPr>
      </w:pPr>
      <w:r>
        <w:rPr>
          <w:rFonts w:ascii="Times New Roman" w:hAnsi="Times New Roman" w:eastAsia="宋体" w:cs="Times New Roman"/>
          <w:color w:val="000000" w:themeColor="text1"/>
          <w:sz w:val="24"/>
          <w14:textFill>
            <w14:solidFill>
              <w14:schemeClr w14:val="tx1"/>
            </w14:solidFill>
          </w14:textFill>
        </w:rPr>
        <w:t>评价区域各监测点</w:t>
      </w:r>
      <w:r>
        <w:rPr>
          <w:rFonts w:hint="eastAsia" w:ascii="Times New Roman" w:hAnsi="Times New Roman" w:eastAsia="宋体" w:cs="Times New Roman"/>
          <w:color w:val="000000" w:themeColor="text1"/>
          <w:sz w:val="24"/>
          <w:lang w:val="en-US" w:eastAsia="zh-CN"/>
          <w14:textFill>
            <w14:solidFill>
              <w14:schemeClr w14:val="tx1"/>
            </w14:solidFill>
          </w14:textFill>
        </w:rPr>
        <w:t>苯、</w:t>
      </w:r>
      <w:r>
        <w:rPr>
          <w:rFonts w:hint="eastAsia" w:ascii="Times New Roman" w:hAnsi="Times New Roman" w:eastAsia="宋体" w:cs="Times New Roman"/>
          <w:color w:val="000000" w:themeColor="text1"/>
          <w:sz w:val="24"/>
          <w14:textFill>
            <w14:solidFill>
              <w14:schemeClr w14:val="tx1"/>
            </w14:solidFill>
          </w14:textFill>
        </w:rPr>
        <w:t>甲苯、二甲苯</w:t>
      </w:r>
      <w:r>
        <w:rPr>
          <w:rFonts w:ascii="Times New Roman" w:hAnsi="Times New Roman" w:eastAsia="宋体" w:cs="Times New Roman"/>
          <w:color w:val="000000" w:themeColor="text1"/>
          <w:sz w:val="24"/>
          <w14:textFill>
            <w14:solidFill>
              <w14:schemeClr w14:val="tx1"/>
            </w14:solidFill>
          </w14:textFill>
        </w:rPr>
        <w:t>1小时平均浓度</w:t>
      </w:r>
      <w:r>
        <w:rPr>
          <w:rFonts w:hint="eastAsia" w:ascii="Times New Roman" w:hAnsi="Times New Roman" w:eastAsia="宋体" w:cs="Times New Roman"/>
          <w:color w:val="000000" w:themeColor="text1"/>
          <w:sz w:val="24"/>
          <w14:textFill>
            <w14:solidFill>
              <w14:schemeClr w14:val="tx1"/>
            </w14:solidFill>
          </w14:textFill>
        </w:rPr>
        <w:t>均</w:t>
      </w:r>
      <w:r>
        <w:rPr>
          <w:rFonts w:ascii="Times New Roman" w:hAnsi="Times New Roman" w:eastAsia="宋体" w:cs="Times New Roman"/>
          <w:color w:val="000000" w:themeColor="text1"/>
          <w:sz w:val="24"/>
          <w14:textFill>
            <w14:solidFill>
              <w14:schemeClr w14:val="tx1"/>
            </w14:solidFill>
          </w14:textFill>
        </w:rPr>
        <w:t>能满足《环境影响评价技术导则 大气环境》（HJ2.2-201</w:t>
      </w:r>
      <w:r>
        <w:rPr>
          <w:rFonts w:ascii="Times New Roman" w:hAnsi="Times New Roman" w:eastAsia="宋体" w:cs="Times New Roman"/>
          <w:sz w:val="24"/>
        </w:rPr>
        <w:t>8）附录D其他污染物空气质量浓度参考限值要求</w:t>
      </w:r>
      <w:r>
        <w:rPr>
          <w:rFonts w:hint="eastAsia" w:ascii="Times New Roman" w:hAnsi="Times New Roman" w:eastAsia="宋体" w:cs="Times New Roman"/>
          <w:sz w:val="24"/>
        </w:rPr>
        <w:t>；非甲烷总烃</w:t>
      </w:r>
      <w:r>
        <w:rPr>
          <w:rFonts w:ascii="Times New Roman" w:hAnsi="Times New Roman" w:eastAsia="宋体" w:cs="Times New Roman"/>
          <w:sz w:val="24"/>
        </w:rPr>
        <w:t>1小时平均浓度</w:t>
      </w:r>
      <w:r>
        <w:rPr>
          <w:rFonts w:hint="eastAsia" w:ascii="Times New Roman" w:hAnsi="Times New Roman" w:eastAsia="宋体" w:cs="Times New Roman"/>
          <w:sz w:val="24"/>
        </w:rPr>
        <w:t>能满足《大气污染物综合排放标准详解》中标准要求。</w:t>
      </w:r>
    </w:p>
    <w:p w14:paraId="46795ED4">
      <w:pPr>
        <w:pStyle w:val="3"/>
        <w:numPr>
          <w:ilvl w:val="1"/>
          <w:numId w:val="43"/>
        </w:numPr>
      </w:pPr>
      <w:bookmarkStart w:id="178" w:name="_Toc7868"/>
      <w:r>
        <w:t>地表水环境质量现状监测与评价</w:t>
      </w:r>
      <w:bookmarkEnd w:id="178"/>
    </w:p>
    <w:p w14:paraId="39405D6C">
      <w:pPr>
        <w:pStyle w:val="4"/>
        <w:numPr>
          <w:ilvl w:val="2"/>
          <w:numId w:val="46"/>
        </w:numPr>
        <w:tabs>
          <w:tab w:val="clear" w:pos="0"/>
        </w:tabs>
      </w:pPr>
      <w:bookmarkStart w:id="179" w:name="_Toc16450"/>
      <w:r>
        <w:rPr>
          <w:rFonts w:hint="eastAsia"/>
        </w:rPr>
        <w:t>项目区域控制断面水质调查</w:t>
      </w:r>
    </w:p>
    <w:p w14:paraId="4D86F94D">
      <w:pPr>
        <w:spacing w:line="360" w:lineRule="auto"/>
        <w:ind w:firstLine="480" w:firstLineChars="200"/>
        <w:textAlignment w:val="baseline"/>
        <w:rPr>
          <w:rFonts w:ascii="Times New Roman" w:hAnsi="Times New Roman" w:eastAsia="宋体" w:cs="Times New Roman"/>
          <w:color w:val="00B050"/>
          <w:sz w:val="24"/>
        </w:rPr>
      </w:pPr>
      <w:r>
        <w:rPr>
          <w:rFonts w:hint="eastAsia" w:ascii="Times New Roman" w:hAnsi="Times New Roman" w:eastAsia="宋体" w:cs="Times New Roman"/>
          <w:bCs/>
          <w:sz w:val="24"/>
        </w:rPr>
        <w:t>清丰县地表水体控制断面为</w:t>
      </w:r>
      <w:r>
        <w:rPr>
          <w:rFonts w:ascii="Times New Roman" w:hAnsi="Times New Roman" w:eastAsia="宋体" w:cs="Times New Roman"/>
          <w:sz w:val="24"/>
        </w:rPr>
        <w:t>马颊河西吉七断面</w:t>
      </w:r>
      <w:r>
        <w:rPr>
          <w:rFonts w:hint="eastAsia" w:ascii="Times New Roman" w:hAnsi="Times New Roman" w:eastAsia="宋体" w:cs="Times New Roman"/>
          <w:sz w:val="24"/>
        </w:rPr>
        <w:t>。</w:t>
      </w:r>
      <w:r>
        <w:rPr>
          <w:rFonts w:ascii="Times New Roman" w:hAnsi="Times New Roman" w:eastAsia="宋体" w:cs="Times New Roman"/>
          <w:sz w:val="24"/>
        </w:rPr>
        <w:t>地表水环境质量现状数据引用濮阳市生态环境局公布的濮阳市环境质量月报202</w:t>
      </w:r>
      <w:r>
        <w:rPr>
          <w:rFonts w:hint="eastAsia" w:ascii="Times New Roman" w:hAnsi="Times New Roman" w:eastAsia="宋体" w:cs="Times New Roman"/>
          <w:sz w:val="24"/>
        </w:rPr>
        <w:t>2</w:t>
      </w:r>
      <w:r>
        <w:rPr>
          <w:rFonts w:ascii="Times New Roman" w:hAnsi="Times New Roman" w:eastAsia="宋体" w:cs="Times New Roman"/>
          <w:sz w:val="24"/>
        </w:rPr>
        <w:t>年</w:t>
      </w:r>
      <w:r>
        <w:rPr>
          <w:rFonts w:hint="eastAsia" w:ascii="Times New Roman" w:hAnsi="Times New Roman" w:eastAsia="宋体" w:cs="Times New Roman"/>
          <w:sz w:val="24"/>
        </w:rPr>
        <w:t>全年</w:t>
      </w:r>
      <w:r>
        <w:rPr>
          <w:rFonts w:ascii="Times New Roman" w:hAnsi="Times New Roman" w:eastAsia="宋体" w:cs="Times New Roman"/>
          <w:sz w:val="24"/>
        </w:rPr>
        <w:t>马颊河西吉七断面监测结果，监</w:t>
      </w:r>
      <w:r>
        <w:rPr>
          <w:rFonts w:ascii="Times New Roman" w:hAnsi="Times New Roman" w:eastAsia="宋体" w:cs="Times New Roman"/>
          <w:color w:val="auto"/>
          <w:sz w:val="24"/>
        </w:rPr>
        <w:t>测数据统计见</w:t>
      </w:r>
      <w:r>
        <w:rPr>
          <w:rFonts w:hint="eastAsia" w:ascii="Times New Roman" w:hAnsi="Times New Roman" w:eastAsia="宋体" w:cs="Times New Roman"/>
          <w:color w:val="auto"/>
          <w:sz w:val="24"/>
        </w:rPr>
        <w:t>下</w:t>
      </w:r>
      <w:r>
        <w:rPr>
          <w:rFonts w:ascii="Times New Roman" w:hAnsi="Times New Roman" w:eastAsia="宋体" w:cs="Times New Roman"/>
          <w:color w:val="auto"/>
          <w:sz w:val="24"/>
        </w:rPr>
        <w:t>表。</w:t>
      </w:r>
    </w:p>
    <w:p w14:paraId="4B45721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 xml:space="preserve">表4.3-1  </w:t>
      </w:r>
      <w:r>
        <w:rPr>
          <w:rFonts w:ascii="Times New Roman" w:hAnsi="Times New Roman" w:eastAsia="宋体" w:cs="Times New Roman"/>
          <w:b/>
          <w:bCs/>
          <w:color w:val="auto"/>
          <w:szCs w:val="21"/>
        </w:rPr>
        <w:t>地表水环境质量现状统计结果一览表</w:t>
      </w:r>
    </w:p>
    <w:tbl>
      <w:tblPr>
        <w:tblStyle w:val="30"/>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1570"/>
        <w:gridCol w:w="1222"/>
        <w:gridCol w:w="936"/>
        <w:gridCol w:w="605"/>
        <w:gridCol w:w="995"/>
        <w:gridCol w:w="1025"/>
        <w:gridCol w:w="1220"/>
      </w:tblGrid>
      <w:tr w14:paraId="1D4F2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tcBorders>
              <w:tl2br w:val="nil"/>
              <w:tr2bl w:val="nil"/>
            </w:tcBorders>
            <w:vAlign w:val="center"/>
          </w:tcPr>
          <w:p w14:paraId="1196B98F">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断面</w:t>
            </w:r>
          </w:p>
        </w:tc>
        <w:tc>
          <w:tcPr>
            <w:tcW w:w="944" w:type="pct"/>
            <w:tcBorders>
              <w:tl2br w:val="nil"/>
              <w:tr2bl w:val="nil"/>
            </w:tcBorders>
            <w:vAlign w:val="center"/>
          </w:tcPr>
          <w:p w14:paraId="76DD87F8">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监测因子</w:t>
            </w:r>
          </w:p>
        </w:tc>
        <w:tc>
          <w:tcPr>
            <w:tcW w:w="735" w:type="pct"/>
            <w:tcBorders>
              <w:tl2br w:val="nil"/>
              <w:tr2bl w:val="nil"/>
            </w:tcBorders>
            <w:vAlign w:val="center"/>
          </w:tcPr>
          <w:p w14:paraId="1D8D1145">
            <w:pPr>
              <w:pStyle w:val="42"/>
              <w:autoSpaceDE/>
              <w:autoSpaceDN/>
              <w:snapToGrid w:val="0"/>
              <w:rPr>
                <w:rFonts w:ascii="Times New Roman" w:hAnsi="Times New Roman" w:eastAsia="宋体" w:cs="Times New Roman"/>
                <w:color w:val="auto"/>
                <w:sz w:val="21"/>
                <w:szCs w:val="21"/>
              </w:rPr>
            </w:pPr>
            <w:r>
              <w:rPr>
                <w:rFonts w:hint="eastAsia" w:ascii="Times New Roman" w:hAnsi="Times New Roman" w:cs="Times New Roman"/>
                <w:color w:val="auto"/>
                <w:sz w:val="21"/>
                <w:szCs w:val="21"/>
              </w:rPr>
              <w:t>月报</w:t>
            </w:r>
          </w:p>
        </w:tc>
        <w:tc>
          <w:tcPr>
            <w:tcW w:w="563" w:type="pct"/>
            <w:tcBorders>
              <w:tl2br w:val="nil"/>
              <w:tr2bl w:val="nil"/>
            </w:tcBorders>
            <w:vAlign w:val="center"/>
          </w:tcPr>
          <w:p w14:paraId="34F5C775">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监测结果</w:t>
            </w:r>
          </w:p>
        </w:tc>
        <w:tc>
          <w:tcPr>
            <w:tcW w:w="364" w:type="pct"/>
            <w:tcBorders>
              <w:tl2br w:val="nil"/>
              <w:tr2bl w:val="nil"/>
            </w:tcBorders>
            <w:vAlign w:val="center"/>
          </w:tcPr>
          <w:p w14:paraId="4CC36298">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标准</w:t>
            </w:r>
          </w:p>
        </w:tc>
        <w:tc>
          <w:tcPr>
            <w:tcW w:w="599" w:type="pct"/>
            <w:tcBorders>
              <w:tl2br w:val="nil"/>
              <w:tr2bl w:val="nil"/>
            </w:tcBorders>
            <w:vAlign w:val="center"/>
          </w:tcPr>
          <w:p w14:paraId="5BFA7900">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标准指数</w:t>
            </w:r>
          </w:p>
        </w:tc>
        <w:tc>
          <w:tcPr>
            <w:tcW w:w="617" w:type="pct"/>
            <w:tcBorders>
              <w:tl2br w:val="nil"/>
              <w:tr2bl w:val="nil"/>
            </w:tcBorders>
            <w:vAlign w:val="center"/>
          </w:tcPr>
          <w:p w14:paraId="22883932">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超标倍数</w:t>
            </w:r>
          </w:p>
        </w:tc>
        <w:tc>
          <w:tcPr>
            <w:tcW w:w="734" w:type="pct"/>
            <w:tcBorders>
              <w:tl2br w:val="nil"/>
              <w:tr2bl w:val="nil"/>
            </w:tcBorders>
            <w:vAlign w:val="center"/>
          </w:tcPr>
          <w:p w14:paraId="65DE3EC9">
            <w:pPr>
              <w:pStyle w:val="42"/>
              <w:autoSpaceDE/>
              <w:autoSpaceDN/>
              <w:snapToGrid w:val="0"/>
              <w:rPr>
                <w:rFonts w:ascii="Times New Roman" w:hAnsi="Times New Roman" w:eastAsia="宋体" w:cs="Times New Roman"/>
                <w:color w:val="auto"/>
                <w:sz w:val="21"/>
                <w:szCs w:val="21"/>
              </w:rPr>
            </w:pPr>
            <w:r>
              <w:rPr>
                <w:rFonts w:ascii="Times New Roman" w:hAnsi="Times New Roman" w:cs="Times New Roman"/>
                <w:color w:val="auto"/>
                <w:sz w:val="21"/>
                <w:szCs w:val="21"/>
              </w:rPr>
              <w:t>达标</w:t>
            </w:r>
            <w:r>
              <w:rPr>
                <w:rFonts w:hint="eastAsia" w:ascii="Times New Roman" w:hAnsi="Times New Roman" w:cs="Times New Roman"/>
                <w:color w:val="auto"/>
                <w:sz w:val="21"/>
                <w:szCs w:val="21"/>
              </w:rPr>
              <w:t>情况</w:t>
            </w:r>
          </w:p>
        </w:tc>
      </w:tr>
      <w:tr w14:paraId="19728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restart"/>
            <w:tcBorders>
              <w:tl2br w:val="nil"/>
              <w:tr2bl w:val="nil"/>
            </w:tcBorders>
            <w:vAlign w:val="center"/>
          </w:tcPr>
          <w:p w14:paraId="1E2F50BD">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马颊河</w:t>
            </w:r>
            <w:r>
              <w:rPr>
                <w:rFonts w:hint="eastAsia" w:ascii="Times New Roman" w:hAnsi="Times New Roman" w:cs="Times New Roman"/>
                <w:color w:val="auto"/>
                <w:sz w:val="21"/>
                <w:szCs w:val="21"/>
              </w:rPr>
              <w:t>西吉七</w:t>
            </w:r>
            <w:r>
              <w:rPr>
                <w:rFonts w:ascii="Times New Roman" w:hAnsi="Times New Roman" w:cs="Times New Roman"/>
                <w:color w:val="auto"/>
                <w:sz w:val="21"/>
                <w:szCs w:val="21"/>
              </w:rPr>
              <w:t>断面</w:t>
            </w:r>
          </w:p>
        </w:tc>
        <w:tc>
          <w:tcPr>
            <w:tcW w:w="944" w:type="pct"/>
            <w:tcBorders>
              <w:tl2br w:val="nil"/>
              <w:tr2bl w:val="nil"/>
            </w:tcBorders>
            <w:vAlign w:val="center"/>
          </w:tcPr>
          <w:p w14:paraId="1EB35708">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高锰酸盐指数</w:t>
            </w:r>
          </w:p>
        </w:tc>
        <w:tc>
          <w:tcPr>
            <w:tcW w:w="735" w:type="pct"/>
            <w:vMerge w:val="restart"/>
            <w:tcBorders>
              <w:tl2br w:val="nil"/>
              <w:tr2bl w:val="nil"/>
            </w:tcBorders>
            <w:vAlign w:val="center"/>
          </w:tcPr>
          <w:p w14:paraId="2A2D015A">
            <w:pPr>
              <w:jc w:val="center"/>
              <w:rPr>
                <w:rFonts w:ascii="Times New Roman" w:hAnsi="Times New Roman" w:cs="Times New Roman"/>
                <w:color w:val="auto"/>
                <w:szCs w:val="21"/>
              </w:rPr>
            </w:pPr>
            <w:r>
              <w:rPr>
                <w:rFonts w:hint="eastAsia" w:ascii="Times New Roman" w:hAnsi="Times New Roman" w:cs="Times New Roman"/>
                <w:color w:val="auto"/>
                <w:szCs w:val="21"/>
              </w:rPr>
              <w:t>2022年1期</w:t>
            </w:r>
          </w:p>
        </w:tc>
        <w:tc>
          <w:tcPr>
            <w:tcW w:w="563" w:type="pct"/>
            <w:tcBorders>
              <w:tl2br w:val="nil"/>
              <w:tr2bl w:val="nil"/>
            </w:tcBorders>
            <w:vAlign w:val="center"/>
          </w:tcPr>
          <w:p w14:paraId="4A221E2A">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3.3</w:t>
            </w:r>
          </w:p>
        </w:tc>
        <w:tc>
          <w:tcPr>
            <w:tcW w:w="364" w:type="pct"/>
            <w:tcBorders>
              <w:tl2br w:val="nil"/>
              <w:tr2bl w:val="nil"/>
            </w:tcBorders>
            <w:vAlign w:val="center"/>
          </w:tcPr>
          <w:p w14:paraId="7B180606">
            <w:pPr>
              <w:pStyle w:val="42"/>
              <w:autoSpaceDE/>
              <w:autoSpaceDN/>
              <w:snapToGrid w:val="0"/>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w:t>
            </w:r>
            <w:r>
              <w:rPr>
                <w:rFonts w:hint="eastAsia" w:ascii="Times New Roman" w:hAnsi="Times New Roman" w:eastAsia="宋体" w:cs="Times New Roman"/>
                <w:color w:val="auto"/>
                <w:sz w:val="21"/>
                <w:szCs w:val="21"/>
                <w:lang w:val="en-US" w:eastAsia="zh-CN"/>
              </w:rPr>
              <w:t>6</w:t>
            </w:r>
          </w:p>
        </w:tc>
        <w:tc>
          <w:tcPr>
            <w:tcW w:w="599" w:type="pct"/>
            <w:tcBorders>
              <w:tl2br w:val="nil"/>
              <w:tr2bl w:val="nil"/>
            </w:tcBorders>
            <w:vAlign w:val="center"/>
          </w:tcPr>
          <w:p w14:paraId="4AFA1A93">
            <w:pPr>
              <w:pStyle w:val="42"/>
              <w:autoSpaceDE/>
              <w:autoSpaceDN/>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0.</w:t>
            </w:r>
            <w:r>
              <w:rPr>
                <w:rFonts w:hint="eastAsia" w:ascii="Times New Roman" w:hAnsi="Times New Roman" w:eastAsia="宋体" w:cs="Times New Roman"/>
                <w:color w:val="auto"/>
                <w:sz w:val="21"/>
                <w:szCs w:val="21"/>
                <w:lang w:val="en-US" w:eastAsia="zh-CN"/>
              </w:rPr>
              <w:t>55</w:t>
            </w:r>
          </w:p>
        </w:tc>
        <w:tc>
          <w:tcPr>
            <w:tcW w:w="617" w:type="pct"/>
            <w:tcBorders>
              <w:tl2br w:val="nil"/>
              <w:tr2bl w:val="nil"/>
            </w:tcBorders>
            <w:vAlign w:val="center"/>
          </w:tcPr>
          <w:p w14:paraId="35CC4124">
            <w:pPr>
              <w:snapToGrid w:val="0"/>
              <w:jc w:val="center"/>
              <w:rPr>
                <w:rFonts w:ascii="Times New Roman" w:hAnsi="Times New Roman" w:cs="Times New Roman"/>
                <w:color w:val="auto"/>
                <w:szCs w:val="21"/>
              </w:rPr>
            </w:pPr>
            <w:r>
              <w:rPr>
                <w:rFonts w:ascii="Times New Roman" w:hAnsi="Times New Roman" w:cs="Times New Roman"/>
                <w:color w:val="auto"/>
                <w:szCs w:val="21"/>
              </w:rPr>
              <w:t>0</w:t>
            </w:r>
          </w:p>
        </w:tc>
        <w:tc>
          <w:tcPr>
            <w:tcW w:w="734" w:type="pct"/>
            <w:tcBorders>
              <w:tl2br w:val="nil"/>
              <w:tr2bl w:val="nil"/>
            </w:tcBorders>
            <w:vAlign w:val="center"/>
          </w:tcPr>
          <w:p w14:paraId="2AF8C87A">
            <w:pPr>
              <w:snapToGrid w:val="0"/>
              <w:jc w:val="center"/>
              <w:rPr>
                <w:rFonts w:ascii="Times New Roman" w:hAnsi="Times New Roman" w:cs="Times New Roman"/>
                <w:color w:val="auto"/>
                <w:szCs w:val="21"/>
              </w:rPr>
            </w:pPr>
            <w:r>
              <w:rPr>
                <w:rFonts w:ascii="Times New Roman" w:hAnsi="Times New Roman" w:cs="Times New Roman"/>
                <w:color w:val="auto"/>
                <w:szCs w:val="21"/>
              </w:rPr>
              <w:t>达标</w:t>
            </w:r>
          </w:p>
        </w:tc>
      </w:tr>
      <w:tr w14:paraId="5FC3F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14A1FE30">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0E4CC9B3">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position w:val="2"/>
                <w:sz w:val="21"/>
                <w:szCs w:val="21"/>
              </w:rPr>
              <w:t>NH</w:t>
            </w:r>
            <w:r>
              <w:rPr>
                <w:rFonts w:ascii="Times New Roman" w:hAnsi="Times New Roman" w:cs="Times New Roman"/>
                <w:color w:val="auto"/>
                <w:position w:val="2"/>
                <w:sz w:val="21"/>
                <w:szCs w:val="21"/>
                <w:vertAlign w:val="subscript"/>
              </w:rPr>
              <w:t>3</w:t>
            </w:r>
            <w:r>
              <w:rPr>
                <w:rFonts w:ascii="Times New Roman" w:hAnsi="Times New Roman" w:cs="Times New Roman"/>
                <w:color w:val="auto"/>
                <w:position w:val="2"/>
                <w:sz w:val="21"/>
                <w:szCs w:val="21"/>
              </w:rPr>
              <w:t>-N</w:t>
            </w:r>
          </w:p>
        </w:tc>
        <w:tc>
          <w:tcPr>
            <w:tcW w:w="735" w:type="pct"/>
            <w:vMerge w:val="continue"/>
            <w:tcBorders>
              <w:tl2br w:val="nil"/>
              <w:tr2bl w:val="nil"/>
            </w:tcBorders>
            <w:vAlign w:val="center"/>
          </w:tcPr>
          <w:p w14:paraId="3C4F0531">
            <w:pPr>
              <w:snapToGrid w:val="0"/>
              <w:jc w:val="center"/>
              <w:rPr>
                <w:rFonts w:ascii="Times New Roman" w:hAnsi="Times New Roman" w:cs="Times New Roman"/>
                <w:color w:val="auto"/>
                <w:szCs w:val="21"/>
              </w:rPr>
            </w:pPr>
          </w:p>
        </w:tc>
        <w:tc>
          <w:tcPr>
            <w:tcW w:w="563" w:type="pct"/>
            <w:tcBorders>
              <w:tl2br w:val="nil"/>
              <w:tr2bl w:val="nil"/>
            </w:tcBorders>
            <w:vAlign w:val="center"/>
          </w:tcPr>
          <w:p w14:paraId="3DA0A4C9">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0.74</w:t>
            </w:r>
          </w:p>
        </w:tc>
        <w:tc>
          <w:tcPr>
            <w:tcW w:w="364" w:type="pct"/>
            <w:tcBorders>
              <w:tl2br w:val="nil"/>
              <w:tr2bl w:val="nil"/>
            </w:tcBorders>
            <w:vAlign w:val="center"/>
          </w:tcPr>
          <w:p w14:paraId="38968B3B">
            <w:pPr>
              <w:pStyle w:val="42"/>
              <w:autoSpaceDE/>
              <w:autoSpaceDN/>
              <w:snapToGrid w:val="0"/>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w:t>
            </w:r>
            <w:r>
              <w:rPr>
                <w:rFonts w:hint="eastAsia" w:ascii="Times New Roman" w:hAnsi="Times New Roman" w:eastAsia="宋体" w:cs="Times New Roman"/>
                <w:color w:val="auto"/>
                <w:sz w:val="21"/>
                <w:szCs w:val="21"/>
                <w:lang w:val="en-US" w:eastAsia="zh-CN"/>
              </w:rPr>
              <w:t>1</w:t>
            </w:r>
          </w:p>
        </w:tc>
        <w:tc>
          <w:tcPr>
            <w:tcW w:w="599" w:type="pct"/>
            <w:tcBorders>
              <w:tl2br w:val="nil"/>
              <w:tr2bl w:val="nil"/>
            </w:tcBorders>
            <w:vAlign w:val="center"/>
          </w:tcPr>
          <w:p w14:paraId="3442B7C8">
            <w:pPr>
              <w:pStyle w:val="42"/>
              <w:autoSpaceDE/>
              <w:autoSpaceDN/>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0.</w:t>
            </w:r>
            <w:r>
              <w:rPr>
                <w:rFonts w:hint="eastAsia" w:ascii="Times New Roman" w:hAnsi="Times New Roman" w:eastAsia="宋体" w:cs="Times New Roman"/>
                <w:color w:val="auto"/>
                <w:sz w:val="21"/>
                <w:szCs w:val="21"/>
                <w:lang w:val="en-US" w:eastAsia="zh-CN"/>
              </w:rPr>
              <w:t>74</w:t>
            </w:r>
          </w:p>
        </w:tc>
        <w:tc>
          <w:tcPr>
            <w:tcW w:w="617" w:type="pct"/>
            <w:tcBorders>
              <w:tl2br w:val="nil"/>
              <w:tr2bl w:val="nil"/>
            </w:tcBorders>
            <w:vAlign w:val="center"/>
          </w:tcPr>
          <w:p w14:paraId="20727355">
            <w:pPr>
              <w:snapToGrid w:val="0"/>
              <w:jc w:val="center"/>
              <w:rPr>
                <w:rFonts w:ascii="Times New Roman" w:hAnsi="Times New Roman" w:cs="Times New Roman"/>
                <w:color w:val="auto"/>
                <w:szCs w:val="21"/>
              </w:rPr>
            </w:pPr>
            <w:r>
              <w:rPr>
                <w:rFonts w:hint="eastAsia" w:ascii="Times New Roman" w:hAnsi="Times New Roman" w:cs="Times New Roman"/>
                <w:color w:val="auto"/>
                <w:szCs w:val="21"/>
              </w:rPr>
              <w:t>0</w:t>
            </w:r>
          </w:p>
        </w:tc>
        <w:tc>
          <w:tcPr>
            <w:tcW w:w="734" w:type="pct"/>
            <w:tcBorders>
              <w:tl2br w:val="nil"/>
              <w:tr2bl w:val="nil"/>
            </w:tcBorders>
            <w:vAlign w:val="center"/>
          </w:tcPr>
          <w:p w14:paraId="5B0BBE8E">
            <w:pPr>
              <w:snapToGrid w:val="0"/>
              <w:jc w:val="center"/>
              <w:rPr>
                <w:rFonts w:ascii="Times New Roman" w:hAnsi="Times New Roman" w:cs="Times New Roman"/>
                <w:color w:val="auto"/>
                <w:szCs w:val="21"/>
              </w:rPr>
            </w:pPr>
            <w:r>
              <w:rPr>
                <w:rFonts w:ascii="Times New Roman" w:hAnsi="Times New Roman" w:cs="Times New Roman"/>
                <w:color w:val="auto"/>
                <w:szCs w:val="21"/>
              </w:rPr>
              <w:t>达标</w:t>
            </w:r>
          </w:p>
        </w:tc>
      </w:tr>
      <w:tr w14:paraId="09569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022C38F2">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4639FC70">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总磷</w:t>
            </w:r>
          </w:p>
        </w:tc>
        <w:tc>
          <w:tcPr>
            <w:tcW w:w="735" w:type="pct"/>
            <w:vMerge w:val="continue"/>
            <w:tcBorders>
              <w:tl2br w:val="nil"/>
              <w:tr2bl w:val="nil"/>
            </w:tcBorders>
            <w:vAlign w:val="center"/>
          </w:tcPr>
          <w:p w14:paraId="096C6262">
            <w:pPr>
              <w:snapToGrid w:val="0"/>
              <w:jc w:val="center"/>
              <w:rPr>
                <w:rFonts w:ascii="Times New Roman" w:hAnsi="Times New Roman" w:cs="Times New Roman"/>
                <w:color w:val="auto"/>
                <w:szCs w:val="21"/>
              </w:rPr>
            </w:pPr>
          </w:p>
        </w:tc>
        <w:tc>
          <w:tcPr>
            <w:tcW w:w="563" w:type="pct"/>
            <w:tcBorders>
              <w:tl2br w:val="nil"/>
              <w:tr2bl w:val="nil"/>
            </w:tcBorders>
            <w:vAlign w:val="center"/>
          </w:tcPr>
          <w:p w14:paraId="59CD9B63">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0.10</w:t>
            </w:r>
          </w:p>
        </w:tc>
        <w:tc>
          <w:tcPr>
            <w:tcW w:w="364" w:type="pct"/>
            <w:tcBorders>
              <w:tl2br w:val="nil"/>
              <w:tr2bl w:val="nil"/>
            </w:tcBorders>
            <w:vAlign w:val="center"/>
          </w:tcPr>
          <w:p w14:paraId="0869BC0B">
            <w:pPr>
              <w:pStyle w:val="42"/>
              <w:autoSpaceDE/>
              <w:autoSpaceDN/>
              <w:snapToGrid w:val="0"/>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w:t>
            </w:r>
            <w:r>
              <w:rPr>
                <w:rFonts w:hint="eastAsia" w:ascii="Times New Roman" w:hAnsi="Times New Roman" w:eastAsia="宋体" w:cs="Times New Roman"/>
                <w:color w:val="auto"/>
                <w:sz w:val="21"/>
                <w:szCs w:val="21"/>
                <w:lang w:val="en-US" w:eastAsia="zh-CN"/>
              </w:rPr>
              <w:t>0.2</w:t>
            </w:r>
          </w:p>
        </w:tc>
        <w:tc>
          <w:tcPr>
            <w:tcW w:w="599" w:type="pct"/>
            <w:tcBorders>
              <w:tl2br w:val="nil"/>
              <w:tr2bl w:val="nil"/>
            </w:tcBorders>
            <w:vAlign w:val="center"/>
          </w:tcPr>
          <w:p w14:paraId="43B004B5">
            <w:pPr>
              <w:pStyle w:val="42"/>
              <w:autoSpaceDE/>
              <w:autoSpaceDN/>
              <w:snapToGrid w:val="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0.</w:t>
            </w:r>
            <w:r>
              <w:rPr>
                <w:rFonts w:hint="eastAsia" w:ascii="Times New Roman" w:hAnsi="Times New Roman" w:eastAsia="宋体" w:cs="Times New Roman"/>
                <w:color w:val="auto"/>
                <w:sz w:val="21"/>
                <w:szCs w:val="21"/>
                <w:lang w:val="en-US" w:eastAsia="zh-CN"/>
              </w:rPr>
              <w:t>5</w:t>
            </w:r>
          </w:p>
        </w:tc>
        <w:tc>
          <w:tcPr>
            <w:tcW w:w="617" w:type="pct"/>
            <w:tcBorders>
              <w:tl2br w:val="nil"/>
              <w:tr2bl w:val="nil"/>
            </w:tcBorders>
            <w:vAlign w:val="center"/>
          </w:tcPr>
          <w:p w14:paraId="16780D1A">
            <w:pPr>
              <w:snapToGrid w:val="0"/>
              <w:jc w:val="center"/>
              <w:rPr>
                <w:rFonts w:ascii="Times New Roman" w:hAnsi="Times New Roman" w:cs="Times New Roman"/>
                <w:color w:val="auto"/>
                <w:szCs w:val="21"/>
              </w:rPr>
            </w:pPr>
            <w:r>
              <w:rPr>
                <w:rFonts w:ascii="Times New Roman" w:hAnsi="Times New Roman" w:cs="Times New Roman"/>
                <w:color w:val="auto"/>
                <w:szCs w:val="21"/>
              </w:rPr>
              <w:t>0</w:t>
            </w:r>
          </w:p>
        </w:tc>
        <w:tc>
          <w:tcPr>
            <w:tcW w:w="734" w:type="pct"/>
            <w:tcBorders>
              <w:tl2br w:val="nil"/>
              <w:tr2bl w:val="nil"/>
            </w:tcBorders>
            <w:vAlign w:val="center"/>
          </w:tcPr>
          <w:p w14:paraId="72EC79BC">
            <w:pPr>
              <w:snapToGrid w:val="0"/>
              <w:jc w:val="center"/>
              <w:rPr>
                <w:rFonts w:ascii="Times New Roman" w:hAnsi="Times New Roman" w:cs="Times New Roman"/>
                <w:color w:val="auto"/>
                <w:szCs w:val="21"/>
              </w:rPr>
            </w:pPr>
            <w:r>
              <w:rPr>
                <w:rFonts w:ascii="Times New Roman" w:hAnsi="Times New Roman" w:cs="Times New Roman"/>
                <w:color w:val="auto"/>
                <w:szCs w:val="21"/>
              </w:rPr>
              <w:t>达标</w:t>
            </w:r>
          </w:p>
        </w:tc>
      </w:tr>
      <w:tr w14:paraId="65EF7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2B3D6E03">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7B82A940">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高锰酸盐指数</w:t>
            </w:r>
          </w:p>
        </w:tc>
        <w:tc>
          <w:tcPr>
            <w:tcW w:w="735" w:type="pct"/>
            <w:vMerge w:val="restart"/>
            <w:tcBorders>
              <w:tl2br w:val="nil"/>
              <w:tr2bl w:val="nil"/>
            </w:tcBorders>
            <w:vAlign w:val="center"/>
          </w:tcPr>
          <w:p w14:paraId="78999E9C">
            <w:pPr>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2022年4期</w:t>
            </w:r>
          </w:p>
        </w:tc>
        <w:tc>
          <w:tcPr>
            <w:tcW w:w="563" w:type="pct"/>
            <w:tcBorders>
              <w:tl2br w:val="nil"/>
              <w:tr2bl w:val="nil"/>
            </w:tcBorders>
            <w:vAlign w:val="center"/>
          </w:tcPr>
          <w:p w14:paraId="79965520">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7.1</w:t>
            </w:r>
          </w:p>
        </w:tc>
        <w:tc>
          <w:tcPr>
            <w:tcW w:w="364" w:type="pct"/>
            <w:tcBorders>
              <w:tl2br w:val="nil"/>
              <w:tr2bl w:val="nil"/>
            </w:tcBorders>
            <w:vAlign w:val="center"/>
          </w:tcPr>
          <w:p w14:paraId="791067FC">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w:t>
            </w:r>
            <w:r>
              <w:rPr>
                <w:rFonts w:hint="eastAsia" w:ascii="Times New Roman" w:hAnsi="Times New Roman" w:cs="Times New Roman"/>
                <w:color w:val="auto"/>
                <w:sz w:val="21"/>
                <w:szCs w:val="21"/>
              </w:rPr>
              <w:t>6</w:t>
            </w:r>
          </w:p>
        </w:tc>
        <w:tc>
          <w:tcPr>
            <w:tcW w:w="599" w:type="pct"/>
            <w:tcBorders>
              <w:tl2br w:val="nil"/>
              <w:tr2bl w:val="nil"/>
            </w:tcBorders>
            <w:vAlign w:val="center"/>
          </w:tcPr>
          <w:p w14:paraId="7830BAEC">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1.18</w:t>
            </w:r>
          </w:p>
        </w:tc>
        <w:tc>
          <w:tcPr>
            <w:tcW w:w="617" w:type="pct"/>
            <w:tcBorders>
              <w:tl2br w:val="nil"/>
              <w:tr2bl w:val="nil"/>
            </w:tcBorders>
            <w:vAlign w:val="center"/>
          </w:tcPr>
          <w:p w14:paraId="04AB2E92">
            <w:pPr>
              <w:snapToGrid w:val="0"/>
              <w:jc w:val="center"/>
              <w:rPr>
                <w:rFonts w:ascii="Times New Roman" w:hAnsi="Times New Roman" w:cs="Times New Roman"/>
                <w:color w:val="auto"/>
                <w:szCs w:val="21"/>
              </w:rPr>
            </w:pPr>
            <w:r>
              <w:rPr>
                <w:rFonts w:hint="eastAsia" w:ascii="Times New Roman" w:hAnsi="Times New Roman" w:cs="Times New Roman"/>
                <w:color w:val="auto"/>
                <w:szCs w:val="21"/>
              </w:rPr>
              <w:t>0.18</w:t>
            </w:r>
          </w:p>
        </w:tc>
        <w:tc>
          <w:tcPr>
            <w:tcW w:w="734" w:type="pct"/>
            <w:tcBorders>
              <w:tl2br w:val="nil"/>
              <w:tr2bl w:val="nil"/>
            </w:tcBorders>
            <w:vAlign w:val="center"/>
          </w:tcPr>
          <w:p w14:paraId="767F01B6">
            <w:pPr>
              <w:snapToGrid w:val="0"/>
              <w:jc w:val="center"/>
              <w:rPr>
                <w:rFonts w:ascii="Times New Roman" w:hAnsi="Times New Roman" w:cs="Times New Roman"/>
                <w:color w:val="auto"/>
                <w:szCs w:val="21"/>
              </w:rPr>
            </w:pPr>
            <w:r>
              <w:rPr>
                <w:rFonts w:ascii="Times New Roman" w:hAnsi="Times New Roman" w:cs="Times New Roman"/>
                <w:color w:val="auto"/>
                <w:szCs w:val="21"/>
              </w:rPr>
              <w:t>超标</w:t>
            </w:r>
          </w:p>
        </w:tc>
      </w:tr>
      <w:tr w14:paraId="334F8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3C2FF4D1">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1203FF92">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position w:val="2"/>
                <w:sz w:val="21"/>
                <w:szCs w:val="21"/>
              </w:rPr>
              <w:t>NH</w:t>
            </w:r>
            <w:r>
              <w:rPr>
                <w:rFonts w:ascii="Times New Roman" w:hAnsi="Times New Roman" w:cs="Times New Roman"/>
                <w:color w:val="auto"/>
                <w:position w:val="2"/>
                <w:sz w:val="21"/>
                <w:szCs w:val="21"/>
                <w:vertAlign w:val="subscript"/>
              </w:rPr>
              <w:t>3</w:t>
            </w:r>
            <w:r>
              <w:rPr>
                <w:rFonts w:ascii="Times New Roman" w:hAnsi="Times New Roman" w:cs="Times New Roman"/>
                <w:color w:val="auto"/>
                <w:position w:val="2"/>
                <w:sz w:val="21"/>
                <w:szCs w:val="21"/>
              </w:rPr>
              <w:t>-N</w:t>
            </w:r>
          </w:p>
        </w:tc>
        <w:tc>
          <w:tcPr>
            <w:tcW w:w="735" w:type="pct"/>
            <w:vMerge w:val="continue"/>
            <w:tcBorders>
              <w:tl2br w:val="nil"/>
              <w:tr2bl w:val="nil"/>
            </w:tcBorders>
            <w:vAlign w:val="center"/>
          </w:tcPr>
          <w:p w14:paraId="0F21DC48">
            <w:pPr>
              <w:snapToGrid w:val="0"/>
              <w:jc w:val="center"/>
              <w:rPr>
                <w:rFonts w:ascii="Times New Roman" w:hAnsi="Times New Roman" w:cs="Times New Roman"/>
                <w:color w:val="auto"/>
                <w:szCs w:val="21"/>
              </w:rPr>
            </w:pPr>
          </w:p>
        </w:tc>
        <w:tc>
          <w:tcPr>
            <w:tcW w:w="563" w:type="pct"/>
            <w:tcBorders>
              <w:tl2br w:val="nil"/>
              <w:tr2bl w:val="nil"/>
            </w:tcBorders>
            <w:vAlign w:val="center"/>
          </w:tcPr>
          <w:p w14:paraId="53EAFA8D">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0.20</w:t>
            </w:r>
          </w:p>
        </w:tc>
        <w:tc>
          <w:tcPr>
            <w:tcW w:w="364" w:type="pct"/>
            <w:tcBorders>
              <w:tl2br w:val="nil"/>
              <w:tr2bl w:val="nil"/>
            </w:tcBorders>
            <w:vAlign w:val="center"/>
          </w:tcPr>
          <w:p w14:paraId="18E6C7A7">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w:t>
            </w:r>
            <w:r>
              <w:rPr>
                <w:rFonts w:hint="eastAsia" w:ascii="Times New Roman" w:hAnsi="Times New Roman" w:cs="Times New Roman"/>
                <w:color w:val="auto"/>
                <w:sz w:val="21"/>
                <w:szCs w:val="21"/>
              </w:rPr>
              <w:t>1</w:t>
            </w:r>
          </w:p>
        </w:tc>
        <w:tc>
          <w:tcPr>
            <w:tcW w:w="599" w:type="pct"/>
            <w:tcBorders>
              <w:tl2br w:val="nil"/>
              <w:tr2bl w:val="nil"/>
            </w:tcBorders>
            <w:vAlign w:val="center"/>
          </w:tcPr>
          <w:p w14:paraId="5E8D81C7">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0.2</w:t>
            </w:r>
          </w:p>
        </w:tc>
        <w:tc>
          <w:tcPr>
            <w:tcW w:w="617" w:type="pct"/>
            <w:tcBorders>
              <w:tl2br w:val="nil"/>
              <w:tr2bl w:val="nil"/>
            </w:tcBorders>
            <w:vAlign w:val="center"/>
          </w:tcPr>
          <w:p w14:paraId="6C6AC455">
            <w:pPr>
              <w:snapToGrid w:val="0"/>
              <w:jc w:val="center"/>
              <w:rPr>
                <w:rFonts w:ascii="Times New Roman" w:hAnsi="Times New Roman" w:cs="Times New Roman"/>
                <w:color w:val="auto"/>
                <w:szCs w:val="21"/>
              </w:rPr>
            </w:pPr>
            <w:r>
              <w:rPr>
                <w:rFonts w:ascii="Times New Roman" w:hAnsi="Times New Roman" w:cs="Times New Roman"/>
                <w:color w:val="auto"/>
                <w:szCs w:val="21"/>
              </w:rPr>
              <w:t>0</w:t>
            </w:r>
          </w:p>
        </w:tc>
        <w:tc>
          <w:tcPr>
            <w:tcW w:w="734" w:type="pct"/>
            <w:tcBorders>
              <w:tl2br w:val="nil"/>
              <w:tr2bl w:val="nil"/>
            </w:tcBorders>
            <w:vAlign w:val="center"/>
          </w:tcPr>
          <w:p w14:paraId="525ABED7">
            <w:pPr>
              <w:snapToGrid w:val="0"/>
              <w:jc w:val="center"/>
              <w:rPr>
                <w:rFonts w:ascii="Times New Roman" w:hAnsi="Times New Roman" w:cs="Times New Roman"/>
                <w:color w:val="auto"/>
                <w:szCs w:val="21"/>
              </w:rPr>
            </w:pPr>
            <w:r>
              <w:rPr>
                <w:rFonts w:ascii="Times New Roman" w:hAnsi="Times New Roman" w:cs="Times New Roman"/>
                <w:color w:val="auto"/>
                <w:szCs w:val="21"/>
              </w:rPr>
              <w:t>达标</w:t>
            </w:r>
          </w:p>
        </w:tc>
      </w:tr>
      <w:tr w14:paraId="70DF5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4CE39485">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23C51883">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总磷</w:t>
            </w:r>
          </w:p>
        </w:tc>
        <w:tc>
          <w:tcPr>
            <w:tcW w:w="735" w:type="pct"/>
            <w:vMerge w:val="continue"/>
            <w:tcBorders>
              <w:tl2br w:val="nil"/>
              <w:tr2bl w:val="nil"/>
            </w:tcBorders>
            <w:vAlign w:val="center"/>
          </w:tcPr>
          <w:p w14:paraId="406AE3F6">
            <w:pPr>
              <w:snapToGrid w:val="0"/>
              <w:jc w:val="center"/>
              <w:rPr>
                <w:rFonts w:ascii="Times New Roman" w:hAnsi="Times New Roman" w:cs="Times New Roman"/>
                <w:color w:val="auto"/>
                <w:szCs w:val="21"/>
              </w:rPr>
            </w:pPr>
          </w:p>
        </w:tc>
        <w:tc>
          <w:tcPr>
            <w:tcW w:w="563" w:type="pct"/>
            <w:tcBorders>
              <w:tl2br w:val="nil"/>
              <w:tr2bl w:val="nil"/>
            </w:tcBorders>
            <w:vAlign w:val="center"/>
          </w:tcPr>
          <w:p w14:paraId="4EEC61B0">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0.13</w:t>
            </w:r>
          </w:p>
        </w:tc>
        <w:tc>
          <w:tcPr>
            <w:tcW w:w="364" w:type="pct"/>
            <w:tcBorders>
              <w:tl2br w:val="nil"/>
              <w:tr2bl w:val="nil"/>
            </w:tcBorders>
            <w:vAlign w:val="center"/>
          </w:tcPr>
          <w:p w14:paraId="0C0C6C7C">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≤0.</w:t>
            </w:r>
            <w:r>
              <w:rPr>
                <w:rFonts w:hint="eastAsia" w:ascii="Times New Roman" w:hAnsi="Times New Roman" w:cs="Times New Roman"/>
                <w:color w:val="auto"/>
                <w:sz w:val="21"/>
                <w:szCs w:val="21"/>
              </w:rPr>
              <w:t>2</w:t>
            </w:r>
          </w:p>
        </w:tc>
        <w:tc>
          <w:tcPr>
            <w:tcW w:w="599" w:type="pct"/>
            <w:tcBorders>
              <w:tl2br w:val="nil"/>
              <w:tr2bl w:val="nil"/>
            </w:tcBorders>
            <w:vAlign w:val="center"/>
          </w:tcPr>
          <w:p w14:paraId="7C29665E">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0.65</w:t>
            </w:r>
          </w:p>
        </w:tc>
        <w:tc>
          <w:tcPr>
            <w:tcW w:w="617" w:type="pct"/>
            <w:tcBorders>
              <w:tl2br w:val="nil"/>
              <w:tr2bl w:val="nil"/>
            </w:tcBorders>
            <w:vAlign w:val="center"/>
          </w:tcPr>
          <w:p w14:paraId="170998A6">
            <w:pPr>
              <w:snapToGrid w:val="0"/>
              <w:jc w:val="center"/>
              <w:rPr>
                <w:rFonts w:ascii="Times New Roman" w:hAnsi="Times New Roman" w:cs="Times New Roman"/>
                <w:color w:val="auto"/>
                <w:szCs w:val="21"/>
              </w:rPr>
            </w:pPr>
            <w:r>
              <w:rPr>
                <w:rFonts w:ascii="Times New Roman" w:hAnsi="Times New Roman" w:cs="Times New Roman"/>
                <w:color w:val="auto"/>
                <w:szCs w:val="21"/>
              </w:rPr>
              <w:t>0</w:t>
            </w:r>
          </w:p>
        </w:tc>
        <w:tc>
          <w:tcPr>
            <w:tcW w:w="734" w:type="pct"/>
            <w:tcBorders>
              <w:tl2br w:val="nil"/>
              <w:tr2bl w:val="nil"/>
            </w:tcBorders>
            <w:vAlign w:val="center"/>
          </w:tcPr>
          <w:p w14:paraId="09CDEA8B">
            <w:pPr>
              <w:snapToGrid w:val="0"/>
              <w:jc w:val="center"/>
              <w:rPr>
                <w:rFonts w:ascii="Times New Roman" w:hAnsi="Times New Roman" w:cs="Times New Roman"/>
                <w:color w:val="auto"/>
                <w:szCs w:val="21"/>
              </w:rPr>
            </w:pPr>
            <w:r>
              <w:rPr>
                <w:rFonts w:ascii="Times New Roman" w:hAnsi="Times New Roman" w:cs="Times New Roman"/>
                <w:color w:val="auto"/>
                <w:szCs w:val="21"/>
              </w:rPr>
              <w:t>达标</w:t>
            </w:r>
          </w:p>
        </w:tc>
      </w:tr>
      <w:tr w14:paraId="44A11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0F58A896">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37F6FDE6">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高锰酸盐指数</w:t>
            </w:r>
          </w:p>
        </w:tc>
        <w:tc>
          <w:tcPr>
            <w:tcW w:w="735" w:type="pct"/>
            <w:vMerge w:val="restart"/>
            <w:tcBorders>
              <w:tl2br w:val="nil"/>
              <w:tr2bl w:val="nil"/>
            </w:tcBorders>
            <w:vAlign w:val="center"/>
          </w:tcPr>
          <w:p w14:paraId="71E77D15">
            <w:pPr>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2022年7期</w:t>
            </w:r>
          </w:p>
        </w:tc>
        <w:tc>
          <w:tcPr>
            <w:tcW w:w="563" w:type="pct"/>
            <w:tcBorders>
              <w:tl2br w:val="nil"/>
              <w:tr2bl w:val="nil"/>
            </w:tcBorders>
            <w:vAlign w:val="center"/>
          </w:tcPr>
          <w:p w14:paraId="73DE98FC">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4.4</w:t>
            </w:r>
          </w:p>
        </w:tc>
        <w:tc>
          <w:tcPr>
            <w:tcW w:w="364" w:type="pct"/>
            <w:tcBorders>
              <w:tl2br w:val="nil"/>
              <w:tr2bl w:val="nil"/>
            </w:tcBorders>
            <w:vAlign w:val="center"/>
          </w:tcPr>
          <w:p w14:paraId="49B06DE1">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w:t>
            </w:r>
            <w:r>
              <w:rPr>
                <w:rFonts w:hint="eastAsia" w:ascii="Times New Roman" w:hAnsi="Times New Roman" w:cs="Times New Roman"/>
                <w:color w:val="auto"/>
                <w:sz w:val="21"/>
                <w:szCs w:val="21"/>
              </w:rPr>
              <w:t>6</w:t>
            </w:r>
          </w:p>
        </w:tc>
        <w:tc>
          <w:tcPr>
            <w:tcW w:w="599" w:type="pct"/>
            <w:tcBorders>
              <w:tl2br w:val="nil"/>
              <w:tr2bl w:val="nil"/>
            </w:tcBorders>
            <w:vAlign w:val="center"/>
          </w:tcPr>
          <w:p w14:paraId="1BAC460E">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0.73</w:t>
            </w:r>
          </w:p>
        </w:tc>
        <w:tc>
          <w:tcPr>
            <w:tcW w:w="617" w:type="pct"/>
            <w:tcBorders>
              <w:tl2br w:val="nil"/>
              <w:tr2bl w:val="nil"/>
            </w:tcBorders>
            <w:vAlign w:val="center"/>
          </w:tcPr>
          <w:p w14:paraId="408E2B6D">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734" w:type="pct"/>
            <w:tcBorders>
              <w:tl2br w:val="nil"/>
              <w:tr2bl w:val="nil"/>
            </w:tcBorders>
            <w:vAlign w:val="center"/>
          </w:tcPr>
          <w:p w14:paraId="65F8DE94">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14:paraId="58D6D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5024B79A">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7E183B95">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position w:val="2"/>
                <w:sz w:val="21"/>
                <w:szCs w:val="21"/>
              </w:rPr>
              <w:t>NH</w:t>
            </w:r>
            <w:r>
              <w:rPr>
                <w:rFonts w:ascii="Times New Roman" w:hAnsi="Times New Roman" w:cs="Times New Roman"/>
                <w:color w:val="auto"/>
                <w:position w:val="2"/>
                <w:sz w:val="21"/>
                <w:szCs w:val="21"/>
                <w:vertAlign w:val="subscript"/>
              </w:rPr>
              <w:t>3</w:t>
            </w:r>
            <w:r>
              <w:rPr>
                <w:rFonts w:ascii="Times New Roman" w:hAnsi="Times New Roman" w:cs="Times New Roman"/>
                <w:color w:val="auto"/>
                <w:position w:val="2"/>
                <w:sz w:val="21"/>
                <w:szCs w:val="21"/>
              </w:rPr>
              <w:t>-N</w:t>
            </w:r>
          </w:p>
        </w:tc>
        <w:tc>
          <w:tcPr>
            <w:tcW w:w="735" w:type="pct"/>
            <w:vMerge w:val="continue"/>
            <w:tcBorders>
              <w:tl2br w:val="nil"/>
              <w:tr2bl w:val="nil"/>
            </w:tcBorders>
            <w:vAlign w:val="center"/>
          </w:tcPr>
          <w:p w14:paraId="2C214916">
            <w:pPr>
              <w:snapToGrid w:val="0"/>
              <w:jc w:val="center"/>
              <w:rPr>
                <w:rFonts w:ascii="Times New Roman" w:hAnsi="Times New Roman" w:cs="Times New Roman"/>
                <w:color w:val="auto"/>
                <w:szCs w:val="21"/>
              </w:rPr>
            </w:pPr>
          </w:p>
        </w:tc>
        <w:tc>
          <w:tcPr>
            <w:tcW w:w="563" w:type="pct"/>
            <w:tcBorders>
              <w:tl2br w:val="nil"/>
              <w:tr2bl w:val="nil"/>
            </w:tcBorders>
            <w:vAlign w:val="center"/>
          </w:tcPr>
          <w:p w14:paraId="6077F02A">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3.26</w:t>
            </w:r>
          </w:p>
        </w:tc>
        <w:tc>
          <w:tcPr>
            <w:tcW w:w="364" w:type="pct"/>
            <w:tcBorders>
              <w:tl2br w:val="nil"/>
              <w:tr2bl w:val="nil"/>
            </w:tcBorders>
            <w:vAlign w:val="center"/>
          </w:tcPr>
          <w:p w14:paraId="71A04191">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w:t>
            </w:r>
            <w:r>
              <w:rPr>
                <w:rFonts w:hint="eastAsia" w:ascii="Times New Roman" w:hAnsi="Times New Roman" w:cs="Times New Roman"/>
                <w:color w:val="auto"/>
                <w:sz w:val="21"/>
                <w:szCs w:val="21"/>
              </w:rPr>
              <w:t>1</w:t>
            </w:r>
          </w:p>
        </w:tc>
        <w:tc>
          <w:tcPr>
            <w:tcW w:w="599" w:type="pct"/>
            <w:tcBorders>
              <w:tl2br w:val="nil"/>
              <w:tr2bl w:val="nil"/>
            </w:tcBorders>
            <w:vAlign w:val="center"/>
          </w:tcPr>
          <w:p w14:paraId="7A743E18">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3.26</w:t>
            </w:r>
          </w:p>
        </w:tc>
        <w:tc>
          <w:tcPr>
            <w:tcW w:w="617" w:type="pct"/>
            <w:tcBorders>
              <w:tl2br w:val="nil"/>
              <w:tr2bl w:val="nil"/>
            </w:tcBorders>
            <w:vAlign w:val="center"/>
          </w:tcPr>
          <w:p w14:paraId="487BFB39">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2.26</w:t>
            </w:r>
          </w:p>
        </w:tc>
        <w:tc>
          <w:tcPr>
            <w:tcW w:w="734" w:type="pct"/>
            <w:tcBorders>
              <w:tl2br w:val="nil"/>
              <w:tr2bl w:val="nil"/>
            </w:tcBorders>
            <w:vAlign w:val="center"/>
          </w:tcPr>
          <w:p w14:paraId="3D4A1A61">
            <w:pPr>
              <w:snapToGrid w:val="0"/>
              <w:jc w:val="center"/>
              <w:rPr>
                <w:rFonts w:ascii="Times New Roman" w:hAnsi="Times New Roman" w:cs="Times New Roman"/>
                <w:color w:val="auto"/>
                <w:szCs w:val="21"/>
              </w:rPr>
            </w:pPr>
            <w:r>
              <w:rPr>
                <w:rFonts w:ascii="Times New Roman" w:hAnsi="Times New Roman" w:cs="Times New Roman"/>
                <w:color w:val="auto"/>
                <w:szCs w:val="21"/>
              </w:rPr>
              <w:t>超标</w:t>
            </w:r>
          </w:p>
        </w:tc>
      </w:tr>
      <w:tr w14:paraId="40D26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4443CBC7">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5B5F6DBE">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总磷</w:t>
            </w:r>
          </w:p>
        </w:tc>
        <w:tc>
          <w:tcPr>
            <w:tcW w:w="735" w:type="pct"/>
            <w:vMerge w:val="continue"/>
            <w:tcBorders>
              <w:tl2br w:val="nil"/>
              <w:tr2bl w:val="nil"/>
            </w:tcBorders>
            <w:vAlign w:val="center"/>
          </w:tcPr>
          <w:p w14:paraId="7415A6E0">
            <w:pPr>
              <w:snapToGrid w:val="0"/>
              <w:jc w:val="center"/>
              <w:rPr>
                <w:rFonts w:ascii="Times New Roman" w:hAnsi="Times New Roman" w:cs="Times New Roman"/>
                <w:color w:val="auto"/>
                <w:szCs w:val="21"/>
              </w:rPr>
            </w:pPr>
          </w:p>
        </w:tc>
        <w:tc>
          <w:tcPr>
            <w:tcW w:w="563" w:type="pct"/>
            <w:tcBorders>
              <w:tl2br w:val="nil"/>
              <w:tr2bl w:val="nil"/>
            </w:tcBorders>
            <w:vAlign w:val="center"/>
          </w:tcPr>
          <w:p w14:paraId="1C304597">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0.27</w:t>
            </w:r>
          </w:p>
        </w:tc>
        <w:tc>
          <w:tcPr>
            <w:tcW w:w="364" w:type="pct"/>
            <w:tcBorders>
              <w:tl2br w:val="nil"/>
              <w:tr2bl w:val="nil"/>
            </w:tcBorders>
            <w:vAlign w:val="center"/>
          </w:tcPr>
          <w:p w14:paraId="3951DA44">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≤0.</w:t>
            </w:r>
            <w:r>
              <w:rPr>
                <w:rFonts w:hint="eastAsia" w:ascii="Times New Roman" w:hAnsi="Times New Roman" w:cs="Times New Roman"/>
                <w:color w:val="auto"/>
                <w:sz w:val="21"/>
                <w:szCs w:val="21"/>
              </w:rPr>
              <w:t>2</w:t>
            </w:r>
          </w:p>
        </w:tc>
        <w:tc>
          <w:tcPr>
            <w:tcW w:w="599" w:type="pct"/>
            <w:tcBorders>
              <w:tl2br w:val="nil"/>
              <w:tr2bl w:val="nil"/>
            </w:tcBorders>
            <w:vAlign w:val="center"/>
          </w:tcPr>
          <w:p w14:paraId="3D3D6B1C">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1.35</w:t>
            </w:r>
          </w:p>
        </w:tc>
        <w:tc>
          <w:tcPr>
            <w:tcW w:w="617" w:type="pct"/>
            <w:tcBorders>
              <w:tl2br w:val="nil"/>
              <w:tr2bl w:val="nil"/>
            </w:tcBorders>
            <w:vAlign w:val="center"/>
          </w:tcPr>
          <w:p w14:paraId="118E4ADC">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0.35</w:t>
            </w:r>
          </w:p>
        </w:tc>
        <w:tc>
          <w:tcPr>
            <w:tcW w:w="734" w:type="pct"/>
            <w:tcBorders>
              <w:tl2br w:val="nil"/>
              <w:tr2bl w:val="nil"/>
            </w:tcBorders>
            <w:vAlign w:val="center"/>
          </w:tcPr>
          <w:p w14:paraId="1CD91093">
            <w:pPr>
              <w:snapToGrid w:val="0"/>
              <w:jc w:val="center"/>
              <w:rPr>
                <w:rFonts w:ascii="Times New Roman" w:hAnsi="Times New Roman" w:cs="Times New Roman"/>
                <w:color w:val="auto"/>
                <w:szCs w:val="21"/>
              </w:rPr>
            </w:pPr>
            <w:r>
              <w:rPr>
                <w:rFonts w:ascii="Times New Roman" w:hAnsi="Times New Roman" w:cs="Times New Roman"/>
                <w:color w:val="auto"/>
                <w:szCs w:val="21"/>
              </w:rPr>
              <w:t>超标</w:t>
            </w:r>
          </w:p>
        </w:tc>
      </w:tr>
      <w:tr w14:paraId="53E80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09056004">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294B579B">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高锰酸盐指数</w:t>
            </w:r>
          </w:p>
        </w:tc>
        <w:tc>
          <w:tcPr>
            <w:tcW w:w="735" w:type="pct"/>
            <w:vMerge w:val="restart"/>
            <w:tcBorders>
              <w:tl2br w:val="nil"/>
              <w:tr2bl w:val="nil"/>
            </w:tcBorders>
            <w:vAlign w:val="center"/>
          </w:tcPr>
          <w:p w14:paraId="49639096">
            <w:pPr>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2022年10期</w:t>
            </w:r>
          </w:p>
        </w:tc>
        <w:tc>
          <w:tcPr>
            <w:tcW w:w="563" w:type="pct"/>
            <w:tcBorders>
              <w:tl2br w:val="nil"/>
              <w:tr2bl w:val="nil"/>
            </w:tcBorders>
            <w:vAlign w:val="center"/>
          </w:tcPr>
          <w:p w14:paraId="63601695">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5.9</w:t>
            </w:r>
          </w:p>
        </w:tc>
        <w:tc>
          <w:tcPr>
            <w:tcW w:w="364" w:type="pct"/>
            <w:tcBorders>
              <w:tl2br w:val="nil"/>
              <w:tr2bl w:val="nil"/>
            </w:tcBorders>
            <w:vAlign w:val="center"/>
          </w:tcPr>
          <w:p w14:paraId="272DCBE4">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w:t>
            </w:r>
            <w:r>
              <w:rPr>
                <w:rFonts w:hint="eastAsia" w:ascii="Times New Roman" w:hAnsi="Times New Roman" w:cs="Times New Roman"/>
                <w:color w:val="auto"/>
                <w:sz w:val="21"/>
                <w:szCs w:val="21"/>
              </w:rPr>
              <w:t>6</w:t>
            </w:r>
          </w:p>
        </w:tc>
        <w:tc>
          <w:tcPr>
            <w:tcW w:w="599" w:type="pct"/>
            <w:tcBorders>
              <w:tl2br w:val="nil"/>
              <w:tr2bl w:val="nil"/>
            </w:tcBorders>
            <w:vAlign w:val="center"/>
          </w:tcPr>
          <w:p w14:paraId="574D93B4">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0.98</w:t>
            </w:r>
          </w:p>
        </w:tc>
        <w:tc>
          <w:tcPr>
            <w:tcW w:w="617" w:type="pct"/>
            <w:tcBorders>
              <w:tl2br w:val="nil"/>
              <w:tr2bl w:val="nil"/>
            </w:tcBorders>
            <w:vAlign w:val="center"/>
          </w:tcPr>
          <w:p w14:paraId="4ECB052D">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734" w:type="pct"/>
            <w:tcBorders>
              <w:tl2br w:val="nil"/>
              <w:tr2bl w:val="nil"/>
            </w:tcBorders>
            <w:vAlign w:val="center"/>
          </w:tcPr>
          <w:p w14:paraId="15B61752">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14:paraId="1A34D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6463B2A7">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39BC38CB">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position w:val="2"/>
                <w:sz w:val="21"/>
                <w:szCs w:val="21"/>
              </w:rPr>
              <w:t>NH</w:t>
            </w:r>
            <w:r>
              <w:rPr>
                <w:rFonts w:ascii="Times New Roman" w:hAnsi="Times New Roman" w:cs="Times New Roman"/>
                <w:color w:val="auto"/>
                <w:position w:val="2"/>
                <w:sz w:val="21"/>
                <w:szCs w:val="21"/>
                <w:vertAlign w:val="subscript"/>
              </w:rPr>
              <w:t>3</w:t>
            </w:r>
            <w:r>
              <w:rPr>
                <w:rFonts w:ascii="Times New Roman" w:hAnsi="Times New Roman" w:cs="Times New Roman"/>
                <w:color w:val="auto"/>
                <w:position w:val="2"/>
                <w:sz w:val="21"/>
                <w:szCs w:val="21"/>
              </w:rPr>
              <w:t>-N</w:t>
            </w:r>
          </w:p>
        </w:tc>
        <w:tc>
          <w:tcPr>
            <w:tcW w:w="735" w:type="pct"/>
            <w:vMerge w:val="continue"/>
            <w:tcBorders>
              <w:tl2br w:val="nil"/>
              <w:tr2bl w:val="nil"/>
            </w:tcBorders>
            <w:vAlign w:val="center"/>
          </w:tcPr>
          <w:p w14:paraId="45BA31E4">
            <w:pPr>
              <w:snapToGrid w:val="0"/>
              <w:jc w:val="center"/>
              <w:rPr>
                <w:rFonts w:ascii="Times New Roman" w:hAnsi="Times New Roman" w:cs="Times New Roman"/>
                <w:color w:val="auto"/>
                <w:szCs w:val="21"/>
              </w:rPr>
            </w:pPr>
          </w:p>
        </w:tc>
        <w:tc>
          <w:tcPr>
            <w:tcW w:w="563" w:type="pct"/>
            <w:tcBorders>
              <w:tl2br w:val="nil"/>
              <w:tr2bl w:val="nil"/>
            </w:tcBorders>
            <w:vAlign w:val="center"/>
          </w:tcPr>
          <w:p w14:paraId="37BD30A9">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2.78</w:t>
            </w:r>
          </w:p>
        </w:tc>
        <w:tc>
          <w:tcPr>
            <w:tcW w:w="364" w:type="pct"/>
            <w:tcBorders>
              <w:tl2br w:val="nil"/>
              <w:tr2bl w:val="nil"/>
            </w:tcBorders>
            <w:vAlign w:val="center"/>
          </w:tcPr>
          <w:p w14:paraId="74797FCA">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w:t>
            </w:r>
            <w:r>
              <w:rPr>
                <w:rFonts w:hint="eastAsia" w:ascii="Times New Roman" w:hAnsi="Times New Roman" w:cs="Times New Roman"/>
                <w:color w:val="auto"/>
                <w:sz w:val="21"/>
                <w:szCs w:val="21"/>
              </w:rPr>
              <w:t>1</w:t>
            </w:r>
          </w:p>
        </w:tc>
        <w:tc>
          <w:tcPr>
            <w:tcW w:w="599" w:type="pct"/>
            <w:tcBorders>
              <w:tl2br w:val="nil"/>
              <w:tr2bl w:val="nil"/>
            </w:tcBorders>
            <w:vAlign w:val="center"/>
          </w:tcPr>
          <w:p w14:paraId="30EDF527">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2.78</w:t>
            </w:r>
          </w:p>
        </w:tc>
        <w:tc>
          <w:tcPr>
            <w:tcW w:w="617" w:type="pct"/>
            <w:tcBorders>
              <w:tl2br w:val="nil"/>
              <w:tr2bl w:val="nil"/>
            </w:tcBorders>
            <w:vAlign w:val="center"/>
          </w:tcPr>
          <w:p w14:paraId="3356BDC1">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1.78</w:t>
            </w:r>
          </w:p>
        </w:tc>
        <w:tc>
          <w:tcPr>
            <w:tcW w:w="734" w:type="pct"/>
            <w:tcBorders>
              <w:tl2br w:val="nil"/>
              <w:tr2bl w:val="nil"/>
            </w:tcBorders>
            <w:vAlign w:val="center"/>
          </w:tcPr>
          <w:p w14:paraId="503FBB6A">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超标</w:t>
            </w:r>
          </w:p>
        </w:tc>
      </w:tr>
      <w:tr w14:paraId="47E47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42" w:type="pct"/>
            <w:vMerge w:val="continue"/>
            <w:tcBorders>
              <w:tl2br w:val="nil"/>
              <w:tr2bl w:val="nil"/>
            </w:tcBorders>
            <w:vAlign w:val="center"/>
          </w:tcPr>
          <w:p w14:paraId="439E1F8D">
            <w:pPr>
              <w:snapToGrid w:val="0"/>
              <w:jc w:val="center"/>
              <w:rPr>
                <w:rFonts w:ascii="Times New Roman" w:hAnsi="Times New Roman" w:cs="Times New Roman"/>
                <w:color w:val="auto"/>
                <w:szCs w:val="21"/>
              </w:rPr>
            </w:pPr>
          </w:p>
        </w:tc>
        <w:tc>
          <w:tcPr>
            <w:tcW w:w="944" w:type="pct"/>
            <w:tcBorders>
              <w:tl2br w:val="nil"/>
              <w:tr2bl w:val="nil"/>
            </w:tcBorders>
            <w:vAlign w:val="center"/>
          </w:tcPr>
          <w:p w14:paraId="54EA8939">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总磷</w:t>
            </w:r>
          </w:p>
        </w:tc>
        <w:tc>
          <w:tcPr>
            <w:tcW w:w="735" w:type="pct"/>
            <w:vMerge w:val="continue"/>
            <w:tcBorders>
              <w:tl2br w:val="nil"/>
              <w:tr2bl w:val="nil"/>
            </w:tcBorders>
            <w:vAlign w:val="center"/>
          </w:tcPr>
          <w:p w14:paraId="1CF65ACE">
            <w:pPr>
              <w:snapToGrid w:val="0"/>
              <w:jc w:val="center"/>
              <w:rPr>
                <w:rFonts w:ascii="Times New Roman" w:hAnsi="Times New Roman" w:cs="Times New Roman"/>
                <w:color w:val="auto"/>
                <w:szCs w:val="21"/>
              </w:rPr>
            </w:pPr>
          </w:p>
        </w:tc>
        <w:tc>
          <w:tcPr>
            <w:tcW w:w="563" w:type="pct"/>
            <w:tcBorders>
              <w:tl2br w:val="nil"/>
              <w:tr2bl w:val="nil"/>
            </w:tcBorders>
            <w:vAlign w:val="center"/>
          </w:tcPr>
          <w:p w14:paraId="677C39B8">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0.13</w:t>
            </w:r>
          </w:p>
        </w:tc>
        <w:tc>
          <w:tcPr>
            <w:tcW w:w="364" w:type="pct"/>
            <w:tcBorders>
              <w:tl2br w:val="nil"/>
              <w:tr2bl w:val="nil"/>
            </w:tcBorders>
            <w:vAlign w:val="center"/>
          </w:tcPr>
          <w:p w14:paraId="063BB98D">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≤0.</w:t>
            </w:r>
            <w:r>
              <w:rPr>
                <w:rFonts w:hint="eastAsia" w:ascii="Times New Roman" w:hAnsi="Times New Roman" w:cs="Times New Roman"/>
                <w:color w:val="auto"/>
                <w:sz w:val="21"/>
                <w:szCs w:val="21"/>
              </w:rPr>
              <w:t>2</w:t>
            </w:r>
          </w:p>
        </w:tc>
        <w:tc>
          <w:tcPr>
            <w:tcW w:w="599" w:type="pct"/>
            <w:tcBorders>
              <w:tl2br w:val="nil"/>
              <w:tr2bl w:val="nil"/>
            </w:tcBorders>
            <w:vAlign w:val="center"/>
          </w:tcPr>
          <w:p w14:paraId="489EEE32">
            <w:pPr>
              <w:pStyle w:val="42"/>
              <w:autoSpaceDE/>
              <w:autoSpaceDN/>
              <w:snapToGrid w:val="0"/>
              <w:rPr>
                <w:rFonts w:ascii="Times New Roman" w:hAnsi="Times New Roman" w:cs="Times New Roman"/>
                <w:color w:val="auto"/>
                <w:sz w:val="21"/>
                <w:szCs w:val="21"/>
              </w:rPr>
            </w:pPr>
            <w:r>
              <w:rPr>
                <w:rFonts w:hint="eastAsia" w:ascii="Times New Roman" w:hAnsi="Times New Roman" w:cs="Times New Roman"/>
                <w:color w:val="auto"/>
                <w:sz w:val="21"/>
                <w:szCs w:val="21"/>
              </w:rPr>
              <w:t>0.65</w:t>
            </w:r>
          </w:p>
        </w:tc>
        <w:tc>
          <w:tcPr>
            <w:tcW w:w="617" w:type="pct"/>
            <w:tcBorders>
              <w:tl2br w:val="nil"/>
              <w:tr2bl w:val="nil"/>
            </w:tcBorders>
            <w:vAlign w:val="center"/>
          </w:tcPr>
          <w:p w14:paraId="68872386">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734" w:type="pct"/>
            <w:tcBorders>
              <w:tl2br w:val="nil"/>
              <w:tr2bl w:val="nil"/>
            </w:tcBorders>
            <w:vAlign w:val="center"/>
          </w:tcPr>
          <w:p w14:paraId="4FC47143">
            <w:pPr>
              <w:pStyle w:val="42"/>
              <w:autoSpaceDE/>
              <w:autoSpaceDN/>
              <w:snapToGrid w:val="0"/>
              <w:rPr>
                <w:rFonts w:ascii="Times New Roman" w:hAnsi="Times New Roman" w:cs="Times New Roman"/>
                <w:color w:val="auto"/>
                <w:sz w:val="21"/>
                <w:szCs w:val="21"/>
              </w:rPr>
            </w:pPr>
            <w:r>
              <w:rPr>
                <w:rFonts w:ascii="Times New Roman" w:hAnsi="Times New Roman" w:cs="Times New Roman"/>
                <w:color w:val="auto"/>
                <w:sz w:val="21"/>
                <w:szCs w:val="21"/>
              </w:rPr>
              <w:t>达标</w:t>
            </w:r>
          </w:p>
        </w:tc>
      </w:tr>
    </w:tbl>
    <w:p w14:paraId="03DA8CED">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上表可知，马颊河西吉七断面公布断面水质2022年4期、2022年7期、2022年10期均出现超标情况，不能满足《地表水环境质量标准》（GB3838-2002）Ⅲ类标准。究其原因主要是因为沿途部分村庄洗漱废水未经处理直接通过雨水管网进入地表水体也对水质产生一定的影响。</w:t>
      </w:r>
    </w:p>
    <w:p w14:paraId="4228D5B3">
      <w:pPr>
        <w:pStyle w:val="4"/>
        <w:numPr>
          <w:ilvl w:val="2"/>
          <w:numId w:val="46"/>
        </w:numPr>
        <w:tabs>
          <w:tab w:val="clear" w:pos="0"/>
        </w:tabs>
      </w:pPr>
      <w:r>
        <w:t>项目</w:t>
      </w:r>
      <w:r>
        <w:rPr>
          <w:rFonts w:hint="eastAsia"/>
        </w:rPr>
        <w:t>废水</w:t>
      </w:r>
      <w:r>
        <w:t>排水路线</w:t>
      </w:r>
      <w:bookmarkEnd w:id="179"/>
    </w:p>
    <w:p w14:paraId="23EA5DF4">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本项目废水经厂内污水处理站处理达标后，通过管网排入</w:t>
      </w:r>
      <w:r>
        <w:rPr>
          <w:rFonts w:hint="eastAsia" w:ascii="Times New Roman" w:hAnsi="Times New Roman" w:eastAsia="宋体" w:cs="Times New Roman"/>
          <w:sz w:val="24"/>
        </w:rPr>
        <w:t>清丰中州水务有限公司第二污水处理厂深度</w:t>
      </w:r>
      <w:r>
        <w:rPr>
          <w:rFonts w:ascii="Times New Roman" w:hAnsi="Times New Roman" w:eastAsia="宋体" w:cs="Times New Roman"/>
          <w:sz w:val="24"/>
        </w:rPr>
        <w:t>处理后排入</w:t>
      </w:r>
      <w:r>
        <w:rPr>
          <w:rFonts w:hint="eastAsia" w:ascii="Times New Roman" w:hAnsi="Times New Roman" w:eastAsia="宋体" w:cs="Times New Roman"/>
          <w:sz w:val="24"/>
        </w:rPr>
        <w:t>潴龙河</w:t>
      </w:r>
      <w:r>
        <w:rPr>
          <w:rFonts w:ascii="Times New Roman" w:hAnsi="Times New Roman" w:eastAsia="宋体" w:cs="Times New Roman"/>
          <w:sz w:val="24"/>
        </w:rPr>
        <w:t>。为</w:t>
      </w:r>
      <w:r>
        <w:rPr>
          <w:rFonts w:hint="eastAsia" w:ascii="Times New Roman" w:hAnsi="Times New Roman" w:eastAsia="宋体" w:cs="Times New Roman"/>
          <w:sz w:val="24"/>
        </w:rPr>
        <w:t>了解</w:t>
      </w:r>
      <w:r>
        <w:rPr>
          <w:rFonts w:ascii="Times New Roman" w:hAnsi="Times New Roman" w:eastAsia="宋体" w:cs="Times New Roman"/>
          <w:sz w:val="24"/>
        </w:rPr>
        <w:t>项目周边地表水环境质量现状</w:t>
      </w:r>
      <w:r>
        <w:rPr>
          <w:rFonts w:hint="eastAsia" w:ascii="Times New Roman" w:hAnsi="Times New Roman" w:eastAsia="宋体" w:cs="Times New Roman"/>
          <w:sz w:val="24"/>
        </w:rPr>
        <w:t>特征因子情况</w:t>
      </w:r>
      <w:r>
        <w:rPr>
          <w:rFonts w:ascii="Times New Roman" w:hAnsi="Times New Roman" w:eastAsia="宋体" w:cs="Times New Roman"/>
          <w:sz w:val="24"/>
        </w:rPr>
        <w:t>，</w:t>
      </w:r>
      <w:r>
        <w:rPr>
          <w:rFonts w:hint="eastAsia" w:ascii="Times New Roman" w:hAnsi="Times New Roman" w:eastAsia="宋体" w:cs="Times New Roman"/>
          <w:sz w:val="24"/>
        </w:rPr>
        <w:t>本次评价委托光远检测有限公司于2023年3月23日~3月25日对清丰中州水务有限公司第二污水处理厂排污口上下游共设置3个监测断面进行地表水水质监测</w:t>
      </w:r>
      <w:r>
        <w:rPr>
          <w:rFonts w:ascii="Times New Roman" w:hAnsi="Times New Roman" w:eastAsia="宋体" w:cs="Times New Roman"/>
          <w:sz w:val="24"/>
        </w:rPr>
        <w:t>。</w:t>
      </w:r>
    </w:p>
    <w:p w14:paraId="29864500">
      <w:pPr>
        <w:pStyle w:val="4"/>
        <w:numPr>
          <w:ilvl w:val="2"/>
          <w:numId w:val="46"/>
        </w:numPr>
        <w:tabs>
          <w:tab w:val="clear" w:pos="0"/>
        </w:tabs>
      </w:pPr>
      <w:bookmarkStart w:id="180" w:name="_Toc10981"/>
      <w:r>
        <w:t>监测断面设置</w:t>
      </w:r>
      <w:bookmarkEnd w:id="180"/>
    </w:p>
    <w:p w14:paraId="0F8A9D57">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监测</w:t>
      </w:r>
      <w:r>
        <w:rPr>
          <w:rFonts w:hint="eastAsia" w:ascii="Times New Roman" w:hAnsi="Times New Roman" w:eastAsia="宋体" w:cs="Times New Roman"/>
          <w:sz w:val="24"/>
        </w:rPr>
        <w:t>断面设置</w:t>
      </w:r>
      <w:r>
        <w:rPr>
          <w:rFonts w:ascii="Times New Roman" w:hAnsi="Times New Roman" w:eastAsia="宋体" w:cs="Times New Roman"/>
          <w:sz w:val="24"/>
        </w:rPr>
        <w:t>见下表。</w:t>
      </w:r>
    </w:p>
    <w:p w14:paraId="5505C919">
      <w:pPr>
        <w:spacing w:line="520" w:lineRule="exact"/>
        <w:contextualSpacing/>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表4.3-2</w:t>
      </w:r>
      <w:r>
        <w:rPr>
          <w:rFonts w:ascii="Times New Roman" w:hAnsi="Times New Roman" w:eastAsia="宋体" w:cs="Times New Roman"/>
          <w:b/>
          <w:bCs/>
          <w:szCs w:val="21"/>
        </w:rPr>
        <w:t xml:space="preserve">   地表水环境质量监测点、监测因子及监测频率</w:t>
      </w:r>
    </w:p>
    <w:tbl>
      <w:tblPr>
        <w:tblStyle w:val="30"/>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113"/>
        <w:gridCol w:w="1184"/>
        <w:gridCol w:w="1600"/>
        <w:gridCol w:w="1897"/>
      </w:tblGrid>
      <w:tr w14:paraId="1BB2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277C7AD5">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点位</w:t>
            </w:r>
          </w:p>
        </w:tc>
        <w:tc>
          <w:tcPr>
            <w:tcW w:w="3113" w:type="dxa"/>
            <w:tcBorders>
              <w:top w:val="single" w:color="auto" w:sz="4" w:space="0"/>
              <w:left w:val="single" w:color="auto" w:sz="4" w:space="0"/>
              <w:bottom w:val="single" w:color="auto" w:sz="4" w:space="0"/>
              <w:right w:val="single" w:color="auto" w:sz="4" w:space="0"/>
            </w:tcBorders>
            <w:vAlign w:val="center"/>
          </w:tcPr>
          <w:p w14:paraId="39AAA68C">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点位</w:t>
            </w:r>
          </w:p>
        </w:tc>
        <w:tc>
          <w:tcPr>
            <w:tcW w:w="1184" w:type="dxa"/>
            <w:tcBorders>
              <w:top w:val="single" w:color="auto" w:sz="4" w:space="0"/>
              <w:left w:val="single" w:color="auto" w:sz="4" w:space="0"/>
              <w:bottom w:val="single" w:color="auto" w:sz="4" w:space="0"/>
              <w:right w:val="single" w:color="auto" w:sz="4" w:space="0"/>
            </w:tcBorders>
            <w:vAlign w:val="center"/>
          </w:tcPr>
          <w:p w14:paraId="120C014C">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河流名称</w:t>
            </w:r>
          </w:p>
        </w:tc>
        <w:tc>
          <w:tcPr>
            <w:tcW w:w="1600" w:type="dxa"/>
            <w:tcBorders>
              <w:top w:val="single" w:color="auto" w:sz="4" w:space="0"/>
              <w:left w:val="single" w:color="auto" w:sz="4" w:space="0"/>
              <w:bottom w:val="single" w:color="auto" w:sz="4" w:space="0"/>
              <w:right w:val="single" w:color="auto" w:sz="4" w:space="0"/>
            </w:tcBorders>
            <w:vAlign w:val="center"/>
          </w:tcPr>
          <w:p w14:paraId="5F1E806B">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监测调查因子</w:t>
            </w:r>
          </w:p>
        </w:tc>
        <w:tc>
          <w:tcPr>
            <w:tcW w:w="1897" w:type="dxa"/>
            <w:tcBorders>
              <w:top w:val="single" w:color="auto" w:sz="4" w:space="0"/>
              <w:left w:val="single" w:color="auto" w:sz="4" w:space="0"/>
              <w:bottom w:val="single" w:color="auto" w:sz="4" w:space="0"/>
              <w:right w:val="single" w:color="auto" w:sz="4" w:space="0"/>
            </w:tcBorders>
            <w:vAlign w:val="center"/>
          </w:tcPr>
          <w:p w14:paraId="7AE71F8A">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监测调查时间</w:t>
            </w:r>
          </w:p>
        </w:tc>
      </w:tr>
      <w:tr w14:paraId="3329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262813E9">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3113" w:type="dxa"/>
            <w:tcBorders>
              <w:top w:val="single" w:color="auto" w:sz="4" w:space="0"/>
              <w:left w:val="single" w:color="auto" w:sz="4" w:space="0"/>
              <w:bottom w:val="single" w:color="auto" w:sz="4" w:space="0"/>
              <w:right w:val="single" w:color="auto" w:sz="4" w:space="0"/>
            </w:tcBorders>
            <w:vAlign w:val="center"/>
          </w:tcPr>
          <w:p w14:paraId="60C5E9A5">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清丰中州水务有限公司第二污水处理厂纳污口上游500m</w:t>
            </w:r>
          </w:p>
        </w:tc>
        <w:tc>
          <w:tcPr>
            <w:tcW w:w="1184" w:type="dxa"/>
            <w:vMerge w:val="restart"/>
            <w:tcBorders>
              <w:top w:val="single" w:color="auto" w:sz="4" w:space="0"/>
              <w:left w:val="single" w:color="auto" w:sz="4" w:space="0"/>
              <w:right w:val="single" w:color="auto" w:sz="4" w:space="0"/>
            </w:tcBorders>
            <w:vAlign w:val="center"/>
          </w:tcPr>
          <w:p w14:paraId="01449BDE">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潴龙河</w:t>
            </w:r>
          </w:p>
        </w:tc>
        <w:tc>
          <w:tcPr>
            <w:tcW w:w="1600" w:type="dxa"/>
            <w:vMerge w:val="restart"/>
            <w:tcBorders>
              <w:top w:val="single" w:color="auto" w:sz="4" w:space="0"/>
              <w:left w:val="single" w:color="auto" w:sz="4" w:space="0"/>
              <w:right w:val="single" w:color="auto" w:sz="4" w:space="0"/>
            </w:tcBorders>
            <w:vAlign w:val="center"/>
          </w:tcPr>
          <w:p w14:paraId="6CB2C62D">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甲苯、二甲苯</w:t>
            </w:r>
          </w:p>
        </w:tc>
        <w:tc>
          <w:tcPr>
            <w:tcW w:w="1897" w:type="dxa"/>
            <w:vMerge w:val="restart"/>
            <w:tcBorders>
              <w:top w:val="single" w:color="auto" w:sz="4" w:space="0"/>
              <w:left w:val="single" w:color="auto" w:sz="4" w:space="0"/>
              <w:right w:val="single" w:color="auto" w:sz="4" w:space="0"/>
            </w:tcBorders>
            <w:vAlign w:val="center"/>
          </w:tcPr>
          <w:p w14:paraId="50186796">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2023年3月23日~3月25日。连续监测3天，每天一次，取混合样。</w:t>
            </w:r>
          </w:p>
        </w:tc>
      </w:tr>
      <w:tr w14:paraId="5F98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79AC27EB">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113" w:type="dxa"/>
            <w:tcBorders>
              <w:top w:val="single" w:color="auto" w:sz="4" w:space="0"/>
              <w:left w:val="single" w:color="auto" w:sz="4" w:space="0"/>
              <w:bottom w:val="single" w:color="auto" w:sz="4" w:space="0"/>
              <w:right w:val="single" w:color="auto" w:sz="4" w:space="0"/>
            </w:tcBorders>
            <w:vAlign w:val="center"/>
          </w:tcPr>
          <w:p w14:paraId="2EDAF66F">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清丰中州水务有限公司第二污水处理厂</w:t>
            </w:r>
            <w:r>
              <w:rPr>
                <w:rFonts w:ascii="Times New Roman" w:hAnsi="Times New Roman" w:eastAsia="宋体" w:cs="Times New Roman"/>
                <w:szCs w:val="21"/>
              </w:rPr>
              <w:t>纳污口下游200m</w:t>
            </w:r>
          </w:p>
        </w:tc>
        <w:tc>
          <w:tcPr>
            <w:tcW w:w="1184" w:type="dxa"/>
            <w:vMerge w:val="continue"/>
            <w:tcBorders>
              <w:left w:val="single" w:color="auto" w:sz="4" w:space="0"/>
              <w:right w:val="single" w:color="auto" w:sz="4" w:space="0"/>
            </w:tcBorders>
            <w:vAlign w:val="center"/>
          </w:tcPr>
          <w:p w14:paraId="6E831E2C">
            <w:pPr>
              <w:spacing w:line="300" w:lineRule="exact"/>
              <w:jc w:val="center"/>
              <w:rPr>
                <w:rFonts w:ascii="Times New Roman" w:hAnsi="Times New Roman" w:eastAsia="宋体" w:cs="Times New Roman"/>
                <w:szCs w:val="21"/>
              </w:rPr>
            </w:pPr>
          </w:p>
        </w:tc>
        <w:tc>
          <w:tcPr>
            <w:tcW w:w="1600" w:type="dxa"/>
            <w:vMerge w:val="continue"/>
            <w:tcBorders>
              <w:left w:val="single" w:color="auto" w:sz="4" w:space="0"/>
              <w:right w:val="single" w:color="auto" w:sz="4" w:space="0"/>
            </w:tcBorders>
            <w:vAlign w:val="center"/>
          </w:tcPr>
          <w:p w14:paraId="4657DC79">
            <w:pPr>
              <w:spacing w:line="300" w:lineRule="exact"/>
              <w:jc w:val="center"/>
              <w:rPr>
                <w:rFonts w:ascii="Times New Roman" w:hAnsi="Times New Roman" w:eastAsia="宋体" w:cs="Times New Roman"/>
                <w:szCs w:val="21"/>
              </w:rPr>
            </w:pPr>
          </w:p>
        </w:tc>
        <w:tc>
          <w:tcPr>
            <w:tcW w:w="1897" w:type="dxa"/>
            <w:vMerge w:val="continue"/>
            <w:tcBorders>
              <w:left w:val="single" w:color="auto" w:sz="4" w:space="0"/>
              <w:right w:val="single" w:color="auto" w:sz="4" w:space="0"/>
            </w:tcBorders>
            <w:vAlign w:val="center"/>
          </w:tcPr>
          <w:p w14:paraId="1BBF6BF4">
            <w:pPr>
              <w:spacing w:line="340" w:lineRule="exact"/>
              <w:jc w:val="center"/>
              <w:rPr>
                <w:rFonts w:ascii="Times New Roman" w:hAnsi="Times New Roman" w:eastAsia="宋体" w:cs="Times New Roman"/>
                <w:szCs w:val="21"/>
              </w:rPr>
            </w:pPr>
          </w:p>
        </w:tc>
      </w:tr>
      <w:tr w14:paraId="27B0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020785D2">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3113" w:type="dxa"/>
            <w:tcBorders>
              <w:top w:val="single" w:color="auto" w:sz="4" w:space="0"/>
              <w:left w:val="single" w:color="auto" w:sz="4" w:space="0"/>
              <w:bottom w:val="single" w:color="auto" w:sz="4" w:space="0"/>
              <w:right w:val="single" w:color="auto" w:sz="4" w:space="0"/>
            </w:tcBorders>
            <w:vAlign w:val="center"/>
          </w:tcPr>
          <w:p w14:paraId="2CF2AE68">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清丰中州水务有限公司第二污水处理厂</w:t>
            </w:r>
            <w:r>
              <w:rPr>
                <w:rFonts w:ascii="Times New Roman" w:hAnsi="Times New Roman" w:eastAsia="宋体" w:cs="Times New Roman"/>
                <w:szCs w:val="21"/>
              </w:rPr>
              <w:t>纳污口下游2500m</w:t>
            </w:r>
          </w:p>
        </w:tc>
        <w:tc>
          <w:tcPr>
            <w:tcW w:w="1184" w:type="dxa"/>
            <w:vMerge w:val="continue"/>
            <w:tcBorders>
              <w:left w:val="single" w:color="auto" w:sz="4" w:space="0"/>
              <w:bottom w:val="single" w:color="auto" w:sz="4" w:space="0"/>
              <w:right w:val="single" w:color="auto" w:sz="4" w:space="0"/>
            </w:tcBorders>
            <w:vAlign w:val="center"/>
          </w:tcPr>
          <w:p w14:paraId="29C13237">
            <w:pPr>
              <w:spacing w:line="300" w:lineRule="exact"/>
              <w:jc w:val="center"/>
              <w:rPr>
                <w:rFonts w:ascii="Times New Roman" w:hAnsi="Times New Roman" w:eastAsia="宋体" w:cs="Times New Roman"/>
                <w:szCs w:val="21"/>
              </w:rPr>
            </w:pPr>
          </w:p>
        </w:tc>
        <w:tc>
          <w:tcPr>
            <w:tcW w:w="1600" w:type="dxa"/>
            <w:vMerge w:val="continue"/>
            <w:tcBorders>
              <w:left w:val="single" w:color="auto" w:sz="4" w:space="0"/>
              <w:bottom w:val="single" w:color="auto" w:sz="4" w:space="0"/>
              <w:right w:val="single" w:color="auto" w:sz="4" w:space="0"/>
            </w:tcBorders>
            <w:vAlign w:val="center"/>
          </w:tcPr>
          <w:p w14:paraId="476386DE">
            <w:pPr>
              <w:spacing w:line="300" w:lineRule="exact"/>
              <w:jc w:val="center"/>
              <w:rPr>
                <w:rFonts w:ascii="Times New Roman" w:hAnsi="Times New Roman" w:eastAsia="宋体" w:cs="Times New Roman"/>
                <w:szCs w:val="21"/>
              </w:rPr>
            </w:pPr>
          </w:p>
        </w:tc>
        <w:tc>
          <w:tcPr>
            <w:tcW w:w="1897" w:type="dxa"/>
            <w:vMerge w:val="continue"/>
            <w:tcBorders>
              <w:left w:val="single" w:color="auto" w:sz="4" w:space="0"/>
              <w:right w:val="single" w:color="auto" w:sz="4" w:space="0"/>
            </w:tcBorders>
            <w:vAlign w:val="center"/>
          </w:tcPr>
          <w:p w14:paraId="7515F105">
            <w:pPr>
              <w:spacing w:line="340" w:lineRule="exact"/>
              <w:jc w:val="center"/>
              <w:rPr>
                <w:rFonts w:ascii="Times New Roman" w:hAnsi="Times New Roman" w:eastAsia="宋体" w:cs="Times New Roman"/>
                <w:szCs w:val="21"/>
              </w:rPr>
            </w:pPr>
          </w:p>
        </w:tc>
      </w:tr>
    </w:tbl>
    <w:p w14:paraId="4E1F7D63">
      <w:pPr>
        <w:pStyle w:val="4"/>
        <w:numPr>
          <w:ilvl w:val="2"/>
          <w:numId w:val="46"/>
        </w:numPr>
        <w:tabs>
          <w:tab w:val="clear" w:pos="0"/>
        </w:tabs>
      </w:pPr>
      <w:r>
        <w:t>地表水评价</w:t>
      </w:r>
      <w:r>
        <w:rPr>
          <w:rFonts w:hint="eastAsia"/>
        </w:rPr>
        <w:t>方法及</w:t>
      </w:r>
      <w:r>
        <w:t>标准</w:t>
      </w:r>
    </w:p>
    <w:p w14:paraId="59719B8C">
      <w:pPr>
        <w:numPr>
          <w:ilvl w:val="0"/>
          <w:numId w:val="47"/>
        </w:num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评价方法</w:t>
      </w:r>
    </w:p>
    <w:p w14:paraId="437FF101">
      <w:pPr>
        <w:widowControl/>
        <w:spacing w:line="360" w:lineRule="auto"/>
        <w:ind w:firstLine="480" w:firstLineChars="200"/>
        <w:jc w:val="left"/>
      </w:pPr>
      <w:r>
        <w:rPr>
          <w:rFonts w:hint="eastAsia" w:ascii="宋体" w:hAnsi="宋体" w:eastAsia="宋体" w:cs="宋体"/>
          <w:color w:val="000000"/>
          <w:kern w:val="0"/>
          <w:sz w:val="24"/>
          <w:lang w:bidi="ar"/>
        </w:rPr>
        <w:t>采用《环境影响评价技术导则 地表水环境》（</w:t>
      </w:r>
      <w:r>
        <w:rPr>
          <w:rFonts w:ascii="Times New Roman" w:hAnsi="Times New Roman" w:eastAsia="宋体" w:cs="Times New Roman"/>
          <w:color w:val="000000"/>
          <w:kern w:val="0"/>
          <w:sz w:val="24"/>
          <w:lang w:bidi="ar"/>
        </w:rPr>
        <w:t>HJ2.</w:t>
      </w:r>
      <w:r>
        <w:rPr>
          <w:rFonts w:hint="eastAsia" w:ascii="Times New Roman" w:hAnsi="Times New Roman" w:eastAsia="宋体" w:cs="Times New Roman"/>
          <w:color w:val="000000"/>
          <w:kern w:val="0"/>
          <w:sz w:val="24"/>
          <w:lang w:bidi="ar"/>
        </w:rPr>
        <w:t>3</w:t>
      </w:r>
      <w:r>
        <w:rPr>
          <w:rFonts w:ascii="Times New Roman" w:hAnsi="Times New Roman" w:eastAsia="宋体" w:cs="Times New Roman"/>
          <w:color w:val="000000"/>
          <w:kern w:val="0"/>
          <w:sz w:val="24"/>
          <w:lang w:bidi="ar"/>
        </w:rPr>
        <w:t>-2018</w:t>
      </w:r>
      <w:r>
        <w:rPr>
          <w:rFonts w:hint="eastAsia" w:ascii="宋体" w:hAnsi="宋体" w:eastAsia="宋体" w:cs="宋体"/>
          <w:color w:val="000000"/>
          <w:kern w:val="0"/>
          <w:sz w:val="24"/>
          <w:lang w:bidi="ar"/>
        </w:rPr>
        <w:t>）推荐的标准指数法进行评价。公式为：</w:t>
      </w:r>
    </w:p>
    <w:p w14:paraId="056F0830">
      <w:pPr>
        <w:widowControl/>
        <w:spacing w:line="360" w:lineRule="auto"/>
        <w:ind w:firstLine="480" w:firstLineChars="200"/>
        <w:jc w:val="left"/>
      </w:pPr>
      <w:r>
        <w:rPr>
          <w:rFonts w:ascii="Times New Roman" w:hAnsi="Times New Roman" w:eastAsia="宋体" w:cs="Times New Roman"/>
          <w:color w:val="000000"/>
          <w:kern w:val="0"/>
          <w:sz w:val="24"/>
          <w:lang w:bidi="ar"/>
        </w:rPr>
        <w:t>S</w:t>
      </w:r>
      <w:r>
        <w:rPr>
          <w:rFonts w:ascii="Times New Roman" w:hAnsi="Times New Roman" w:eastAsia="宋体" w:cs="Times New Roman"/>
          <w:color w:val="000000"/>
          <w:kern w:val="0"/>
          <w:sz w:val="24"/>
          <w:vertAlign w:val="subscript"/>
          <w:lang w:bidi="ar"/>
        </w:rPr>
        <w:t>i.j</w:t>
      </w:r>
      <w:r>
        <w:rPr>
          <w:rFonts w:ascii="Times New Roman" w:hAnsi="Times New Roman" w:eastAsia="宋体" w:cs="Times New Roman"/>
          <w:color w:val="000000"/>
          <w:kern w:val="0"/>
          <w:sz w:val="24"/>
          <w:lang w:bidi="ar"/>
        </w:rPr>
        <w:t>=C</w:t>
      </w:r>
      <w:r>
        <w:rPr>
          <w:rFonts w:ascii="Times New Roman" w:hAnsi="Times New Roman" w:eastAsia="宋体" w:cs="Times New Roman"/>
          <w:color w:val="000000"/>
          <w:kern w:val="0"/>
          <w:sz w:val="24"/>
          <w:vertAlign w:val="subscript"/>
          <w:lang w:bidi="ar"/>
        </w:rPr>
        <w:t>i.j</w:t>
      </w:r>
      <w:r>
        <w:rPr>
          <w:rFonts w:ascii="Times New Roman" w:hAnsi="Times New Roman" w:eastAsia="宋体" w:cs="Times New Roman"/>
          <w:color w:val="000000"/>
          <w:kern w:val="0"/>
          <w:sz w:val="24"/>
          <w:lang w:bidi="ar"/>
        </w:rPr>
        <w:t>/C</w:t>
      </w:r>
      <w:r>
        <w:rPr>
          <w:rFonts w:ascii="Times New Roman" w:hAnsi="Times New Roman" w:eastAsia="宋体" w:cs="Times New Roman"/>
          <w:color w:val="000000"/>
          <w:kern w:val="0"/>
          <w:sz w:val="24"/>
          <w:vertAlign w:val="subscript"/>
          <w:lang w:bidi="ar"/>
        </w:rPr>
        <w:t>si</w:t>
      </w:r>
    </w:p>
    <w:p w14:paraId="616A6ABF">
      <w:pPr>
        <w:widowControl/>
        <w:spacing w:line="360" w:lineRule="auto"/>
        <w:jc w:val="left"/>
      </w:pPr>
      <w:r>
        <w:rPr>
          <w:rFonts w:hint="eastAsia" w:ascii="宋体" w:hAnsi="宋体" w:eastAsia="宋体" w:cs="宋体"/>
          <w:color w:val="000000"/>
          <w:kern w:val="0"/>
          <w:sz w:val="24"/>
          <w:lang w:bidi="ar"/>
        </w:rPr>
        <w:t>式中：</w:t>
      </w:r>
      <w:r>
        <w:rPr>
          <w:rFonts w:ascii="Times New Roman" w:hAnsi="Times New Roman" w:eastAsia="宋体" w:cs="Times New Roman"/>
          <w:color w:val="000000"/>
          <w:kern w:val="0"/>
          <w:sz w:val="24"/>
          <w:lang w:bidi="ar"/>
        </w:rPr>
        <w:t>S</w:t>
      </w:r>
      <w:r>
        <w:rPr>
          <w:rFonts w:ascii="Times New Roman" w:hAnsi="Times New Roman" w:eastAsia="宋体" w:cs="Times New Roman"/>
          <w:color w:val="000000"/>
          <w:kern w:val="0"/>
          <w:sz w:val="24"/>
          <w:vertAlign w:val="subscript"/>
          <w:lang w:bidi="ar"/>
        </w:rPr>
        <w:t>i.j</w:t>
      </w:r>
      <w:r>
        <w:rPr>
          <w:rFonts w:hint="eastAsia" w:ascii="宋体" w:hAnsi="宋体" w:eastAsia="宋体" w:cs="宋体"/>
          <w:color w:val="000000"/>
          <w:kern w:val="0"/>
          <w:sz w:val="24"/>
          <w:lang w:bidi="ar"/>
        </w:rPr>
        <w:t>——污染物</w:t>
      </w:r>
      <w:r>
        <w:rPr>
          <w:rFonts w:ascii="Times New Roman" w:hAnsi="Times New Roman" w:eastAsia="宋体" w:cs="Times New Roman"/>
          <w:color w:val="000000"/>
          <w:kern w:val="0"/>
          <w:sz w:val="24"/>
          <w:lang w:bidi="ar"/>
        </w:rPr>
        <w:t>i</w:t>
      </w:r>
      <w:r>
        <w:rPr>
          <w:rFonts w:hint="eastAsia" w:ascii="宋体" w:hAnsi="宋体" w:eastAsia="宋体" w:cs="宋体"/>
          <w:color w:val="000000"/>
          <w:kern w:val="0"/>
          <w:sz w:val="24"/>
          <w:lang w:bidi="ar"/>
        </w:rPr>
        <w:t>在监测点</w:t>
      </w:r>
      <w:r>
        <w:rPr>
          <w:rFonts w:ascii="Times New Roman" w:hAnsi="Times New Roman" w:eastAsia="宋体" w:cs="Times New Roman"/>
          <w:color w:val="000000"/>
          <w:kern w:val="0"/>
          <w:sz w:val="24"/>
          <w:lang w:bidi="ar"/>
        </w:rPr>
        <w:t>j</w:t>
      </w:r>
      <w:r>
        <w:rPr>
          <w:rFonts w:hint="eastAsia" w:ascii="宋体" w:hAnsi="宋体" w:eastAsia="宋体" w:cs="宋体"/>
          <w:color w:val="000000"/>
          <w:kern w:val="0"/>
          <w:sz w:val="24"/>
          <w:lang w:bidi="ar"/>
        </w:rPr>
        <w:t>的标准指数，若大于</w:t>
      </w:r>
      <w:r>
        <w:rPr>
          <w:rFonts w:ascii="Times New Roman" w:hAnsi="Times New Roman" w:eastAsia="宋体" w:cs="Times New Roman"/>
          <w:color w:val="000000"/>
          <w:kern w:val="0"/>
          <w:sz w:val="24"/>
          <w:lang w:bidi="ar"/>
        </w:rPr>
        <w:t>1</w:t>
      </w:r>
      <w:r>
        <w:rPr>
          <w:rFonts w:hint="eastAsia" w:ascii="宋体" w:hAnsi="宋体" w:eastAsia="宋体" w:cs="宋体"/>
          <w:color w:val="000000"/>
          <w:kern w:val="0"/>
          <w:sz w:val="24"/>
          <w:lang w:bidi="ar"/>
        </w:rPr>
        <w:t>则说明水质已受到污染；</w:t>
      </w:r>
    </w:p>
    <w:p w14:paraId="3B2DE736">
      <w:pPr>
        <w:widowControl/>
        <w:spacing w:line="360" w:lineRule="auto"/>
        <w:ind w:firstLine="720" w:firstLineChars="300"/>
        <w:jc w:val="left"/>
      </w:pPr>
      <w:r>
        <w:rPr>
          <w:rFonts w:ascii="Times New Roman" w:hAnsi="Times New Roman" w:eastAsia="宋体" w:cs="Times New Roman"/>
          <w:color w:val="000000"/>
          <w:kern w:val="0"/>
          <w:sz w:val="24"/>
          <w:lang w:bidi="ar"/>
        </w:rPr>
        <w:t>C</w:t>
      </w:r>
      <w:r>
        <w:rPr>
          <w:rFonts w:ascii="Times New Roman" w:hAnsi="Times New Roman" w:eastAsia="宋体" w:cs="Times New Roman"/>
          <w:color w:val="000000"/>
          <w:kern w:val="0"/>
          <w:sz w:val="24"/>
          <w:vertAlign w:val="subscript"/>
          <w:lang w:bidi="ar"/>
        </w:rPr>
        <w:t>i.j</w:t>
      </w:r>
      <w:r>
        <w:rPr>
          <w:rFonts w:hint="eastAsia" w:ascii="宋体" w:hAnsi="宋体" w:eastAsia="宋体" w:cs="宋体"/>
          <w:color w:val="000000"/>
          <w:kern w:val="0"/>
          <w:sz w:val="24"/>
          <w:lang w:bidi="ar"/>
        </w:rPr>
        <w:t>——污染物</w:t>
      </w:r>
      <w:r>
        <w:rPr>
          <w:rFonts w:ascii="Times New Roman" w:hAnsi="Times New Roman" w:eastAsia="宋体" w:cs="Times New Roman"/>
          <w:color w:val="000000"/>
          <w:kern w:val="0"/>
          <w:sz w:val="24"/>
          <w:lang w:bidi="ar"/>
        </w:rPr>
        <w:t>i</w:t>
      </w:r>
      <w:r>
        <w:rPr>
          <w:rFonts w:hint="eastAsia" w:ascii="宋体" w:hAnsi="宋体" w:eastAsia="宋体" w:cs="宋体"/>
          <w:color w:val="000000"/>
          <w:kern w:val="0"/>
          <w:sz w:val="24"/>
          <w:lang w:bidi="ar"/>
        </w:rPr>
        <w:t>在监测点</w:t>
      </w:r>
      <w:r>
        <w:rPr>
          <w:rFonts w:ascii="Times New Roman" w:hAnsi="Times New Roman" w:eastAsia="宋体" w:cs="Times New Roman"/>
          <w:color w:val="000000"/>
          <w:kern w:val="0"/>
          <w:sz w:val="24"/>
          <w:lang w:bidi="ar"/>
        </w:rPr>
        <w:t>j</w:t>
      </w:r>
      <w:r>
        <w:rPr>
          <w:rFonts w:hint="eastAsia" w:ascii="宋体" w:hAnsi="宋体" w:eastAsia="宋体" w:cs="宋体"/>
          <w:color w:val="000000"/>
          <w:kern w:val="0"/>
          <w:sz w:val="24"/>
          <w:lang w:bidi="ar"/>
        </w:rPr>
        <w:t>的浓度；</w:t>
      </w:r>
    </w:p>
    <w:p w14:paraId="7629DB4A">
      <w:pPr>
        <w:widowControl/>
        <w:spacing w:line="360" w:lineRule="auto"/>
        <w:ind w:firstLine="720" w:firstLineChars="300"/>
        <w:jc w:val="left"/>
      </w:pPr>
      <w:r>
        <w:rPr>
          <w:rFonts w:ascii="Times New Roman" w:hAnsi="Times New Roman" w:eastAsia="宋体" w:cs="Times New Roman"/>
          <w:color w:val="000000"/>
          <w:kern w:val="0"/>
          <w:sz w:val="24"/>
          <w:lang w:bidi="ar"/>
        </w:rPr>
        <w:t>C</w:t>
      </w:r>
      <w:r>
        <w:rPr>
          <w:rFonts w:ascii="Times New Roman" w:hAnsi="Times New Roman" w:eastAsia="宋体" w:cs="Times New Roman"/>
          <w:color w:val="000000"/>
          <w:kern w:val="0"/>
          <w:sz w:val="24"/>
          <w:vertAlign w:val="subscript"/>
          <w:lang w:bidi="ar"/>
        </w:rPr>
        <w:t>si</w:t>
      </w:r>
      <w:r>
        <w:rPr>
          <w:rFonts w:hint="eastAsia" w:ascii="宋体" w:hAnsi="宋体" w:eastAsia="宋体" w:cs="宋体"/>
          <w:color w:val="000000"/>
          <w:kern w:val="0"/>
          <w:sz w:val="24"/>
          <w:lang w:bidi="ar"/>
        </w:rPr>
        <w:t>——水质参数</w:t>
      </w:r>
      <w:r>
        <w:rPr>
          <w:rFonts w:ascii="Times New Roman" w:hAnsi="Times New Roman" w:eastAsia="宋体" w:cs="Times New Roman"/>
          <w:color w:val="000000"/>
          <w:kern w:val="0"/>
          <w:sz w:val="24"/>
          <w:lang w:bidi="ar"/>
        </w:rPr>
        <w:t>i</w:t>
      </w:r>
      <w:r>
        <w:rPr>
          <w:rFonts w:hint="eastAsia" w:ascii="宋体" w:hAnsi="宋体" w:eastAsia="宋体" w:cs="宋体"/>
          <w:color w:val="000000"/>
          <w:kern w:val="0"/>
          <w:sz w:val="24"/>
          <w:lang w:bidi="ar"/>
        </w:rPr>
        <w:t>的地面水水质标准。</w:t>
      </w:r>
    </w:p>
    <w:p w14:paraId="6743DD97">
      <w:pPr>
        <w:widowControl/>
        <w:spacing w:line="360" w:lineRule="auto"/>
        <w:ind w:firstLine="480" w:firstLineChars="200"/>
        <w:jc w:val="left"/>
      </w:pPr>
      <w:r>
        <w:rPr>
          <w:rFonts w:ascii="Times New Roman" w:hAnsi="Times New Roman" w:eastAsia="宋体" w:cs="Times New Roman"/>
          <w:color w:val="000000"/>
          <w:kern w:val="0"/>
          <w:sz w:val="24"/>
          <w:lang w:bidi="ar"/>
        </w:rPr>
        <w:t>pH</w:t>
      </w:r>
      <w:r>
        <w:rPr>
          <w:rFonts w:hint="eastAsia" w:ascii="宋体" w:hAnsi="宋体" w:eastAsia="宋体" w:cs="宋体"/>
          <w:color w:val="000000"/>
          <w:kern w:val="0"/>
          <w:sz w:val="24"/>
          <w:lang w:bidi="ar"/>
        </w:rPr>
        <w:t>值的水质指数为：</w:t>
      </w:r>
    </w:p>
    <w:p w14:paraId="32B74A86">
      <w:pPr>
        <w:widowControl/>
        <w:ind w:firstLine="420" w:firstLineChars="200"/>
        <w:jc w:val="center"/>
        <w:rPr>
          <w:rFonts w:eastAsia="等线"/>
        </w:rPr>
      </w:pPr>
      <w:r>
        <w:rPr>
          <w:rFonts w:hint="eastAsia" w:eastAsia="等线"/>
        </w:rPr>
        <w:drawing>
          <wp:inline distT="0" distB="0" distL="114300" distR="114300">
            <wp:extent cx="1998345" cy="979170"/>
            <wp:effectExtent l="0" t="0" r="9525" b="3175"/>
            <wp:docPr id="41" name="图片 109" descr="166358065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9" descr="1663580656000"/>
                    <pic:cNvPicPr>
                      <a:picLocks noChangeAspect="1"/>
                    </pic:cNvPicPr>
                  </pic:nvPicPr>
                  <pic:blipFill>
                    <a:blip r:embed="rId50"/>
                    <a:stretch>
                      <a:fillRect/>
                    </a:stretch>
                  </pic:blipFill>
                  <pic:spPr>
                    <a:xfrm>
                      <a:off x="0" y="0"/>
                      <a:ext cx="1998345" cy="979170"/>
                    </a:xfrm>
                    <a:prstGeom prst="rect">
                      <a:avLst/>
                    </a:prstGeom>
                    <a:noFill/>
                    <a:ln>
                      <a:noFill/>
                    </a:ln>
                  </pic:spPr>
                </pic:pic>
              </a:graphicData>
            </a:graphic>
          </wp:inline>
        </w:drawing>
      </w:r>
    </w:p>
    <w:p w14:paraId="7601A6BA">
      <w:pPr>
        <w:widowControl/>
        <w:spacing w:line="360" w:lineRule="auto"/>
        <w:jc w:val="left"/>
      </w:pPr>
      <w:r>
        <w:rPr>
          <w:rFonts w:hint="eastAsia" w:ascii="宋体" w:hAnsi="宋体" w:eastAsia="宋体" w:cs="宋体"/>
          <w:color w:val="000000"/>
          <w:kern w:val="0"/>
          <w:sz w:val="24"/>
          <w:lang w:bidi="ar"/>
        </w:rPr>
        <w:t>式中：</w:t>
      </w:r>
      <w:r>
        <w:rPr>
          <w:rFonts w:ascii="Times New Roman" w:hAnsi="Times New Roman" w:eastAsia="宋体" w:cs="Times New Roman"/>
          <w:color w:val="000000"/>
          <w:kern w:val="0"/>
          <w:sz w:val="24"/>
          <w:lang w:bidi="ar"/>
        </w:rPr>
        <w:t>S</w:t>
      </w:r>
      <w:r>
        <w:rPr>
          <w:rFonts w:ascii="Times New Roman" w:hAnsi="Times New Roman" w:eastAsia="宋体" w:cs="Times New Roman"/>
          <w:color w:val="000000"/>
          <w:kern w:val="0"/>
          <w:sz w:val="24"/>
          <w:vertAlign w:val="subscript"/>
          <w:lang w:bidi="ar"/>
        </w:rPr>
        <w:t>pH</w:t>
      </w:r>
      <w:r>
        <w:rPr>
          <w:rFonts w:hint="eastAsia" w:ascii="宋体" w:hAnsi="宋体" w:eastAsia="宋体" w:cs="宋体"/>
          <w:color w:val="000000"/>
          <w:kern w:val="0"/>
          <w:sz w:val="24"/>
          <w:vertAlign w:val="subscript"/>
          <w:lang w:bidi="ar"/>
        </w:rPr>
        <w:t>，</w:t>
      </w:r>
      <w:r>
        <w:rPr>
          <w:rFonts w:ascii="Times New Roman" w:hAnsi="Times New Roman" w:eastAsia="宋体" w:cs="Times New Roman"/>
          <w:color w:val="000000"/>
          <w:kern w:val="0"/>
          <w:sz w:val="24"/>
          <w:vertAlign w:val="subscript"/>
          <w:lang w:bidi="ar"/>
        </w:rPr>
        <w:t>j</w:t>
      </w:r>
      <w:r>
        <w:rPr>
          <w:rFonts w:hint="eastAsia" w:ascii="宋体" w:hAnsi="宋体" w:eastAsia="宋体" w:cs="宋体"/>
          <w:color w:val="000000"/>
          <w:kern w:val="0"/>
          <w:sz w:val="24"/>
          <w:lang w:bidi="ar"/>
        </w:rPr>
        <w:t>——</w:t>
      </w:r>
      <w:r>
        <w:rPr>
          <w:rFonts w:ascii="Times New Roman" w:hAnsi="Times New Roman" w:eastAsia="宋体" w:cs="Times New Roman"/>
          <w:color w:val="000000"/>
          <w:kern w:val="0"/>
          <w:sz w:val="24"/>
          <w:lang w:bidi="ar"/>
        </w:rPr>
        <w:t>pH</w:t>
      </w:r>
      <w:r>
        <w:rPr>
          <w:rFonts w:hint="eastAsia" w:ascii="宋体" w:hAnsi="宋体" w:eastAsia="宋体" w:cs="宋体"/>
          <w:color w:val="000000"/>
          <w:kern w:val="0"/>
          <w:sz w:val="24"/>
          <w:lang w:bidi="ar"/>
        </w:rPr>
        <w:t>值水质指数；</w:t>
      </w:r>
    </w:p>
    <w:p w14:paraId="457CC526">
      <w:pPr>
        <w:widowControl/>
        <w:spacing w:line="360" w:lineRule="auto"/>
        <w:ind w:firstLine="720" w:firstLineChars="300"/>
        <w:jc w:val="left"/>
      </w:pPr>
      <w:r>
        <w:rPr>
          <w:rFonts w:ascii="Times New Roman" w:hAnsi="Times New Roman" w:eastAsia="宋体" w:cs="Times New Roman"/>
          <w:color w:val="000000"/>
          <w:kern w:val="0"/>
          <w:sz w:val="24"/>
          <w:lang w:bidi="ar"/>
        </w:rPr>
        <w:t>pH</w:t>
      </w:r>
      <w:r>
        <w:rPr>
          <w:rFonts w:ascii="Times New Roman" w:hAnsi="Times New Roman" w:eastAsia="宋体" w:cs="Times New Roman"/>
          <w:color w:val="000000"/>
          <w:kern w:val="0"/>
          <w:sz w:val="24"/>
          <w:vertAlign w:val="subscript"/>
          <w:lang w:bidi="ar"/>
        </w:rPr>
        <w:t>j</w:t>
      </w:r>
      <w:r>
        <w:rPr>
          <w:rFonts w:hint="eastAsia" w:ascii="宋体" w:hAnsi="宋体" w:eastAsia="宋体" w:cs="宋体"/>
          <w:color w:val="000000"/>
          <w:kern w:val="0"/>
          <w:sz w:val="24"/>
          <w:lang w:bidi="ar"/>
        </w:rPr>
        <w:t>——</w:t>
      </w:r>
      <w:r>
        <w:rPr>
          <w:rFonts w:ascii="Times New Roman" w:hAnsi="Times New Roman" w:eastAsia="宋体" w:cs="Times New Roman"/>
          <w:color w:val="000000"/>
          <w:kern w:val="0"/>
          <w:sz w:val="24"/>
          <w:lang w:bidi="ar"/>
        </w:rPr>
        <w:t>pH</w:t>
      </w:r>
      <w:r>
        <w:rPr>
          <w:rFonts w:hint="eastAsia" w:ascii="宋体" w:hAnsi="宋体" w:eastAsia="宋体" w:cs="宋体"/>
          <w:color w:val="000000"/>
          <w:kern w:val="0"/>
          <w:sz w:val="24"/>
          <w:lang w:bidi="ar"/>
        </w:rPr>
        <w:t>值实测值；</w:t>
      </w:r>
    </w:p>
    <w:p w14:paraId="2BC02A1E">
      <w:pPr>
        <w:widowControl/>
        <w:spacing w:line="360" w:lineRule="auto"/>
        <w:ind w:firstLine="720" w:firstLineChars="300"/>
        <w:jc w:val="left"/>
      </w:pPr>
      <w:r>
        <w:rPr>
          <w:rFonts w:ascii="Times New Roman" w:hAnsi="Times New Roman" w:eastAsia="宋体" w:cs="Times New Roman"/>
          <w:color w:val="000000"/>
          <w:kern w:val="0"/>
          <w:sz w:val="24"/>
          <w:lang w:bidi="ar"/>
        </w:rPr>
        <w:t>pH</w:t>
      </w:r>
      <w:r>
        <w:rPr>
          <w:rFonts w:ascii="Times New Roman" w:hAnsi="Times New Roman" w:eastAsia="宋体" w:cs="Times New Roman"/>
          <w:color w:val="000000"/>
          <w:kern w:val="0"/>
          <w:sz w:val="24"/>
          <w:vertAlign w:val="subscript"/>
          <w:lang w:bidi="ar"/>
        </w:rPr>
        <w:t>su</w:t>
      </w:r>
      <w:r>
        <w:rPr>
          <w:rFonts w:hint="eastAsia" w:ascii="宋体" w:hAnsi="宋体" w:eastAsia="宋体" w:cs="宋体"/>
          <w:color w:val="000000"/>
          <w:kern w:val="0"/>
          <w:sz w:val="24"/>
          <w:lang w:bidi="ar"/>
        </w:rPr>
        <w:t>——地表水水质标准中规定的</w:t>
      </w:r>
      <w:r>
        <w:rPr>
          <w:rFonts w:ascii="Times New Roman" w:hAnsi="Times New Roman" w:eastAsia="宋体" w:cs="Times New Roman"/>
          <w:color w:val="000000"/>
          <w:kern w:val="0"/>
          <w:sz w:val="24"/>
          <w:lang w:bidi="ar"/>
        </w:rPr>
        <w:t>pH</w:t>
      </w:r>
      <w:r>
        <w:rPr>
          <w:rFonts w:hint="eastAsia" w:ascii="宋体" w:hAnsi="宋体" w:eastAsia="宋体" w:cs="宋体"/>
          <w:color w:val="000000"/>
          <w:kern w:val="0"/>
          <w:sz w:val="24"/>
          <w:lang w:bidi="ar"/>
        </w:rPr>
        <w:t>值上限；</w:t>
      </w:r>
    </w:p>
    <w:p w14:paraId="50D8F3B8">
      <w:pPr>
        <w:widowControl/>
        <w:spacing w:line="360" w:lineRule="auto"/>
        <w:ind w:firstLine="720" w:firstLineChars="300"/>
        <w:jc w:val="left"/>
      </w:pPr>
      <w:r>
        <w:rPr>
          <w:rFonts w:ascii="Times New Roman" w:hAnsi="Times New Roman" w:eastAsia="宋体" w:cs="Times New Roman"/>
          <w:color w:val="000000"/>
          <w:kern w:val="0"/>
          <w:sz w:val="24"/>
          <w:lang w:bidi="ar"/>
        </w:rPr>
        <w:t>pH</w:t>
      </w:r>
      <w:r>
        <w:rPr>
          <w:rFonts w:ascii="Times New Roman" w:hAnsi="Times New Roman" w:eastAsia="宋体" w:cs="Times New Roman"/>
          <w:color w:val="000000"/>
          <w:kern w:val="0"/>
          <w:sz w:val="24"/>
          <w:vertAlign w:val="subscript"/>
          <w:lang w:bidi="ar"/>
        </w:rPr>
        <w:t>sd</w:t>
      </w:r>
      <w:r>
        <w:rPr>
          <w:rFonts w:hint="eastAsia" w:ascii="宋体" w:hAnsi="宋体" w:eastAsia="宋体" w:cs="宋体"/>
          <w:color w:val="000000"/>
          <w:kern w:val="0"/>
          <w:sz w:val="24"/>
          <w:lang w:bidi="ar"/>
        </w:rPr>
        <w:t>——地表水水质标准中规定的</w:t>
      </w:r>
      <w:r>
        <w:rPr>
          <w:rFonts w:ascii="Times New Roman" w:hAnsi="Times New Roman" w:eastAsia="宋体" w:cs="Times New Roman"/>
          <w:color w:val="000000"/>
          <w:kern w:val="0"/>
          <w:sz w:val="24"/>
          <w:lang w:bidi="ar"/>
        </w:rPr>
        <w:t>pH</w:t>
      </w:r>
      <w:r>
        <w:rPr>
          <w:rFonts w:hint="eastAsia" w:ascii="宋体" w:hAnsi="宋体" w:eastAsia="宋体" w:cs="宋体"/>
          <w:color w:val="000000"/>
          <w:kern w:val="0"/>
          <w:sz w:val="24"/>
          <w:lang w:bidi="ar"/>
        </w:rPr>
        <w:t>值下限。</w:t>
      </w:r>
    </w:p>
    <w:p w14:paraId="38A1299E">
      <w:pPr>
        <w:widowControl/>
        <w:spacing w:line="360" w:lineRule="auto"/>
        <w:ind w:firstLine="480" w:firstLineChars="200"/>
        <w:jc w:val="left"/>
        <w:rPr>
          <w:rFonts w:ascii="Times New Roman" w:hAnsi="Times New Roman" w:eastAsia="宋体" w:cs="Times New Roman"/>
          <w:sz w:val="24"/>
        </w:rPr>
      </w:pPr>
      <w:r>
        <w:rPr>
          <w:rFonts w:hint="eastAsia" w:ascii="宋体" w:hAnsi="宋体" w:eastAsia="宋体" w:cs="宋体"/>
          <w:color w:val="000000"/>
          <w:kern w:val="0"/>
          <w:sz w:val="24"/>
          <w:lang w:bidi="ar"/>
        </w:rPr>
        <w:t>水质参数的标准指数</w:t>
      </w:r>
      <w:r>
        <w:rPr>
          <w:rFonts w:ascii="Times New Roman" w:hAnsi="Times New Roman" w:eastAsia="宋体" w:cs="Times New Roman"/>
          <w:color w:val="000000"/>
          <w:kern w:val="0"/>
          <w:sz w:val="24"/>
          <w:lang w:bidi="ar"/>
        </w:rPr>
        <w:t>&gt;1</w:t>
      </w:r>
      <w:r>
        <w:rPr>
          <w:rFonts w:hint="eastAsia" w:ascii="宋体" w:hAnsi="宋体" w:eastAsia="宋体" w:cs="宋体"/>
          <w:color w:val="000000"/>
          <w:kern w:val="0"/>
          <w:sz w:val="24"/>
          <w:lang w:bidi="ar"/>
        </w:rPr>
        <w:t>，表明该水质参数超过了规定的水质标准限值，水质参数的标准指数越大，说明该水质超标越严重。</w:t>
      </w:r>
    </w:p>
    <w:p w14:paraId="46E5ECDE">
      <w:pPr>
        <w:numPr>
          <w:ilvl w:val="0"/>
          <w:numId w:val="48"/>
        </w:num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评价标准</w:t>
      </w:r>
    </w:p>
    <w:p w14:paraId="339BF992">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本项目地表水环境质量现状评价断面执行《地表水环境质量标准》（GB3838-2002）</w:t>
      </w:r>
      <w:r>
        <w:rPr>
          <w:rFonts w:hint="eastAsia" w:ascii="Times New Roman" w:hAnsi="Times New Roman" w:eastAsia="宋体" w:cs="Times New Roman"/>
          <w:sz w:val="24"/>
        </w:rPr>
        <w:fldChar w:fldCharType="begin"/>
      </w:r>
      <w:r>
        <w:rPr>
          <w:rFonts w:hint="eastAsia" w:ascii="Times New Roman" w:hAnsi="Times New Roman" w:eastAsia="宋体" w:cs="Times New Roman"/>
          <w:sz w:val="24"/>
        </w:rPr>
        <w:instrText xml:space="preserve"> = 4 \* ROMAN \* MERGEFORMAT </w:instrText>
      </w:r>
      <w:r>
        <w:rPr>
          <w:rFonts w:hint="eastAsia" w:ascii="Times New Roman" w:hAnsi="Times New Roman" w:eastAsia="宋体" w:cs="Times New Roman"/>
          <w:sz w:val="24"/>
        </w:rPr>
        <w:fldChar w:fldCharType="separate"/>
      </w:r>
      <w:r>
        <w:rPr>
          <w:rFonts w:hint="eastAsia" w:ascii="Times New Roman" w:hAnsi="Times New Roman" w:eastAsia="宋体" w:cs="Times New Roman"/>
          <w:sz w:val="24"/>
        </w:rPr>
        <w:t>IV</w:t>
      </w:r>
      <w:r>
        <w:rPr>
          <w:rFonts w:hint="eastAsia" w:ascii="Times New Roman" w:hAnsi="Times New Roman" w:eastAsia="宋体" w:cs="Times New Roman"/>
          <w:sz w:val="24"/>
        </w:rPr>
        <w:fldChar w:fldCharType="end"/>
      </w:r>
      <w:r>
        <w:rPr>
          <w:rFonts w:hint="eastAsia" w:ascii="Times New Roman" w:hAnsi="Times New Roman" w:eastAsia="宋体" w:cs="Times New Roman"/>
          <w:sz w:val="24"/>
        </w:rPr>
        <w:t>类标准。</w:t>
      </w:r>
    </w:p>
    <w:p w14:paraId="362F1DD3">
      <w:pPr>
        <w:pStyle w:val="4"/>
        <w:numPr>
          <w:ilvl w:val="2"/>
          <w:numId w:val="46"/>
        </w:numPr>
        <w:tabs>
          <w:tab w:val="clear" w:pos="0"/>
        </w:tabs>
      </w:pPr>
      <w:r>
        <w:t>监测数据统计</w:t>
      </w:r>
    </w:p>
    <w:p w14:paraId="5B9CAB64">
      <w:pPr>
        <w:numPr>
          <w:ilvl w:val="0"/>
          <w:numId w:val="49"/>
        </w:num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检测分析方法</w:t>
      </w:r>
    </w:p>
    <w:p w14:paraId="7952EC3C">
      <w:pPr>
        <w:widowControl/>
        <w:spacing w:line="360" w:lineRule="auto"/>
        <w:ind w:firstLine="480" w:firstLineChars="200"/>
        <w:jc w:val="left"/>
      </w:pPr>
      <w:r>
        <w:rPr>
          <w:rFonts w:hint="eastAsia" w:ascii="宋体" w:hAnsi="宋体" w:eastAsia="宋体" w:cs="宋体"/>
          <w:color w:val="000000"/>
          <w:kern w:val="0"/>
          <w:sz w:val="24"/>
          <w:lang w:bidi="ar"/>
        </w:rPr>
        <w:t>地表水监测和分析方法按《环境监测技术规范》、《地表水和污水监测技术规范》（</w:t>
      </w:r>
      <w:r>
        <w:rPr>
          <w:rFonts w:ascii="Times New Roman" w:hAnsi="Times New Roman" w:eastAsia="宋体" w:cs="Times New Roman"/>
          <w:color w:val="000000"/>
          <w:kern w:val="0"/>
          <w:sz w:val="24"/>
          <w:lang w:bidi="ar"/>
        </w:rPr>
        <w:t>HJ/T91-2002</w:t>
      </w:r>
      <w:r>
        <w:rPr>
          <w:rFonts w:hint="eastAsia" w:ascii="宋体" w:hAnsi="宋体" w:eastAsia="宋体" w:cs="宋体"/>
          <w:color w:val="000000"/>
          <w:kern w:val="0"/>
          <w:sz w:val="24"/>
          <w:lang w:bidi="ar"/>
        </w:rPr>
        <w:t>）等中的有关规定进行。地表水监测因子的分析方法和最低检出限详见下</w:t>
      </w:r>
      <w:r>
        <w:rPr>
          <w:rFonts w:ascii="Times New Roman" w:hAnsi="Times New Roman" w:eastAsia="宋体" w:cs="Times New Roman"/>
          <w:color w:val="000000"/>
          <w:kern w:val="0"/>
          <w:sz w:val="24"/>
          <w:lang w:bidi="ar"/>
        </w:rPr>
        <w:t>表。</w:t>
      </w:r>
    </w:p>
    <w:p w14:paraId="09F336FD">
      <w:pPr>
        <w:tabs>
          <w:tab w:val="left" w:pos="0"/>
        </w:tabs>
        <w:spacing w:before="156" w:beforeLines="5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表4.</w:t>
      </w:r>
      <w:r>
        <w:rPr>
          <w:rFonts w:hint="eastAsia" w:ascii="Times New Roman" w:hAnsi="Times New Roman" w:eastAsia="宋体" w:cs="Times New Roman"/>
          <w:b/>
          <w:bCs/>
          <w:sz w:val="21"/>
          <w:szCs w:val="21"/>
          <w:lang w:val="en-US" w:eastAsia="zh-CN"/>
        </w:rPr>
        <w:t>3</w:t>
      </w:r>
      <w:r>
        <w:rPr>
          <w:rFonts w:hint="eastAsia" w:ascii="Times New Roman" w:hAnsi="Times New Roman" w:eastAsia="宋体" w:cs="Times New Roman"/>
          <w:b/>
          <w:bCs/>
          <w:sz w:val="21"/>
          <w:szCs w:val="21"/>
        </w:rPr>
        <w:t>-3</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地表水检测分析方法一览表</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405"/>
        <w:gridCol w:w="2676"/>
        <w:gridCol w:w="1227"/>
        <w:gridCol w:w="1466"/>
        <w:gridCol w:w="1289"/>
      </w:tblGrid>
      <w:tr w14:paraId="18E9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dxa"/>
            <w:tcBorders>
              <w:tl2br w:val="nil"/>
              <w:tr2bl w:val="nil"/>
            </w:tcBorders>
            <w:shd w:val="clear" w:color="auto" w:fill="auto"/>
            <w:vAlign w:val="center"/>
          </w:tcPr>
          <w:p w14:paraId="7C4CB687">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1405" w:type="dxa"/>
            <w:tcBorders>
              <w:tl2br w:val="nil"/>
              <w:tr2bl w:val="nil"/>
            </w:tcBorders>
            <w:shd w:val="clear" w:color="auto" w:fill="auto"/>
            <w:vAlign w:val="center"/>
          </w:tcPr>
          <w:p w14:paraId="6496E044">
            <w:pPr>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监测因子</w:t>
            </w:r>
          </w:p>
        </w:tc>
        <w:tc>
          <w:tcPr>
            <w:tcW w:w="2676" w:type="dxa"/>
            <w:tcBorders>
              <w:tl2br w:val="nil"/>
              <w:tr2bl w:val="nil"/>
            </w:tcBorders>
            <w:shd w:val="clear" w:color="auto" w:fill="auto"/>
            <w:vAlign w:val="center"/>
          </w:tcPr>
          <w:p w14:paraId="0BC0A1F4">
            <w:pPr>
              <w:jc w:val="center"/>
              <w:rPr>
                <w:rFonts w:ascii="Times New Roman" w:hAnsi="Times New Roman" w:cs="Times New Roman"/>
                <w:szCs w:val="21"/>
              </w:rPr>
            </w:pPr>
            <w:r>
              <w:rPr>
                <w:rFonts w:ascii="Times New Roman" w:hAnsi="Times New Roman" w:cs="Times New Roman"/>
                <w:szCs w:val="21"/>
              </w:rPr>
              <w:t>检测方法</w:t>
            </w:r>
          </w:p>
        </w:tc>
        <w:tc>
          <w:tcPr>
            <w:tcW w:w="1227" w:type="dxa"/>
            <w:tcBorders>
              <w:tl2br w:val="nil"/>
              <w:tr2bl w:val="nil"/>
            </w:tcBorders>
            <w:shd w:val="clear" w:color="auto" w:fill="auto"/>
            <w:vAlign w:val="center"/>
          </w:tcPr>
          <w:p w14:paraId="2255CD4F">
            <w:pPr>
              <w:jc w:val="center"/>
              <w:rPr>
                <w:rFonts w:ascii="Times New Roman" w:hAnsi="Times New Roman" w:cs="Times New Roman"/>
                <w:szCs w:val="21"/>
              </w:rPr>
            </w:pPr>
            <w:r>
              <w:rPr>
                <w:rFonts w:ascii="Times New Roman" w:hAnsi="Times New Roman" w:cs="Times New Roman"/>
                <w:szCs w:val="21"/>
              </w:rPr>
              <w:t>检测依据</w:t>
            </w:r>
          </w:p>
        </w:tc>
        <w:tc>
          <w:tcPr>
            <w:tcW w:w="1466" w:type="dxa"/>
            <w:tcBorders>
              <w:tl2br w:val="nil"/>
              <w:tr2bl w:val="nil"/>
            </w:tcBorders>
            <w:shd w:val="clear" w:color="auto" w:fill="auto"/>
            <w:vAlign w:val="center"/>
          </w:tcPr>
          <w:p w14:paraId="2357DAAF">
            <w:pPr>
              <w:jc w:val="center"/>
              <w:rPr>
                <w:rFonts w:ascii="Times New Roman" w:hAnsi="Times New Roman" w:cs="Times New Roman"/>
                <w:szCs w:val="21"/>
              </w:rPr>
            </w:pPr>
            <w:r>
              <w:rPr>
                <w:rFonts w:ascii="Times New Roman" w:hAnsi="Times New Roman" w:cs="Times New Roman"/>
                <w:szCs w:val="21"/>
              </w:rPr>
              <w:t>分析仪器</w:t>
            </w:r>
          </w:p>
        </w:tc>
        <w:tc>
          <w:tcPr>
            <w:tcW w:w="1289" w:type="dxa"/>
            <w:tcBorders>
              <w:tl2br w:val="nil"/>
              <w:tr2bl w:val="nil"/>
            </w:tcBorders>
            <w:shd w:val="clear" w:color="auto" w:fill="auto"/>
            <w:vAlign w:val="center"/>
          </w:tcPr>
          <w:p w14:paraId="2FCE240A">
            <w:pPr>
              <w:jc w:val="center"/>
              <w:rPr>
                <w:rFonts w:ascii="Times New Roman" w:hAnsi="Times New Roman" w:cs="Times New Roman"/>
                <w:szCs w:val="21"/>
              </w:rPr>
            </w:pPr>
            <w:r>
              <w:rPr>
                <w:rFonts w:ascii="Times New Roman" w:hAnsi="Times New Roman" w:cs="Times New Roman"/>
                <w:szCs w:val="21"/>
              </w:rPr>
              <w:t>检出限</w:t>
            </w:r>
          </w:p>
        </w:tc>
      </w:tr>
      <w:tr w14:paraId="447E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9" w:type="dxa"/>
            <w:gridSpan w:val="6"/>
            <w:tcBorders>
              <w:tl2br w:val="nil"/>
              <w:tr2bl w:val="nil"/>
            </w:tcBorders>
            <w:shd w:val="clear" w:color="auto" w:fill="auto"/>
            <w:vAlign w:val="center"/>
          </w:tcPr>
          <w:p w14:paraId="288EA6D6">
            <w:pPr>
              <w:jc w:val="center"/>
              <w:rPr>
                <w:rFonts w:ascii="Times New Roman" w:hAnsi="Times New Roman" w:cs="Times New Roman"/>
                <w:szCs w:val="21"/>
              </w:rPr>
            </w:pPr>
            <w:r>
              <w:rPr>
                <w:rFonts w:ascii="Times New Roman" w:hAnsi="Times New Roman" w:cs="Times New Roman"/>
                <w:szCs w:val="21"/>
              </w:rPr>
              <w:t>地表水</w:t>
            </w:r>
          </w:p>
        </w:tc>
      </w:tr>
      <w:tr w14:paraId="41FD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dxa"/>
            <w:tcBorders>
              <w:tl2br w:val="nil"/>
              <w:tr2bl w:val="nil"/>
            </w:tcBorders>
            <w:shd w:val="clear" w:color="auto" w:fill="auto"/>
            <w:vAlign w:val="center"/>
          </w:tcPr>
          <w:p w14:paraId="363886DF">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1405" w:type="dxa"/>
            <w:tcBorders>
              <w:tl2br w:val="nil"/>
              <w:tr2bl w:val="nil"/>
            </w:tcBorders>
            <w:shd w:val="clear" w:color="auto" w:fill="auto"/>
            <w:vAlign w:val="center"/>
          </w:tcPr>
          <w:p w14:paraId="2EF07BDE">
            <w:pPr>
              <w:adjustRightInd w:val="0"/>
              <w:snapToGrid w:val="0"/>
              <w:jc w:val="center"/>
              <w:rPr>
                <w:rFonts w:ascii="Times New Roman" w:hAnsi="Times New Roman" w:cs="Times New Roman"/>
                <w:szCs w:val="21"/>
              </w:rPr>
            </w:pPr>
            <w:r>
              <w:rPr>
                <w:rFonts w:ascii="Times New Roman" w:hAnsi="Times New Roman" w:cs="Times New Roman"/>
                <w:szCs w:val="21"/>
              </w:rPr>
              <w:t>甲苯</w:t>
            </w:r>
          </w:p>
        </w:tc>
        <w:tc>
          <w:tcPr>
            <w:tcW w:w="2676" w:type="dxa"/>
            <w:vMerge w:val="restart"/>
            <w:tcBorders>
              <w:tl2br w:val="nil"/>
              <w:tr2bl w:val="nil"/>
            </w:tcBorders>
            <w:shd w:val="clear" w:color="auto" w:fill="auto"/>
            <w:vAlign w:val="center"/>
          </w:tcPr>
          <w:p w14:paraId="0143F5CA">
            <w:pPr>
              <w:jc w:val="center"/>
              <w:rPr>
                <w:rFonts w:ascii="Times New Roman" w:hAnsi="Times New Roman" w:cs="Times New Roman"/>
                <w:szCs w:val="21"/>
              </w:rPr>
            </w:pPr>
            <w:r>
              <w:rPr>
                <w:rFonts w:ascii="Times New Roman" w:hAnsi="Times New Roman" w:cs="Times New Roman"/>
                <w:szCs w:val="21"/>
              </w:rPr>
              <w:t xml:space="preserve">水质  挥发性有机物的测定 </w:t>
            </w:r>
          </w:p>
          <w:p w14:paraId="4AFB1205">
            <w:pPr>
              <w:jc w:val="center"/>
              <w:rPr>
                <w:rFonts w:ascii="Times New Roman" w:hAnsi="Times New Roman" w:cs="Times New Roman"/>
                <w:szCs w:val="21"/>
              </w:rPr>
            </w:pPr>
            <w:r>
              <w:rPr>
                <w:rFonts w:ascii="Times New Roman" w:hAnsi="Times New Roman" w:cs="Times New Roman"/>
                <w:szCs w:val="21"/>
              </w:rPr>
              <w:t>吹扫捕集/气相色谱-质谱法</w:t>
            </w:r>
          </w:p>
        </w:tc>
        <w:tc>
          <w:tcPr>
            <w:tcW w:w="1227" w:type="dxa"/>
            <w:vMerge w:val="restart"/>
            <w:tcBorders>
              <w:tl2br w:val="nil"/>
              <w:tr2bl w:val="nil"/>
            </w:tcBorders>
            <w:shd w:val="clear" w:color="auto" w:fill="auto"/>
            <w:vAlign w:val="center"/>
          </w:tcPr>
          <w:p w14:paraId="6404D39D">
            <w:pPr>
              <w:jc w:val="center"/>
              <w:rPr>
                <w:rFonts w:ascii="Times New Roman" w:hAnsi="Times New Roman" w:cs="Times New Roman"/>
                <w:szCs w:val="21"/>
              </w:rPr>
            </w:pPr>
            <w:r>
              <w:rPr>
                <w:rFonts w:ascii="Times New Roman" w:hAnsi="Times New Roman" w:cs="Times New Roman"/>
                <w:szCs w:val="21"/>
              </w:rPr>
              <w:t>HJ 639-2012</w:t>
            </w:r>
          </w:p>
        </w:tc>
        <w:tc>
          <w:tcPr>
            <w:tcW w:w="1466" w:type="dxa"/>
            <w:vMerge w:val="restart"/>
            <w:tcBorders>
              <w:tl2br w:val="nil"/>
              <w:tr2bl w:val="nil"/>
            </w:tcBorders>
            <w:shd w:val="clear" w:color="auto" w:fill="auto"/>
            <w:vAlign w:val="center"/>
          </w:tcPr>
          <w:p w14:paraId="5E605237">
            <w:pPr>
              <w:jc w:val="center"/>
              <w:rPr>
                <w:rFonts w:ascii="Times New Roman" w:hAnsi="Times New Roman" w:cs="Times New Roman"/>
                <w:szCs w:val="21"/>
              </w:rPr>
            </w:pPr>
            <w:r>
              <w:rPr>
                <w:rFonts w:ascii="Times New Roman" w:hAnsi="Times New Roman" w:cs="Times New Roman"/>
                <w:szCs w:val="21"/>
              </w:rPr>
              <w:t>气相色谱-质谱联用仪Trace 1300/ISQ QD</w:t>
            </w:r>
          </w:p>
        </w:tc>
        <w:tc>
          <w:tcPr>
            <w:tcW w:w="1289" w:type="dxa"/>
            <w:tcBorders>
              <w:tl2br w:val="nil"/>
              <w:tr2bl w:val="nil"/>
            </w:tcBorders>
            <w:shd w:val="clear" w:color="auto" w:fill="auto"/>
            <w:vAlign w:val="center"/>
          </w:tcPr>
          <w:p w14:paraId="2014787E">
            <w:pPr>
              <w:jc w:val="center"/>
              <w:rPr>
                <w:rFonts w:ascii="Times New Roman" w:hAnsi="Times New Roman" w:cs="Times New Roman"/>
                <w:szCs w:val="21"/>
              </w:rPr>
            </w:pPr>
            <w:r>
              <w:rPr>
                <w:rFonts w:ascii="Times New Roman" w:hAnsi="Times New Roman" w:eastAsia="宋体" w:cs="Times New Roman"/>
                <w:szCs w:val="21"/>
              </w:rPr>
              <w:t>1</w:t>
            </w:r>
            <w:r>
              <w:rPr>
                <w:rFonts w:ascii="Times New Roman" w:hAnsi="Times New Roman" w:cs="Times New Roman"/>
                <w:szCs w:val="21"/>
              </w:rPr>
              <w:t>.4</w:t>
            </w:r>
            <w:r>
              <w:rPr>
                <w:rFonts w:ascii="Times New Roman" w:hAnsi="Times New Roman" w:eastAsia="宋体" w:cs="Times New Roman"/>
                <w:szCs w:val="21"/>
              </w:rPr>
              <w:t xml:space="preserve"> µg/L</w:t>
            </w:r>
          </w:p>
        </w:tc>
      </w:tr>
      <w:tr w14:paraId="2730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dxa"/>
            <w:tcBorders>
              <w:tl2br w:val="nil"/>
              <w:tr2bl w:val="nil"/>
            </w:tcBorders>
            <w:shd w:val="clear" w:color="auto" w:fill="auto"/>
            <w:vAlign w:val="center"/>
          </w:tcPr>
          <w:p w14:paraId="78DD5DE8">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1405" w:type="dxa"/>
            <w:tcBorders>
              <w:tl2br w:val="nil"/>
              <w:tr2bl w:val="nil"/>
            </w:tcBorders>
            <w:shd w:val="clear" w:color="auto" w:fill="auto"/>
            <w:vAlign w:val="center"/>
          </w:tcPr>
          <w:p w14:paraId="47C7D0F9">
            <w:pPr>
              <w:adjustRightInd w:val="0"/>
              <w:snapToGrid w:val="0"/>
              <w:jc w:val="center"/>
              <w:rPr>
                <w:rFonts w:ascii="Times New Roman" w:hAnsi="Times New Roman" w:cs="Times New Roman"/>
                <w:szCs w:val="21"/>
              </w:rPr>
            </w:pPr>
            <w:r>
              <w:rPr>
                <w:rFonts w:ascii="Times New Roman" w:hAnsi="Times New Roman" w:cs="Times New Roman"/>
                <w:szCs w:val="21"/>
              </w:rPr>
              <w:t>邻二甲苯</w:t>
            </w:r>
          </w:p>
        </w:tc>
        <w:tc>
          <w:tcPr>
            <w:tcW w:w="2676" w:type="dxa"/>
            <w:vMerge w:val="continue"/>
            <w:tcBorders>
              <w:tl2br w:val="nil"/>
              <w:tr2bl w:val="nil"/>
            </w:tcBorders>
            <w:shd w:val="clear" w:color="auto" w:fill="auto"/>
            <w:vAlign w:val="center"/>
          </w:tcPr>
          <w:p w14:paraId="02EBF6E4">
            <w:pPr>
              <w:adjustRightInd w:val="0"/>
              <w:snapToGrid w:val="0"/>
              <w:jc w:val="center"/>
              <w:rPr>
                <w:rFonts w:ascii="Times New Roman" w:hAnsi="Times New Roman" w:cs="Times New Roman"/>
                <w:szCs w:val="21"/>
              </w:rPr>
            </w:pPr>
          </w:p>
        </w:tc>
        <w:tc>
          <w:tcPr>
            <w:tcW w:w="1227" w:type="dxa"/>
            <w:vMerge w:val="continue"/>
            <w:tcBorders>
              <w:tl2br w:val="nil"/>
              <w:tr2bl w:val="nil"/>
            </w:tcBorders>
            <w:shd w:val="clear" w:color="auto" w:fill="auto"/>
            <w:vAlign w:val="center"/>
          </w:tcPr>
          <w:p w14:paraId="714C4778">
            <w:pPr>
              <w:adjustRightInd w:val="0"/>
              <w:snapToGrid w:val="0"/>
              <w:jc w:val="center"/>
              <w:rPr>
                <w:rFonts w:ascii="Times New Roman" w:hAnsi="Times New Roman" w:cs="Times New Roman"/>
                <w:szCs w:val="21"/>
              </w:rPr>
            </w:pPr>
          </w:p>
        </w:tc>
        <w:tc>
          <w:tcPr>
            <w:tcW w:w="1466" w:type="dxa"/>
            <w:vMerge w:val="continue"/>
            <w:tcBorders>
              <w:tl2br w:val="nil"/>
              <w:tr2bl w:val="nil"/>
            </w:tcBorders>
            <w:shd w:val="clear" w:color="auto" w:fill="auto"/>
            <w:vAlign w:val="center"/>
          </w:tcPr>
          <w:p w14:paraId="141B66FF">
            <w:pPr>
              <w:adjustRightInd w:val="0"/>
              <w:snapToGrid w:val="0"/>
              <w:jc w:val="center"/>
              <w:rPr>
                <w:rFonts w:ascii="Times New Roman" w:hAnsi="Times New Roman" w:cs="Times New Roman"/>
                <w:szCs w:val="21"/>
              </w:rPr>
            </w:pPr>
          </w:p>
        </w:tc>
        <w:tc>
          <w:tcPr>
            <w:tcW w:w="1289" w:type="dxa"/>
            <w:tcBorders>
              <w:tl2br w:val="nil"/>
              <w:tr2bl w:val="nil"/>
            </w:tcBorders>
            <w:shd w:val="clear" w:color="auto" w:fill="auto"/>
            <w:vAlign w:val="center"/>
          </w:tcPr>
          <w:p w14:paraId="0275C41B">
            <w:pPr>
              <w:jc w:val="center"/>
              <w:rPr>
                <w:rFonts w:ascii="Times New Roman" w:hAnsi="Times New Roman" w:cs="Times New Roman"/>
                <w:szCs w:val="21"/>
              </w:rPr>
            </w:pPr>
            <w:r>
              <w:rPr>
                <w:rFonts w:ascii="Times New Roman" w:hAnsi="Times New Roman" w:cs="Times New Roman"/>
                <w:szCs w:val="21"/>
              </w:rPr>
              <w:t>1.4</w:t>
            </w:r>
            <w:r>
              <w:rPr>
                <w:rFonts w:ascii="Times New Roman" w:hAnsi="Times New Roman" w:eastAsia="宋体" w:cs="Times New Roman"/>
                <w:szCs w:val="21"/>
              </w:rPr>
              <w:t xml:space="preserve"> µg/L</w:t>
            </w:r>
          </w:p>
        </w:tc>
      </w:tr>
      <w:tr w14:paraId="0C19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dxa"/>
            <w:tcBorders>
              <w:tl2br w:val="nil"/>
              <w:tr2bl w:val="nil"/>
            </w:tcBorders>
            <w:shd w:val="clear" w:color="auto" w:fill="auto"/>
            <w:vAlign w:val="center"/>
          </w:tcPr>
          <w:p w14:paraId="44BC53B3">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1405" w:type="dxa"/>
            <w:tcBorders>
              <w:tl2br w:val="nil"/>
              <w:tr2bl w:val="nil"/>
            </w:tcBorders>
            <w:shd w:val="clear" w:color="auto" w:fill="auto"/>
            <w:vAlign w:val="center"/>
          </w:tcPr>
          <w:p w14:paraId="20645BC7">
            <w:pPr>
              <w:adjustRightInd w:val="0"/>
              <w:snapToGrid w:val="0"/>
              <w:jc w:val="center"/>
              <w:rPr>
                <w:rFonts w:ascii="Times New Roman" w:hAnsi="Times New Roman" w:cs="Times New Roman"/>
                <w:szCs w:val="21"/>
              </w:rPr>
            </w:pPr>
            <w:r>
              <w:rPr>
                <w:rFonts w:ascii="Times New Roman" w:hAnsi="Times New Roman" w:cs="Times New Roman"/>
                <w:szCs w:val="21"/>
              </w:rPr>
              <w:t>间,对二甲苯</w:t>
            </w:r>
          </w:p>
        </w:tc>
        <w:tc>
          <w:tcPr>
            <w:tcW w:w="2676" w:type="dxa"/>
            <w:vMerge w:val="continue"/>
            <w:tcBorders>
              <w:tl2br w:val="nil"/>
              <w:tr2bl w:val="nil"/>
            </w:tcBorders>
            <w:shd w:val="clear" w:color="auto" w:fill="auto"/>
            <w:vAlign w:val="center"/>
          </w:tcPr>
          <w:p w14:paraId="70857489">
            <w:pPr>
              <w:adjustRightInd w:val="0"/>
              <w:snapToGrid w:val="0"/>
              <w:jc w:val="center"/>
              <w:rPr>
                <w:rFonts w:ascii="Times New Roman" w:hAnsi="Times New Roman" w:cs="Times New Roman"/>
                <w:szCs w:val="21"/>
              </w:rPr>
            </w:pPr>
          </w:p>
        </w:tc>
        <w:tc>
          <w:tcPr>
            <w:tcW w:w="1227" w:type="dxa"/>
            <w:vMerge w:val="continue"/>
            <w:tcBorders>
              <w:tl2br w:val="nil"/>
              <w:tr2bl w:val="nil"/>
            </w:tcBorders>
            <w:shd w:val="clear" w:color="auto" w:fill="auto"/>
            <w:vAlign w:val="center"/>
          </w:tcPr>
          <w:p w14:paraId="770BD816">
            <w:pPr>
              <w:adjustRightInd w:val="0"/>
              <w:snapToGrid w:val="0"/>
              <w:jc w:val="center"/>
              <w:rPr>
                <w:rFonts w:ascii="Times New Roman" w:hAnsi="Times New Roman" w:cs="Times New Roman"/>
                <w:szCs w:val="21"/>
              </w:rPr>
            </w:pPr>
          </w:p>
        </w:tc>
        <w:tc>
          <w:tcPr>
            <w:tcW w:w="1466" w:type="dxa"/>
            <w:vMerge w:val="continue"/>
            <w:tcBorders>
              <w:tl2br w:val="nil"/>
              <w:tr2bl w:val="nil"/>
            </w:tcBorders>
            <w:shd w:val="clear" w:color="auto" w:fill="auto"/>
            <w:vAlign w:val="center"/>
          </w:tcPr>
          <w:p w14:paraId="0AEF752A">
            <w:pPr>
              <w:adjustRightInd w:val="0"/>
              <w:snapToGrid w:val="0"/>
              <w:jc w:val="center"/>
              <w:rPr>
                <w:rFonts w:ascii="Times New Roman" w:hAnsi="Times New Roman" w:cs="Times New Roman"/>
                <w:szCs w:val="21"/>
              </w:rPr>
            </w:pPr>
          </w:p>
        </w:tc>
        <w:tc>
          <w:tcPr>
            <w:tcW w:w="1289" w:type="dxa"/>
            <w:tcBorders>
              <w:tl2br w:val="nil"/>
              <w:tr2bl w:val="nil"/>
            </w:tcBorders>
            <w:shd w:val="clear" w:color="auto" w:fill="auto"/>
            <w:vAlign w:val="center"/>
          </w:tcPr>
          <w:p w14:paraId="06E23077">
            <w:pPr>
              <w:jc w:val="center"/>
              <w:rPr>
                <w:rFonts w:ascii="Times New Roman" w:hAnsi="Times New Roman" w:cs="Times New Roman"/>
                <w:szCs w:val="21"/>
              </w:rPr>
            </w:pPr>
            <w:r>
              <w:rPr>
                <w:rFonts w:ascii="Times New Roman" w:hAnsi="Times New Roman" w:cs="Times New Roman"/>
                <w:szCs w:val="21"/>
              </w:rPr>
              <w:t>2.2</w:t>
            </w:r>
            <w:r>
              <w:rPr>
                <w:rFonts w:ascii="Times New Roman" w:hAnsi="Times New Roman" w:eastAsia="宋体" w:cs="Times New Roman"/>
                <w:szCs w:val="21"/>
              </w:rPr>
              <w:t xml:space="preserve"> µg/L</w:t>
            </w:r>
          </w:p>
        </w:tc>
      </w:tr>
    </w:tbl>
    <w:p w14:paraId="6705B48D">
      <w:pPr>
        <w:numPr>
          <w:ilvl w:val="0"/>
          <w:numId w:val="49"/>
        </w:numPr>
        <w:spacing w:line="52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检测结果统计及评价</w:t>
      </w:r>
    </w:p>
    <w:p w14:paraId="3E919078">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本次评价委托光远检测有限公司于2023年3月23日~3月25日对清丰中州水务有限公司第二污水处理厂（清丰中州水务有限公司第二污水处理厂）排污口上下游共设置3个监测断面进行地表水水质监测。</w:t>
      </w:r>
      <w:r>
        <w:rPr>
          <w:rFonts w:ascii="Times New Roman" w:hAnsi="Times New Roman" w:eastAsia="宋体" w:cs="Times New Roman"/>
          <w:sz w:val="24"/>
        </w:rPr>
        <w:t>监测结果见下表。</w:t>
      </w:r>
    </w:p>
    <w:p w14:paraId="34EE8E84">
      <w:pPr>
        <w:tabs>
          <w:tab w:val="left" w:pos="0"/>
        </w:tabs>
        <w:spacing w:before="156" w:beforeLines="50"/>
        <w:jc w:val="center"/>
        <w:rPr>
          <w:rFonts w:ascii="Times New Roman" w:hAnsi="Times New Roman" w:eastAsia="黑体" w:cs="Times New Roman"/>
          <w:sz w:val="21"/>
          <w:szCs w:val="21"/>
        </w:rPr>
      </w:pPr>
      <w:r>
        <w:rPr>
          <w:rFonts w:hint="eastAsia" w:ascii="Times New Roman" w:hAnsi="Times New Roman" w:eastAsia="宋体" w:cs="Times New Roman"/>
          <w:b/>
          <w:bCs/>
          <w:sz w:val="21"/>
          <w:szCs w:val="21"/>
        </w:rPr>
        <w:t>表4.</w:t>
      </w:r>
      <w:r>
        <w:rPr>
          <w:rFonts w:hint="eastAsia" w:ascii="Times New Roman" w:hAnsi="Times New Roman" w:eastAsia="宋体" w:cs="Times New Roman"/>
          <w:b/>
          <w:bCs/>
          <w:sz w:val="21"/>
          <w:szCs w:val="21"/>
          <w:lang w:val="en-US" w:eastAsia="zh-CN"/>
        </w:rPr>
        <w:t>3</w:t>
      </w:r>
      <w:r>
        <w:rPr>
          <w:rFonts w:hint="eastAsia" w:ascii="Times New Roman" w:hAnsi="Times New Roman" w:eastAsia="宋体" w:cs="Times New Roman"/>
          <w:b/>
          <w:bCs/>
          <w:sz w:val="21"/>
          <w:szCs w:val="21"/>
        </w:rPr>
        <w:t>-4</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地表水</w:t>
      </w:r>
      <w:r>
        <w:rPr>
          <w:rFonts w:ascii="Times New Roman" w:hAnsi="Times New Roman" w:eastAsia="宋体" w:cs="Times New Roman"/>
          <w:b/>
          <w:bCs/>
          <w:sz w:val="21"/>
          <w:szCs w:val="21"/>
        </w:rPr>
        <w:t>断面监测结果统计一览表  单位：mg/L</w:t>
      </w:r>
    </w:p>
    <w:tbl>
      <w:tblPr>
        <w:tblStyle w:val="30"/>
        <w:tblW w:w="83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6"/>
        <w:gridCol w:w="1018"/>
        <w:gridCol w:w="825"/>
        <w:gridCol w:w="958"/>
        <w:gridCol w:w="691"/>
        <w:gridCol w:w="1189"/>
        <w:gridCol w:w="1069"/>
        <w:gridCol w:w="925"/>
      </w:tblGrid>
      <w:tr w14:paraId="25D3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trPr>
        <w:tc>
          <w:tcPr>
            <w:tcW w:w="1706" w:type="dxa"/>
            <w:tcBorders>
              <w:tl2br w:val="nil"/>
              <w:tr2bl w:val="nil"/>
            </w:tcBorders>
            <w:vAlign w:val="center"/>
          </w:tcPr>
          <w:p w14:paraId="53E0881C">
            <w:pPr>
              <w:snapToGrid w:val="0"/>
              <w:jc w:val="center"/>
              <w:rPr>
                <w:rFonts w:ascii="Times New Roman" w:hAnsi="Times New Roman" w:eastAsia="宋体" w:cs="Times New Roman"/>
                <w:szCs w:val="21"/>
              </w:rPr>
            </w:pPr>
            <w:r>
              <w:rPr>
                <w:rFonts w:ascii="Times New Roman" w:hAnsi="Times New Roman" w:eastAsia="宋体" w:cs="Times New Roman"/>
                <w:szCs w:val="21"/>
              </w:rPr>
              <w:t>断面</w:t>
            </w:r>
          </w:p>
        </w:tc>
        <w:tc>
          <w:tcPr>
            <w:tcW w:w="1018" w:type="dxa"/>
            <w:tcBorders>
              <w:tl2br w:val="nil"/>
              <w:tr2bl w:val="nil"/>
            </w:tcBorders>
            <w:vAlign w:val="center"/>
          </w:tcPr>
          <w:p w14:paraId="42C2DBC1">
            <w:pPr>
              <w:snapToGrid w:val="0"/>
              <w:jc w:val="center"/>
              <w:rPr>
                <w:rFonts w:ascii="Times New Roman" w:hAnsi="Times New Roman" w:eastAsia="宋体" w:cs="Times New Roman"/>
                <w:szCs w:val="21"/>
              </w:rPr>
            </w:pPr>
            <w:r>
              <w:rPr>
                <w:rFonts w:ascii="Times New Roman" w:hAnsi="Times New Roman" w:eastAsia="宋体" w:cs="Times New Roman"/>
                <w:szCs w:val="21"/>
              </w:rPr>
              <w:t>监测因子</w:t>
            </w:r>
          </w:p>
        </w:tc>
        <w:tc>
          <w:tcPr>
            <w:tcW w:w="825" w:type="dxa"/>
            <w:tcBorders>
              <w:tl2br w:val="nil"/>
              <w:tr2bl w:val="nil"/>
            </w:tcBorders>
            <w:vAlign w:val="center"/>
          </w:tcPr>
          <w:p w14:paraId="778DAC02">
            <w:pPr>
              <w:snapToGrid w:val="0"/>
              <w:jc w:val="center"/>
              <w:rPr>
                <w:rFonts w:ascii="Times New Roman" w:hAnsi="Times New Roman" w:eastAsia="宋体" w:cs="Times New Roman"/>
                <w:szCs w:val="21"/>
              </w:rPr>
            </w:pPr>
            <w:r>
              <w:rPr>
                <w:rFonts w:ascii="Times New Roman" w:hAnsi="Times New Roman" w:eastAsia="宋体" w:cs="Times New Roman"/>
                <w:szCs w:val="21"/>
              </w:rPr>
              <w:t>监测时间</w:t>
            </w:r>
          </w:p>
        </w:tc>
        <w:tc>
          <w:tcPr>
            <w:tcW w:w="958" w:type="dxa"/>
            <w:tcBorders>
              <w:tl2br w:val="nil"/>
              <w:tr2bl w:val="nil"/>
            </w:tcBorders>
            <w:vAlign w:val="center"/>
          </w:tcPr>
          <w:p w14:paraId="57418177">
            <w:pPr>
              <w:snapToGrid w:val="0"/>
              <w:jc w:val="center"/>
              <w:rPr>
                <w:rFonts w:ascii="Times New Roman" w:hAnsi="Times New Roman" w:eastAsia="宋体" w:cs="Times New Roman"/>
                <w:szCs w:val="21"/>
              </w:rPr>
            </w:pPr>
            <w:r>
              <w:rPr>
                <w:rFonts w:ascii="Times New Roman" w:hAnsi="Times New Roman" w:eastAsia="宋体" w:cs="Times New Roman"/>
                <w:szCs w:val="21"/>
              </w:rPr>
              <w:t>监测结果</w:t>
            </w:r>
            <w:r>
              <w:rPr>
                <w:rFonts w:hint="eastAsia" w:ascii="Times New Roman" w:hAnsi="Times New Roman" w:eastAsia="宋体" w:cs="Times New Roman"/>
                <w:szCs w:val="21"/>
              </w:rPr>
              <w:t>范围</w:t>
            </w:r>
          </w:p>
        </w:tc>
        <w:tc>
          <w:tcPr>
            <w:tcW w:w="691" w:type="dxa"/>
            <w:tcBorders>
              <w:tl2br w:val="nil"/>
              <w:tr2bl w:val="nil"/>
            </w:tcBorders>
            <w:vAlign w:val="center"/>
          </w:tcPr>
          <w:p w14:paraId="24F9BBF8">
            <w:pPr>
              <w:snapToGrid w:val="0"/>
              <w:jc w:val="center"/>
              <w:rPr>
                <w:rFonts w:ascii="Times New Roman" w:hAnsi="Times New Roman" w:eastAsia="宋体" w:cs="Times New Roman"/>
                <w:szCs w:val="21"/>
              </w:rPr>
            </w:pPr>
            <w:r>
              <w:rPr>
                <w:rFonts w:ascii="Times New Roman" w:hAnsi="Times New Roman" w:eastAsia="宋体" w:cs="Times New Roman"/>
                <w:szCs w:val="21"/>
              </w:rPr>
              <w:t>标准</w:t>
            </w:r>
          </w:p>
        </w:tc>
        <w:tc>
          <w:tcPr>
            <w:tcW w:w="1189" w:type="dxa"/>
            <w:tcBorders>
              <w:tl2br w:val="nil"/>
              <w:tr2bl w:val="nil"/>
            </w:tcBorders>
            <w:vAlign w:val="center"/>
          </w:tcPr>
          <w:p w14:paraId="6DD49DCC">
            <w:pPr>
              <w:snapToGrid w:val="0"/>
              <w:jc w:val="center"/>
              <w:rPr>
                <w:rFonts w:ascii="Times New Roman" w:hAnsi="Times New Roman" w:eastAsia="宋体" w:cs="Times New Roman"/>
                <w:szCs w:val="21"/>
              </w:rPr>
            </w:pPr>
            <w:r>
              <w:rPr>
                <w:rFonts w:ascii="Times New Roman" w:hAnsi="Times New Roman" w:eastAsia="宋体" w:cs="Times New Roman"/>
                <w:szCs w:val="21"/>
              </w:rPr>
              <w:t>标准指数</w:t>
            </w:r>
          </w:p>
        </w:tc>
        <w:tc>
          <w:tcPr>
            <w:tcW w:w="1069" w:type="dxa"/>
            <w:tcBorders>
              <w:tl2br w:val="nil"/>
              <w:tr2bl w:val="nil"/>
            </w:tcBorders>
            <w:vAlign w:val="center"/>
          </w:tcPr>
          <w:p w14:paraId="7A23C9F0">
            <w:pPr>
              <w:snapToGrid w:val="0"/>
              <w:jc w:val="center"/>
              <w:rPr>
                <w:rFonts w:ascii="Times New Roman" w:hAnsi="Times New Roman" w:eastAsia="宋体" w:cs="Times New Roman"/>
                <w:szCs w:val="21"/>
              </w:rPr>
            </w:pPr>
            <w:r>
              <w:rPr>
                <w:rFonts w:ascii="Times New Roman" w:hAnsi="Times New Roman" w:eastAsia="宋体" w:cs="Times New Roman"/>
                <w:szCs w:val="21"/>
              </w:rPr>
              <w:t>超标倍数</w:t>
            </w:r>
          </w:p>
        </w:tc>
        <w:tc>
          <w:tcPr>
            <w:tcW w:w="925" w:type="dxa"/>
            <w:tcBorders>
              <w:tl2br w:val="nil"/>
              <w:tr2bl w:val="nil"/>
            </w:tcBorders>
            <w:vAlign w:val="center"/>
          </w:tcPr>
          <w:p w14:paraId="57627B25">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是否</w:t>
            </w:r>
            <w:r>
              <w:rPr>
                <w:rFonts w:ascii="Times New Roman" w:hAnsi="Times New Roman" w:eastAsia="宋体" w:cs="Times New Roman"/>
                <w:szCs w:val="21"/>
              </w:rPr>
              <w:t>达标</w:t>
            </w:r>
          </w:p>
        </w:tc>
      </w:tr>
      <w:tr w14:paraId="60F1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1706" w:type="dxa"/>
            <w:vMerge w:val="restart"/>
            <w:tcBorders>
              <w:tl2br w:val="nil"/>
              <w:tr2bl w:val="nil"/>
            </w:tcBorders>
            <w:vAlign w:val="center"/>
          </w:tcPr>
          <w:p w14:paraId="11564384">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清丰中州水务有限公司第二污水处理厂纳污口上游500m</w:t>
            </w:r>
          </w:p>
        </w:tc>
        <w:tc>
          <w:tcPr>
            <w:tcW w:w="1018" w:type="dxa"/>
            <w:tcBorders>
              <w:tl2br w:val="nil"/>
              <w:tr2bl w:val="nil"/>
            </w:tcBorders>
            <w:vAlign w:val="center"/>
          </w:tcPr>
          <w:p w14:paraId="1181BFE4">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甲苯</w:t>
            </w:r>
          </w:p>
        </w:tc>
        <w:tc>
          <w:tcPr>
            <w:tcW w:w="825" w:type="dxa"/>
            <w:vMerge w:val="restart"/>
            <w:tcBorders>
              <w:tl2br w:val="nil"/>
              <w:tr2bl w:val="nil"/>
            </w:tcBorders>
            <w:vAlign w:val="center"/>
          </w:tcPr>
          <w:p w14:paraId="79AE8366">
            <w:pPr>
              <w:snapToGrid w:val="0"/>
              <w:jc w:val="center"/>
              <w:rPr>
                <w:rFonts w:ascii="Times New Roman" w:hAnsi="Times New Roman" w:eastAsia="宋体" w:cs="Times New Roman"/>
                <w:szCs w:val="21"/>
              </w:rPr>
            </w:pPr>
            <w:r>
              <w:rPr>
                <w:rFonts w:ascii="Times New Roman" w:hAnsi="Times New Roman" w:eastAsia="宋体" w:cs="Times New Roman"/>
                <w:szCs w:val="21"/>
              </w:rPr>
              <w:t>2023年3月23日~3月25日</w:t>
            </w:r>
          </w:p>
        </w:tc>
        <w:tc>
          <w:tcPr>
            <w:tcW w:w="958" w:type="dxa"/>
            <w:tcBorders>
              <w:tl2br w:val="nil"/>
              <w:tr2bl w:val="nil"/>
            </w:tcBorders>
            <w:vAlign w:val="center"/>
          </w:tcPr>
          <w:p w14:paraId="4026EB6C">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1.4L</w:t>
            </w:r>
          </w:p>
        </w:tc>
        <w:tc>
          <w:tcPr>
            <w:tcW w:w="691" w:type="dxa"/>
            <w:tcBorders>
              <w:tl2br w:val="nil"/>
              <w:tr2bl w:val="nil"/>
            </w:tcBorders>
            <w:vAlign w:val="center"/>
          </w:tcPr>
          <w:p w14:paraId="6E3E45C6">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w:t>
            </w:r>
          </w:p>
        </w:tc>
        <w:tc>
          <w:tcPr>
            <w:tcW w:w="1189" w:type="dxa"/>
            <w:tcBorders>
              <w:tl2br w:val="nil"/>
              <w:tr2bl w:val="nil"/>
            </w:tcBorders>
            <w:vAlign w:val="center"/>
          </w:tcPr>
          <w:p w14:paraId="45325C3D">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69" w:type="dxa"/>
            <w:tcBorders>
              <w:tl2br w:val="nil"/>
              <w:tr2bl w:val="nil"/>
            </w:tcBorders>
            <w:vAlign w:val="center"/>
          </w:tcPr>
          <w:p w14:paraId="5387CF77">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925" w:type="dxa"/>
            <w:tcBorders>
              <w:tl2br w:val="nil"/>
              <w:tr2bl w:val="nil"/>
            </w:tcBorders>
            <w:vAlign w:val="center"/>
          </w:tcPr>
          <w:p w14:paraId="7E89E2B7">
            <w:pPr>
              <w:spacing w:line="320" w:lineRule="atLeast"/>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73E9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706" w:type="dxa"/>
            <w:vMerge w:val="continue"/>
            <w:tcBorders>
              <w:tl2br w:val="nil"/>
              <w:tr2bl w:val="nil"/>
            </w:tcBorders>
            <w:vAlign w:val="center"/>
          </w:tcPr>
          <w:p w14:paraId="5ECC3A1F">
            <w:pPr>
              <w:snapToGrid w:val="0"/>
              <w:jc w:val="center"/>
              <w:rPr>
                <w:rFonts w:ascii="Times New Roman" w:hAnsi="Times New Roman" w:eastAsia="宋体" w:cs="Times New Roman"/>
                <w:szCs w:val="21"/>
              </w:rPr>
            </w:pPr>
          </w:p>
        </w:tc>
        <w:tc>
          <w:tcPr>
            <w:tcW w:w="1018" w:type="dxa"/>
            <w:tcBorders>
              <w:tl2br w:val="nil"/>
              <w:tr2bl w:val="nil"/>
            </w:tcBorders>
            <w:vAlign w:val="center"/>
          </w:tcPr>
          <w:p w14:paraId="21E61EC0">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二甲苯</w:t>
            </w:r>
          </w:p>
        </w:tc>
        <w:tc>
          <w:tcPr>
            <w:tcW w:w="825" w:type="dxa"/>
            <w:vMerge w:val="continue"/>
            <w:tcBorders>
              <w:tl2br w:val="nil"/>
              <w:tr2bl w:val="nil"/>
            </w:tcBorders>
            <w:vAlign w:val="center"/>
          </w:tcPr>
          <w:p w14:paraId="0612A7B1">
            <w:pPr>
              <w:snapToGrid w:val="0"/>
              <w:jc w:val="center"/>
              <w:rPr>
                <w:rFonts w:ascii="Times New Roman" w:hAnsi="Times New Roman" w:eastAsia="宋体" w:cs="Times New Roman"/>
                <w:szCs w:val="21"/>
              </w:rPr>
            </w:pPr>
          </w:p>
        </w:tc>
        <w:tc>
          <w:tcPr>
            <w:tcW w:w="958" w:type="dxa"/>
            <w:tcBorders>
              <w:tl2br w:val="nil"/>
              <w:tr2bl w:val="nil"/>
            </w:tcBorders>
            <w:vAlign w:val="center"/>
          </w:tcPr>
          <w:p w14:paraId="7BC3F817">
            <w:pPr>
              <w:snapToGrid w:val="0"/>
              <w:jc w:val="center"/>
              <w:rPr>
                <w:rFonts w:ascii="Times New Roman" w:hAnsi="Times New Roman" w:eastAsia="宋体" w:cs="Times New Roman"/>
                <w:szCs w:val="21"/>
              </w:rPr>
            </w:pPr>
            <w:r>
              <w:rPr>
                <w:rFonts w:ascii="Times New Roman" w:hAnsi="Times New Roman" w:eastAsia="宋体" w:cs="Times New Roman"/>
                <w:szCs w:val="21"/>
              </w:rPr>
              <w:t>未检出</w:t>
            </w:r>
          </w:p>
        </w:tc>
        <w:tc>
          <w:tcPr>
            <w:tcW w:w="691" w:type="dxa"/>
            <w:tcBorders>
              <w:tl2br w:val="nil"/>
              <w:tr2bl w:val="nil"/>
            </w:tcBorders>
            <w:vAlign w:val="center"/>
          </w:tcPr>
          <w:p w14:paraId="647C9FF0">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189" w:type="dxa"/>
            <w:tcBorders>
              <w:tl2br w:val="nil"/>
              <w:tr2bl w:val="nil"/>
            </w:tcBorders>
            <w:vAlign w:val="center"/>
          </w:tcPr>
          <w:p w14:paraId="3BD1DED9">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69" w:type="dxa"/>
            <w:tcBorders>
              <w:tl2br w:val="nil"/>
              <w:tr2bl w:val="nil"/>
            </w:tcBorders>
            <w:vAlign w:val="center"/>
          </w:tcPr>
          <w:p w14:paraId="2A9A9AF0">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925" w:type="dxa"/>
            <w:tcBorders>
              <w:tl2br w:val="nil"/>
              <w:tr2bl w:val="nil"/>
            </w:tcBorders>
            <w:vAlign w:val="center"/>
          </w:tcPr>
          <w:p w14:paraId="522E0855">
            <w:pPr>
              <w:spacing w:line="320" w:lineRule="atLeast"/>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3647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706" w:type="dxa"/>
            <w:vMerge w:val="restart"/>
            <w:tcBorders>
              <w:tl2br w:val="nil"/>
              <w:tr2bl w:val="nil"/>
            </w:tcBorders>
            <w:vAlign w:val="center"/>
          </w:tcPr>
          <w:p w14:paraId="472CCB0F">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清丰中州水务有限公司第二污水处理厂</w:t>
            </w:r>
            <w:r>
              <w:rPr>
                <w:rFonts w:ascii="Times New Roman" w:hAnsi="Times New Roman" w:eastAsia="宋体" w:cs="Times New Roman"/>
                <w:szCs w:val="21"/>
              </w:rPr>
              <w:t>纳污口下游200m</w:t>
            </w:r>
          </w:p>
        </w:tc>
        <w:tc>
          <w:tcPr>
            <w:tcW w:w="1018" w:type="dxa"/>
            <w:tcBorders>
              <w:tl2br w:val="nil"/>
              <w:tr2bl w:val="nil"/>
            </w:tcBorders>
            <w:vAlign w:val="center"/>
          </w:tcPr>
          <w:p w14:paraId="6BC12BEB">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甲苯</w:t>
            </w:r>
          </w:p>
        </w:tc>
        <w:tc>
          <w:tcPr>
            <w:tcW w:w="825" w:type="dxa"/>
            <w:vMerge w:val="continue"/>
            <w:tcBorders>
              <w:tl2br w:val="nil"/>
              <w:tr2bl w:val="nil"/>
            </w:tcBorders>
            <w:vAlign w:val="center"/>
          </w:tcPr>
          <w:p w14:paraId="532D5EA6">
            <w:pPr>
              <w:snapToGrid w:val="0"/>
              <w:jc w:val="center"/>
              <w:rPr>
                <w:rFonts w:ascii="Times New Roman" w:hAnsi="Times New Roman" w:eastAsia="宋体" w:cs="Times New Roman"/>
                <w:szCs w:val="21"/>
              </w:rPr>
            </w:pPr>
          </w:p>
        </w:tc>
        <w:tc>
          <w:tcPr>
            <w:tcW w:w="958" w:type="dxa"/>
            <w:tcBorders>
              <w:tl2br w:val="nil"/>
              <w:tr2bl w:val="nil"/>
            </w:tcBorders>
            <w:vAlign w:val="center"/>
          </w:tcPr>
          <w:p w14:paraId="0074F7B2">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1.4L</w:t>
            </w:r>
          </w:p>
        </w:tc>
        <w:tc>
          <w:tcPr>
            <w:tcW w:w="691" w:type="dxa"/>
            <w:tcBorders>
              <w:tl2br w:val="nil"/>
              <w:tr2bl w:val="nil"/>
            </w:tcBorders>
            <w:vAlign w:val="center"/>
          </w:tcPr>
          <w:p w14:paraId="08E77E37">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w:t>
            </w:r>
          </w:p>
        </w:tc>
        <w:tc>
          <w:tcPr>
            <w:tcW w:w="1189" w:type="dxa"/>
            <w:tcBorders>
              <w:tl2br w:val="nil"/>
              <w:tr2bl w:val="nil"/>
            </w:tcBorders>
            <w:vAlign w:val="center"/>
          </w:tcPr>
          <w:p w14:paraId="48CACDA3">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69" w:type="dxa"/>
            <w:tcBorders>
              <w:tl2br w:val="nil"/>
              <w:tr2bl w:val="nil"/>
            </w:tcBorders>
            <w:vAlign w:val="center"/>
          </w:tcPr>
          <w:p w14:paraId="5F3D2459">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925" w:type="dxa"/>
            <w:tcBorders>
              <w:tl2br w:val="nil"/>
              <w:tr2bl w:val="nil"/>
            </w:tcBorders>
            <w:vAlign w:val="center"/>
          </w:tcPr>
          <w:p w14:paraId="25C8EE80">
            <w:pPr>
              <w:spacing w:line="320" w:lineRule="atLeast"/>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1589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706" w:type="dxa"/>
            <w:vMerge w:val="continue"/>
            <w:tcBorders>
              <w:tl2br w:val="nil"/>
              <w:tr2bl w:val="nil"/>
            </w:tcBorders>
            <w:vAlign w:val="center"/>
          </w:tcPr>
          <w:p w14:paraId="5D074374">
            <w:pPr>
              <w:snapToGrid w:val="0"/>
              <w:jc w:val="center"/>
              <w:rPr>
                <w:rFonts w:ascii="Times New Roman" w:hAnsi="Times New Roman" w:eastAsia="宋体" w:cs="Times New Roman"/>
                <w:szCs w:val="21"/>
              </w:rPr>
            </w:pPr>
          </w:p>
        </w:tc>
        <w:tc>
          <w:tcPr>
            <w:tcW w:w="1018" w:type="dxa"/>
            <w:tcBorders>
              <w:tl2br w:val="nil"/>
              <w:tr2bl w:val="nil"/>
            </w:tcBorders>
            <w:vAlign w:val="center"/>
          </w:tcPr>
          <w:p w14:paraId="37251E86">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二甲苯</w:t>
            </w:r>
          </w:p>
        </w:tc>
        <w:tc>
          <w:tcPr>
            <w:tcW w:w="825" w:type="dxa"/>
            <w:vMerge w:val="continue"/>
            <w:tcBorders>
              <w:tl2br w:val="nil"/>
              <w:tr2bl w:val="nil"/>
            </w:tcBorders>
            <w:vAlign w:val="center"/>
          </w:tcPr>
          <w:p w14:paraId="417F5543">
            <w:pPr>
              <w:snapToGrid w:val="0"/>
              <w:jc w:val="center"/>
              <w:rPr>
                <w:rFonts w:ascii="Times New Roman" w:hAnsi="Times New Roman" w:eastAsia="宋体" w:cs="Times New Roman"/>
                <w:szCs w:val="21"/>
              </w:rPr>
            </w:pPr>
          </w:p>
        </w:tc>
        <w:tc>
          <w:tcPr>
            <w:tcW w:w="958" w:type="dxa"/>
            <w:tcBorders>
              <w:tl2br w:val="nil"/>
              <w:tr2bl w:val="nil"/>
            </w:tcBorders>
            <w:vAlign w:val="center"/>
          </w:tcPr>
          <w:p w14:paraId="6E555623">
            <w:pPr>
              <w:snapToGrid w:val="0"/>
              <w:jc w:val="center"/>
              <w:rPr>
                <w:rFonts w:ascii="Times New Roman" w:hAnsi="Times New Roman" w:eastAsia="宋体" w:cs="Times New Roman"/>
                <w:szCs w:val="21"/>
              </w:rPr>
            </w:pPr>
            <w:r>
              <w:rPr>
                <w:rFonts w:ascii="Times New Roman" w:hAnsi="Times New Roman" w:eastAsia="宋体" w:cs="Times New Roman"/>
                <w:szCs w:val="21"/>
              </w:rPr>
              <w:t>未检出</w:t>
            </w:r>
          </w:p>
        </w:tc>
        <w:tc>
          <w:tcPr>
            <w:tcW w:w="691" w:type="dxa"/>
            <w:tcBorders>
              <w:tl2br w:val="nil"/>
              <w:tr2bl w:val="nil"/>
            </w:tcBorders>
            <w:vAlign w:val="center"/>
          </w:tcPr>
          <w:p w14:paraId="0AF0BFCB">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189" w:type="dxa"/>
            <w:tcBorders>
              <w:tl2br w:val="nil"/>
              <w:tr2bl w:val="nil"/>
            </w:tcBorders>
            <w:vAlign w:val="center"/>
          </w:tcPr>
          <w:p w14:paraId="39F6B653">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69" w:type="dxa"/>
            <w:tcBorders>
              <w:tl2br w:val="nil"/>
              <w:tr2bl w:val="nil"/>
            </w:tcBorders>
            <w:vAlign w:val="center"/>
          </w:tcPr>
          <w:p w14:paraId="37EB7FB4">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925" w:type="dxa"/>
            <w:tcBorders>
              <w:tl2br w:val="nil"/>
              <w:tr2bl w:val="nil"/>
            </w:tcBorders>
            <w:vAlign w:val="center"/>
          </w:tcPr>
          <w:p w14:paraId="21C12B1B">
            <w:pPr>
              <w:spacing w:line="320" w:lineRule="atLeast"/>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6F3B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706" w:type="dxa"/>
            <w:vMerge w:val="restart"/>
            <w:tcBorders>
              <w:tl2br w:val="nil"/>
              <w:tr2bl w:val="nil"/>
            </w:tcBorders>
            <w:vAlign w:val="center"/>
          </w:tcPr>
          <w:p w14:paraId="1AEF35D0">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清丰中州水务有限公司第二污水处理厂</w:t>
            </w:r>
            <w:r>
              <w:rPr>
                <w:rFonts w:ascii="Times New Roman" w:hAnsi="Times New Roman" w:eastAsia="宋体" w:cs="Times New Roman"/>
                <w:szCs w:val="21"/>
              </w:rPr>
              <w:t>纳污口下游2500m</w:t>
            </w:r>
          </w:p>
        </w:tc>
        <w:tc>
          <w:tcPr>
            <w:tcW w:w="1018" w:type="dxa"/>
            <w:tcBorders>
              <w:tl2br w:val="nil"/>
              <w:tr2bl w:val="nil"/>
            </w:tcBorders>
            <w:vAlign w:val="center"/>
          </w:tcPr>
          <w:p w14:paraId="76EA7EE6">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甲苯</w:t>
            </w:r>
          </w:p>
        </w:tc>
        <w:tc>
          <w:tcPr>
            <w:tcW w:w="825" w:type="dxa"/>
            <w:vMerge w:val="continue"/>
            <w:tcBorders>
              <w:tl2br w:val="nil"/>
              <w:tr2bl w:val="nil"/>
            </w:tcBorders>
            <w:vAlign w:val="center"/>
          </w:tcPr>
          <w:p w14:paraId="73ED33CF">
            <w:pPr>
              <w:snapToGrid w:val="0"/>
              <w:jc w:val="center"/>
              <w:rPr>
                <w:rFonts w:ascii="Times New Roman" w:hAnsi="Times New Roman" w:eastAsia="宋体" w:cs="Times New Roman"/>
                <w:szCs w:val="21"/>
              </w:rPr>
            </w:pPr>
          </w:p>
        </w:tc>
        <w:tc>
          <w:tcPr>
            <w:tcW w:w="958" w:type="dxa"/>
            <w:tcBorders>
              <w:tl2br w:val="nil"/>
              <w:tr2bl w:val="nil"/>
            </w:tcBorders>
            <w:vAlign w:val="center"/>
          </w:tcPr>
          <w:p w14:paraId="7DBFB9F1">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1.4L</w:t>
            </w:r>
          </w:p>
        </w:tc>
        <w:tc>
          <w:tcPr>
            <w:tcW w:w="691" w:type="dxa"/>
            <w:tcBorders>
              <w:tl2br w:val="nil"/>
              <w:tr2bl w:val="nil"/>
            </w:tcBorders>
            <w:vAlign w:val="center"/>
          </w:tcPr>
          <w:p w14:paraId="19AAEC33">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w:t>
            </w:r>
          </w:p>
        </w:tc>
        <w:tc>
          <w:tcPr>
            <w:tcW w:w="1189" w:type="dxa"/>
            <w:tcBorders>
              <w:tl2br w:val="nil"/>
              <w:tr2bl w:val="nil"/>
            </w:tcBorders>
            <w:vAlign w:val="center"/>
          </w:tcPr>
          <w:p w14:paraId="146AC352">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69" w:type="dxa"/>
            <w:tcBorders>
              <w:tl2br w:val="nil"/>
              <w:tr2bl w:val="nil"/>
            </w:tcBorders>
            <w:vAlign w:val="center"/>
          </w:tcPr>
          <w:p w14:paraId="21CB0380">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925" w:type="dxa"/>
            <w:tcBorders>
              <w:tl2br w:val="nil"/>
              <w:tr2bl w:val="nil"/>
            </w:tcBorders>
            <w:vAlign w:val="center"/>
          </w:tcPr>
          <w:p w14:paraId="78DD7436">
            <w:pPr>
              <w:spacing w:line="320" w:lineRule="atLeast"/>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52C8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706" w:type="dxa"/>
            <w:vMerge w:val="continue"/>
            <w:tcBorders>
              <w:tl2br w:val="nil"/>
              <w:tr2bl w:val="nil"/>
            </w:tcBorders>
            <w:vAlign w:val="center"/>
          </w:tcPr>
          <w:p w14:paraId="5F231286">
            <w:pPr>
              <w:snapToGrid w:val="0"/>
              <w:jc w:val="center"/>
              <w:rPr>
                <w:rFonts w:ascii="Times New Roman" w:hAnsi="Times New Roman" w:eastAsia="宋体" w:cs="Times New Roman"/>
                <w:szCs w:val="21"/>
              </w:rPr>
            </w:pPr>
          </w:p>
        </w:tc>
        <w:tc>
          <w:tcPr>
            <w:tcW w:w="1018" w:type="dxa"/>
            <w:tcBorders>
              <w:tl2br w:val="nil"/>
              <w:tr2bl w:val="nil"/>
            </w:tcBorders>
            <w:vAlign w:val="center"/>
          </w:tcPr>
          <w:p w14:paraId="1CEBA102">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二甲苯</w:t>
            </w:r>
          </w:p>
        </w:tc>
        <w:tc>
          <w:tcPr>
            <w:tcW w:w="825" w:type="dxa"/>
            <w:vMerge w:val="continue"/>
            <w:tcBorders>
              <w:tl2br w:val="nil"/>
              <w:tr2bl w:val="nil"/>
            </w:tcBorders>
            <w:vAlign w:val="center"/>
          </w:tcPr>
          <w:p w14:paraId="16421641">
            <w:pPr>
              <w:snapToGrid w:val="0"/>
              <w:jc w:val="center"/>
              <w:rPr>
                <w:rFonts w:ascii="Times New Roman" w:hAnsi="Times New Roman" w:eastAsia="宋体" w:cs="Times New Roman"/>
                <w:szCs w:val="21"/>
              </w:rPr>
            </w:pPr>
          </w:p>
        </w:tc>
        <w:tc>
          <w:tcPr>
            <w:tcW w:w="958" w:type="dxa"/>
            <w:tcBorders>
              <w:tl2br w:val="nil"/>
              <w:tr2bl w:val="nil"/>
            </w:tcBorders>
            <w:vAlign w:val="center"/>
          </w:tcPr>
          <w:p w14:paraId="7109EAC3">
            <w:pPr>
              <w:snapToGrid w:val="0"/>
              <w:jc w:val="center"/>
              <w:rPr>
                <w:rFonts w:ascii="Times New Roman" w:hAnsi="Times New Roman" w:eastAsia="宋体" w:cs="Times New Roman"/>
                <w:szCs w:val="21"/>
              </w:rPr>
            </w:pPr>
            <w:r>
              <w:rPr>
                <w:rFonts w:ascii="Times New Roman" w:hAnsi="Times New Roman" w:eastAsia="宋体" w:cs="Times New Roman"/>
                <w:szCs w:val="21"/>
              </w:rPr>
              <w:t>未检出</w:t>
            </w:r>
          </w:p>
        </w:tc>
        <w:tc>
          <w:tcPr>
            <w:tcW w:w="691" w:type="dxa"/>
            <w:tcBorders>
              <w:tl2br w:val="nil"/>
              <w:tr2bl w:val="nil"/>
            </w:tcBorders>
            <w:vAlign w:val="center"/>
          </w:tcPr>
          <w:p w14:paraId="5BBA752D">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189" w:type="dxa"/>
            <w:tcBorders>
              <w:tl2br w:val="nil"/>
              <w:tr2bl w:val="nil"/>
            </w:tcBorders>
            <w:vAlign w:val="center"/>
          </w:tcPr>
          <w:p w14:paraId="0D062381">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69" w:type="dxa"/>
            <w:tcBorders>
              <w:tl2br w:val="nil"/>
              <w:tr2bl w:val="nil"/>
            </w:tcBorders>
            <w:vAlign w:val="center"/>
          </w:tcPr>
          <w:p w14:paraId="04459B4C">
            <w:pPr>
              <w:spacing w:line="320" w:lineRule="atLeast"/>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925" w:type="dxa"/>
            <w:tcBorders>
              <w:tl2br w:val="nil"/>
              <w:tr2bl w:val="nil"/>
            </w:tcBorders>
            <w:vAlign w:val="center"/>
          </w:tcPr>
          <w:p w14:paraId="7DC69EE7">
            <w:pPr>
              <w:spacing w:line="320" w:lineRule="atLeast"/>
              <w:jc w:val="center"/>
              <w:rPr>
                <w:rFonts w:ascii="Times New Roman" w:hAnsi="Times New Roman" w:eastAsia="宋体" w:cs="Times New Roman"/>
                <w:szCs w:val="21"/>
              </w:rPr>
            </w:pPr>
            <w:r>
              <w:rPr>
                <w:rFonts w:ascii="Times New Roman" w:hAnsi="Times New Roman" w:eastAsia="宋体" w:cs="Times New Roman"/>
                <w:szCs w:val="21"/>
              </w:rPr>
              <w:t>达标</w:t>
            </w:r>
          </w:p>
        </w:tc>
      </w:tr>
    </w:tbl>
    <w:p w14:paraId="72F96834">
      <w:pPr>
        <w:spacing w:line="360" w:lineRule="auto"/>
        <w:ind w:firstLine="420" w:firstLineChars="200"/>
        <w:rPr>
          <w:rFonts w:ascii="Times New Roman" w:hAnsi="Times New Roman" w:eastAsia="Calibri" w:cs="Times New Roman"/>
          <w:sz w:val="24"/>
        </w:rPr>
      </w:pPr>
      <w:r>
        <w:rPr>
          <w:rFonts w:hint="eastAsia" w:ascii="Times New Roman" w:hAnsi="Times New Roman" w:eastAsia="宋体" w:cs="Times New Roman"/>
          <w:szCs w:val="21"/>
        </w:rPr>
        <w:t>注：1.4L代表未检出</w:t>
      </w:r>
    </w:p>
    <w:p w14:paraId="777808C5">
      <w:pPr>
        <w:spacing w:line="360" w:lineRule="auto"/>
        <w:ind w:firstLine="480" w:firstLineChars="200"/>
        <w:rPr>
          <w:rFonts w:ascii="Times New Roman" w:hAnsi="Times New Roman" w:eastAsia="宋体" w:cs="Times New Roman"/>
          <w:sz w:val="24"/>
        </w:rPr>
      </w:pPr>
      <w:r>
        <w:rPr>
          <w:rFonts w:ascii="Times New Roman" w:hAnsi="Times New Roman" w:eastAsia="Calibri" w:cs="Times New Roman"/>
          <w:sz w:val="24"/>
        </w:rPr>
        <w:t>由监测数据统计分析可知，</w:t>
      </w:r>
      <w:r>
        <w:rPr>
          <w:rFonts w:hint="eastAsia" w:ascii="Times New Roman" w:hAnsi="Times New Roman" w:eastAsia="宋体" w:cs="Times New Roman"/>
          <w:sz w:val="24"/>
        </w:rPr>
        <w:t>清丰中州水务有限公司第二污水处理厂纳污口上游500m、清丰中州水务有限公司第二污水处理厂纳污口下游200m、清丰中州水务有限公司第二污水处理厂纳污口下游2500m断面水质</w:t>
      </w:r>
      <w:r>
        <w:rPr>
          <w:rFonts w:hint="eastAsia" w:ascii="Times New Roman" w:hAnsi="Times New Roman" w:eastAsia="Calibri" w:cs="Times New Roman"/>
          <w:sz w:val="24"/>
        </w:rPr>
        <w:t>均满足</w:t>
      </w:r>
      <w:r>
        <w:rPr>
          <w:rFonts w:ascii="Times New Roman" w:hAnsi="Times New Roman" w:eastAsia="Calibri" w:cs="Times New Roman"/>
          <w:sz w:val="24"/>
        </w:rPr>
        <w:t>《地表水环境质量标准》（GB3838-2002）中</w:t>
      </w:r>
      <w:r>
        <w:rPr>
          <w:rFonts w:hint="eastAsia" w:ascii="Times New Roman" w:hAnsi="Times New Roman" w:eastAsia="宋体" w:cs="Times New Roman"/>
          <w:sz w:val="24"/>
        </w:rPr>
        <w:fldChar w:fldCharType="begin"/>
      </w:r>
      <w:r>
        <w:rPr>
          <w:rFonts w:hint="eastAsia" w:ascii="Times New Roman" w:hAnsi="Times New Roman" w:eastAsia="宋体" w:cs="Times New Roman"/>
          <w:sz w:val="24"/>
        </w:rPr>
        <w:instrText xml:space="preserve"> = 4 \* ROMAN \* MERGEFORMAT </w:instrText>
      </w:r>
      <w:r>
        <w:rPr>
          <w:rFonts w:hint="eastAsia" w:ascii="Times New Roman" w:hAnsi="Times New Roman" w:eastAsia="宋体" w:cs="Times New Roman"/>
          <w:sz w:val="24"/>
        </w:rPr>
        <w:fldChar w:fldCharType="separate"/>
      </w:r>
      <w:r>
        <w:rPr>
          <w:rFonts w:hint="eastAsia" w:ascii="Times New Roman" w:hAnsi="Times New Roman" w:eastAsia="宋体" w:cs="Times New Roman"/>
          <w:sz w:val="24"/>
        </w:rPr>
        <w:t>IV</w:t>
      </w:r>
      <w:r>
        <w:rPr>
          <w:rFonts w:hint="eastAsia" w:ascii="Times New Roman" w:hAnsi="Times New Roman" w:eastAsia="宋体" w:cs="Times New Roman"/>
          <w:sz w:val="24"/>
        </w:rPr>
        <w:fldChar w:fldCharType="end"/>
      </w:r>
      <w:r>
        <w:rPr>
          <w:rFonts w:ascii="Times New Roman" w:hAnsi="Times New Roman" w:eastAsia="Calibri" w:cs="Times New Roman"/>
          <w:sz w:val="24"/>
        </w:rPr>
        <w:t>类水质要求</w:t>
      </w:r>
      <w:r>
        <w:rPr>
          <w:rFonts w:ascii="Times New Roman" w:hAnsi="Times New Roman" w:eastAsia="宋体" w:cs="Times New Roman"/>
          <w:sz w:val="24"/>
        </w:rPr>
        <w:t>。</w:t>
      </w:r>
    </w:p>
    <w:p w14:paraId="225734D6">
      <w:pPr>
        <w:pStyle w:val="3"/>
        <w:numPr>
          <w:ilvl w:val="1"/>
          <w:numId w:val="43"/>
        </w:numPr>
      </w:pPr>
      <w:bookmarkStart w:id="181" w:name="_Toc15208"/>
      <w:bookmarkStart w:id="182" w:name="_Toc14418"/>
      <w:r>
        <w:t>地下水环境质量现状监测与评价</w:t>
      </w:r>
      <w:bookmarkEnd w:id="181"/>
      <w:bookmarkEnd w:id="182"/>
    </w:p>
    <w:p w14:paraId="56576838">
      <w:pPr>
        <w:pStyle w:val="4"/>
        <w:numPr>
          <w:ilvl w:val="2"/>
          <w:numId w:val="50"/>
        </w:numPr>
        <w:tabs>
          <w:tab w:val="clear" w:pos="0"/>
        </w:tabs>
      </w:pPr>
      <w:r>
        <w:t>监测点布设及监测</w:t>
      </w:r>
    </w:p>
    <w:p w14:paraId="0702A042">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（1）监测点位布设</w:t>
      </w:r>
    </w:p>
    <w:p w14:paraId="1FC9BDE7">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本次地下水评价</w:t>
      </w:r>
      <w:r>
        <w:rPr>
          <w:rFonts w:hint="eastAsia" w:ascii="Times New Roman" w:hAnsi="Times New Roman" w:eastAsia="宋体" w:cs="Times New Roman"/>
          <w:sz w:val="24"/>
        </w:rPr>
        <w:t>常规因子及特征因子均委托光远检测有限公司于2023年3月23日对项目周边</w:t>
      </w:r>
      <w:r>
        <w:rPr>
          <w:rFonts w:ascii="Times New Roman" w:hAnsi="Times New Roman" w:eastAsia="宋体" w:cs="Times New Roman"/>
          <w:sz w:val="24"/>
        </w:rPr>
        <w:t>地下水</w:t>
      </w:r>
      <w:r>
        <w:rPr>
          <w:rFonts w:hint="eastAsia" w:ascii="Times New Roman" w:hAnsi="Times New Roman" w:eastAsia="宋体" w:cs="Times New Roman"/>
          <w:sz w:val="24"/>
        </w:rPr>
        <w:t>进行</w:t>
      </w:r>
      <w:r>
        <w:rPr>
          <w:rFonts w:ascii="Times New Roman" w:hAnsi="Times New Roman" w:eastAsia="宋体" w:cs="Times New Roman"/>
          <w:sz w:val="24"/>
        </w:rPr>
        <w:t>监测，共设置</w:t>
      </w:r>
      <w:r>
        <w:rPr>
          <w:rFonts w:hint="eastAsia" w:ascii="Times New Roman" w:hAnsi="Times New Roman" w:eastAsia="宋体" w:cs="Times New Roman"/>
          <w:sz w:val="24"/>
        </w:rPr>
        <w:t>3</w:t>
      </w:r>
      <w:r>
        <w:rPr>
          <w:rFonts w:ascii="Times New Roman" w:hAnsi="Times New Roman" w:eastAsia="宋体" w:cs="Times New Roman"/>
          <w:sz w:val="24"/>
        </w:rPr>
        <w:t>个水质和</w:t>
      </w:r>
      <w:r>
        <w:rPr>
          <w:rFonts w:hint="eastAsia" w:ascii="Times New Roman" w:hAnsi="Times New Roman" w:eastAsia="宋体" w:cs="Times New Roman"/>
          <w:sz w:val="24"/>
        </w:rPr>
        <w:t>6</w:t>
      </w:r>
      <w:r>
        <w:rPr>
          <w:rFonts w:ascii="Times New Roman" w:hAnsi="Times New Roman" w:eastAsia="宋体" w:cs="Times New Roman"/>
          <w:sz w:val="24"/>
        </w:rPr>
        <w:t>个水位采样点，水质监测点详见</w:t>
      </w:r>
      <w:r>
        <w:rPr>
          <w:rFonts w:hint="eastAsia" w:ascii="Times New Roman" w:hAnsi="Times New Roman" w:eastAsia="宋体" w:cs="Times New Roman"/>
          <w:sz w:val="24"/>
        </w:rPr>
        <w:t>下表</w:t>
      </w:r>
      <w:r>
        <w:rPr>
          <w:rFonts w:ascii="Times New Roman" w:hAnsi="Times New Roman" w:eastAsia="宋体" w:cs="Times New Roman"/>
          <w:sz w:val="24"/>
        </w:rPr>
        <w:t>。</w:t>
      </w:r>
    </w:p>
    <w:p w14:paraId="2D68EF4A">
      <w:pPr>
        <w:spacing w:line="520" w:lineRule="exact"/>
        <w:contextualSpacing/>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表4.</w:t>
      </w:r>
      <w:r>
        <w:rPr>
          <w:rFonts w:hint="eastAsia" w:ascii="Times New Roman" w:hAnsi="Times New Roman" w:eastAsia="宋体" w:cs="Times New Roman"/>
          <w:b/>
          <w:bCs/>
          <w:sz w:val="21"/>
          <w:szCs w:val="21"/>
          <w:lang w:val="en-US" w:eastAsia="zh-CN"/>
        </w:rPr>
        <w:t>4</w:t>
      </w:r>
      <w:r>
        <w:rPr>
          <w:rFonts w:hint="eastAsia" w:ascii="Times New Roman" w:hAnsi="Times New Roman" w:eastAsia="宋体" w:cs="Times New Roman"/>
          <w:b/>
          <w:bCs/>
          <w:sz w:val="21"/>
          <w:szCs w:val="21"/>
        </w:rPr>
        <w:t>-1</w:t>
      </w:r>
      <w:r>
        <w:rPr>
          <w:rFonts w:ascii="Times New Roman" w:hAnsi="Times New Roman" w:eastAsia="宋体" w:cs="Times New Roman"/>
          <w:b/>
          <w:bCs/>
          <w:sz w:val="21"/>
          <w:szCs w:val="21"/>
        </w:rPr>
        <w:t xml:space="preserve">   地下水水质监测点布设情况一览表</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215"/>
        <w:gridCol w:w="1529"/>
        <w:gridCol w:w="4566"/>
      </w:tblGrid>
      <w:tr w14:paraId="0E71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9" w:type="dxa"/>
            <w:vAlign w:val="center"/>
          </w:tcPr>
          <w:p w14:paraId="7808A8A5">
            <w:pPr>
              <w:pStyle w:val="12"/>
              <w:ind w:firstLine="0" w:firstLineChars="0"/>
              <w:contextualSpacing/>
              <w:jc w:val="center"/>
              <w:rPr>
                <w:rFonts w:ascii="Times New Roman" w:hAnsi="Times New Roman" w:eastAsia="宋体" w:cs="Times New Roman"/>
                <w:bCs/>
                <w:szCs w:val="21"/>
              </w:rPr>
            </w:pPr>
            <w:r>
              <w:rPr>
                <w:rFonts w:ascii="Times New Roman" w:hAnsi="Times New Roman" w:eastAsia="宋体" w:cs="Times New Roman"/>
                <w:bCs/>
                <w:szCs w:val="21"/>
              </w:rPr>
              <w:t>监测点编号</w:t>
            </w:r>
          </w:p>
        </w:tc>
        <w:tc>
          <w:tcPr>
            <w:tcW w:w="1215" w:type="dxa"/>
            <w:vAlign w:val="center"/>
          </w:tcPr>
          <w:p w14:paraId="2CBF9CC2">
            <w:pPr>
              <w:pStyle w:val="12"/>
              <w:ind w:firstLine="0" w:firstLineChars="0"/>
              <w:contextualSpacing/>
              <w:jc w:val="center"/>
              <w:rPr>
                <w:rFonts w:ascii="Times New Roman" w:hAnsi="Times New Roman" w:eastAsia="宋体" w:cs="Times New Roman"/>
                <w:bCs/>
                <w:szCs w:val="21"/>
              </w:rPr>
            </w:pPr>
            <w:r>
              <w:rPr>
                <w:rFonts w:ascii="Times New Roman" w:hAnsi="Times New Roman" w:eastAsia="宋体" w:cs="Times New Roman"/>
                <w:bCs/>
                <w:szCs w:val="21"/>
              </w:rPr>
              <w:t>监测点名称</w:t>
            </w:r>
          </w:p>
        </w:tc>
        <w:tc>
          <w:tcPr>
            <w:tcW w:w="1529" w:type="dxa"/>
            <w:vAlign w:val="center"/>
          </w:tcPr>
          <w:p w14:paraId="1E4EE0BB">
            <w:pPr>
              <w:pStyle w:val="12"/>
              <w:ind w:firstLine="0" w:firstLineChars="0"/>
              <w:contextualSpacing/>
              <w:jc w:val="center"/>
              <w:rPr>
                <w:rFonts w:ascii="Times New Roman" w:hAnsi="Times New Roman" w:eastAsia="宋体" w:cs="Times New Roman"/>
                <w:bCs/>
                <w:szCs w:val="21"/>
              </w:rPr>
            </w:pPr>
            <w:r>
              <w:rPr>
                <w:rFonts w:ascii="Times New Roman" w:hAnsi="Times New Roman" w:eastAsia="宋体" w:cs="Times New Roman"/>
                <w:bCs/>
                <w:szCs w:val="21"/>
              </w:rPr>
              <w:t>与本项目位置关系</w:t>
            </w:r>
          </w:p>
        </w:tc>
        <w:tc>
          <w:tcPr>
            <w:tcW w:w="4566" w:type="dxa"/>
            <w:vAlign w:val="center"/>
          </w:tcPr>
          <w:p w14:paraId="4049C2DD">
            <w:pPr>
              <w:pStyle w:val="12"/>
              <w:ind w:firstLine="0" w:firstLineChars="0"/>
              <w:contextualSpacing/>
              <w:jc w:val="center"/>
              <w:rPr>
                <w:rFonts w:ascii="Times New Roman" w:hAnsi="Times New Roman" w:eastAsia="宋体" w:cs="Times New Roman"/>
                <w:bCs/>
                <w:szCs w:val="21"/>
              </w:rPr>
            </w:pPr>
            <w:r>
              <w:rPr>
                <w:rFonts w:ascii="Times New Roman" w:hAnsi="Times New Roman" w:eastAsia="宋体" w:cs="Times New Roman"/>
                <w:bCs/>
                <w:szCs w:val="21"/>
              </w:rPr>
              <w:t>监测因子</w:t>
            </w:r>
          </w:p>
        </w:tc>
      </w:tr>
      <w:tr w14:paraId="063D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9" w:type="dxa"/>
            <w:vAlign w:val="center"/>
          </w:tcPr>
          <w:p w14:paraId="65B30C19">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1215" w:type="dxa"/>
            <w:vAlign w:val="center"/>
          </w:tcPr>
          <w:p w14:paraId="608E1A1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西赵店</w:t>
            </w:r>
          </w:p>
        </w:tc>
        <w:tc>
          <w:tcPr>
            <w:tcW w:w="1529" w:type="dxa"/>
            <w:vAlign w:val="center"/>
          </w:tcPr>
          <w:p w14:paraId="0A5C8D91">
            <w:pPr>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西南</w:t>
            </w:r>
          </w:p>
        </w:tc>
        <w:tc>
          <w:tcPr>
            <w:tcW w:w="4566" w:type="dxa"/>
            <w:vMerge w:val="restart"/>
            <w:vAlign w:val="center"/>
          </w:tcPr>
          <w:p w14:paraId="149779B8">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pH、总硬度、溶解性总固体、</w:t>
            </w:r>
            <w:r>
              <w:rPr>
                <w:rFonts w:ascii="Times New Roman" w:hAnsi="Times New Roman" w:cs="Times New Roman"/>
                <w:bCs/>
                <w:color w:val="auto"/>
                <w:szCs w:val="21"/>
              </w:rPr>
              <w:t>硫酸盐（SO</w:t>
            </w:r>
            <w:r>
              <w:rPr>
                <w:rFonts w:ascii="Times New Roman" w:hAnsi="Times New Roman" w:cs="Times New Roman"/>
                <w:bCs/>
                <w:color w:val="auto"/>
                <w:szCs w:val="21"/>
                <w:vertAlign w:val="subscript"/>
              </w:rPr>
              <w:t>4</w:t>
            </w:r>
            <w:r>
              <w:rPr>
                <w:rFonts w:ascii="Times New Roman" w:hAnsi="Times New Roman" w:cs="Times New Roman"/>
                <w:bCs/>
                <w:color w:val="auto"/>
                <w:szCs w:val="21"/>
                <w:vertAlign w:val="superscript"/>
              </w:rPr>
              <w:t>2-</w:t>
            </w:r>
            <w:r>
              <w:rPr>
                <w:rFonts w:ascii="Times New Roman" w:hAnsi="Times New Roman" w:cs="Times New Roman"/>
                <w:bCs/>
                <w:color w:val="auto"/>
                <w:szCs w:val="21"/>
              </w:rPr>
              <w:t>）、氯化物（Cl</w:t>
            </w:r>
            <w:r>
              <w:rPr>
                <w:rFonts w:ascii="Times New Roman" w:hAnsi="Times New Roman" w:cs="Times New Roman"/>
                <w:bCs/>
                <w:color w:val="auto"/>
                <w:szCs w:val="21"/>
                <w:vertAlign w:val="superscript"/>
              </w:rPr>
              <w:t>-</w:t>
            </w:r>
            <w:r>
              <w:rPr>
                <w:rFonts w:ascii="Times New Roman" w:hAnsi="Times New Roman" w:cs="Times New Roman"/>
                <w:bCs/>
                <w:color w:val="auto"/>
                <w:szCs w:val="21"/>
              </w:rPr>
              <w:t>）、</w:t>
            </w:r>
            <w:r>
              <w:rPr>
                <w:rFonts w:ascii="Times New Roman" w:hAnsi="Times New Roman" w:eastAsia="宋体" w:cs="Times New Roman"/>
                <w:color w:val="auto"/>
                <w:szCs w:val="21"/>
              </w:rPr>
              <w:t>铁、锰、挥发酚、耗氧量、氨氮、</w:t>
            </w:r>
            <w:r>
              <w:rPr>
                <w:rFonts w:ascii="Times New Roman" w:hAnsi="Times New Roman" w:cs="Times New Roman"/>
                <w:bCs/>
                <w:color w:val="auto"/>
                <w:szCs w:val="21"/>
              </w:rPr>
              <w:t>钠、</w:t>
            </w:r>
            <w:r>
              <w:rPr>
                <w:rFonts w:hint="eastAsia" w:asciiTheme="minorEastAsia" w:hAnsiTheme="minorEastAsia" w:cstheme="minorEastAsia"/>
                <w:color w:val="auto"/>
                <w:szCs w:val="21"/>
              </w:rPr>
              <w:t>总大肠菌群</w:t>
            </w:r>
            <w:r>
              <w:rPr>
                <w:rFonts w:ascii="Times New Roman" w:hAnsi="Times New Roman" w:eastAsia="宋体" w:cs="Times New Roman"/>
                <w:color w:val="auto"/>
                <w:szCs w:val="21"/>
              </w:rPr>
              <w:t>、</w:t>
            </w:r>
            <w:r>
              <w:rPr>
                <w:rFonts w:hint="eastAsia" w:asciiTheme="minorEastAsia" w:hAnsiTheme="minorEastAsia" w:cstheme="minorEastAsia"/>
                <w:color w:val="auto"/>
                <w:szCs w:val="21"/>
              </w:rPr>
              <w:t>细菌总数、</w:t>
            </w:r>
            <w:r>
              <w:rPr>
                <w:rFonts w:ascii="Times New Roman" w:hAnsi="Times New Roman" w:cs="Times New Roman"/>
                <w:bCs/>
                <w:color w:val="auto"/>
                <w:szCs w:val="21"/>
              </w:rPr>
              <w:t>亚硝酸盐（NO</w:t>
            </w:r>
            <w:r>
              <w:rPr>
                <w:rFonts w:ascii="Times New Roman" w:hAnsi="Times New Roman" w:cs="Times New Roman"/>
                <w:bCs/>
                <w:color w:val="auto"/>
                <w:szCs w:val="21"/>
                <w:vertAlign w:val="subscript"/>
              </w:rPr>
              <w:t>2</w:t>
            </w:r>
            <w:r>
              <w:rPr>
                <w:rFonts w:ascii="Times New Roman" w:hAnsi="Times New Roman" w:cs="Times New Roman"/>
                <w:bCs/>
                <w:color w:val="auto"/>
                <w:szCs w:val="21"/>
                <w:vertAlign w:val="superscript"/>
              </w:rPr>
              <w:t>-</w:t>
            </w:r>
            <w:r>
              <w:rPr>
                <w:rFonts w:ascii="Times New Roman" w:hAnsi="Times New Roman" w:cs="Times New Roman"/>
                <w:bCs/>
                <w:color w:val="auto"/>
                <w:szCs w:val="21"/>
              </w:rPr>
              <w:t>）</w:t>
            </w:r>
            <w:r>
              <w:rPr>
                <w:rFonts w:ascii="Times New Roman" w:hAnsi="Times New Roman" w:eastAsia="宋体" w:cs="Times New Roman"/>
                <w:color w:val="auto"/>
                <w:szCs w:val="21"/>
              </w:rPr>
              <w:t>、</w:t>
            </w:r>
            <w:r>
              <w:rPr>
                <w:rFonts w:ascii="Times New Roman" w:hAnsi="Times New Roman" w:cs="Times New Roman"/>
                <w:bCs/>
                <w:color w:val="auto"/>
                <w:szCs w:val="21"/>
              </w:rPr>
              <w:t>硝酸盐（NO</w:t>
            </w:r>
            <w:r>
              <w:rPr>
                <w:rFonts w:ascii="Times New Roman" w:hAnsi="Times New Roman" w:cs="Times New Roman"/>
                <w:bCs/>
                <w:color w:val="auto"/>
                <w:szCs w:val="21"/>
                <w:vertAlign w:val="subscript"/>
              </w:rPr>
              <w:t>3</w:t>
            </w:r>
            <w:r>
              <w:rPr>
                <w:rFonts w:ascii="Times New Roman" w:hAnsi="Times New Roman" w:cs="Times New Roman"/>
                <w:bCs/>
                <w:color w:val="auto"/>
                <w:szCs w:val="21"/>
                <w:vertAlign w:val="superscript"/>
              </w:rPr>
              <w:t>-</w:t>
            </w:r>
            <w:r>
              <w:rPr>
                <w:rFonts w:ascii="Times New Roman" w:hAnsi="Times New Roman" w:cs="Times New Roman"/>
                <w:bCs/>
                <w:color w:val="auto"/>
                <w:szCs w:val="21"/>
              </w:rPr>
              <w:t>）、</w:t>
            </w:r>
            <w:r>
              <w:rPr>
                <w:rFonts w:ascii="Times New Roman" w:hAnsi="Times New Roman" w:eastAsia="宋体" w:cs="Times New Roman"/>
                <w:color w:val="auto"/>
                <w:szCs w:val="21"/>
              </w:rPr>
              <w:t>氰化物、</w:t>
            </w:r>
            <w:r>
              <w:rPr>
                <w:rFonts w:ascii="Times New Roman" w:hAnsi="Times New Roman" w:cs="Times New Roman"/>
                <w:bCs/>
                <w:color w:val="auto"/>
                <w:szCs w:val="21"/>
              </w:rPr>
              <w:t>氟化物（F</w:t>
            </w:r>
            <w:r>
              <w:rPr>
                <w:rFonts w:ascii="Times New Roman" w:hAnsi="Times New Roman" w:cs="Times New Roman"/>
                <w:bCs/>
                <w:color w:val="auto"/>
                <w:szCs w:val="21"/>
                <w:vertAlign w:val="superscript"/>
              </w:rPr>
              <w:t>-</w:t>
            </w:r>
            <w:r>
              <w:rPr>
                <w:rFonts w:ascii="Times New Roman" w:hAnsi="Times New Roman" w:cs="Times New Roman"/>
                <w:bCs/>
                <w:color w:val="auto"/>
                <w:szCs w:val="21"/>
              </w:rPr>
              <w:t>）、</w:t>
            </w:r>
            <w:r>
              <w:rPr>
                <w:rFonts w:ascii="Times New Roman" w:hAnsi="Times New Roman" w:eastAsia="宋体" w:cs="Times New Roman"/>
                <w:color w:val="auto"/>
                <w:szCs w:val="21"/>
              </w:rPr>
              <w:t>汞、砷、镉、</w:t>
            </w:r>
            <w:r>
              <w:rPr>
                <w:rFonts w:ascii="Times New Roman" w:hAnsi="Times New Roman" w:cs="Times New Roman"/>
                <w:bCs/>
                <w:color w:val="auto"/>
                <w:szCs w:val="21"/>
              </w:rPr>
              <w:t>六价铬</w:t>
            </w:r>
            <w:r>
              <w:rPr>
                <w:rFonts w:ascii="Times New Roman" w:hAnsi="Times New Roman" w:eastAsia="宋体" w:cs="Times New Roman"/>
                <w:color w:val="auto"/>
                <w:szCs w:val="21"/>
              </w:rPr>
              <w:t>、铅、甲苯、</w:t>
            </w:r>
            <w:r>
              <w:rPr>
                <w:rFonts w:hint="eastAsia" w:asciiTheme="minorEastAsia" w:hAnsiTheme="minorEastAsia" w:cstheme="minorEastAsia"/>
                <w:color w:val="auto"/>
                <w:szCs w:val="21"/>
              </w:rPr>
              <w:t>二甲苯</w:t>
            </w:r>
            <w:r>
              <w:rPr>
                <w:rFonts w:ascii="Times New Roman" w:hAnsi="Times New Roman" w:cs="Times New Roman"/>
                <w:color w:val="auto"/>
                <w:szCs w:val="21"/>
              </w:rPr>
              <w:t>、</w:t>
            </w:r>
            <w:r>
              <w:rPr>
                <w:rFonts w:ascii="Times New Roman" w:hAnsi="Times New Roman" w:cs="Times New Roman"/>
                <w:bCs/>
                <w:color w:val="auto"/>
                <w:szCs w:val="21"/>
              </w:rPr>
              <w:t>钾（K</w:t>
            </w:r>
            <w:r>
              <w:rPr>
                <w:rFonts w:ascii="Times New Roman" w:hAnsi="Times New Roman" w:cs="Times New Roman"/>
                <w:bCs/>
                <w:color w:val="auto"/>
                <w:szCs w:val="21"/>
                <w:vertAlign w:val="superscript"/>
              </w:rPr>
              <w:t>+</w:t>
            </w:r>
            <w:r>
              <w:rPr>
                <w:rFonts w:ascii="Times New Roman" w:hAnsi="Times New Roman" w:cs="Times New Roman"/>
                <w:bCs/>
                <w:color w:val="auto"/>
                <w:szCs w:val="21"/>
              </w:rPr>
              <w:t>）、钙（Ca</w:t>
            </w:r>
            <w:r>
              <w:rPr>
                <w:rFonts w:ascii="Times New Roman" w:hAnsi="Times New Roman" w:cs="Times New Roman"/>
                <w:bCs/>
                <w:color w:val="auto"/>
                <w:szCs w:val="21"/>
                <w:vertAlign w:val="superscript"/>
              </w:rPr>
              <w:t>2+</w:t>
            </w:r>
            <w:r>
              <w:rPr>
                <w:rFonts w:ascii="Times New Roman" w:hAnsi="Times New Roman" w:cs="Times New Roman"/>
                <w:bCs/>
                <w:color w:val="auto"/>
                <w:szCs w:val="21"/>
              </w:rPr>
              <w:t>）、镁（Mg</w:t>
            </w:r>
            <w:r>
              <w:rPr>
                <w:rFonts w:ascii="Times New Roman" w:hAnsi="Times New Roman" w:cs="Times New Roman"/>
                <w:bCs/>
                <w:color w:val="auto"/>
                <w:szCs w:val="21"/>
                <w:vertAlign w:val="superscript"/>
              </w:rPr>
              <w:t>2+</w:t>
            </w:r>
            <w:r>
              <w:rPr>
                <w:rFonts w:ascii="Times New Roman" w:hAnsi="Times New Roman" w:cs="Times New Roman"/>
                <w:bCs/>
                <w:color w:val="auto"/>
                <w:szCs w:val="21"/>
              </w:rPr>
              <w:t>）、碱度（CO</w:t>
            </w:r>
            <w:r>
              <w:rPr>
                <w:rFonts w:ascii="Times New Roman" w:hAnsi="Times New Roman" w:cs="Times New Roman"/>
                <w:bCs/>
                <w:color w:val="auto"/>
                <w:szCs w:val="21"/>
                <w:vertAlign w:val="subscript"/>
              </w:rPr>
              <w:t>3</w:t>
            </w:r>
            <w:r>
              <w:rPr>
                <w:rFonts w:ascii="Times New Roman" w:hAnsi="Times New Roman" w:cs="Times New Roman"/>
                <w:bCs/>
                <w:color w:val="auto"/>
                <w:szCs w:val="21"/>
                <w:vertAlign w:val="superscript"/>
              </w:rPr>
              <w:t>2-</w:t>
            </w:r>
            <w:r>
              <w:rPr>
                <w:rFonts w:ascii="Times New Roman" w:hAnsi="Times New Roman" w:cs="Times New Roman"/>
                <w:bCs/>
                <w:color w:val="auto"/>
                <w:szCs w:val="21"/>
              </w:rPr>
              <w:t>、HCO</w:t>
            </w:r>
            <w:r>
              <w:rPr>
                <w:rFonts w:ascii="Times New Roman" w:hAnsi="Times New Roman" w:cs="Times New Roman"/>
                <w:bCs/>
                <w:color w:val="auto"/>
                <w:szCs w:val="21"/>
                <w:vertAlign w:val="subscript"/>
              </w:rPr>
              <w:t>3</w:t>
            </w:r>
            <w:r>
              <w:rPr>
                <w:rFonts w:ascii="Times New Roman" w:hAnsi="Times New Roman" w:cs="Times New Roman"/>
                <w:bCs/>
                <w:color w:val="auto"/>
                <w:szCs w:val="21"/>
                <w:vertAlign w:val="superscript"/>
              </w:rPr>
              <w:t>-</w:t>
            </w:r>
            <w:r>
              <w:rPr>
                <w:rFonts w:ascii="Times New Roman" w:hAnsi="Times New Roman" w:cs="Times New Roman"/>
                <w:bCs/>
                <w:color w:val="auto"/>
                <w:szCs w:val="21"/>
              </w:rPr>
              <w:t>）、</w:t>
            </w:r>
            <w:r>
              <w:rPr>
                <w:rFonts w:ascii="Times New Roman" w:hAnsi="Times New Roman" w:cs="Times New Roman"/>
                <w:color w:val="auto"/>
                <w:szCs w:val="21"/>
              </w:rPr>
              <w:t>水温、井深、水位埋深、功能</w:t>
            </w:r>
          </w:p>
        </w:tc>
      </w:tr>
      <w:tr w14:paraId="31F0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9" w:type="dxa"/>
            <w:vAlign w:val="center"/>
          </w:tcPr>
          <w:p w14:paraId="6A52694D">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1215" w:type="dxa"/>
            <w:vAlign w:val="center"/>
          </w:tcPr>
          <w:p w14:paraId="02C20B3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八里庄</w:t>
            </w:r>
          </w:p>
        </w:tc>
        <w:tc>
          <w:tcPr>
            <w:tcW w:w="1529" w:type="dxa"/>
            <w:vAlign w:val="center"/>
          </w:tcPr>
          <w:p w14:paraId="281E7376">
            <w:pPr>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东北</w:t>
            </w:r>
          </w:p>
        </w:tc>
        <w:tc>
          <w:tcPr>
            <w:tcW w:w="4566" w:type="dxa"/>
            <w:vMerge w:val="continue"/>
            <w:vAlign w:val="center"/>
          </w:tcPr>
          <w:p w14:paraId="3DC82C8A">
            <w:pPr>
              <w:contextualSpacing/>
              <w:jc w:val="center"/>
              <w:rPr>
                <w:rFonts w:ascii="Times New Roman" w:hAnsi="Times New Roman" w:eastAsia="宋体" w:cs="Times New Roman"/>
                <w:color w:val="auto"/>
                <w:szCs w:val="21"/>
              </w:rPr>
            </w:pPr>
          </w:p>
        </w:tc>
      </w:tr>
      <w:tr w14:paraId="1AD2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9" w:type="dxa"/>
            <w:vAlign w:val="center"/>
          </w:tcPr>
          <w:p w14:paraId="732F6597">
            <w:pPr>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3</w:t>
            </w:r>
          </w:p>
        </w:tc>
        <w:tc>
          <w:tcPr>
            <w:tcW w:w="1215" w:type="dxa"/>
            <w:vAlign w:val="center"/>
          </w:tcPr>
          <w:p w14:paraId="1638AFE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 xml:space="preserve">骆家村 </w:t>
            </w:r>
          </w:p>
        </w:tc>
        <w:tc>
          <w:tcPr>
            <w:tcW w:w="1529" w:type="dxa"/>
            <w:vAlign w:val="center"/>
          </w:tcPr>
          <w:p w14:paraId="759CB0F8">
            <w:pPr>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东北</w:t>
            </w:r>
          </w:p>
        </w:tc>
        <w:tc>
          <w:tcPr>
            <w:tcW w:w="4566" w:type="dxa"/>
            <w:vMerge w:val="continue"/>
            <w:vAlign w:val="center"/>
          </w:tcPr>
          <w:p w14:paraId="3C82D7C2">
            <w:pPr>
              <w:contextualSpacing/>
              <w:jc w:val="center"/>
              <w:rPr>
                <w:rFonts w:ascii="Times New Roman" w:hAnsi="Times New Roman" w:eastAsia="宋体" w:cs="Times New Roman"/>
                <w:color w:val="auto"/>
                <w:szCs w:val="21"/>
              </w:rPr>
            </w:pPr>
          </w:p>
        </w:tc>
      </w:tr>
    </w:tbl>
    <w:p w14:paraId="0EA023D5">
      <w:pPr>
        <w:spacing w:line="360" w:lineRule="auto"/>
        <w:ind w:firstLine="480" w:firstLineChars="200"/>
        <w:contextualSpacing/>
        <w:rPr>
          <w:rFonts w:ascii="Times New Roman" w:hAnsi="Times New Roman" w:eastAsia="宋体" w:cs="Times New Roman"/>
          <w:sz w:val="24"/>
        </w:rPr>
      </w:pPr>
      <w:r>
        <w:rPr>
          <w:rFonts w:hint="eastAsia" w:ascii="Times New Roman" w:hAnsi="Times New Roman" w:eastAsia="宋体" w:cs="Times New Roman"/>
          <w:color w:val="auto"/>
          <w:sz w:val="24"/>
        </w:rPr>
        <w:t>为查明大气降水与地下水的联系，了解区内地下水水位的变化特征，本次</w:t>
      </w:r>
      <w:r>
        <w:rPr>
          <w:rFonts w:hint="eastAsia" w:ascii="Times New Roman" w:hAnsi="Times New Roman" w:eastAsia="宋体" w:cs="Times New Roman"/>
          <w:sz w:val="24"/>
        </w:rPr>
        <w:t>评价在评价区域内收集6个监测井的资料。具体水位调查结果见下表所示。</w:t>
      </w:r>
    </w:p>
    <w:p w14:paraId="0D79F399">
      <w:pPr>
        <w:spacing w:line="520" w:lineRule="exact"/>
        <w:contextualSpacing/>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表4</w:t>
      </w:r>
      <w:r>
        <w:rPr>
          <w:rFonts w:ascii="Times New Roman" w:hAnsi="Times New Roman" w:eastAsia="宋体" w:cs="Times New Roman"/>
          <w:b/>
          <w:bCs/>
          <w:sz w:val="21"/>
          <w:szCs w:val="21"/>
        </w:rPr>
        <w:t>.</w:t>
      </w:r>
      <w:r>
        <w:rPr>
          <w:rFonts w:hint="eastAsia" w:ascii="Times New Roman" w:hAnsi="Times New Roman" w:eastAsia="宋体" w:cs="Times New Roman"/>
          <w:b/>
          <w:bCs/>
          <w:sz w:val="21"/>
          <w:szCs w:val="21"/>
          <w:lang w:val="en-US" w:eastAsia="zh-CN"/>
        </w:rPr>
        <w:t>4</w:t>
      </w:r>
      <w:r>
        <w:rPr>
          <w:rFonts w:ascii="Times New Roman" w:hAnsi="Times New Roman" w:eastAsia="宋体" w:cs="Times New Roman"/>
          <w:b/>
          <w:bCs/>
          <w:sz w:val="21"/>
          <w:szCs w:val="21"/>
        </w:rPr>
        <w:t>-</w:t>
      </w:r>
      <w:r>
        <w:rPr>
          <w:rFonts w:hint="eastAsia" w:ascii="Times New Roman" w:hAnsi="Times New Roman" w:eastAsia="宋体" w:cs="Times New Roman"/>
          <w:b/>
          <w:bCs/>
          <w:sz w:val="21"/>
          <w:szCs w:val="21"/>
        </w:rPr>
        <w:t>2</w:t>
      </w:r>
      <w:r>
        <w:rPr>
          <w:rFonts w:ascii="Times New Roman" w:hAnsi="Times New Roman" w:eastAsia="宋体" w:cs="Times New Roman"/>
          <w:b/>
          <w:bCs/>
          <w:sz w:val="21"/>
          <w:szCs w:val="21"/>
        </w:rPr>
        <w:t xml:space="preserve">   地下水位统测统调结果统计一览表</w:t>
      </w:r>
    </w:p>
    <w:tbl>
      <w:tblPr>
        <w:tblStyle w:val="30"/>
        <w:tblW w:w="8519"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328"/>
        <w:gridCol w:w="1536"/>
        <w:gridCol w:w="1536"/>
        <w:gridCol w:w="1620"/>
        <w:gridCol w:w="1019"/>
      </w:tblGrid>
      <w:tr w14:paraId="1A7247C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1EFBD3C7">
            <w:pPr>
              <w:snapToGrid w:val="0"/>
              <w:jc w:val="center"/>
              <w:textAlignment w:val="center"/>
              <w:rPr>
                <w:rFonts w:ascii="Times New Roman" w:hAnsi="Times New Roman" w:eastAsia="宋体" w:cs="Times New Roman"/>
                <w:szCs w:val="21"/>
                <w:lang w:bidi="ar"/>
              </w:rPr>
            </w:pPr>
            <w:r>
              <w:rPr>
                <w:rFonts w:ascii="Times New Roman" w:hAnsi="Times New Roman" w:eastAsia="宋体" w:cs="Times New Roman"/>
                <w:szCs w:val="21"/>
                <w:lang w:bidi="ar"/>
              </w:rPr>
              <w:t>检测点位</w:t>
            </w:r>
          </w:p>
        </w:tc>
        <w:tc>
          <w:tcPr>
            <w:tcW w:w="1328" w:type="dxa"/>
            <w:tcBorders>
              <w:tl2br w:val="nil"/>
              <w:tr2bl w:val="nil"/>
            </w:tcBorders>
            <w:vAlign w:val="center"/>
          </w:tcPr>
          <w:p w14:paraId="2E7C90A9">
            <w:pPr>
              <w:snapToGrid w:val="0"/>
              <w:jc w:val="center"/>
              <w:textAlignment w:val="center"/>
              <w:rPr>
                <w:rFonts w:ascii="Times New Roman" w:hAnsi="Times New Roman" w:eastAsia="宋体" w:cs="Times New Roman"/>
                <w:szCs w:val="21"/>
                <w:lang w:bidi="ar"/>
              </w:rPr>
            </w:pPr>
            <w:r>
              <w:rPr>
                <w:rFonts w:ascii="Times New Roman" w:hAnsi="Times New Roman" w:eastAsia="宋体" w:cs="Times New Roman"/>
                <w:szCs w:val="21"/>
                <w:lang w:bidi="ar"/>
              </w:rPr>
              <w:t>检测日期</w:t>
            </w:r>
          </w:p>
        </w:tc>
        <w:tc>
          <w:tcPr>
            <w:tcW w:w="1536" w:type="dxa"/>
            <w:tcBorders>
              <w:tl2br w:val="nil"/>
              <w:tr2bl w:val="nil"/>
            </w:tcBorders>
            <w:vAlign w:val="center"/>
          </w:tcPr>
          <w:p w14:paraId="34864116">
            <w:pPr>
              <w:jc w:val="center"/>
              <w:rPr>
                <w:rFonts w:ascii="Times New Roman" w:hAnsi="Times New Roman" w:eastAsia="宋体" w:cs="Times New Roman"/>
                <w:szCs w:val="21"/>
                <w:lang w:bidi="ar"/>
              </w:rPr>
            </w:pPr>
            <w:r>
              <w:rPr>
                <w:rFonts w:ascii="Times New Roman" w:hAnsi="Times New Roman" w:cs="Times New Roman"/>
                <w:szCs w:val="21"/>
              </w:rPr>
              <w:t>水温℃</w:t>
            </w:r>
          </w:p>
        </w:tc>
        <w:tc>
          <w:tcPr>
            <w:tcW w:w="1536" w:type="dxa"/>
            <w:tcBorders>
              <w:tl2br w:val="nil"/>
              <w:tr2bl w:val="nil"/>
            </w:tcBorders>
            <w:vAlign w:val="center"/>
          </w:tcPr>
          <w:p w14:paraId="63ABB567">
            <w:pPr>
              <w:jc w:val="center"/>
              <w:rPr>
                <w:rFonts w:ascii="Times New Roman" w:hAnsi="Times New Roman" w:eastAsia="宋体" w:cs="Times New Roman"/>
                <w:szCs w:val="21"/>
                <w:lang w:bidi="ar"/>
              </w:rPr>
            </w:pPr>
            <w:r>
              <w:rPr>
                <w:rFonts w:ascii="Times New Roman" w:hAnsi="Times New Roman" w:cs="Times New Roman"/>
                <w:szCs w:val="21"/>
              </w:rPr>
              <w:t>井深</w:t>
            </w:r>
            <w:r>
              <w:rPr>
                <w:rFonts w:ascii="Times New Roman" w:hAnsi="Times New Roman" w:cs="Times New Roman"/>
                <w:bCs/>
                <w:szCs w:val="21"/>
              </w:rPr>
              <w:t>m</w:t>
            </w:r>
          </w:p>
        </w:tc>
        <w:tc>
          <w:tcPr>
            <w:tcW w:w="1620" w:type="dxa"/>
            <w:tcBorders>
              <w:tl2br w:val="nil"/>
              <w:tr2bl w:val="nil"/>
            </w:tcBorders>
            <w:vAlign w:val="center"/>
          </w:tcPr>
          <w:p w14:paraId="57B46504">
            <w:pPr>
              <w:jc w:val="center"/>
              <w:rPr>
                <w:rFonts w:ascii="Times New Roman" w:hAnsi="Times New Roman" w:eastAsia="宋体" w:cs="Times New Roman"/>
                <w:szCs w:val="21"/>
                <w:lang w:bidi="ar"/>
              </w:rPr>
            </w:pPr>
            <w:r>
              <w:rPr>
                <w:rFonts w:ascii="Times New Roman" w:hAnsi="Times New Roman" w:cs="Times New Roman"/>
                <w:szCs w:val="21"/>
              </w:rPr>
              <w:t>水位埋深</w:t>
            </w:r>
            <w:r>
              <w:rPr>
                <w:rFonts w:ascii="Times New Roman" w:hAnsi="Times New Roman" w:cs="Times New Roman"/>
                <w:bCs/>
                <w:szCs w:val="21"/>
              </w:rPr>
              <w:t>m</w:t>
            </w:r>
          </w:p>
        </w:tc>
        <w:tc>
          <w:tcPr>
            <w:tcW w:w="1019" w:type="dxa"/>
            <w:tcBorders>
              <w:tl2br w:val="nil"/>
              <w:tr2bl w:val="nil"/>
            </w:tcBorders>
            <w:vAlign w:val="center"/>
          </w:tcPr>
          <w:p w14:paraId="328DEB9F">
            <w:pPr>
              <w:jc w:val="center"/>
              <w:rPr>
                <w:rFonts w:ascii="Times New Roman" w:hAnsi="Times New Roman" w:eastAsia="宋体" w:cs="Times New Roman"/>
                <w:szCs w:val="21"/>
                <w:lang w:bidi="ar"/>
              </w:rPr>
            </w:pPr>
            <w:r>
              <w:rPr>
                <w:rFonts w:hint="eastAsia" w:asciiTheme="minorEastAsia" w:hAnsiTheme="minorEastAsia" w:cstheme="minorEastAsia"/>
                <w:szCs w:val="21"/>
              </w:rPr>
              <w:t>功能</w:t>
            </w:r>
          </w:p>
        </w:tc>
      </w:tr>
      <w:tr w14:paraId="1043578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42D51566">
            <w:pPr>
              <w:jc w:val="center"/>
              <w:rPr>
                <w:rFonts w:ascii="Times New Roman" w:hAnsi="Times New Roman" w:eastAsia="宋体" w:cs="Times New Roman"/>
                <w:b/>
                <w:bCs/>
                <w:szCs w:val="21"/>
                <w:lang w:bidi="ar"/>
              </w:rPr>
            </w:pPr>
            <w:r>
              <w:rPr>
                <w:rFonts w:hint="eastAsia" w:asciiTheme="minorEastAsia" w:hAnsiTheme="minorEastAsia" w:cstheme="minorEastAsia"/>
                <w:szCs w:val="21"/>
              </w:rPr>
              <w:t>西赵店村</w:t>
            </w:r>
          </w:p>
        </w:tc>
        <w:tc>
          <w:tcPr>
            <w:tcW w:w="1328" w:type="dxa"/>
            <w:tcBorders>
              <w:tl2br w:val="nil"/>
              <w:tr2bl w:val="nil"/>
            </w:tcBorders>
            <w:vAlign w:val="center"/>
          </w:tcPr>
          <w:p w14:paraId="2DA947CE">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5FC886E9">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12.3</w:t>
            </w:r>
          </w:p>
        </w:tc>
        <w:tc>
          <w:tcPr>
            <w:tcW w:w="1536" w:type="dxa"/>
            <w:tcBorders>
              <w:tl2br w:val="nil"/>
              <w:tr2bl w:val="nil"/>
            </w:tcBorders>
            <w:vAlign w:val="center"/>
          </w:tcPr>
          <w:p w14:paraId="08E55CC5">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1620" w:type="dxa"/>
            <w:tcBorders>
              <w:tl2br w:val="nil"/>
              <w:tr2bl w:val="nil"/>
            </w:tcBorders>
            <w:vAlign w:val="center"/>
          </w:tcPr>
          <w:p w14:paraId="7EC368EE">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16</w:t>
            </w:r>
          </w:p>
        </w:tc>
        <w:tc>
          <w:tcPr>
            <w:tcW w:w="1019" w:type="dxa"/>
            <w:tcBorders>
              <w:tl2br w:val="nil"/>
              <w:tr2bl w:val="nil"/>
            </w:tcBorders>
            <w:vAlign w:val="center"/>
          </w:tcPr>
          <w:p w14:paraId="2E65A127">
            <w:pPr>
              <w:widowControl/>
              <w:jc w:val="center"/>
              <w:textAlignment w:val="center"/>
              <w:rPr>
                <w:rFonts w:ascii="Times New Roman" w:hAnsi="Times New Roman" w:eastAsia="宋体" w:cs="Times New Roman"/>
                <w:szCs w:val="21"/>
                <w:lang w:bidi="ar"/>
              </w:rPr>
            </w:pPr>
            <w:r>
              <w:rPr>
                <w:rFonts w:hint="eastAsia" w:cs="Times New Roman"/>
                <w:bCs/>
                <w:szCs w:val="21"/>
              </w:rPr>
              <w:t>灌溉</w:t>
            </w:r>
          </w:p>
        </w:tc>
      </w:tr>
      <w:tr w14:paraId="7BC174A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6E2428C2">
            <w:pPr>
              <w:jc w:val="center"/>
              <w:rPr>
                <w:rFonts w:ascii="Times New Roman" w:hAnsi="Times New Roman" w:eastAsia="宋体" w:cs="Times New Roman"/>
                <w:b/>
                <w:bCs/>
                <w:szCs w:val="21"/>
              </w:rPr>
            </w:pPr>
            <w:r>
              <w:rPr>
                <w:rFonts w:hint="eastAsia" w:asciiTheme="minorEastAsia" w:hAnsiTheme="minorEastAsia" w:cstheme="minorEastAsia"/>
                <w:szCs w:val="21"/>
              </w:rPr>
              <w:t>骆家村</w:t>
            </w:r>
          </w:p>
        </w:tc>
        <w:tc>
          <w:tcPr>
            <w:tcW w:w="1328" w:type="dxa"/>
            <w:tcBorders>
              <w:tl2br w:val="nil"/>
              <w:tr2bl w:val="nil"/>
            </w:tcBorders>
            <w:vAlign w:val="center"/>
          </w:tcPr>
          <w:p w14:paraId="383A1908">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07A13C2E">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11.5</w:t>
            </w:r>
          </w:p>
        </w:tc>
        <w:tc>
          <w:tcPr>
            <w:tcW w:w="1536" w:type="dxa"/>
            <w:tcBorders>
              <w:tl2br w:val="nil"/>
              <w:tr2bl w:val="nil"/>
            </w:tcBorders>
            <w:vAlign w:val="center"/>
          </w:tcPr>
          <w:p w14:paraId="41CC9AA9">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1620" w:type="dxa"/>
            <w:tcBorders>
              <w:tl2br w:val="nil"/>
              <w:tr2bl w:val="nil"/>
            </w:tcBorders>
            <w:vAlign w:val="center"/>
          </w:tcPr>
          <w:p w14:paraId="4CF087C8">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15</w:t>
            </w:r>
          </w:p>
        </w:tc>
        <w:tc>
          <w:tcPr>
            <w:tcW w:w="1019" w:type="dxa"/>
            <w:tcBorders>
              <w:tl2br w:val="nil"/>
              <w:tr2bl w:val="nil"/>
            </w:tcBorders>
            <w:vAlign w:val="center"/>
          </w:tcPr>
          <w:p w14:paraId="4BB4A70F">
            <w:pPr>
              <w:jc w:val="center"/>
              <w:rPr>
                <w:rFonts w:ascii="Times New Roman" w:hAnsi="Times New Roman" w:eastAsia="宋体" w:cs="Times New Roman"/>
                <w:szCs w:val="21"/>
                <w:lang w:bidi="ar"/>
              </w:rPr>
            </w:pPr>
            <w:r>
              <w:rPr>
                <w:rFonts w:hint="eastAsia" w:cs="Times New Roman"/>
                <w:bCs/>
                <w:szCs w:val="21"/>
              </w:rPr>
              <w:t>灌溉</w:t>
            </w:r>
          </w:p>
        </w:tc>
      </w:tr>
      <w:tr w14:paraId="07B88C2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39558AA5">
            <w:pPr>
              <w:jc w:val="center"/>
              <w:rPr>
                <w:rFonts w:ascii="Times New Roman" w:hAnsi="Times New Roman" w:eastAsia="宋体" w:cs="Times New Roman"/>
                <w:b/>
                <w:bCs/>
                <w:szCs w:val="21"/>
              </w:rPr>
            </w:pPr>
            <w:r>
              <w:rPr>
                <w:rFonts w:hint="eastAsia" w:asciiTheme="minorEastAsia" w:hAnsiTheme="minorEastAsia" w:cstheme="minorEastAsia"/>
                <w:szCs w:val="21"/>
              </w:rPr>
              <w:t>八里庄村</w:t>
            </w:r>
          </w:p>
        </w:tc>
        <w:tc>
          <w:tcPr>
            <w:tcW w:w="1328" w:type="dxa"/>
            <w:tcBorders>
              <w:tl2br w:val="nil"/>
              <w:tr2bl w:val="nil"/>
            </w:tcBorders>
            <w:vAlign w:val="center"/>
          </w:tcPr>
          <w:p w14:paraId="08255474">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5B7B2B5F">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11.9</w:t>
            </w:r>
          </w:p>
        </w:tc>
        <w:tc>
          <w:tcPr>
            <w:tcW w:w="1536" w:type="dxa"/>
            <w:tcBorders>
              <w:tl2br w:val="nil"/>
              <w:tr2bl w:val="nil"/>
            </w:tcBorders>
            <w:vAlign w:val="center"/>
          </w:tcPr>
          <w:p w14:paraId="52190CE8">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48</w:t>
            </w:r>
          </w:p>
        </w:tc>
        <w:tc>
          <w:tcPr>
            <w:tcW w:w="1620" w:type="dxa"/>
            <w:tcBorders>
              <w:tl2br w:val="nil"/>
              <w:tr2bl w:val="nil"/>
            </w:tcBorders>
            <w:vAlign w:val="center"/>
          </w:tcPr>
          <w:p w14:paraId="2A323225">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17</w:t>
            </w:r>
          </w:p>
        </w:tc>
        <w:tc>
          <w:tcPr>
            <w:tcW w:w="1019" w:type="dxa"/>
            <w:tcBorders>
              <w:tl2br w:val="nil"/>
              <w:tr2bl w:val="nil"/>
            </w:tcBorders>
            <w:vAlign w:val="center"/>
          </w:tcPr>
          <w:p w14:paraId="22DD9E5B">
            <w:pPr>
              <w:widowControl/>
              <w:jc w:val="center"/>
              <w:textAlignment w:val="center"/>
              <w:rPr>
                <w:rFonts w:ascii="Times New Roman" w:hAnsi="Times New Roman" w:eastAsia="宋体" w:cs="Times New Roman"/>
                <w:szCs w:val="21"/>
                <w:lang w:bidi="ar"/>
              </w:rPr>
            </w:pPr>
            <w:r>
              <w:rPr>
                <w:rFonts w:hint="eastAsia" w:cs="Times New Roman"/>
                <w:bCs/>
                <w:szCs w:val="21"/>
              </w:rPr>
              <w:t>灌溉</w:t>
            </w:r>
          </w:p>
        </w:tc>
      </w:tr>
      <w:tr w14:paraId="087140C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20A168AF">
            <w:pPr>
              <w:jc w:val="center"/>
              <w:rPr>
                <w:rFonts w:ascii="Times New Roman" w:hAnsi="Times New Roman" w:eastAsia="宋体" w:cs="Times New Roman"/>
                <w:b/>
                <w:bCs/>
                <w:szCs w:val="21"/>
              </w:rPr>
            </w:pPr>
            <w:r>
              <w:rPr>
                <w:rFonts w:hint="eastAsia" w:asciiTheme="minorEastAsia" w:hAnsiTheme="minorEastAsia" w:cstheme="minorEastAsia"/>
                <w:szCs w:val="21"/>
              </w:rPr>
              <w:t>卞家村</w:t>
            </w:r>
          </w:p>
        </w:tc>
        <w:tc>
          <w:tcPr>
            <w:tcW w:w="1328" w:type="dxa"/>
            <w:tcBorders>
              <w:tl2br w:val="nil"/>
              <w:tr2bl w:val="nil"/>
            </w:tcBorders>
            <w:vAlign w:val="center"/>
          </w:tcPr>
          <w:p w14:paraId="641341E3">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1F1B0C79">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11.3</w:t>
            </w:r>
          </w:p>
        </w:tc>
        <w:tc>
          <w:tcPr>
            <w:tcW w:w="1536" w:type="dxa"/>
            <w:tcBorders>
              <w:tl2br w:val="nil"/>
              <w:tr2bl w:val="nil"/>
            </w:tcBorders>
            <w:vAlign w:val="center"/>
          </w:tcPr>
          <w:p w14:paraId="7808EA40">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1620" w:type="dxa"/>
            <w:tcBorders>
              <w:tl2br w:val="nil"/>
              <w:tr2bl w:val="nil"/>
            </w:tcBorders>
            <w:vAlign w:val="center"/>
          </w:tcPr>
          <w:p w14:paraId="1631D4DE">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17</w:t>
            </w:r>
          </w:p>
        </w:tc>
        <w:tc>
          <w:tcPr>
            <w:tcW w:w="1019" w:type="dxa"/>
            <w:tcBorders>
              <w:tl2br w:val="nil"/>
              <w:tr2bl w:val="nil"/>
            </w:tcBorders>
            <w:vAlign w:val="center"/>
          </w:tcPr>
          <w:p w14:paraId="76C7A7BE">
            <w:pPr>
              <w:widowControl/>
              <w:jc w:val="center"/>
              <w:textAlignment w:val="center"/>
              <w:rPr>
                <w:rFonts w:ascii="Times New Roman" w:hAnsi="Times New Roman" w:eastAsia="宋体" w:cs="Times New Roman"/>
                <w:szCs w:val="21"/>
                <w:lang w:bidi="ar"/>
              </w:rPr>
            </w:pPr>
            <w:r>
              <w:rPr>
                <w:rFonts w:hint="eastAsia" w:cs="Times New Roman"/>
                <w:kern w:val="0"/>
                <w:szCs w:val="21"/>
                <w:lang w:bidi="ar"/>
              </w:rPr>
              <w:t>灌溉</w:t>
            </w:r>
          </w:p>
        </w:tc>
      </w:tr>
      <w:tr w14:paraId="3FB7104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7DCFFC76">
            <w:pPr>
              <w:jc w:val="center"/>
              <w:rPr>
                <w:rFonts w:ascii="Times New Roman" w:hAnsi="Times New Roman" w:eastAsia="宋体" w:cs="Times New Roman"/>
                <w:b/>
                <w:bCs/>
                <w:szCs w:val="21"/>
              </w:rPr>
            </w:pPr>
            <w:r>
              <w:rPr>
                <w:rFonts w:hint="eastAsia" w:asciiTheme="minorEastAsia" w:hAnsiTheme="minorEastAsia" w:cstheme="minorEastAsia"/>
                <w:szCs w:val="21"/>
              </w:rPr>
              <w:t>殷庄村</w:t>
            </w:r>
          </w:p>
        </w:tc>
        <w:tc>
          <w:tcPr>
            <w:tcW w:w="1328" w:type="dxa"/>
            <w:tcBorders>
              <w:tl2br w:val="nil"/>
              <w:tr2bl w:val="nil"/>
            </w:tcBorders>
            <w:vAlign w:val="center"/>
          </w:tcPr>
          <w:p w14:paraId="44870366">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4AC10C6A">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12.0</w:t>
            </w:r>
          </w:p>
        </w:tc>
        <w:tc>
          <w:tcPr>
            <w:tcW w:w="1536" w:type="dxa"/>
            <w:tcBorders>
              <w:tl2br w:val="nil"/>
              <w:tr2bl w:val="nil"/>
            </w:tcBorders>
            <w:vAlign w:val="center"/>
          </w:tcPr>
          <w:p w14:paraId="7B183B10">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38</w:t>
            </w:r>
          </w:p>
        </w:tc>
        <w:tc>
          <w:tcPr>
            <w:tcW w:w="1620" w:type="dxa"/>
            <w:tcBorders>
              <w:tl2br w:val="nil"/>
              <w:tr2bl w:val="nil"/>
            </w:tcBorders>
            <w:vAlign w:val="center"/>
          </w:tcPr>
          <w:p w14:paraId="5E7E9096">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16</w:t>
            </w:r>
          </w:p>
        </w:tc>
        <w:tc>
          <w:tcPr>
            <w:tcW w:w="1019" w:type="dxa"/>
            <w:tcBorders>
              <w:tl2br w:val="nil"/>
              <w:tr2bl w:val="nil"/>
            </w:tcBorders>
            <w:vAlign w:val="center"/>
          </w:tcPr>
          <w:p w14:paraId="43F407D7">
            <w:pPr>
              <w:widowControl/>
              <w:jc w:val="center"/>
              <w:textAlignment w:val="center"/>
              <w:rPr>
                <w:rFonts w:ascii="Times New Roman" w:hAnsi="Times New Roman" w:eastAsia="宋体" w:cs="Times New Roman"/>
                <w:szCs w:val="21"/>
                <w:lang w:bidi="ar"/>
              </w:rPr>
            </w:pPr>
            <w:r>
              <w:rPr>
                <w:rFonts w:hint="eastAsia" w:cs="Times New Roman"/>
                <w:kern w:val="0"/>
                <w:szCs w:val="21"/>
                <w:lang w:bidi="ar"/>
              </w:rPr>
              <w:t>灌溉</w:t>
            </w:r>
          </w:p>
        </w:tc>
      </w:tr>
      <w:tr w14:paraId="6DD0D8F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3D4A7DEA">
            <w:pPr>
              <w:jc w:val="center"/>
              <w:rPr>
                <w:rFonts w:ascii="Times New Roman" w:hAnsi="Times New Roman" w:eastAsia="宋体" w:cs="Times New Roman"/>
                <w:b/>
                <w:bCs/>
                <w:szCs w:val="21"/>
              </w:rPr>
            </w:pPr>
            <w:r>
              <w:rPr>
                <w:rFonts w:hint="eastAsia" w:asciiTheme="minorEastAsia" w:hAnsiTheme="minorEastAsia" w:cstheme="minorEastAsia"/>
                <w:szCs w:val="21"/>
              </w:rPr>
              <w:t>田朱楼村</w:t>
            </w:r>
          </w:p>
        </w:tc>
        <w:tc>
          <w:tcPr>
            <w:tcW w:w="1328" w:type="dxa"/>
            <w:tcBorders>
              <w:tl2br w:val="nil"/>
              <w:tr2bl w:val="nil"/>
            </w:tcBorders>
            <w:vAlign w:val="center"/>
          </w:tcPr>
          <w:p w14:paraId="2CDAF3D0">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4C6727D1">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12.9</w:t>
            </w:r>
          </w:p>
        </w:tc>
        <w:tc>
          <w:tcPr>
            <w:tcW w:w="1536" w:type="dxa"/>
            <w:tcBorders>
              <w:tl2br w:val="nil"/>
              <w:tr2bl w:val="nil"/>
            </w:tcBorders>
            <w:vAlign w:val="center"/>
          </w:tcPr>
          <w:p w14:paraId="5C704DFA">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41</w:t>
            </w:r>
          </w:p>
        </w:tc>
        <w:tc>
          <w:tcPr>
            <w:tcW w:w="1620" w:type="dxa"/>
            <w:tcBorders>
              <w:tl2br w:val="nil"/>
              <w:tr2bl w:val="nil"/>
            </w:tcBorders>
            <w:vAlign w:val="center"/>
          </w:tcPr>
          <w:p w14:paraId="0B9761DE">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15</w:t>
            </w:r>
          </w:p>
        </w:tc>
        <w:tc>
          <w:tcPr>
            <w:tcW w:w="1019" w:type="dxa"/>
            <w:tcBorders>
              <w:tl2br w:val="nil"/>
              <w:tr2bl w:val="nil"/>
            </w:tcBorders>
            <w:vAlign w:val="center"/>
          </w:tcPr>
          <w:p w14:paraId="2D3FA129">
            <w:pPr>
              <w:widowControl/>
              <w:jc w:val="center"/>
              <w:textAlignment w:val="center"/>
              <w:rPr>
                <w:rFonts w:ascii="Times New Roman" w:hAnsi="Times New Roman" w:eastAsia="宋体" w:cs="Times New Roman"/>
                <w:szCs w:val="21"/>
                <w:lang w:bidi="ar"/>
              </w:rPr>
            </w:pPr>
            <w:r>
              <w:rPr>
                <w:rFonts w:hint="eastAsia" w:cs="Times New Roman"/>
                <w:kern w:val="0"/>
                <w:szCs w:val="21"/>
                <w:lang w:bidi="ar"/>
              </w:rPr>
              <w:t>灌溉</w:t>
            </w:r>
          </w:p>
        </w:tc>
      </w:tr>
    </w:tbl>
    <w:p w14:paraId="413883C5">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（2）监测因子及分析方法</w:t>
      </w:r>
    </w:p>
    <w:p w14:paraId="2527C7A4">
      <w:pPr>
        <w:spacing w:line="360" w:lineRule="auto"/>
        <w:ind w:firstLine="480" w:firstLineChars="200"/>
        <w:contextualSpacing/>
        <w:rPr>
          <w:rFonts w:ascii="Times New Roman" w:hAnsi="Times New Roman" w:eastAsia="宋体" w:cs="Times New Roman"/>
          <w:color w:val="auto"/>
          <w:sz w:val="24"/>
        </w:rPr>
      </w:pPr>
      <w:r>
        <w:rPr>
          <w:rFonts w:ascii="Times New Roman" w:hAnsi="Times New Roman" w:eastAsia="宋体" w:cs="Times New Roman"/>
          <w:sz w:val="24"/>
        </w:rPr>
        <w:t>监测本次评价地下水水质监测现状评价因子为pH、总硬度、溶解性总固体、</w:t>
      </w:r>
      <w:r>
        <w:rPr>
          <w:rFonts w:ascii="Times New Roman" w:hAnsi="Times New Roman" w:cs="Times New Roman"/>
          <w:bCs/>
          <w:sz w:val="24"/>
        </w:rPr>
        <w:t>硫酸盐（SO</w:t>
      </w:r>
      <w:r>
        <w:rPr>
          <w:rFonts w:ascii="Times New Roman" w:hAnsi="Times New Roman" w:cs="Times New Roman"/>
          <w:bCs/>
          <w:sz w:val="24"/>
          <w:vertAlign w:val="subscript"/>
        </w:rPr>
        <w:t>4</w:t>
      </w:r>
      <w:r>
        <w:rPr>
          <w:rFonts w:ascii="Times New Roman" w:hAnsi="Times New Roman" w:cs="Times New Roman"/>
          <w:bCs/>
          <w:sz w:val="24"/>
          <w:vertAlign w:val="superscript"/>
        </w:rPr>
        <w:t>2-</w:t>
      </w:r>
      <w:r>
        <w:rPr>
          <w:rFonts w:ascii="Times New Roman" w:hAnsi="Times New Roman" w:cs="Times New Roman"/>
          <w:bCs/>
          <w:sz w:val="24"/>
        </w:rPr>
        <w:t>）、氯化物（Cl</w:t>
      </w:r>
      <w:r>
        <w:rPr>
          <w:rFonts w:ascii="Times New Roman" w:hAnsi="Times New Roman" w:cs="Times New Roman"/>
          <w:bCs/>
          <w:sz w:val="24"/>
          <w:vertAlign w:val="superscript"/>
        </w:rPr>
        <w:t>-</w:t>
      </w:r>
      <w:r>
        <w:rPr>
          <w:rFonts w:ascii="Times New Roman" w:hAnsi="Times New Roman" w:cs="Times New Roman"/>
          <w:bCs/>
          <w:sz w:val="24"/>
        </w:rPr>
        <w:t>）、</w:t>
      </w:r>
      <w:r>
        <w:rPr>
          <w:rFonts w:ascii="Times New Roman" w:hAnsi="Times New Roman" w:eastAsia="宋体" w:cs="Times New Roman"/>
          <w:sz w:val="24"/>
        </w:rPr>
        <w:t>铁、锰、挥发酚、耗氧量、氨氮、</w:t>
      </w:r>
      <w:r>
        <w:rPr>
          <w:rFonts w:ascii="Times New Roman" w:hAnsi="Times New Roman" w:cs="Times New Roman"/>
          <w:bCs/>
          <w:sz w:val="24"/>
        </w:rPr>
        <w:t>钠、</w:t>
      </w:r>
      <w:r>
        <w:rPr>
          <w:rFonts w:hint="eastAsia" w:asciiTheme="minorEastAsia" w:hAnsiTheme="minorEastAsia" w:cstheme="minorEastAsia"/>
          <w:sz w:val="24"/>
        </w:rPr>
        <w:t>总大肠菌群</w:t>
      </w:r>
      <w:r>
        <w:rPr>
          <w:rFonts w:ascii="Times New Roman" w:hAnsi="Times New Roman" w:eastAsia="宋体" w:cs="Times New Roman"/>
          <w:sz w:val="24"/>
        </w:rPr>
        <w:t>、</w:t>
      </w:r>
      <w:r>
        <w:rPr>
          <w:rFonts w:hint="eastAsia" w:asciiTheme="minorEastAsia" w:hAnsiTheme="minorEastAsia" w:cstheme="minorEastAsia"/>
          <w:sz w:val="24"/>
        </w:rPr>
        <w:t>细菌总数、</w:t>
      </w:r>
      <w:r>
        <w:rPr>
          <w:rFonts w:ascii="Times New Roman" w:hAnsi="Times New Roman" w:cs="Times New Roman"/>
          <w:bCs/>
          <w:sz w:val="24"/>
        </w:rPr>
        <w:t>亚硝酸盐（NO</w:t>
      </w:r>
      <w:r>
        <w:rPr>
          <w:rFonts w:ascii="Times New Roman" w:hAnsi="Times New Roman" w:cs="Times New Roman"/>
          <w:bCs/>
          <w:sz w:val="24"/>
          <w:vertAlign w:val="subscript"/>
        </w:rPr>
        <w:t>2</w:t>
      </w:r>
      <w:r>
        <w:rPr>
          <w:rFonts w:ascii="Times New Roman" w:hAnsi="Times New Roman" w:cs="Times New Roman"/>
          <w:bCs/>
          <w:sz w:val="24"/>
          <w:vertAlign w:val="superscript"/>
        </w:rPr>
        <w:t>-</w:t>
      </w:r>
      <w:r>
        <w:rPr>
          <w:rFonts w:ascii="Times New Roman" w:hAnsi="Times New Roman" w:cs="Times New Roman"/>
          <w:bCs/>
          <w:sz w:val="24"/>
        </w:rPr>
        <w:t>）</w:t>
      </w:r>
      <w:r>
        <w:rPr>
          <w:rFonts w:ascii="Times New Roman" w:hAnsi="Times New Roman" w:eastAsia="宋体" w:cs="Times New Roman"/>
          <w:sz w:val="24"/>
        </w:rPr>
        <w:t>、</w:t>
      </w:r>
      <w:r>
        <w:rPr>
          <w:rFonts w:ascii="Times New Roman" w:hAnsi="Times New Roman" w:cs="Times New Roman"/>
          <w:bCs/>
          <w:sz w:val="24"/>
        </w:rPr>
        <w:t>硝酸盐（NO</w:t>
      </w:r>
      <w:r>
        <w:rPr>
          <w:rFonts w:ascii="Times New Roman" w:hAnsi="Times New Roman" w:cs="Times New Roman"/>
          <w:bCs/>
          <w:sz w:val="24"/>
          <w:vertAlign w:val="subscript"/>
        </w:rPr>
        <w:t>3</w:t>
      </w:r>
      <w:r>
        <w:rPr>
          <w:rFonts w:ascii="Times New Roman" w:hAnsi="Times New Roman" w:cs="Times New Roman"/>
          <w:bCs/>
          <w:sz w:val="24"/>
          <w:vertAlign w:val="superscript"/>
        </w:rPr>
        <w:t>-</w:t>
      </w:r>
      <w:r>
        <w:rPr>
          <w:rFonts w:ascii="Times New Roman" w:hAnsi="Times New Roman" w:cs="Times New Roman"/>
          <w:bCs/>
          <w:sz w:val="24"/>
        </w:rPr>
        <w:t>）、</w:t>
      </w:r>
      <w:r>
        <w:rPr>
          <w:rFonts w:ascii="Times New Roman" w:hAnsi="Times New Roman" w:eastAsia="宋体" w:cs="Times New Roman"/>
          <w:sz w:val="24"/>
        </w:rPr>
        <w:t>氰化物、</w:t>
      </w:r>
      <w:r>
        <w:rPr>
          <w:rFonts w:ascii="Times New Roman" w:hAnsi="Times New Roman" w:cs="Times New Roman"/>
          <w:bCs/>
          <w:sz w:val="24"/>
        </w:rPr>
        <w:t>氟化物（F</w:t>
      </w:r>
      <w:r>
        <w:rPr>
          <w:rFonts w:ascii="Times New Roman" w:hAnsi="Times New Roman" w:cs="Times New Roman"/>
          <w:bCs/>
          <w:sz w:val="24"/>
          <w:vertAlign w:val="superscript"/>
        </w:rPr>
        <w:t>-</w:t>
      </w:r>
      <w:r>
        <w:rPr>
          <w:rFonts w:ascii="Times New Roman" w:hAnsi="Times New Roman" w:cs="Times New Roman"/>
          <w:bCs/>
          <w:sz w:val="24"/>
        </w:rPr>
        <w:t>）、</w:t>
      </w:r>
      <w:r>
        <w:rPr>
          <w:rFonts w:ascii="Times New Roman" w:hAnsi="Times New Roman" w:eastAsia="宋体" w:cs="Times New Roman"/>
          <w:sz w:val="24"/>
        </w:rPr>
        <w:t>汞、砷、镉、</w:t>
      </w:r>
      <w:r>
        <w:rPr>
          <w:rFonts w:ascii="Times New Roman" w:hAnsi="Times New Roman" w:cs="Times New Roman"/>
          <w:bCs/>
          <w:sz w:val="24"/>
        </w:rPr>
        <w:t>六价铬</w:t>
      </w:r>
      <w:r>
        <w:rPr>
          <w:rFonts w:ascii="Times New Roman" w:hAnsi="Times New Roman" w:eastAsia="宋体" w:cs="Times New Roman"/>
          <w:sz w:val="24"/>
        </w:rPr>
        <w:t>、铅、甲苯、</w:t>
      </w:r>
      <w:r>
        <w:rPr>
          <w:rFonts w:hint="eastAsia" w:asciiTheme="minorEastAsia" w:hAnsiTheme="minorEastAsia" w:cstheme="minorEastAsia"/>
          <w:sz w:val="24"/>
        </w:rPr>
        <w:t>二</w:t>
      </w:r>
      <w:r>
        <w:rPr>
          <w:rFonts w:hint="eastAsia" w:asciiTheme="minorEastAsia" w:hAnsiTheme="minorEastAsia" w:cstheme="minorEastAsia"/>
          <w:color w:val="auto"/>
          <w:sz w:val="24"/>
        </w:rPr>
        <w:t>甲苯</w:t>
      </w:r>
      <w:r>
        <w:rPr>
          <w:rFonts w:hint="eastAsia" w:cs="Times New Roman"/>
          <w:color w:val="auto"/>
          <w:sz w:val="24"/>
        </w:rPr>
        <w:t>、</w:t>
      </w:r>
      <w:r>
        <w:rPr>
          <w:rFonts w:ascii="Times New Roman" w:hAnsi="Times New Roman" w:cs="Times New Roman"/>
          <w:bCs/>
          <w:color w:val="auto"/>
          <w:sz w:val="24"/>
        </w:rPr>
        <w:t>钾</w:t>
      </w:r>
      <w:r>
        <w:rPr>
          <w:rFonts w:hint="eastAsia" w:ascii="Times New Roman" w:hAnsi="Times New Roman" w:cs="Times New Roman"/>
          <w:bCs/>
          <w:color w:val="auto"/>
          <w:sz w:val="24"/>
        </w:rPr>
        <w:t>（K</w:t>
      </w:r>
      <w:r>
        <w:rPr>
          <w:rFonts w:hint="eastAsia" w:ascii="Times New Roman" w:hAnsi="Times New Roman" w:cs="Times New Roman"/>
          <w:bCs/>
          <w:color w:val="auto"/>
          <w:sz w:val="24"/>
          <w:vertAlign w:val="superscript"/>
        </w:rPr>
        <w:t>+</w:t>
      </w:r>
      <w:r>
        <w:rPr>
          <w:rFonts w:hint="eastAsia" w:ascii="Times New Roman" w:hAnsi="Times New Roman" w:cs="Times New Roman"/>
          <w:bCs/>
          <w:color w:val="auto"/>
          <w:sz w:val="24"/>
        </w:rPr>
        <w:t>）</w:t>
      </w:r>
      <w:r>
        <w:rPr>
          <w:rFonts w:ascii="Times New Roman" w:hAnsi="Times New Roman" w:cs="Times New Roman"/>
          <w:bCs/>
          <w:color w:val="auto"/>
          <w:sz w:val="24"/>
        </w:rPr>
        <w:t>、</w:t>
      </w:r>
      <w:r>
        <w:rPr>
          <w:rFonts w:hint="eastAsia" w:cs="Times New Roman"/>
          <w:bCs/>
          <w:color w:val="auto"/>
          <w:sz w:val="24"/>
        </w:rPr>
        <w:t>钙（Ca</w:t>
      </w:r>
      <w:r>
        <w:rPr>
          <w:rFonts w:hint="eastAsia" w:cs="Times New Roman"/>
          <w:bCs/>
          <w:color w:val="auto"/>
          <w:sz w:val="24"/>
          <w:vertAlign w:val="superscript"/>
        </w:rPr>
        <w:t>2+</w:t>
      </w:r>
      <w:r>
        <w:rPr>
          <w:rFonts w:hint="eastAsia" w:cs="Times New Roman"/>
          <w:bCs/>
          <w:color w:val="auto"/>
          <w:sz w:val="24"/>
        </w:rPr>
        <w:t>）、</w:t>
      </w:r>
      <w:r>
        <w:rPr>
          <w:rFonts w:ascii="Times New Roman" w:hAnsi="Times New Roman" w:cs="Times New Roman"/>
          <w:bCs/>
          <w:color w:val="auto"/>
          <w:sz w:val="24"/>
        </w:rPr>
        <w:t>镁</w:t>
      </w:r>
      <w:r>
        <w:rPr>
          <w:rFonts w:hint="eastAsia" w:ascii="Times New Roman" w:hAnsi="Times New Roman" w:cs="Times New Roman"/>
          <w:bCs/>
          <w:color w:val="auto"/>
          <w:sz w:val="24"/>
        </w:rPr>
        <w:t>（Mg</w:t>
      </w:r>
      <w:r>
        <w:rPr>
          <w:rFonts w:hint="eastAsia" w:ascii="Times New Roman" w:hAnsi="Times New Roman" w:cs="Times New Roman"/>
          <w:bCs/>
          <w:color w:val="auto"/>
          <w:sz w:val="24"/>
          <w:vertAlign w:val="superscript"/>
        </w:rPr>
        <w:t>2+</w:t>
      </w:r>
      <w:r>
        <w:rPr>
          <w:rFonts w:hint="eastAsia" w:ascii="Times New Roman" w:hAnsi="Times New Roman" w:cs="Times New Roman"/>
          <w:bCs/>
          <w:color w:val="auto"/>
          <w:sz w:val="24"/>
        </w:rPr>
        <w:t>）</w:t>
      </w:r>
      <w:r>
        <w:rPr>
          <w:rFonts w:ascii="Times New Roman" w:hAnsi="Times New Roman" w:cs="Times New Roman"/>
          <w:bCs/>
          <w:color w:val="auto"/>
          <w:sz w:val="24"/>
        </w:rPr>
        <w:t>、</w:t>
      </w:r>
      <w:r>
        <w:rPr>
          <w:rFonts w:hint="eastAsia" w:cs="Times New Roman"/>
          <w:bCs/>
          <w:color w:val="auto"/>
          <w:sz w:val="24"/>
        </w:rPr>
        <w:t>碱度（</w:t>
      </w:r>
      <w:r>
        <w:rPr>
          <w:rFonts w:ascii="Times New Roman" w:hAnsi="Times New Roman" w:cs="Times New Roman"/>
          <w:bCs/>
          <w:color w:val="auto"/>
          <w:sz w:val="24"/>
        </w:rPr>
        <w:t>CO</w:t>
      </w:r>
      <w:r>
        <w:rPr>
          <w:rFonts w:ascii="Times New Roman" w:hAnsi="Times New Roman" w:cs="Times New Roman"/>
          <w:bCs/>
          <w:color w:val="auto"/>
          <w:sz w:val="24"/>
          <w:vertAlign w:val="subscript"/>
        </w:rPr>
        <w:t>3</w:t>
      </w:r>
      <w:r>
        <w:rPr>
          <w:rFonts w:ascii="Times New Roman" w:hAnsi="Times New Roman" w:cs="Times New Roman"/>
          <w:bCs/>
          <w:color w:val="auto"/>
          <w:sz w:val="24"/>
          <w:vertAlign w:val="superscript"/>
        </w:rPr>
        <w:t>2-</w:t>
      </w:r>
      <w:r>
        <w:rPr>
          <w:rFonts w:ascii="Times New Roman" w:hAnsi="Times New Roman" w:cs="Times New Roman"/>
          <w:bCs/>
          <w:color w:val="auto"/>
          <w:sz w:val="24"/>
        </w:rPr>
        <w:t>、HCO</w:t>
      </w:r>
      <w:r>
        <w:rPr>
          <w:rFonts w:ascii="Times New Roman" w:hAnsi="Times New Roman" w:cs="Times New Roman"/>
          <w:bCs/>
          <w:color w:val="auto"/>
          <w:sz w:val="24"/>
          <w:vertAlign w:val="subscript"/>
        </w:rPr>
        <w:t>3</w:t>
      </w:r>
      <w:r>
        <w:rPr>
          <w:rFonts w:ascii="Times New Roman" w:hAnsi="Times New Roman" w:cs="Times New Roman"/>
          <w:bCs/>
          <w:color w:val="auto"/>
          <w:sz w:val="24"/>
          <w:vertAlign w:val="superscript"/>
        </w:rPr>
        <w:t>-</w:t>
      </w:r>
      <w:r>
        <w:rPr>
          <w:rFonts w:hint="eastAsia" w:cs="Times New Roman"/>
          <w:bCs/>
          <w:color w:val="auto"/>
          <w:sz w:val="24"/>
        </w:rPr>
        <w:t>）</w:t>
      </w:r>
      <w:r>
        <w:rPr>
          <w:rFonts w:ascii="Times New Roman" w:hAnsi="Times New Roman" w:cs="Times New Roman"/>
          <w:bCs/>
          <w:color w:val="auto"/>
          <w:sz w:val="24"/>
        </w:rPr>
        <w:t>、</w:t>
      </w:r>
      <w:r>
        <w:rPr>
          <w:rFonts w:hint="eastAsia" w:asciiTheme="minorEastAsia" w:hAnsiTheme="minorEastAsia" w:cstheme="minorEastAsia"/>
          <w:color w:val="auto"/>
          <w:sz w:val="24"/>
        </w:rPr>
        <w:t>水温、井深、水位埋深、功能</w:t>
      </w:r>
      <w:r>
        <w:rPr>
          <w:rFonts w:ascii="Times New Roman" w:hAnsi="Times New Roman" w:eastAsia="宋体" w:cs="Times New Roman"/>
          <w:color w:val="auto"/>
          <w:sz w:val="24"/>
        </w:rPr>
        <w:t>等。监测因子及分析方法见</w:t>
      </w:r>
      <w:r>
        <w:rPr>
          <w:rFonts w:hint="eastAsia" w:ascii="Times New Roman" w:hAnsi="Times New Roman" w:eastAsia="宋体" w:cs="Times New Roman"/>
          <w:color w:val="auto"/>
          <w:sz w:val="24"/>
        </w:rPr>
        <w:t>下表</w:t>
      </w:r>
      <w:r>
        <w:rPr>
          <w:rFonts w:ascii="Times New Roman" w:hAnsi="Times New Roman" w:eastAsia="宋体" w:cs="Times New Roman"/>
          <w:color w:val="auto"/>
          <w:sz w:val="24"/>
        </w:rPr>
        <w:t>。</w:t>
      </w:r>
    </w:p>
    <w:p w14:paraId="59C2EEC3">
      <w:pPr>
        <w:spacing w:line="520" w:lineRule="exact"/>
        <w:contextualSpacing/>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表4.</w:t>
      </w:r>
      <w:r>
        <w:rPr>
          <w:rFonts w:hint="eastAsia" w:ascii="Times New Roman" w:hAnsi="Times New Roman" w:eastAsia="宋体" w:cs="Times New Roman"/>
          <w:b/>
          <w:bCs/>
          <w:sz w:val="21"/>
          <w:szCs w:val="21"/>
          <w:lang w:val="en-US" w:eastAsia="zh-CN"/>
        </w:rPr>
        <w:t>4</w:t>
      </w:r>
      <w:r>
        <w:rPr>
          <w:rFonts w:hint="eastAsia" w:ascii="Times New Roman" w:hAnsi="Times New Roman" w:eastAsia="宋体" w:cs="Times New Roman"/>
          <w:b/>
          <w:bCs/>
          <w:sz w:val="21"/>
          <w:szCs w:val="21"/>
        </w:rPr>
        <w:t>-3</w:t>
      </w:r>
      <w:r>
        <w:rPr>
          <w:rFonts w:ascii="Times New Roman" w:hAnsi="Times New Roman" w:eastAsia="宋体" w:cs="Times New Roman"/>
          <w:b/>
          <w:bCs/>
          <w:sz w:val="21"/>
          <w:szCs w:val="21"/>
        </w:rPr>
        <w:t xml:space="preserve">   地下水环境现状监测分析方法</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210"/>
        <w:gridCol w:w="2789"/>
        <w:gridCol w:w="1794"/>
        <w:gridCol w:w="1390"/>
        <w:gridCol w:w="876"/>
      </w:tblGrid>
      <w:tr w14:paraId="5C51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226D86FA">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1210" w:type="dxa"/>
            <w:tcBorders>
              <w:tl2br w:val="nil"/>
              <w:tr2bl w:val="nil"/>
            </w:tcBorders>
            <w:shd w:val="clear" w:color="auto" w:fill="auto"/>
            <w:vAlign w:val="center"/>
          </w:tcPr>
          <w:p w14:paraId="2D99C431">
            <w:pPr>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监测</w:t>
            </w:r>
          </w:p>
          <w:p w14:paraId="65B87676">
            <w:pPr>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因子</w:t>
            </w:r>
          </w:p>
        </w:tc>
        <w:tc>
          <w:tcPr>
            <w:tcW w:w="2789" w:type="dxa"/>
            <w:tcBorders>
              <w:tl2br w:val="nil"/>
              <w:tr2bl w:val="nil"/>
            </w:tcBorders>
            <w:shd w:val="clear" w:color="auto" w:fill="auto"/>
            <w:vAlign w:val="center"/>
          </w:tcPr>
          <w:p w14:paraId="6B68E395">
            <w:pPr>
              <w:jc w:val="center"/>
              <w:rPr>
                <w:rFonts w:ascii="Times New Roman" w:hAnsi="Times New Roman" w:cs="Times New Roman"/>
                <w:szCs w:val="21"/>
              </w:rPr>
            </w:pPr>
            <w:r>
              <w:rPr>
                <w:rFonts w:ascii="Times New Roman" w:hAnsi="Times New Roman" w:cs="Times New Roman"/>
                <w:szCs w:val="21"/>
              </w:rPr>
              <w:t>检测方法</w:t>
            </w:r>
          </w:p>
        </w:tc>
        <w:tc>
          <w:tcPr>
            <w:tcW w:w="1794" w:type="dxa"/>
            <w:tcBorders>
              <w:tl2br w:val="nil"/>
              <w:tr2bl w:val="nil"/>
            </w:tcBorders>
            <w:shd w:val="clear" w:color="auto" w:fill="auto"/>
            <w:vAlign w:val="center"/>
          </w:tcPr>
          <w:p w14:paraId="246CE459">
            <w:pPr>
              <w:jc w:val="center"/>
              <w:rPr>
                <w:rFonts w:ascii="Times New Roman" w:hAnsi="Times New Roman" w:cs="Times New Roman"/>
                <w:szCs w:val="21"/>
              </w:rPr>
            </w:pPr>
            <w:r>
              <w:rPr>
                <w:rFonts w:ascii="Times New Roman" w:hAnsi="Times New Roman" w:cs="Times New Roman"/>
                <w:szCs w:val="21"/>
              </w:rPr>
              <w:t>检测依据</w:t>
            </w:r>
          </w:p>
        </w:tc>
        <w:tc>
          <w:tcPr>
            <w:tcW w:w="1390" w:type="dxa"/>
            <w:tcBorders>
              <w:tl2br w:val="nil"/>
              <w:tr2bl w:val="nil"/>
            </w:tcBorders>
            <w:shd w:val="clear" w:color="auto" w:fill="auto"/>
            <w:vAlign w:val="center"/>
          </w:tcPr>
          <w:p w14:paraId="2837358F">
            <w:pPr>
              <w:jc w:val="center"/>
              <w:rPr>
                <w:rFonts w:ascii="Times New Roman" w:hAnsi="Times New Roman" w:cs="Times New Roman"/>
                <w:szCs w:val="21"/>
              </w:rPr>
            </w:pPr>
            <w:r>
              <w:rPr>
                <w:rFonts w:ascii="Times New Roman" w:hAnsi="Times New Roman" w:cs="Times New Roman"/>
                <w:szCs w:val="21"/>
              </w:rPr>
              <w:t>分析仪器</w:t>
            </w:r>
          </w:p>
        </w:tc>
        <w:tc>
          <w:tcPr>
            <w:tcW w:w="876" w:type="dxa"/>
            <w:tcBorders>
              <w:tl2br w:val="nil"/>
              <w:tr2bl w:val="nil"/>
            </w:tcBorders>
            <w:shd w:val="clear" w:color="auto" w:fill="auto"/>
            <w:vAlign w:val="center"/>
          </w:tcPr>
          <w:p w14:paraId="5CB44213">
            <w:pPr>
              <w:jc w:val="center"/>
              <w:rPr>
                <w:rFonts w:ascii="Times New Roman" w:hAnsi="Times New Roman" w:cs="Times New Roman"/>
                <w:szCs w:val="21"/>
              </w:rPr>
            </w:pPr>
            <w:r>
              <w:rPr>
                <w:rFonts w:ascii="Times New Roman" w:hAnsi="Times New Roman" w:cs="Times New Roman"/>
                <w:szCs w:val="21"/>
              </w:rPr>
              <w:t>检出限</w:t>
            </w:r>
          </w:p>
        </w:tc>
      </w:tr>
      <w:tr w14:paraId="2DF7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08849DAD">
            <w:pPr>
              <w:adjustRightInd w:val="0"/>
              <w:snapToGrid w:val="0"/>
              <w:jc w:val="center"/>
              <w:rPr>
                <w:rFonts w:ascii="Times New Roman" w:hAnsi="Times New Roman" w:cs="Times New Roman"/>
                <w:bCs/>
                <w:szCs w:val="21"/>
              </w:rPr>
            </w:pPr>
            <w:r>
              <w:rPr>
                <w:rFonts w:ascii="Times New Roman" w:hAnsi="Times New Roman" w:cs="Times New Roman"/>
                <w:bCs/>
                <w:szCs w:val="21"/>
              </w:rPr>
              <w:t>1</w:t>
            </w:r>
          </w:p>
        </w:tc>
        <w:tc>
          <w:tcPr>
            <w:tcW w:w="1210" w:type="dxa"/>
            <w:tcBorders>
              <w:tl2br w:val="nil"/>
              <w:tr2bl w:val="nil"/>
            </w:tcBorders>
            <w:shd w:val="clear" w:color="auto" w:fill="auto"/>
            <w:vAlign w:val="center"/>
          </w:tcPr>
          <w:p w14:paraId="4151DE7E">
            <w:pPr>
              <w:adjustRightInd w:val="0"/>
              <w:snapToGrid w:val="0"/>
              <w:jc w:val="center"/>
              <w:rPr>
                <w:rFonts w:ascii="Times New Roman" w:hAnsi="Times New Roman" w:cs="Times New Roman"/>
                <w:bCs/>
                <w:szCs w:val="21"/>
              </w:rPr>
            </w:pPr>
            <w:r>
              <w:rPr>
                <w:rFonts w:ascii="Times New Roman" w:hAnsi="Times New Roman" w:cs="Times New Roman"/>
                <w:bCs/>
                <w:szCs w:val="21"/>
              </w:rPr>
              <w:t>pH</w:t>
            </w:r>
          </w:p>
        </w:tc>
        <w:tc>
          <w:tcPr>
            <w:tcW w:w="2789" w:type="dxa"/>
            <w:tcBorders>
              <w:tl2br w:val="nil"/>
              <w:tr2bl w:val="nil"/>
            </w:tcBorders>
            <w:shd w:val="clear" w:color="auto" w:fill="auto"/>
            <w:vAlign w:val="center"/>
          </w:tcPr>
          <w:p w14:paraId="2FE2C23D">
            <w:pPr>
              <w:spacing w:line="360" w:lineRule="exact"/>
              <w:jc w:val="center"/>
              <w:rPr>
                <w:rFonts w:ascii="Times New Roman" w:hAnsi="Times New Roman" w:cs="Times New Roman"/>
                <w:bCs/>
                <w:szCs w:val="21"/>
              </w:rPr>
            </w:pPr>
            <w:r>
              <w:rPr>
                <w:rFonts w:ascii="Times New Roman" w:hAnsi="Times New Roman" w:cs="Times New Roman"/>
                <w:szCs w:val="21"/>
              </w:rPr>
              <w:t>水质 pH值的测定 电极法</w:t>
            </w:r>
          </w:p>
        </w:tc>
        <w:tc>
          <w:tcPr>
            <w:tcW w:w="1794" w:type="dxa"/>
            <w:tcBorders>
              <w:tl2br w:val="nil"/>
              <w:tr2bl w:val="nil"/>
            </w:tcBorders>
            <w:shd w:val="clear" w:color="auto" w:fill="auto"/>
            <w:vAlign w:val="center"/>
          </w:tcPr>
          <w:p w14:paraId="6070E7CC">
            <w:pPr>
              <w:spacing w:line="360" w:lineRule="exact"/>
              <w:jc w:val="center"/>
              <w:rPr>
                <w:rFonts w:ascii="Times New Roman" w:hAnsi="Times New Roman" w:cs="Times New Roman"/>
                <w:bCs/>
                <w:szCs w:val="21"/>
              </w:rPr>
            </w:pPr>
            <w:r>
              <w:rPr>
                <w:rFonts w:ascii="Times New Roman" w:hAnsi="Times New Roman" w:cs="Times New Roman"/>
                <w:szCs w:val="21"/>
              </w:rPr>
              <w:t>HJ 1147-2020</w:t>
            </w:r>
          </w:p>
        </w:tc>
        <w:tc>
          <w:tcPr>
            <w:tcW w:w="1390" w:type="dxa"/>
            <w:tcBorders>
              <w:tl2br w:val="nil"/>
              <w:tr2bl w:val="nil"/>
            </w:tcBorders>
            <w:shd w:val="clear" w:color="auto" w:fill="auto"/>
            <w:vAlign w:val="center"/>
          </w:tcPr>
          <w:p w14:paraId="0993519D">
            <w:pPr>
              <w:spacing w:line="360" w:lineRule="exact"/>
              <w:jc w:val="center"/>
              <w:rPr>
                <w:rFonts w:ascii="Times New Roman" w:hAnsi="Times New Roman" w:cs="Times New Roman"/>
                <w:bCs/>
                <w:szCs w:val="21"/>
              </w:rPr>
            </w:pPr>
            <w:r>
              <w:rPr>
                <w:rFonts w:ascii="Times New Roman" w:hAnsi="Times New Roman" w:eastAsia="宋体" w:cs="Times New Roman"/>
                <w:szCs w:val="21"/>
              </w:rPr>
              <w:t>PH</w:t>
            </w:r>
            <w:r>
              <w:rPr>
                <w:rFonts w:ascii="Times New Roman" w:hAnsi="Times New Roman" w:cs="Times New Roman"/>
                <w:szCs w:val="21"/>
              </w:rPr>
              <w:t>BJ</w:t>
            </w:r>
            <w:r>
              <w:rPr>
                <w:rFonts w:ascii="Times New Roman" w:hAnsi="Times New Roman" w:eastAsia="宋体" w:cs="Times New Roman"/>
                <w:szCs w:val="21"/>
              </w:rPr>
              <w:t>-</w:t>
            </w:r>
            <w:r>
              <w:rPr>
                <w:rFonts w:ascii="Times New Roman" w:hAnsi="Times New Roman" w:cs="Times New Roman"/>
                <w:szCs w:val="21"/>
              </w:rPr>
              <w:t>261L</w:t>
            </w:r>
            <w:r>
              <w:rPr>
                <w:rFonts w:ascii="Times New Roman" w:hAnsi="Times New Roman" w:eastAsia="宋体" w:cs="Times New Roman"/>
                <w:szCs w:val="21"/>
              </w:rPr>
              <w:t>型</w:t>
            </w:r>
            <w:r>
              <w:rPr>
                <w:rFonts w:ascii="Times New Roman" w:hAnsi="Times New Roman" w:cs="Times New Roman"/>
                <w:szCs w:val="21"/>
              </w:rPr>
              <w:t>便携式</w:t>
            </w:r>
            <w:r>
              <w:rPr>
                <w:rFonts w:ascii="Times New Roman" w:hAnsi="Times New Roman" w:eastAsia="宋体" w:cs="Times New Roman"/>
                <w:szCs w:val="21"/>
              </w:rPr>
              <w:t>pH计</w:t>
            </w:r>
          </w:p>
        </w:tc>
        <w:tc>
          <w:tcPr>
            <w:tcW w:w="876" w:type="dxa"/>
            <w:tcBorders>
              <w:tl2br w:val="nil"/>
              <w:tr2bl w:val="nil"/>
            </w:tcBorders>
            <w:shd w:val="clear" w:color="auto" w:fill="auto"/>
            <w:vAlign w:val="center"/>
          </w:tcPr>
          <w:p w14:paraId="3C0782EE">
            <w:pPr>
              <w:spacing w:line="360" w:lineRule="exact"/>
              <w:jc w:val="center"/>
              <w:rPr>
                <w:rFonts w:ascii="Times New Roman" w:hAnsi="Times New Roman" w:cs="Times New Roman"/>
                <w:bCs/>
                <w:szCs w:val="21"/>
              </w:rPr>
            </w:pPr>
            <w:r>
              <w:rPr>
                <w:rFonts w:ascii="Times New Roman" w:hAnsi="Times New Roman" w:cs="Times New Roman"/>
                <w:szCs w:val="21"/>
              </w:rPr>
              <w:t>/</w:t>
            </w:r>
          </w:p>
        </w:tc>
      </w:tr>
      <w:tr w14:paraId="3780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78D32BA6">
            <w:pPr>
              <w:adjustRightInd w:val="0"/>
              <w:snapToGrid w:val="0"/>
              <w:jc w:val="center"/>
              <w:rPr>
                <w:rFonts w:ascii="Times New Roman" w:hAnsi="Times New Roman" w:cs="Times New Roman"/>
                <w:bCs/>
                <w:szCs w:val="21"/>
              </w:rPr>
            </w:pPr>
            <w:r>
              <w:rPr>
                <w:rFonts w:ascii="Times New Roman" w:hAnsi="Times New Roman" w:cs="Times New Roman"/>
                <w:bCs/>
                <w:szCs w:val="21"/>
              </w:rPr>
              <w:t>2</w:t>
            </w:r>
          </w:p>
        </w:tc>
        <w:tc>
          <w:tcPr>
            <w:tcW w:w="1210" w:type="dxa"/>
            <w:tcBorders>
              <w:tl2br w:val="nil"/>
              <w:tr2bl w:val="nil"/>
            </w:tcBorders>
            <w:shd w:val="clear" w:color="auto" w:fill="auto"/>
            <w:vAlign w:val="center"/>
          </w:tcPr>
          <w:p w14:paraId="5650CF9E">
            <w:pPr>
              <w:adjustRightInd w:val="0"/>
              <w:snapToGrid w:val="0"/>
              <w:jc w:val="center"/>
              <w:rPr>
                <w:rFonts w:ascii="Times New Roman" w:hAnsi="Times New Roman" w:cs="Times New Roman"/>
                <w:bCs/>
                <w:szCs w:val="21"/>
              </w:rPr>
            </w:pPr>
            <w:r>
              <w:rPr>
                <w:rFonts w:ascii="Times New Roman" w:hAnsi="Times New Roman" w:eastAsia="宋体" w:cs="Times New Roman"/>
                <w:szCs w:val="21"/>
              </w:rPr>
              <w:t>总硬度</w:t>
            </w:r>
          </w:p>
        </w:tc>
        <w:tc>
          <w:tcPr>
            <w:tcW w:w="2789" w:type="dxa"/>
            <w:tcBorders>
              <w:tl2br w:val="nil"/>
              <w:tr2bl w:val="nil"/>
            </w:tcBorders>
            <w:shd w:val="clear" w:color="auto" w:fill="auto"/>
            <w:vAlign w:val="center"/>
          </w:tcPr>
          <w:p w14:paraId="1A2FF731">
            <w:pPr>
              <w:adjustRightInd w:val="0"/>
              <w:snapToGrid w:val="0"/>
              <w:jc w:val="center"/>
              <w:rPr>
                <w:rFonts w:ascii="Times New Roman" w:hAnsi="Times New Roman" w:cs="Times New Roman"/>
                <w:szCs w:val="21"/>
              </w:rPr>
            </w:pPr>
            <w:r>
              <w:rPr>
                <w:rFonts w:ascii="Times New Roman" w:hAnsi="Times New Roman" w:cs="Times New Roman"/>
                <w:szCs w:val="21"/>
              </w:rPr>
              <w:t xml:space="preserve">生活饮用水标准检验方法 </w:t>
            </w:r>
          </w:p>
          <w:p w14:paraId="44608ECE">
            <w:pPr>
              <w:adjustRightInd w:val="0"/>
              <w:snapToGrid w:val="0"/>
              <w:jc w:val="center"/>
              <w:rPr>
                <w:rFonts w:ascii="Times New Roman" w:hAnsi="Times New Roman" w:cs="Times New Roman"/>
                <w:szCs w:val="21"/>
              </w:rPr>
            </w:pPr>
            <w:r>
              <w:rPr>
                <w:rFonts w:ascii="Times New Roman" w:hAnsi="Times New Roman" w:cs="Times New Roman"/>
                <w:szCs w:val="21"/>
              </w:rPr>
              <w:t xml:space="preserve">感官性状和物理指标（7.1 </w:t>
            </w:r>
          </w:p>
          <w:p w14:paraId="275D3BB6">
            <w:pPr>
              <w:adjustRightInd w:val="0"/>
              <w:snapToGrid w:val="0"/>
              <w:jc w:val="center"/>
              <w:rPr>
                <w:rFonts w:ascii="Times New Roman" w:hAnsi="Times New Roman" w:cs="Times New Roman"/>
                <w:bCs/>
                <w:szCs w:val="21"/>
              </w:rPr>
            </w:pPr>
            <w:r>
              <w:rPr>
                <w:rFonts w:ascii="Times New Roman" w:hAnsi="Times New Roman" w:cs="Times New Roman"/>
                <w:szCs w:val="21"/>
              </w:rPr>
              <w:t>总硬度 乙二胺四乙酸二钠滴定法）</w:t>
            </w:r>
          </w:p>
        </w:tc>
        <w:tc>
          <w:tcPr>
            <w:tcW w:w="1794" w:type="dxa"/>
            <w:tcBorders>
              <w:tl2br w:val="nil"/>
              <w:tr2bl w:val="nil"/>
            </w:tcBorders>
            <w:shd w:val="clear" w:color="auto" w:fill="auto"/>
            <w:vAlign w:val="center"/>
          </w:tcPr>
          <w:p w14:paraId="6B1B60B4">
            <w:pPr>
              <w:jc w:val="center"/>
              <w:rPr>
                <w:rFonts w:ascii="Times New Roman" w:hAnsi="Times New Roman" w:cs="Times New Roman"/>
                <w:bCs/>
                <w:szCs w:val="21"/>
              </w:rPr>
            </w:pPr>
            <w:r>
              <w:rPr>
                <w:rFonts w:ascii="Times New Roman" w:hAnsi="Times New Roman" w:cs="Times New Roman"/>
                <w:szCs w:val="21"/>
              </w:rPr>
              <w:t>GB/T 5750.4-2006</w:t>
            </w:r>
          </w:p>
        </w:tc>
        <w:tc>
          <w:tcPr>
            <w:tcW w:w="1390" w:type="dxa"/>
            <w:tcBorders>
              <w:tl2br w:val="nil"/>
              <w:tr2bl w:val="nil"/>
            </w:tcBorders>
            <w:shd w:val="clear" w:color="auto" w:fill="auto"/>
            <w:vAlign w:val="center"/>
          </w:tcPr>
          <w:p w14:paraId="6A7777D6">
            <w:pPr>
              <w:jc w:val="center"/>
              <w:rPr>
                <w:rFonts w:ascii="Times New Roman" w:hAnsi="Times New Roman" w:cs="Times New Roman"/>
                <w:szCs w:val="21"/>
              </w:rPr>
            </w:pPr>
            <w:r>
              <w:rPr>
                <w:rFonts w:ascii="Times New Roman" w:hAnsi="Times New Roman" w:cs="Times New Roman"/>
                <w:szCs w:val="21"/>
              </w:rPr>
              <w:t>酸式</w:t>
            </w:r>
          </w:p>
          <w:p w14:paraId="3E4C488A">
            <w:pPr>
              <w:jc w:val="center"/>
              <w:rPr>
                <w:rFonts w:ascii="Times New Roman" w:hAnsi="Times New Roman" w:cs="Times New Roman"/>
                <w:bCs/>
                <w:kern w:val="0"/>
                <w:szCs w:val="21"/>
              </w:rPr>
            </w:pPr>
            <w:r>
              <w:rPr>
                <w:rFonts w:ascii="Times New Roman" w:hAnsi="Times New Roman" w:cs="Times New Roman"/>
                <w:szCs w:val="21"/>
              </w:rPr>
              <w:t>滴定管</w:t>
            </w:r>
          </w:p>
        </w:tc>
        <w:tc>
          <w:tcPr>
            <w:tcW w:w="876" w:type="dxa"/>
            <w:tcBorders>
              <w:tl2br w:val="nil"/>
              <w:tr2bl w:val="nil"/>
            </w:tcBorders>
            <w:shd w:val="clear" w:color="auto" w:fill="auto"/>
            <w:vAlign w:val="center"/>
          </w:tcPr>
          <w:p w14:paraId="5A93E849">
            <w:pPr>
              <w:jc w:val="center"/>
              <w:rPr>
                <w:rFonts w:ascii="Times New Roman" w:hAnsi="Times New Roman" w:cs="Times New Roman"/>
                <w:bCs/>
                <w:szCs w:val="21"/>
              </w:rPr>
            </w:pPr>
            <w:r>
              <w:rPr>
                <w:rFonts w:ascii="Times New Roman" w:hAnsi="Times New Roman" w:cs="Times New Roman"/>
                <w:szCs w:val="21"/>
              </w:rPr>
              <w:t>1.0 mg/L</w:t>
            </w:r>
          </w:p>
        </w:tc>
      </w:tr>
      <w:tr w14:paraId="2AE9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235BC3F9">
            <w:pPr>
              <w:adjustRightInd w:val="0"/>
              <w:snapToGrid w:val="0"/>
              <w:jc w:val="center"/>
              <w:rPr>
                <w:rFonts w:ascii="Times New Roman" w:hAnsi="Times New Roman" w:cs="Times New Roman"/>
                <w:bCs/>
                <w:szCs w:val="21"/>
              </w:rPr>
            </w:pPr>
            <w:r>
              <w:rPr>
                <w:rFonts w:ascii="Times New Roman" w:hAnsi="Times New Roman" w:cs="Times New Roman"/>
                <w:bCs/>
                <w:szCs w:val="21"/>
              </w:rPr>
              <w:t>3</w:t>
            </w:r>
          </w:p>
        </w:tc>
        <w:tc>
          <w:tcPr>
            <w:tcW w:w="1210" w:type="dxa"/>
            <w:tcBorders>
              <w:tl2br w:val="nil"/>
              <w:tr2bl w:val="nil"/>
            </w:tcBorders>
            <w:shd w:val="clear" w:color="auto" w:fill="auto"/>
            <w:vAlign w:val="center"/>
          </w:tcPr>
          <w:p w14:paraId="401C3F4A">
            <w:pPr>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溶解性</w:t>
            </w:r>
          </w:p>
          <w:p w14:paraId="3837936E">
            <w:pPr>
              <w:adjustRightInd w:val="0"/>
              <w:snapToGrid w:val="0"/>
              <w:jc w:val="center"/>
              <w:rPr>
                <w:rFonts w:ascii="Times New Roman" w:hAnsi="Times New Roman" w:cs="Times New Roman"/>
                <w:bCs/>
                <w:szCs w:val="21"/>
              </w:rPr>
            </w:pPr>
            <w:r>
              <w:rPr>
                <w:rFonts w:ascii="Times New Roman" w:hAnsi="Times New Roman" w:cs="Times New Roman"/>
                <w:szCs w:val="21"/>
                <w:lang w:bidi="ar"/>
              </w:rPr>
              <w:t>总固体</w:t>
            </w:r>
          </w:p>
        </w:tc>
        <w:tc>
          <w:tcPr>
            <w:tcW w:w="2789" w:type="dxa"/>
            <w:tcBorders>
              <w:tl2br w:val="nil"/>
              <w:tr2bl w:val="nil"/>
            </w:tcBorders>
            <w:shd w:val="clear" w:color="auto" w:fill="auto"/>
            <w:vAlign w:val="center"/>
          </w:tcPr>
          <w:p w14:paraId="3BA34433">
            <w:pPr>
              <w:jc w:val="center"/>
              <w:rPr>
                <w:rFonts w:ascii="Times New Roman" w:hAnsi="Times New Roman" w:cs="Times New Roman"/>
                <w:szCs w:val="21"/>
              </w:rPr>
            </w:pPr>
            <w:r>
              <w:rPr>
                <w:rFonts w:ascii="Times New Roman" w:hAnsi="Times New Roman" w:cs="Times New Roman"/>
                <w:szCs w:val="21"/>
              </w:rPr>
              <w:t xml:space="preserve">生活饮用水标准检验方法 </w:t>
            </w:r>
          </w:p>
          <w:p w14:paraId="1D441DDB">
            <w:pPr>
              <w:jc w:val="center"/>
              <w:rPr>
                <w:rFonts w:ascii="Times New Roman" w:hAnsi="Times New Roman" w:cs="Times New Roman"/>
                <w:szCs w:val="21"/>
              </w:rPr>
            </w:pPr>
            <w:r>
              <w:rPr>
                <w:rFonts w:ascii="Times New Roman" w:hAnsi="Times New Roman" w:cs="Times New Roman"/>
                <w:szCs w:val="21"/>
              </w:rPr>
              <w:t>感官性状和物理指标</w:t>
            </w:r>
          </w:p>
          <w:p w14:paraId="42FE0650">
            <w:pPr>
              <w:jc w:val="center"/>
              <w:rPr>
                <w:rFonts w:ascii="Times New Roman" w:hAnsi="Times New Roman" w:cs="Times New Roman"/>
                <w:bCs/>
                <w:szCs w:val="21"/>
              </w:rPr>
            </w:pPr>
            <w:r>
              <w:rPr>
                <w:rFonts w:ascii="Times New Roman" w:hAnsi="Times New Roman" w:cs="Times New Roman"/>
                <w:szCs w:val="21"/>
              </w:rPr>
              <w:t>（8.1 溶解性总固体 称重法）</w:t>
            </w:r>
          </w:p>
        </w:tc>
        <w:tc>
          <w:tcPr>
            <w:tcW w:w="1794" w:type="dxa"/>
            <w:tcBorders>
              <w:tl2br w:val="nil"/>
              <w:tr2bl w:val="nil"/>
            </w:tcBorders>
            <w:shd w:val="clear" w:color="auto" w:fill="auto"/>
            <w:vAlign w:val="center"/>
          </w:tcPr>
          <w:p w14:paraId="43D0F2B9">
            <w:pPr>
              <w:jc w:val="center"/>
              <w:rPr>
                <w:rFonts w:ascii="Times New Roman" w:hAnsi="Times New Roman" w:cs="Times New Roman"/>
                <w:bCs/>
                <w:szCs w:val="21"/>
              </w:rPr>
            </w:pPr>
            <w:r>
              <w:rPr>
                <w:rFonts w:ascii="Times New Roman" w:hAnsi="Times New Roman" w:cs="Times New Roman"/>
                <w:szCs w:val="21"/>
              </w:rPr>
              <w:t>GB/T 5750.4-2006</w:t>
            </w:r>
          </w:p>
        </w:tc>
        <w:tc>
          <w:tcPr>
            <w:tcW w:w="1390" w:type="dxa"/>
            <w:tcBorders>
              <w:tl2br w:val="nil"/>
              <w:tr2bl w:val="nil"/>
            </w:tcBorders>
            <w:shd w:val="clear" w:color="auto" w:fill="auto"/>
            <w:vAlign w:val="center"/>
          </w:tcPr>
          <w:p w14:paraId="1E4F3854">
            <w:pPr>
              <w:jc w:val="center"/>
              <w:rPr>
                <w:rFonts w:ascii="Times New Roman" w:hAnsi="Times New Roman" w:cs="Times New Roman"/>
                <w:szCs w:val="21"/>
              </w:rPr>
            </w:pPr>
            <w:r>
              <w:rPr>
                <w:rFonts w:ascii="Times New Roman" w:hAnsi="Times New Roman" w:cs="Times New Roman"/>
                <w:szCs w:val="21"/>
              </w:rPr>
              <w:t>万分之一</w:t>
            </w:r>
          </w:p>
          <w:p w14:paraId="568BA0EE">
            <w:pPr>
              <w:jc w:val="center"/>
              <w:rPr>
                <w:rFonts w:ascii="Times New Roman" w:hAnsi="Times New Roman" w:cs="Times New Roman"/>
                <w:bCs/>
                <w:szCs w:val="21"/>
              </w:rPr>
            </w:pPr>
            <w:r>
              <w:rPr>
                <w:rFonts w:ascii="Times New Roman" w:hAnsi="Times New Roman" w:cs="Times New Roman"/>
                <w:szCs w:val="21"/>
              </w:rPr>
              <w:t>天平 ME204E/02</w:t>
            </w:r>
          </w:p>
        </w:tc>
        <w:tc>
          <w:tcPr>
            <w:tcW w:w="876" w:type="dxa"/>
            <w:tcBorders>
              <w:tl2br w:val="nil"/>
              <w:tr2bl w:val="nil"/>
            </w:tcBorders>
            <w:shd w:val="clear" w:color="auto" w:fill="auto"/>
            <w:vAlign w:val="center"/>
          </w:tcPr>
          <w:p w14:paraId="776B7F0C">
            <w:pPr>
              <w:jc w:val="center"/>
              <w:rPr>
                <w:rFonts w:ascii="Times New Roman" w:hAnsi="Times New Roman" w:cs="Times New Roman"/>
                <w:bCs/>
                <w:szCs w:val="21"/>
              </w:rPr>
            </w:pPr>
            <w:r>
              <w:rPr>
                <w:rFonts w:ascii="Times New Roman" w:hAnsi="Times New Roman" w:cs="Times New Roman"/>
                <w:szCs w:val="21"/>
              </w:rPr>
              <w:t>/</w:t>
            </w:r>
          </w:p>
        </w:tc>
      </w:tr>
      <w:tr w14:paraId="5CB3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7D502CA1">
            <w:pPr>
              <w:adjustRightInd w:val="0"/>
              <w:snapToGrid w:val="0"/>
              <w:jc w:val="center"/>
              <w:rPr>
                <w:rFonts w:ascii="Times New Roman" w:hAnsi="Times New Roman" w:cs="Times New Roman"/>
                <w:bCs/>
                <w:szCs w:val="21"/>
              </w:rPr>
            </w:pPr>
            <w:r>
              <w:rPr>
                <w:rFonts w:ascii="Times New Roman" w:hAnsi="Times New Roman" w:cs="Times New Roman"/>
                <w:bCs/>
                <w:szCs w:val="21"/>
              </w:rPr>
              <w:t>4</w:t>
            </w:r>
          </w:p>
        </w:tc>
        <w:tc>
          <w:tcPr>
            <w:tcW w:w="1210" w:type="dxa"/>
            <w:tcBorders>
              <w:tl2br w:val="nil"/>
              <w:tr2bl w:val="nil"/>
            </w:tcBorders>
            <w:shd w:val="clear" w:color="auto" w:fill="auto"/>
            <w:vAlign w:val="center"/>
          </w:tcPr>
          <w:p w14:paraId="1E08859D">
            <w:pPr>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硫酸盐（</w:t>
            </w:r>
            <w:r>
              <w:rPr>
                <w:rFonts w:ascii="Times New Roman" w:hAnsi="Times New Roman" w:cs="Times New Roman"/>
                <w:szCs w:val="21"/>
              </w:rPr>
              <w:t>SO</w:t>
            </w:r>
            <w:r>
              <w:rPr>
                <w:rFonts w:ascii="Times New Roman" w:hAnsi="Times New Roman" w:cs="Times New Roman"/>
                <w:szCs w:val="21"/>
                <w:vertAlign w:val="subscript"/>
              </w:rPr>
              <w:t>4</w:t>
            </w:r>
            <w:r>
              <w:rPr>
                <w:rFonts w:ascii="Times New Roman" w:hAnsi="Times New Roman" w:cs="Times New Roman"/>
                <w:szCs w:val="21"/>
                <w:vertAlign w:val="superscript"/>
              </w:rPr>
              <w:t>2-</w:t>
            </w:r>
            <w:r>
              <w:rPr>
                <w:rFonts w:ascii="Times New Roman" w:hAnsi="Times New Roman" w:cs="Times New Roman"/>
                <w:szCs w:val="21"/>
                <w:lang w:bidi="ar"/>
              </w:rPr>
              <w:t>）</w:t>
            </w:r>
          </w:p>
        </w:tc>
        <w:tc>
          <w:tcPr>
            <w:tcW w:w="2789" w:type="dxa"/>
            <w:vMerge w:val="restart"/>
            <w:tcBorders>
              <w:tl2br w:val="nil"/>
              <w:tr2bl w:val="nil"/>
            </w:tcBorders>
            <w:shd w:val="clear" w:color="auto" w:fill="auto"/>
            <w:vAlign w:val="center"/>
          </w:tcPr>
          <w:p w14:paraId="18F906DA">
            <w:pPr>
              <w:adjustRightInd w:val="0"/>
              <w:snapToGrid w:val="0"/>
              <w:jc w:val="center"/>
              <w:rPr>
                <w:rFonts w:ascii="Times New Roman" w:hAnsi="Times New Roman" w:cs="Times New Roman"/>
                <w:szCs w:val="21"/>
              </w:rPr>
            </w:pPr>
            <w:r>
              <w:rPr>
                <w:rFonts w:ascii="Times New Roman" w:hAnsi="Times New Roman" w:cs="Times New Roman"/>
                <w:szCs w:val="21"/>
              </w:rPr>
              <w:t>水质 无机阴离子（F</w:t>
            </w:r>
            <w:r>
              <w:rPr>
                <w:rFonts w:ascii="Times New Roman" w:hAnsi="Times New Roman" w:cs="Times New Roman"/>
                <w:szCs w:val="21"/>
                <w:vertAlign w:val="superscript"/>
              </w:rPr>
              <w:t>-</w:t>
            </w:r>
            <w:r>
              <w:rPr>
                <w:rFonts w:ascii="Times New Roman" w:hAnsi="Times New Roman" w:cs="Times New Roman"/>
                <w:szCs w:val="21"/>
              </w:rPr>
              <w:t>、Cl</w:t>
            </w:r>
            <w:r>
              <w:rPr>
                <w:rFonts w:ascii="Times New Roman" w:hAnsi="Times New Roman" w:cs="Times New Roman"/>
                <w:szCs w:val="21"/>
                <w:vertAlign w:val="superscript"/>
              </w:rPr>
              <w:t>-</w:t>
            </w:r>
            <w:r>
              <w:rPr>
                <w:rFonts w:ascii="Times New Roman" w:hAnsi="Times New Roman" w:cs="Times New Roman"/>
                <w:szCs w:val="21"/>
              </w:rPr>
              <w:t>、NO</w:t>
            </w:r>
            <w:r>
              <w:rPr>
                <w:rFonts w:ascii="Times New Roman" w:hAnsi="Times New Roman" w:cs="Times New Roman"/>
                <w:szCs w:val="21"/>
                <w:vertAlign w:val="subscript"/>
              </w:rPr>
              <w:t>2</w:t>
            </w:r>
            <w:r>
              <w:rPr>
                <w:rFonts w:ascii="Times New Roman" w:hAnsi="Times New Roman" w:cs="Times New Roman"/>
                <w:szCs w:val="21"/>
                <w:vertAlign w:val="superscript"/>
              </w:rPr>
              <w:t>-</w:t>
            </w:r>
            <w:r>
              <w:rPr>
                <w:rFonts w:ascii="Times New Roman" w:hAnsi="Times New Roman" w:cs="Times New Roman"/>
                <w:szCs w:val="21"/>
              </w:rPr>
              <w:t>、Br</w:t>
            </w:r>
            <w:r>
              <w:rPr>
                <w:rFonts w:ascii="Times New Roman" w:hAnsi="Times New Roman" w:cs="Times New Roman"/>
                <w:szCs w:val="21"/>
                <w:vertAlign w:val="superscript"/>
              </w:rPr>
              <w:t>-</w:t>
            </w:r>
            <w:r>
              <w:rPr>
                <w:rFonts w:ascii="Times New Roman" w:hAnsi="Times New Roman" w:cs="Times New Roman"/>
                <w:szCs w:val="21"/>
              </w:rPr>
              <w:t>、NO</w:t>
            </w:r>
            <w:r>
              <w:rPr>
                <w:rFonts w:ascii="Times New Roman" w:hAnsi="Times New Roman" w:cs="Times New Roman"/>
                <w:szCs w:val="21"/>
                <w:vertAlign w:val="subscript"/>
              </w:rPr>
              <w:t>3</w:t>
            </w:r>
            <w:r>
              <w:rPr>
                <w:rFonts w:ascii="Times New Roman" w:hAnsi="Times New Roman" w:cs="Times New Roman"/>
                <w:szCs w:val="21"/>
                <w:vertAlign w:val="superscript"/>
              </w:rPr>
              <w:t>-</w:t>
            </w:r>
            <w:r>
              <w:rPr>
                <w:rFonts w:ascii="Times New Roman" w:hAnsi="Times New Roman" w:cs="Times New Roman"/>
                <w:szCs w:val="21"/>
              </w:rPr>
              <w:t>、PO</w:t>
            </w:r>
            <w:r>
              <w:rPr>
                <w:rFonts w:ascii="Times New Roman" w:hAnsi="Times New Roman" w:cs="Times New Roman"/>
                <w:szCs w:val="21"/>
                <w:vertAlign w:val="subscript"/>
              </w:rPr>
              <w:t>4</w:t>
            </w:r>
            <w:r>
              <w:rPr>
                <w:rFonts w:ascii="Times New Roman" w:hAnsi="Times New Roman" w:cs="Times New Roman"/>
                <w:szCs w:val="21"/>
                <w:vertAlign w:val="superscript"/>
              </w:rPr>
              <w:t>3-</w:t>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vertAlign w:val="superscript"/>
              </w:rPr>
              <w:t>2-</w:t>
            </w:r>
            <w:r>
              <w:rPr>
                <w:rFonts w:ascii="Times New Roman" w:hAnsi="Times New Roman" w:cs="Times New Roman"/>
                <w:szCs w:val="21"/>
              </w:rPr>
              <w:t>、SO</w:t>
            </w:r>
            <w:r>
              <w:rPr>
                <w:rFonts w:ascii="Times New Roman" w:hAnsi="Times New Roman" w:cs="Times New Roman"/>
                <w:szCs w:val="21"/>
                <w:vertAlign w:val="subscript"/>
              </w:rPr>
              <w:t>4</w:t>
            </w:r>
            <w:r>
              <w:rPr>
                <w:rFonts w:ascii="Times New Roman" w:hAnsi="Times New Roman" w:cs="Times New Roman"/>
                <w:szCs w:val="21"/>
                <w:vertAlign w:val="superscript"/>
              </w:rPr>
              <w:t>2-</w:t>
            </w:r>
            <w:r>
              <w:rPr>
                <w:rFonts w:ascii="Times New Roman" w:hAnsi="Times New Roman" w:cs="Times New Roman"/>
                <w:szCs w:val="21"/>
              </w:rPr>
              <w:t>）的测定 离子色谱法</w:t>
            </w:r>
          </w:p>
        </w:tc>
        <w:tc>
          <w:tcPr>
            <w:tcW w:w="1794" w:type="dxa"/>
            <w:vMerge w:val="restart"/>
            <w:tcBorders>
              <w:tl2br w:val="nil"/>
              <w:tr2bl w:val="nil"/>
            </w:tcBorders>
            <w:shd w:val="clear" w:color="auto" w:fill="auto"/>
            <w:vAlign w:val="center"/>
          </w:tcPr>
          <w:p w14:paraId="0368FAE8">
            <w:pPr>
              <w:jc w:val="center"/>
              <w:rPr>
                <w:rFonts w:ascii="Times New Roman" w:hAnsi="Times New Roman" w:cs="Times New Roman"/>
                <w:szCs w:val="21"/>
              </w:rPr>
            </w:pPr>
            <w:r>
              <w:rPr>
                <w:rFonts w:ascii="Times New Roman" w:hAnsi="Times New Roman" w:cs="Times New Roman"/>
                <w:szCs w:val="21"/>
              </w:rPr>
              <w:t>HJ 84-2016</w:t>
            </w:r>
          </w:p>
        </w:tc>
        <w:tc>
          <w:tcPr>
            <w:tcW w:w="1390" w:type="dxa"/>
            <w:vMerge w:val="restart"/>
            <w:tcBorders>
              <w:tl2br w:val="nil"/>
              <w:tr2bl w:val="nil"/>
            </w:tcBorders>
            <w:shd w:val="clear" w:color="auto" w:fill="auto"/>
            <w:vAlign w:val="center"/>
          </w:tcPr>
          <w:p w14:paraId="094E30EB">
            <w:pPr>
              <w:jc w:val="center"/>
              <w:rPr>
                <w:rFonts w:ascii="Times New Roman" w:hAnsi="Times New Roman" w:cs="Times New Roman"/>
                <w:szCs w:val="21"/>
              </w:rPr>
            </w:pPr>
            <w:r>
              <w:rPr>
                <w:rFonts w:ascii="Times New Roman" w:hAnsi="Times New Roman" w:cs="Times New Roman"/>
                <w:szCs w:val="21"/>
              </w:rPr>
              <w:t>离子色谱仪IC6000</w:t>
            </w:r>
          </w:p>
        </w:tc>
        <w:tc>
          <w:tcPr>
            <w:tcW w:w="876" w:type="dxa"/>
            <w:tcBorders>
              <w:tl2br w:val="nil"/>
              <w:tr2bl w:val="nil"/>
            </w:tcBorders>
            <w:shd w:val="clear" w:color="auto" w:fill="auto"/>
            <w:vAlign w:val="center"/>
          </w:tcPr>
          <w:p w14:paraId="36389039">
            <w:pPr>
              <w:jc w:val="center"/>
              <w:rPr>
                <w:rFonts w:ascii="Times New Roman" w:hAnsi="Times New Roman" w:cs="Times New Roman"/>
                <w:szCs w:val="21"/>
              </w:rPr>
            </w:pPr>
            <w:r>
              <w:rPr>
                <w:rFonts w:ascii="Times New Roman" w:hAnsi="Times New Roman" w:cs="Times New Roman"/>
                <w:szCs w:val="21"/>
              </w:rPr>
              <w:t>0.018 mg/L</w:t>
            </w:r>
          </w:p>
        </w:tc>
      </w:tr>
      <w:tr w14:paraId="3652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6822FF45">
            <w:pPr>
              <w:adjustRightInd w:val="0"/>
              <w:snapToGrid w:val="0"/>
              <w:jc w:val="center"/>
              <w:rPr>
                <w:rFonts w:ascii="Times New Roman" w:hAnsi="Times New Roman" w:cs="Times New Roman"/>
                <w:bCs/>
                <w:szCs w:val="21"/>
              </w:rPr>
            </w:pPr>
            <w:r>
              <w:rPr>
                <w:rFonts w:ascii="Times New Roman" w:hAnsi="Times New Roman" w:cs="Times New Roman"/>
                <w:bCs/>
                <w:szCs w:val="21"/>
              </w:rPr>
              <w:t>5</w:t>
            </w:r>
          </w:p>
        </w:tc>
        <w:tc>
          <w:tcPr>
            <w:tcW w:w="1210" w:type="dxa"/>
            <w:tcBorders>
              <w:tl2br w:val="nil"/>
              <w:tr2bl w:val="nil"/>
            </w:tcBorders>
            <w:shd w:val="clear" w:color="auto" w:fill="auto"/>
            <w:vAlign w:val="center"/>
          </w:tcPr>
          <w:p w14:paraId="0F4846DD">
            <w:pPr>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氯化物（</w:t>
            </w:r>
            <w:r>
              <w:rPr>
                <w:rFonts w:ascii="Times New Roman" w:hAnsi="Times New Roman" w:cs="Times New Roman"/>
                <w:szCs w:val="21"/>
              </w:rPr>
              <w:t>Cl</w:t>
            </w:r>
            <w:r>
              <w:rPr>
                <w:rFonts w:ascii="Times New Roman" w:hAnsi="Times New Roman" w:cs="Times New Roman"/>
                <w:szCs w:val="21"/>
                <w:vertAlign w:val="superscript"/>
              </w:rPr>
              <w:t>-</w:t>
            </w:r>
            <w:r>
              <w:rPr>
                <w:rFonts w:ascii="Times New Roman" w:hAnsi="Times New Roman" w:cs="Times New Roman"/>
                <w:szCs w:val="21"/>
                <w:lang w:bidi="ar"/>
              </w:rPr>
              <w:t>）</w:t>
            </w:r>
          </w:p>
        </w:tc>
        <w:tc>
          <w:tcPr>
            <w:tcW w:w="2789" w:type="dxa"/>
            <w:vMerge w:val="continue"/>
            <w:tcBorders>
              <w:tl2br w:val="nil"/>
              <w:tr2bl w:val="nil"/>
            </w:tcBorders>
            <w:shd w:val="clear" w:color="auto" w:fill="auto"/>
            <w:vAlign w:val="center"/>
          </w:tcPr>
          <w:p w14:paraId="492CB72D">
            <w:pPr>
              <w:jc w:val="center"/>
              <w:rPr>
                <w:rFonts w:ascii="Times New Roman" w:hAnsi="Times New Roman" w:cs="Times New Roman"/>
                <w:szCs w:val="21"/>
              </w:rPr>
            </w:pPr>
          </w:p>
        </w:tc>
        <w:tc>
          <w:tcPr>
            <w:tcW w:w="1794" w:type="dxa"/>
            <w:vMerge w:val="continue"/>
            <w:tcBorders>
              <w:tl2br w:val="nil"/>
              <w:tr2bl w:val="nil"/>
            </w:tcBorders>
            <w:shd w:val="clear" w:color="auto" w:fill="auto"/>
            <w:vAlign w:val="center"/>
          </w:tcPr>
          <w:p w14:paraId="52C5E6A5">
            <w:pPr>
              <w:adjustRightInd w:val="0"/>
              <w:snapToGrid w:val="0"/>
              <w:jc w:val="center"/>
              <w:rPr>
                <w:rFonts w:ascii="Times New Roman" w:hAnsi="Times New Roman" w:cs="Times New Roman"/>
                <w:szCs w:val="21"/>
              </w:rPr>
            </w:pPr>
          </w:p>
        </w:tc>
        <w:tc>
          <w:tcPr>
            <w:tcW w:w="1390" w:type="dxa"/>
            <w:vMerge w:val="continue"/>
            <w:tcBorders>
              <w:tl2br w:val="nil"/>
              <w:tr2bl w:val="nil"/>
            </w:tcBorders>
            <w:shd w:val="clear" w:color="auto" w:fill="auto"/>
            <w:vAlign w:val="center"/>
          </w:tcPr>
          <w:p w14:paraId="002A8523">
            <w:pPr>
              <w:jc w:val="center"/>
              <w:rPr>
                <w:rFonts w:ascii="Times New Roman" w:hAnsi="Times New Roman" w:cs="Times New Roman"/>
                <w:szCs w:val="21"/>
              </w:rPr>
            </w:pPr>
          </w:p>
        </w:tc>
        <w:tc>
          <w:tcPr>
            <w:tcW w:w="876" w:type="dxa"/>
            <w:tcBorders>
              <w:tl2br w:val="nil"/>
              <w:tr2bl w:val="nil"/>
            </w:tcBorders>
            <w:shd w:val="clear" w:color="auto" w:fill="auto"/>
            <w:vAlign w:val="center"/>
          </w:tcPr>
          <w:p w14:paraId="1B1FA3AA">
            <w:pPr>
              <w:jc w:val="center"/>
              <w:rPr>
                <w:rFonts w:ascii="Times New Roman" w:hAnsi="Times New Roman" w:cs="Times New Roman"/>
                <w:szCs w:val="21"/>
              </w:rPr>
            </w:pPr>
            <w:r>
              <w:rPr>
                <w:rFonts w:ascii="Times New Roman" w:hAnsi="Times New Roman" w:cs="Times New Roman"/>
                <w:szCs w:val="21"/>
              </w:rPr>
              <w:t>0.007 mg/L</w:t>
            </w:r>
          </w:p>
        </w:tc>
      </w:tr>
      <w:tr w14:paraId="09D9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490DCAA0">
            <w:pPr>
              <w:adjustRightInd w:val="0"/>
              <w:snapToGrid w:val="0"/>
              <w:jc w:val="center"/>
              <w:rPr>
                <w:rFonts w:ascii="Times New Roman" w:hAnsi="Times New Roman" w:cs="Times New Roman"/>
                <w:bCs/>
                <w:szCs w:val="21"/>
              </w:rPr>
            </w:pPr>
            <w:r>
              <w:rPr>
                <w:rFonts w:ascii="Times New Roman" w:hAnsi="Times New Roman" w:cs="Times New Roman"/>
                <w:bCs/>
                <w:szCs w:val="21"/>
              </w:rPr>
              <w:t>6</w:t>
            </w:r>
          </w:p>
        </w:tc>
        <w:tc>
          <w:tcPr>
            <w:tcW w:w="1210" w:type="dxa"/>
            <w:tcBorders>
              <w:tl2br w:val="nil"/>
              <w:tr2bl w:val="nil"/>
            </w:tcBorders>
            <w:shd w:val="clear" w:color="auto" w:fill="auto"/>
            <w:vAlign w:val="center"/>
          </w:tcPr>
          <w:p w14:paraId="17FBF1BE">
            <w:pPr>
              <w:adjustRightInd w:val="0"/>
              <w:snapToGrid w:val="0"/>
              <w:jc w:val="center"/>
              <w:rPr>
                <w:rFonts w:ascii="Times New Roman" w:hAnsi="Times New Roman" w:cs="Times New Roman"/>
                <w:szCs w:val="21"/>
                <w:lang w:bidi="ar"/>
              </w:rPr>
            </w:pPr>
            <w:r>
              <w:rPr>
                <w:rFonts w:ascii="Times New Roman" w:hAnsi="Times New Roman" w:cs="Times New Roman"/>
                <w:bCs/>
                <w:szCs w:val="21"/>
                <w:lang w:bidi="ar"/>
              </w:rPr>
              <w:t>铁</w:t>
            </w:r>
          </w:p>
        </w:tc>
        <w:tc>
          <w:tcPr>
            <w:tcW w:w="2789" w:type="dxa"/>
            <w:vMerge w:val="restart"/>
            <w:tcBorders>
              <w:tl2br w:val="nil"/>
              <w:tr2bl w:val="nil"/>
            </w:tcBorders>
            <w:shd w:val="clear" w:color="auto" w:fill="auto"/>
            <w:vAlign w:val="center"/>
          </w:tcPr>
          <w:p w14:paraId="68E20477">
            <w:pPr>
              <w:jc w:val="center"/>
              <w:rPr>
                <w:rFonts w:ascii="Times New Roman" w:hAnsi="Times New Roman" w:cs="Times New Roman"/>
                <w:bCs/>
                <w:szCs w:val="21"/>
              </w:rPr>
            </w:pPr>
            <w:r>
              <w:rPr>
                <w:rFonts w:ascii="Times New Roman" w:hAnsi="Times New Roman" w:cs="Times New Roman"/>
                <w:bCs/>
                <w:szCs w:val="21"/>
              </w:rPr>
              <w:t>水质 32种元素的测定</w:t>
            </w:r>
          </w:p>
          <w:p w14:paraId="5D0FAD6E">
            <w:pPr>
              <w:jc w:val="center"/>
              <w:rPr>
                <w:rFonts w:ascii="Times New Roman" w:hAnsi="Times New Roman" w:cs="Times New Roman"/>
                <w:szCs w:val="21"/>
              </w:rPr>
            </w:pPr>
            <w:r>
              <w:rPr>
                <w:rFonts w:ascii="Times New Roman" w:hAnsi="Times New Roman" w:cs="Times New Roman"/>
                <w:bCs/>
                <w:szCs w:val="21"/>
              </w:rPr>
              <w:t>电感耦合等离子体发射光谱法</w:t>
            </w:r>
          </w:p>
        </w:tc>
        <w:tc>
          <w:tcPr>
            <w:tcW w:w="1794" w:type="dxa"/>
            <w:vMerge w:val="restart"/>
            <w:tcBorders>
              <w:tl2br w:val="nil"/>
              <w:tr2bl w:val="nil"/>
            </w:tcBorders>
            <w:shd w:val="clear" w:color="auto" w:fill="auto"/>
            <w:vAlign w:val="center"/>
          </w:tcPr>
          <w:p w14:paraId="597B0CD6">
            <w:pPr>
              <w:jc w:val="center"/>
              <w:rPr>
                <w:rFonts w:ascii="Times New Roman" w:hAnsi="Times New Roman" w:cs="Times New Roman"/>
                <w:szCs w:val="21"/>
              </w:rPr>
            </w:pPr>
            <w:r>
              <w:rPr>
                <w:rFonts w:ascii="Times New Roman" w:hAnsi="Times New Roman" w:cs="Times New Roman"/>
                <w:bCs/>
                <w:szCs w:val="21"/>
              </w:rPr>
              <w:t>HJ 776-2015</w:t>
            </w:r>
          </w:p>
        </w:tc>
        <w:tc>
          <w:tcPr>
            <w:tcW w:w="1390" w:type="dxa"/>
            <w:vMerge w:val="restart"/>
            <w:tcBorders>
              <w:tl2br w:val="nil"/>
              <w:tr2bl w:val="nil"/>
            </w:tcBorders>
            <w:shd w:val="clear" w:color="auto" w:fill="auto"/>
            <w:vAlign w:val="center"/>
          </w:tcPr>
          <w:p w14:paraId="15FDC246">
            <w:pPr>
              <w:jc w:val="center"/>
              <w:rPr>
                <w:rFonts w:ascii="Times New Roman" w:hAnsi="Times New Roman" w:cs="Times New Roman"/>
                <w:szCs w:val="21"/>
              </w:rPr>
            </w:pPr>
            <w:r>
              <w:rPr>
                <w:rFonts w:ascii="Times New Roman" w:hAnsi="Times New Roman" w:cs="Times New Roman"/>
                <w:bCs/>
                <w:szCs w:val="21"/>
              </w:rPr>
              <w:t>等离子体发射光谱仪</w:t>
            </w:r>
            <w:r>
              <w:rPr>
                <w:rFonts w:ascii="Times New Roman" w:hAnsi="Times New Roman" w:eastAsia="宋体" w:cs="Times New Roman"/>
                <w:bCs/>
                <w:szCs w:val="21"/>
              </w:rPr>
              <w:t>ICP 7000 DUO</w:t>
            </w:r>
          </w:p>
        </w:tc>
        <w:tc>
          <w:tcPr>
            <w:tcW w:w="876" w:type="dxa"/>
            <w:tcBorders>
              <w:tl2br w:val="nil"/>
              <w:tr2bl w:val="nil"/>
            </w:tcBorders>
            <w:shd w:val="clear" w:color="auto" w:fill="auto"/>
            <w:vAlign w:val="center"/>
          </w:tcPr>
          <w:p w14:paraId="0C191667">
            <w:pPr>
              <w:jc w:val="center"/>
              <w:rPr>
                <w:rFonts w:ascii="Times New Roman" w:hAnsi="Times New Roman" w:cs="Times New Roman"/>
                <w:szCs w:val="21"/>
              </w:rPr>
            </w:pPr>
            <w:r>
              <w:rPr>
                <w:rFonts w:ascii="Times New Roman" w:hAnsi="Times New Roman" w:cs="Times New Roman"/>
                <w:bCs/>
                <w:szCs w:val="21"/>
              </w:rPr>
              <w:t>0.01 mg/L</w:t>
            </w:r>
          </w:p>
        </w:tc>
      </w:tr>
      <w:tr w14:paraId="326E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0D406C8C">
            <w:pPr>
              <w:adjustRightInd w:val="0"/>
              <w:snapToGrid w:val="0"/>
              <w:jc w:val="center"/>
              <w:rPr>
                <w:rFonts w:ascii="Times New Roman" w:hAnsi="Times New Roman" w:cs="Times New Roman"/>
                <w:bCs/>
                <w:szCs w:val="21"/>
              </w:rPr>
            </w:pPr>
            <w:r>
              <w:rPr>
                <w:rFonts w:ascii="Times New Roman" w:hAnsi="Times New Roman" w:cs="Times New Roman"/>
                <w:bCs/>
                <w:szCs w:val="21"/>
              </w:rPr>
              <w:t>7</w:t>
            </w:r>
          </w:p>
        </w:tc>
        <w:tc>
          <w:tcPr>
            <w:tcW w:w="1210" w:type="dxa"/>
            <w:tcBorders>
              <w:tl2br w:val="nil"/>
              <w:tr2bl w:val="nil"/>
            </w:tcBorders>
            <w:shd w:val="clear" w:color="auto" w:fill="auto"/>
            <w:vAlign w:val="center"/>
          </w:tcPr>
          <w:p w14:paraId="0E3B3341">
            <w:pPr>
              <w:adjustRightInd w:val="0"/>
              <w:snapToGrid w:val="0"/>
              <w:jc w:val="center"/>
              <w:rPr>
                <w:rFonts w:ascii="Times New Roman" w:hAnsi="Times New Roman" w:cs="Times New Roman"/>
                <w:szCs w:val="21"/>
                <w:lang w:bidi="ar"/>
              </w:rPr>
            </w:pPr>
            <w:r>
              <w:rPr>
                <w:rFonts w:ascii="Times New Roman" w:hAnsi="Times New Roman" w:cs="Times New Roman"/>
                <w:bCs/>
                <w:szCs w:val="21"/>
                <w:lang w:bidi="ar"/>
              </w:rPr>
              <w:t>锰</w:t>
            </w:r>
          </w:p>
        </w:tc>
        <w:tc>
          <w:tcPr>
            <w:tcW w:w="2789" w:type="dxa"/>
            <w:vMerge w:val="continue"/>
            <w:tcBorders>
              <w:tl2br w:val="nil"/>
              <w:tr2bl w:val="nil"/>
            </w:tcBorders>
            <w:shd w:val="clear" w:color="auto" w:fill="auto"/>
            <w:vAlign w:val="center"/>
          </w:tcPr>
          <w:p w14:paraId="2CBECC71">
            <w:pPr>
              <w:jc w:val="center"/>
              <w:rPr>
                <w:rFonts w:ascii="Times New Roman" w:hAnsi="Times New Roman" w:cs="Times New Roman"/>
                <w:szCs w:val="21"/>
              </w:rPr>
            </w:pPr>
          </w:p>
        </w:tc>
        <w:tc>
          <w:tcPr>
            <w:tcW w:w="1794" w:type="dxa"/>
            <w:vMerge w:val="continue"/>
            <w:tcBorders>
              <w:tl2br w:val="nil"/>
              <w:tr2bl w:val="nil"/>
            </w:tcBorders>
            <w:shd w:val="clear" w:color="auto" w:fill="auto"/>
            <w:vAlign w:val="center"/>
          </w:tcPr>
          <w:p w14:paraId="2CA5AB98">
            <w:pPr>
              <w:jc w:val="center"/>
              <w:rPr>
                <w:rFonts w:ascii="Times New Roman" w:hAnsi="Times New Roman" w:cs="Times New Roman"/>
                <w:szCs w:val="21"/>
              </w:rPr>
            </w:pPr>
          </w:p>
        </w:tc>
        <w:tc>
          <w:tcPr>
            <w:tcW w:w="1390" w:type="dxa"/>
            <w:vMerge w:val="continue"/>
            <w:tcBorders>
              <w:tl2br w:val="nil"/>
              <w:tr2bl w:val="nil"/>
            </w:tcBorders>
            <w:shd w:val="clear" w:color="auto" w:fill="auto"/>
            <w:vAlign w:val="center"/>
          </w:tcPr>
          <w:p w14:paraId="50DE6266">
            <w:pPr>
              <w:jc w:val="center"/>
              <w:rPr>
                <w:rFonts w:ascii="Times New Roman" w:hAnsi="Times New Roman" w:cs="Times New Roman"/>
                <w:szCs w:val="21"/>
              </w:rPr>
            </w:pPr>
          </w:p>
        </w:tc>
        <w:tc>
          <w:tcPr>
            <w:tcW w:w="876" w:type="dxa"/>
            <w:tcBorders>
              <w:tl2br w:val="nil"/>
              <w:tr2bl w:val="nil"/>
            </w:tcBorders>
            <w:shd w:val="clear" w:color="auto" w:fill="auto"/>
            <w:vAlign w:val="center"/>
          </w:tcPr>
          <w:p w14:paraId="7B5AA5EE">
            <w:pPr>
              <w:jc w:val="center"/>
              <w:rPr>
                <w:rFonts w:ascii="Times New Roman" w:hAnsi="Times New Roman" w:cs="Times New Roman"/>
                <w:szCs w:val="21"/>
              </w:rPr>
            </w:pPr>
            <w:r>
              <w:rPr>
                <w:rFonts w:ascii="Times New Roman" w:hAnsi="Times New Roman" w:cs="Times New Roman"/>
                <w:bCs/>
                <w:szCs w:val="21"/>
              </w:rPr>
              <w:t>0.01 mg/L</w:t>
            </w:r>
          </w:p>
        </w:tc>
      </w:tr>
      <w:tr w14:paraId="1445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0D4503E9">
            <w:pPr>
              <w:adjustRightInd w:val="0"/>
              <w:snapToGrid w:val="0"/>
              <w:jc w:val="center"/>
              <w:rPr>
                <w:rFonts w:ascii="Times New Roman" w:hAnsi="Times New Roman" w:cs="Times New Roman"/>
                <w:bCs/>
                <w:szCs w:val="21"/>
              </w:rPr>
            </w:pPr>
            <w:r>
              <w:rPr>
                <w:rFonts w:ascii="Times New Roman" w:hAnsi="Times New Roman" w:cs="Times New Roman"/>
                <w:bCs/>
                <w:szCs w:val="21"/>
              </w:rPr>
              <w:t>8</w:t>
            </w:r>
          </w:p>
        </w:tc>
        <w:tc>
          <w:tcPr>
            <w:tcW w:w="1210" w:type="dxa"/>
            <w:tcBorders>
              <w:tl2br w:val="nil"/>
              <w:tr2bl w:val="nil"/>
            </w:tcBorders>
            <w:shd w:val="clear" w:color="auto" w:fill="auto"/>
            <w:vAlign w:val="center"/>
          </w:tcPr>
          <w:p w14:paraId="29C42176">
            <w:pPr>
              <w:jc w:val="center"/>
              <w:rPr>
                <w:rFonts w:ascii="Times New Roman" w:hAnsi="Times New Roman" w:cs="Times New Roman"/>
                <w:bCs/>
                <w:szCs w:val="21"/>
                <w:lang w:bidi="ar"/>
              </w:rPr>
            </w:pPr>
            <w:r>
              <w:rPr>
                <w:rFonts w:ascii="Times New Roman" w:hAnsi="Times New Roman" w:cs="Times New Roman"/>
                <w:szCs w:val="21"/>
              </w:rPr>
              <w:t>挥发酚</w:t>
            </w:r>
          </w:p>
        </w:tc>
        <w:tc>
          <w:tcPr>
            <w:tcW w:w="2789" w:type="dxa"/>
            <w:tcBorders>
              <w:tl2br w:val="nil"/>
              <w:tr2bl w:val="nil"/>
            </w:tcBorders>
            <w:shd w:val="clear" w:color="auto" w:fill="auto"/>
            <w:vAlign w:val="center"/>
          </w:tcPr>
          <w:p w14:paraId="423773D2">
            <w:pPr>
              <w:jc w:val="center"/>
              <w:rPr>
                <w:rFonts w:ascii="Times New Roman" w:hAnsi="Times New Roman" w:cs="Times New Roman"/>
                <w:szCs w:val="21"/>
              </w:rPr>
            </w:pPr>
            <w:r>
              <w:rPr>
                <w:rFonts w:ascii="Times New Roman" w:hAnsi="Times New Roman" w:cs="Times New Roman"/>
                <w:szCs w:val="21"/>
              </w:rPr>
              <w:t>水质 挥发酚的测定 4-氨基安替吡啉分光光度法</w:t>
            </w:r>
          </w:p>
          <w:p w14:paraId="1C7E0D78">
            <w:pPr>
              <w:jc w:val="center"/>
              <w:rPr>
                <w:rFonts w:ascii="Times New Roman" w:hAnsi="Times New Roman" w:cs="Times New Roman"/>
                <w:szCs w:val="21"/>
              </w:rPr>
            </w:pPr>
            <w:r>
              <w:rPr>
                <w:rFonts w:ascii="Times New Roman" w:hAnsi="Times New Roman" w:cs="Times New Roman"/>
                <w:szCs w:val="21"/>
              </w:rPr>
              <w:t>（方法 1萃取分光光度法）</w:t>
            </w:r>
          </w:p>
        </w:tc>
        <w:tc>
          <w:tcPr>
            <w:tcW w:w="1794" w:type="dxa"/>
            <w:tcBorders>
              <w:tl2br w:val="nil"/>
              <w:tr2bl w:val="nil"/>
            </w:tcBorders>
            <w:shd w:val="clear" w:color="auto" w:fill="auto"/>
            <w:vAlign w:val="center"/>
          </w:tcPr>
          <w:p w14:paraId="3DC246D1">
            <w:pPr>
              <w:pStyle w:val="70"/>
              <w:rPr>
                <w:rFonts w:ascii="Times New Roman" w:hAnsi="Times New Roman" w:eastAsiaTheme="minorEastAsia"/>
                <w:bCs w:val="0"/>
                <w:szCs w:val="21"/>
              </w:rPr>
            </w:pPr>
            <w:r>
              <w:rPr>
                <w:rFonts w:ascii="Times New Roman" w:hAnsi="Times New Roman"/>
                <w:szCs w:val="21"/>
              </w:rPr>
              <w:t>HJ 503-2009</w:t>
            </w:r>
          </w:p>
        </w:tc>
        <w:tc>
          <w:tcPr>
            <w:tcW w:w="1390" w:type="dxa"/>
            <w:tcBorders>
              <w:tl2br w:val="nil"/>
              <w:tr2bl w:val="nil"/>
            </w:tcBorders>
            <w:shd w:val="clear" w:color="auto" w:fill="auto"/>
            <w:vAlign w:val="center"/>
          </w:tcPr>
          <w:p w14:paraId="58598AAB">
            <w:pPr>
              <w:jc w:val="center"/>
              <w:rPr>
                <w:rFonts w:ascii="Times New Roman" w:hAnsi="Times New Roman" w:cs="Times New Roman"/>
                <w:szCs w:val="21"/>
              </w:rPr>
            </w:pPr>
            <w:r>
              <w:rPr>
                <w:rFonts w:ascii="Times New Roman" w:hAnsi="Times New Roman" w:cs="Times New Roman"/>
                <w:szCs w:val="21"/>
              </w:rPr>
              <w:t>T6新悦可见</w:t>
            </w:r>
          </w:p>
          <w:p w14:paraId="4C8185A6">
            <w:pPr>
              <w:jc w:val="center"/>
              <w:rPr>
                <w:rFonts w:ascii="Times New Roman" w:hAnsi="Times New Roman" w:cs="Times New Roman"/>
                <w:szCs w:val="21"/>
              </w:rPr>
            </w:pPr>
            <w:r>
              <w:rPr>
                <w:rFonts w:ascii="Times New Roman" w:hAnsi="Times New Roman" w:cs="Times New Roman"/>
                <w:szCs w:val="21"/>
              </w:rPr>
              <w:t>分光光度计</w:t>
            </w:r>
          </w:p>
        </w:tc>
        <w:tc>
          <w:tcPr>
            <w:tcW w:w="876" w:type="dxa"/>
            <w:tcBorders>
              <w:tl2br w:val="nil"/>
              <w:tr2bl w:val="nil"/>
            </w:tcBorders>
            <w:shd w:val="clear" w:color="auto" w:fill="auto"/>
            <w:vAlign w:val="center"/>
          </w:tcPr>
          <w:p w14:paraId="2457E00F">
            <w:pPr>
              <w:jc w:val="center"/>
              <w:rPr>
                <w:rFonts w:ascii="Times New Roman" w:hAnsi="Times New Roman" w:cs="Times New Roman"/>
                <w:bCs/>
                <w:szCs w:val="21"/>
              </w:rPr>
            </w:pPr>
            <w:r>
              <w:rPr>
                <w:rFonts w:ascii="Times New Roman" w:hAnsi="Times New Roman" w:cs="Times New Roman"/>
                <w:szCs w:val="21"/>
              </w:rPr>
              <w:t>0.0003 mg/L</w:t>
            </w:r>
          </w:p>
        </w:tc>
      </w:tr>
      <w:tr w14:paraId="30FC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642C4D2A">
            <w:pPr>
              <w:adjustRightInd w:val="0"/>
              <w:snapToGrid w:val="0"/>
              <w:jc w:val="center"/>
              <w:rPr>
                <w:rFonts w:ascii="Times New Roman" w:hAnsi="Times New Roman" w:cs="Times New Roman"/>
                <w:bCs/>
                <w:szCs w:val="21"/>
              </w:rPr>
            </w:pPr>
            <w:r>
              <w:rPr>
                <w:rFonts w:ascii="Times New Roman" w:hAnsi="Times New Roman" w:cs="Times New Roman"/>
                <w:bCs/>
                <w:szCs w:val="21"/>
              </w:rPr>
              <w:t>9</w:t>
            </w:r>
          </w:p>
        </w:tc>
        <w:tc>
          <w:tcPr>
            <w:tcW w:w="1210" w:type="dxa"/>
            <w:tcBorders>
              <w:tl2br w:val="nil"/>
              <w:tr2bl w:val="nil"/>
            </w:tcBorders>
            <w:shd w:val="clear" w:color="auto" w:fill="auto"/>
            <w:vAlign w:val="center"/>
          </w:tcPr>
          <w:p w14:paraId="356C3CD9">
            <w:pPr>
              <w:adjustRightInd w:val="0"/>
              <w:snapToGrid w:val="0"/>
              <w:jc w:val="center"/>
              <w:rPr>
                <w:rFonts w:ascii="Times New Roman" w:hAnsi="Times New Roman" w:cs="Times New Roman"/>
                <w:bCs/>
                <w:szCs w:val="21"/>
                <w:lang w:bidi="ar"/>
              </w:rPr>
            </w:pPr>
            <w:r>
              <w:rPr>
                <w:rFonts w:ascii="Times New Roman" w:hAnsi="Times New Roman" w:cs="Times New Roman"/>
                <w:szCs w:val="21"/>
                <w:lang w:bidi="ar"/>
              </w:rPr>
              <w:t>耗氧量</w:t>
            </w:r>
          </w:p>
        </w:tc>
        <w:tc>
          <w:tcPr>
            <w:tcW w:w="2789" w:type="dxa"/>
            <w:tcBorders>
              <w:tl2br w:val="nil"/>
              <w:tr2bl w:val="nil"/>
            </w:tcBorders>
            <w:shd w:val="clear" w:color="auto" w:fill="auto"/>
            <w:vAlign w:val="center"/>
          </w:tcPr>
          <w:p w14:paraId="11B56797">
            <w:pPr>
              <w:spacing w:line="360" w:lineRule="exact"/>
              <w:jc w:val="center"/>
              <w:rPr>
                <w:rFonts w:ascii="Times New Roman" w:hAnsi="Times New Roman" w:cs="Times New Roman"/>
                <w:szCs w:val="21"/>
              </w:rPr>
            </w:pPr>
            <w:r>
              <w:rPr>
                <w:rFonts w:ascii="Times New Roman" w:hAnsi="Times New Roman" w:cs="Times New Roman"/>
                <w:szCs w:val="21"/>
              </w:rPr>
              <w:t>生活饮用水标准检验方法 有机物综合指标（1.1 耗氧量 酸性高锰酸钾滴定法）</w:t>
            </w:r>
          </w:p>
        </w:tc>
        <w:tc>
          <w:tcPr>
            <w:tcW w:w="1794" w:type="dxa"/>
            <w:tcBorders>
              <w:tl2br w:val="nil"/>
              <w:tr2bl w:val="nil"/>
            </w:tcBorders>
            <w:shd w:val="clear" w:color="auto" w:fill="auto"/>
            <w:vAlign w:val="center"/>
          </w:tcPr>
          <w:p w14:paraId="7471F6BD">
            <w:pPr>
              <w:spacing w:line="360" w:lineRule="exact"/>
              <w:jc w:val="center"/>
              <w:rPr>
                <w:rFonts w:ascii="Times New Roman" w:hAnsi="Times New Roman" w:cs="Times New Roman"/>
                <w:szCs w:val="21"/>
              </w:rPr>
            </w:pPr>
            <w:r>
              <w:rPr>
                <w:rFonts w:ascii="Times New Roman" w:hAnsi="Times New Roman" w:cs="Times New Roman"/>
                <w:szCs w:val="21"/>
              </w:rPr>
              <w:t>GB/T 5750.7-2006</w:t>
            </w:r>
          </w:p>
        </w:tc>
        <w:tc>
          <w:tcPr>
            <w:tcW w:w="1390" w:type="dxa"/>
            <w:tcBorders>
              <w:tl2br w:val="nil"/>
              <w:tr2bl w:val="nil"/>
            </w:tcBorders>
            <w:shd w:val="clear" w:color="auto" w:fill="auto"/>
            <w:vAlign w:val="center"/>
          </w:tcPr>
          <w:p w14:paraId="6EAF3C51">
            <w:pPr>
              <w:jc w:val="center"/>
              <w:rPr>
                <w:rFonts w:ascii="Times New Roman" w:hAnsi="Times New Roman" w:cs="Times New Roman"/>
                <w:szCs w:val="21"/>
              </w:rPr>
            </w:pPr>
            <w:r>
              <w:rPr>
                <w:rFonts w:ascii="Times New Roman" w:hAnsi="Times New Roman" w:cs="Times New Roman"/>
                <w:szCs w:val="21"/>
              </w:rPr>
              <w:t>酸式</w:t>
            </w:r>
          </w:p>
          <w:p w14:paraId="206ECE40">
            <w:pPr>
              <w:spacing w:line="360" w:lineRule="exact"/>
              <w:jc w:val="center"/>
              <w:rPr>
                <w:rFonts w:ascii="Times New Roman" w:hAnsi="Times New Roman" w:cs="Times New Roman"/>
                <w:szCs w:val="21"/>
              </w:rPr>
            </w:pPr>
            <w:r>
              <w:rPr>
                <w:rFonts w:ascii="Times New Roman" w:hAnsi="Times New Roman" w:cs="Times New Roman"/>
                <w:szCs w:val="21"/>
              </w:rPr>
              <w:t>滴定管</w:t>
            </w:r>
          </w:p>
        </w:tc>
        <w:tc>
          <w:tcPr>
            <w:tcW w:w="876" w:type="dxa"/>
            <w:tcBorders>
              <w:tl2br w:val="nil"/>
              <w:tr2bl w:val="nil"/>
            </w:tcBorders>
            <w:shd w:val="clear" w:color="auto" w:fill="auto"/>
            <w:vAlign w:val="center"/>
          </w:tcPr>
          <w:p w14:paraId="43B10DD7">
            <w:pPr>
              <w:jc w:val="center"/>
              <w:rPr>
                <w:rFonts w:ascii="Times New Roman" w:hAnsi="Times New Roman" w:cs="Times New Roman"/>
                <w:bCs/>
                <w:szCs w:val="21"/>
              </w:rPr>
            </w:pPr>
            <w:r>
              <w:rPr>
                <w:rFonts w:ascii="Times New Roman" w:hAnsi="Times New Roman" w:cs="Times New Roman"/>
                <w:szCs w:val="21"/>
              </w:rPr>
              <w:t>0.05 mg/L</w:t>
            </w:r>
          </w:p>
        </w:tc>
      </w:tr>
      <w:tr w14:paraId="353F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5510FE9E">
            <w:pPr>
              <w:adjustRightInd w:val="0"/>
              <w:snapToGrid w:val="0"/>
              <w:jc w:val="center"/>
              <w:rPr>
                <w:rFonts w:ascii="Times New Roman" w:hAnsi="Times New Roman" w:cs="Times New Roman"/>
                <w:bCs/>
                <w:szCs w:val="21"/>
              </w:rPr>
            </w:pPr>
            <w:r>
              <w:rPr>
                <w:rFonts w:ascii="Times New Roman" w:hAnsi="Times New Roman" w:cs="Times New Roman"/>
                <w:bCs/>
                <w:szCs w:val="21"/>
              </w:rPr>
              <w:t>10</w:t>
            </w:r>
          </w:p>
        </w:tc>
        <w:tc>
          <w:tcPr>
            <w:tcW w:w="1210" w:type="dxa"/>
            <w:tcBorders>
              <w:tl2br w:val="nil"/>
              <w:tr2bl w:val="nil"/>
            </w:tcBorders>
            <w:shd w:val="clear" w:color="auto" w:fill="auto"/>
            <w:vAlign w:val="center"/>
          </w:tcPr>
          <w:p w14:paraId="669F43D8">
            <w:pPr>
              <w:adjustRightInd w:val="0"/>
              <w:snapToGrid w:val="0"/>
              <w:jc w:val="center"/>
              <w:rPr>
                <w:rFonts w:ascii="Times New Roman" w:hAnsi="Times New Roman" w:cs="Times New Roman"/>
                <w:bCs/>
                <w:szCs w:val="21"/>
                <w:lang w:bidi="ar"/>
              </w:rPr>
            </w:pPr>
            <w:r>
              <w:rPr>
                <w:rFonts w:ascii="Times New Roman" w:hAnsi="Times New Roman" w:cs="Times New Roman"/>
                <w:bCs/>
                <w:szCs w:val="21"/>
              </w:rPr>
              <w:t>氨氮</w:t>
            </w:r>
          </w:p>
        </w:tc>
        <w:tc>
          <w:tcPr>
            <w:tcW w:w="2789" w:type="dxa"/>
            <w:tcBorders>
              <w:tl2br w:val="nil"/>
              <w:tr2bl w:val="nil"/>
            </w:tcBorders>
            <w:shd w:val="clear" w:color="auto" w:fill="auto"/>
            <w:vAlign w:val="center"/>
          </w:tcPr>
          <w:p w14:paraId="4DAB114C">
            <w:pPr>
              <w:jc w:val="center"/>
              <w:rPr>
                <w:rFonts w:ascii="Times New Roman" w:hAnsi="Times New Roman" w:cs="Times New Roman"/>
                <w:bCs/>
                <w:szCs w:val="21"/>
              </w:rPr>
            </w:pPr>
            <w:r>
              <w:rPr>
                <w:rFonts w:ascii="Times New Roman" w:hAnsi="Times New Roman" w:cs="Times New Roman"/>
                <w:bCs/>
                <w:szCs w:val="21"/>
              </w:rPr>
              <w:t>水质 氨氮的测定</w:t>
            </w:r>
          </w:p>
          <w:p w14:paraId="3A12FD1D">
            <w:pPr>
              <w:jc w:val="center"/>
              <w:rPr>
                <w:rFonts w:ascii="Times New Roman" w:hAnsi="Times New Roman" w:cs="Times New Roman"/>
                <w:szCs w:val="21"/>
              </w:rPr>
            </w:pPr>
            <w:r>
              <w:rPr>
                <w:rFonts w:ascii="Times New Roman" w:hAnsi="Times New Roman" w:cs="Times New Roman"/>
                <w:bCs/>
                <w:szCs w:val="21"/>
              </w:rPr>
              <w:t>纳氏试剂分光光度法</w:t>
            </w:r>
          </w:p>
        </w:tc>
        <w:tc>
          <w:tcPr>
            <w:tcW w:w="1794" w:type="dxa"/>
            <w:tcBorders>
              <w:tl2br w:val="nil"/>
              <w:tr2bl w:val="nil"/>
            </w:tcBorders>
            <w:shd w:val="clear" w:color="auto" w:fill="auto"/>
            <w:vAlign w:val="center"/>
          </w:tcPr>
          <w:p w14:paraId="7D44CBD0">
            <w:pPr>
              <w:jc w:val="center"/>
              <w:rPr>
                <w:rFonts w:ascii="Times New Roman" w:hAnsi="Times New Roman" w:cs="Times New Roman"/>
                <w:szCs w:val="21"/>
              </w:rPr>
            </w:pPr>
            <w:r>
              <w:rPr>
                <w:rFonts w:ascii="Times New Roman" w:hAnsi="Times New Roman" w:cs="Times New Roman"/>
                <w:bCs/>
                <w:szCs w:val="21"/>
              </w:rPr>
              <w:t>HJ 535-2009</w:t>
            </w:r>
          </w:p>
        </w:tc>
        <w:tc>
          <w:tcPr>
            <w:tcW w:w="1390" w:type="dxa"/>
            <w:tcBorders>
              <w:tl2br w:val="nil"/>
              <w:tr2bl w:val="nil"/>
            </w:tcBorders>
            <w:shd w:val="clear" w:color="auto" w:fill="auto"/>
            <w:vAlign w:val="center"/>
          </w:tcPr>
          <w:p w14:paraId="5A86E744">
            <w:pPr>
              <w:jc w:val="center"/>
              <w:rPr>
                <w:rFonts w:ascii="Times New Roman" w:hAnsi="Times New Roman" w:cs="Times New Roman"/>
                <w:szCs w:val="21"/>
              </w:rPr>
            </w:pPr>
            <w:r>
              <w:rPr>
                <w:rFonts w:ascii="Times New Roman" w:hAnsi="Times New Roman" w:eastAsia="宋体" w:cs="Times New Roman"/>
                <w:bCs/>
                <w:szCs w:val="21"/>
              </w:rPr>
              <w:t>T6新悦可见分光光度计</w:t>
            </w:r>
          </w:p>
        </w:tc>
        <w:tc>
          <w:tcPr>
            <w:tcW w:w="876" w:type="dxa"/>
            <w:tcBorders>
              <w:tl2br w:val="nil"/>
              <w:tr2bl w:val="nil"/>
            </w:tcBorders>
            <w:shd w:val="clear" w:color="auto" w:fill="auto"/>
            <w:vAlign w:val="center"/>
          </w:tcPr>
          <w:p w14:paraId="3042E162">
            <w:pPr>
              <w:jc w:val="center"/>
              <w:rPr>
                <w:rFonts w:ascii="Times New Roman" w:hAnsi="Times New Roman" w:cs="Times New Roman"/>
                <w:bCs/>
                <w:szCs w:val="21"/>
              </w:rPr>
            </w:pPr>
            <w:r>
              <w:rPr>
                <w:rFonts w:ascii="Times New Roman" w:hAnsi="Times New Roman" w:cs="Times New Roman"/>
                <w:bCs/>
                <w:szCs w:val="21"/>
              </w:rPr>
              <w:t>0.025 mg/L</w:t>
            </w:r>
          </w:p>
        </w:tc>
      </w:tr>
      <w:tr w14:paraId="507D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56C2ED4A">
            <w:pPr>
              <w:adjustRightInd w:val="0"/>
              <w:snapToGrid w:val="0"/>
              <w:jc w:val="center"/>
              <w:rPr>
                <w:rFonts w:ascii="Times New Roman" w:hAnsi="Times New Roman" w:cs="Times New Roman"/>
                <w:bCs/>
                <w:szCs w:val="21"/>
              </w:rPr>
            </w:pPr>
            <w:r>
              <w:rPr>
                <w:rFonts w:ascii="Times New Roman" w:hAnsi="Times New Roman" w:cs="Times New Roman"/>
                <w:bCs/>
                <w:szCs w:val="21"/>
              </w:rPr>
              <w:t>11</w:t>
            </w:r>
          </w:p>
        </w:tc>
        <w:tc>
          <w:tcPr>
            <w:tcW w:w="1210" w:type="dxa"/>
            <w:tcBorders>
              <w:tl2br w:val="nil"/>
              <w:tr2bl w:val="nil"/>
            </w:tcBorders>
            <w:shd w:val="clear" w:color="auto" w:fill="auto"/>
            <w:vAlign w:val="center"/>
          </w:tcPr>
          <w:p w14:paraId="4F719266">
            <w:pPr>
              <w:adjustRightInd w:val="0"/>
              <w:snapToGrid w:val="0"/>
              <w:jc w:val="center"/>
              <w:rPr>
                <w:rFonts w:ascii="Times New Roman" w:hAnsi="Times New Roman" w:cs="Times New Roman"/>
                <w:bCs/>
                <w:szCs w:val="21"/>
              </w:rPr>
            </w:pPr>
            <w:r>
              <w:rPr>
                <w:rFonts w:ascii="Times New Roman" w:hAnsi="Times New Roman" w:cs="Times New Roman"/>
                <w:szCs w:val="21"/>
              </w:rPr>
              <w:t>钠</w:t>
            </w:r>
          </w:p>
        </w:tc>
        <w:tc>
          <w:tcPr>
            <w:tcW w:w="2789" w:type="dxa"/>
            <w:tcBorders>
              <w:tl2br w:val="nil"/>
              <w:tr2bl w:val="nil"/>
            </w:tcBorders>
            <w:shd w:val="clear" w:color="auto" w:fill="auto"/>
            <w:vAlign w:val="center"/>
          </w:tcPr>
          <w:p w14:paraId="587F6D66">
            <w:pPr>
              <w:jc w:val="center"/>
              <w:rPr>
                <w:rFonts w:ascii="Times New Roman" w:hAnsi="Times New Roman" w:cs="Times New Roman"/>
                <w:szCs w:val="21"/>
              </w:rPr>
            </w:pPr>
            <w:r>
              <w:rPr>
                <w:rFonts w:ascii="Times New Roman" w:hAnsi="Times New Roman" w:cs="Times New Roman"/>
                <w:szCs w:val="21"/>
              </w:rPr>
              <w:t>水质 32种元素的测定</w:t>
            </w:r>
          </w:p>
          <w:p w14:paraId="05BCA120">
            <w:pPr>
              <w:jc w:val="center"/>
              <w:rPr>
                <w:rFonts w:ascii="Times New Roman" w:hAnsi="Times New Roman" w:cs="Times New Roman"/>
                <w:bCs/>
                <w:szCs w:val="21"/>
              </w:rPr>
            </w:pPr>
            <w:r>
              <w:rPr>
                <w:rFonts w:ascii="Times New Roman" w:hAnsi="Times New Roman" w:cs="Times New Roman"/>
                <w:szCs w:val="21"/>
              </w:rPr>
              <w:t>电感耦合等离子体发射光谱法</w:t>
            </w:r>
          </w:p>
        </w:tc>
        <w:tc>
          <w:tcPr>
            <w:tcW w:w="1794" w:type="dxa"/>
            <w:tcBorders>
              <w:tl2br w:val="nil"/>
              <w:tr2bl w:val="nil"/>
            </w:tcBorders>
            <w:shd w:val="clear" w:color="auto" w:fill="auto"/>
            <w:vAlign w:val="center"/>
          </w:tcPr>
          <w:p w14:paraId="16F1FBBD">
            <w:pPr>
              <w:jc w:val="center"/>
              <w:rPr>
                <w:rFonts w:ascii="Times New Roman" w:hAnsi="Times New Roman" w:cs="Times New Roman"/>
                <w:bCs/>
                <w:szCs w:val="21"/>
              </w:rPr>
            </w:pPr>
            <w:r>
              <w:rPr>
                <w:rFonts w:ascii="Times New Roman" w:hAnsi="Times New Roman" w:cs="Times New Roman"/>
                <w:szCs w:val="21"/>
              </w:rPr>
              <w:t>HJ 776-2015</w:t>
            </w:r>
          </w:p>
        </w:tc>
        <w:tc>
          <w:tcPr>
            <w:tcW w:w="1390" w:type="dxa"/>
            <w:tcBorders>
              <w:tl2br w:val="nil"/>
              <w:tr2bl w:val="nil"/>
            </w:tcBorders>
            <w:shd w:val="clear" w:color="auto" w:fill="auto"/>
            <w:vAlign w:val="center"/>
          </w:tcPr>
          <w:p w14:paraId="5F0DDD6F">
            <w:pPr>
              <w:jc w:val="center"/>
              <w:rPr>
                <w:rFonts w:ascii="Times New Roman" w:hAnsi="Times New Roman" w:cs="Times New Roman"/>
                <w:bCs/>
                <w:szCs w:val="21"/>
              </w:rPr>
            </w:pPr>
            <w:r>
              <w:rPr>
                <w:rFonts w:ascii="Times New Roman" w:hAnsi="Times New Roman" w:cs="Times New Roman"/>
                <w:szCs w:val="21"/>
              </w:rPr>
              <w:t>电感耦合等离子体发射光谱仪7200 DUO</w:t>
            </w:r>
          </w:p>
        </w:tc>
        <w:tc>
          <w:tcPr>
            <w:tcW w:w="876" w:type="dxa"/>
            <w:tcBorders>
              <w:tl2br w:val="nil"/>
              <w:tr2bl w:val="nil"/>
            </w:tcBorders>
            <w:shd w:val="clear" w:color="auto" w:fill="auto"/>
            <w:vAlign w:val="center"/>
          </w:tcPr>
          <w:p w14:paraId="0A82F73F">
            <w:pPr>
              <w:jc w:val="center"/>
              <w:rPr>
                <w:rFonts w:ascii="Times New Roman" w:hAnsi="Times New Roman" w:cs="Times New Roman"/>
                <w:bCs/>
                <w:szCs w:val="21"/>
              </w:rPr>
            </w:pPr>
            <w:r>
              <w:rPr>
                <w:rFonts w:ascii="Times New Roman" w:hAnsi="Times New Roman" w:cs="Times New Roman"/>
                <w:szCs w:val="21"/>
              </w:rPr>
              <w:t>0.12 mg/L</w:t>
            </w:r>
          </w:p>
        </w:tc>
      </w:tr>
      <w:tr w14:paraId="6790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614E02D8">
            <w:pPr>
              <w:adjustRightInd w:val="0"/>
              <w:snapToGrid w:val="0"/>
              <w:jc w:val="center"/>
              <w:rPr>
                <w:rFonts w:ascii="Times New Roman" w:hAnsi="Times New Roman" w:cs="Times New Roman"/>
                <w:bCs/>
                <w:szCs w:val="21"/>
              </w:rPr>
            </w:pPr>
            <w:r>
              <w:rPr>
                <w:rFonts w:ascii="Times New Roman" w:hAnsi="Times New Roman" w:cs="Times New Roman"/>
                <w:bCs/>
                <w:szCs w:val="21"/>
              </w:rPr>
              <w:t>12</w:t>
            </w:r>
          </w:p>
        </w:tc>
        <w:tc>
          <w:tcPr>
            <w:tcW w:w="1210" w:type="dxa"/>
            <w:tcBorders>
              <w:tl2br w:val="nil"/>
              <w:tr2bl w:val="nil"/>
            </w:tcBorders>
            <w:shd w:val="clear" w:color="auto" w:fill="auto"/>
            <w:vAlign w:val="center"/>
          </w:tcPr>
          <w:p w14:paraId="6EC0A0B0">
            <w:pPr>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总大肠</w:t>
            </w:r>
          </w:p>
          <w:p w14:paraId="66BB8B2B">
            <w:pPr>
              <w:adjustRightInd w:val="0"/>
              <w:snapToGrid w:val="0"/>
              <w:jc w:val="center"/>
              <w:rPr>
                <w:rFonts w:ascii="Times New Roman" w:hAnsi="Times New Roman" w:cs="Times New Roman"/>
                <w:szCs w:val="21"/>
              </w:rPr>
            </w:pPr>
            <w:r>
              <w:rPr>
                <w:rFonts w:ascii="Times New Roman" w:hAnsi="Times New Roman" w:cs="Times New Roman"/>
                <w:szCs w:val="21"/>
                <w:lang w:bidi="ar"/>
              </w:rPr>
              <w:t>菌群</w:t>
            </w:r>
          </w:p>
        </w:tc>
        <w:tc>
          <w:tcPr>
            <w:tcW w:w="2789" w:type="dxa"/>
            <w:tcBorders>
              <w:tl2br w:val="nil"/>
              <w:tr2bl w:val="nil"/>
            </w:tcBorders>
            <w:shd w:val="clear" w:color="auto" w:fill="auto"/>
            <w:vAlign w:val="center"/>
          </w:tcPr>
          <w:p w14:paraId="41EA9573">
            <w:pPr>
              <w:jc w:val="center"/>
              <w:rPr>
                <w:rFonts w:ascii="Times New Roman" w:hAnsi="Times New Roman" w:cs="Times New Roman"/>
                <w:szCs w:val="21"/>
              </w:rPr>
            </w:pPr>
            <w:r>
              <w:rPr>
                <w:rFonts w:ascii="Times New Roman" w:hAnsi="Times New Roman" w:cs="Times New Roman"/>
                <w:szCs w:val="21"/>
              </w:rPr>
              <w:t>总大肠菌群  多管发酵法</w:t>
            </w:r>
          </w:p>
        </w:tc>
        <w:tc>
          <w:tcPr>
            <w:tcW w:w="1794" w:type="dxa"/>
            <w:tcBorders>
              <w:tl2br w:val="nil"/>
              <w:tr2bl w:val="nil"/>
            </w:tcBorders>
            <w:shd w:val="clear" w:color="auto" w:fill="auto"/>
            <w:vAlign w:val="center"/>
          </w:tcPr>
          <w:p w14:paraId="6633F3FA">
            <w:pPr>
              <w:jc w:val="center"/>
              <w:rPr>
                <w:rFonts w:ascii="Times New Roman" w:hAnsi="Times New Roman" w:cs="Times New Roman"/>
                <w:szCs w:val="21"/>
              </w:rPr>
            </w:pPr>
            <w:r>
              <w:rPr>
                <w:rFonts w:ascii="Times New Roman" w:hAnsi="Times New Roman" w:cs="Times New Roman"/>
                <w:szCs w:val="21"/>
              </w:rPr>
              <w:t xml:space="preserve"> 《水和废水监测分析方法》（第四版）国家环境保护总局（2002年）</w:t>
            </w:r>
          </w:p>
        </w:tc>
        <w:tc>
          <w:tcPr>
            <w:tcW w:w="1390" w:type="dxa"/>
            <w:tcBorders>
              <w:tl2br w:val="nil"/>
              <w:tr2bl w:val="nil"/>
            </w:tcBorders>
            <w:shd w:val="clear" w:color="auto" w:fill="auto"/>
            <w:vAlign w:val="center"/>
          </w:tcPr>
          <w:p w14:paraId="0E58B2C6">
            <w:pPr>
              <w:jc w:val="center"/>
              <w:rPr>
                <w:rFonts w:ascii="Times New Roman" w:hAnsi="Times New Roman" w:cs="Times New Roman"/>
                <w:szCs w:val="21"/>
              </w:rPr>
            </w:pPr>
            <w:r>
              <w:rPr>
                <w:rFonts w:ascii="Times New Roman" w:hAnsi="Times New Roman" w:cs="Times New Roman"/>
                <w:szCs w:val="21"/>
              </w:rPr>
              <w:t>/</w:t>
            </w:r>
          </w:p>
        </w:tc>
        <w:tc>
          <w:tcPr>
            <w:tcW w:w="876" w:type="dxa"/>
            <w:tcBorders>
              <w:tl2br w:val="nil"/>
              <w:tr2bl w:val="nil"/>
            </w:tcBorders>
            <w:shd w:val="clear" w:color="auto" w:fill="auto"/>
            <w:vAlign w:val="center"/>
          </w:tcPr>
          <w:p w14:paraId="0DCB25D6">
            <w:pPr>
              <w:jc w:val="center"/>
              <w:rPr>
                <w:rFonts w:ascii="Times New Roman" w:hAnsi="Times New Roman" w:cs="Times New Roman"/>
                <w:szCs w:val="21"/>
              </w:rPr>
            </w:pPr>
            <w:r>
              <w:rPr>
                <w:rFonts w:ascii="Times New Roman" w:hAnsi="Times New Roman" w:cs="Times New Roman"/>
                <w:szCs w:val="21"/>
              </w:rPr>
              <w:t>/</w:t>
            </w:r>
          </w:p>
        </w:tc>
      </w:tr>
      <w:tr w14:paraId="0D34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2BC933FF">
            <w:pPr>
              <w:adjustRightInd w:val="0"/>
              <w:snapToGrid w:val="0"/>
              <w:jc w:val="center"/>
              <w:rPr>
                <w:rFonts w:ascii="Times New Roman" w:hAnsi="Times New Roman" w:cs="Times New Roman"/>
                <w:bCs/>
                <w:szCs w:val="21"/>
              </w:rPr>
            </w:pPr>
            <w:r>
              <w:rPr>
                <w:rFonts w:ascii="Times New Roman" w:hAnsi="Times New Roman" w:cs="Times New Roman"/>
                <w:bCs/>
                <w:szCs w:val="21"/>
              </w:rPr>
              <w:t>13</w:t>
            </w:r>
          </w:p>
        </w:tc>
        <w:tc>
          <w:tcPr>
            <w:tcW w:w="1210" w:type="dxa"/>
            <w:tcBorders>
              <w:tl2br w:val="nil"/>
              <w:tr2bl w:val="nil"/>
            </w:tcBorders>
            <w:shd w:val="clear" w:color="auto" w:fill="auto"/>
            <w:vAlign w:val="center"/>
          </w:tcPr>
          <w:p w14:paraId="6690259F">
            <w:pPr>
              <w:jc w:val="center"/>
              <w:rPr>
                <w:rFonts w:ascii="Times New Roman" w:hAnsi="Times New Roman" w:cs="Times New Roman"/>
                <w:szCs w:val="21"/>
              </w:rPr>
            </w:pPr>
            <w:r>
              <w:rPr>
                <w:rFonts w:ascii="Times New Roman" w:hAnsi="Times New Roman" w:cs="Times New Roman"/>
                <w:szCs w:val="21"/>
              </w:rPr>
              <w:t>细菌总数</w:t>
            </w:r>
          </w:p>
        </w:tc>
        <w:tc>
          <w:tcPr>
            <w:tcW w:w="2789" w:type="dxa"/>
            <w:tcBorders>
              <w:tl2br w:val="nil"/>
              <w:tr2bl w:val="nil"/>
            </w:tcBorders>
            <w:shd w:val="clear" w:color="auto" w:fill="auto"/>
            <w:vAlign w:val="center"/>
          </w:tcPr>
          <w:p w14:paraId="3833E7CD">
            <w:pPr>
              <w:jc w:val="center"/>
              <w:rPr>
                <w:rFonts w:ascii="Times New Roman" w:hAnsi="Times New Roman" w:cs="Times New Roman"/>
                <w:szCs w:val="21"/>
              </w:rPr>
            </w:pPr>
            <w:r>
              <w:rPr>
                <w:rFonts w:ascii="Times New Roman" w:hAnsi="Times New Roman" w:cs="Times New Roman"/>
                <w:szCs w:val="21"/>
              </w:rPr>
              <w:t>水质 细菌总数的测定 平皿计数法</w:t>
            </w:r>
          </w:p>
        </w:tc>
        <w:tc>
          <w:tcPr>
            <w:tcW w:w="1794" w:type="dxa"/>
            <w:tcBorders>
              <w:tl2br w:val="nil"/>
              <w:tr2bl w:val="nil"/>
            </w:tcBorders>
            <w:shd w:val="clear" w:color="auto" w:fill="auto"/>
            <w:vAlign w:val="center"/>
          </w:tcPr>
          <w:p w14:paraId="7F8AFC4A">
            <w:pPr>
              <w:jc w:val="center"/>
              <w:rPr>
                <w:rFonts w:ascii="Times New Roman" w:hAnsi="Times New Roman" w:cs="Times New Roman"/>
                <w:szCs w:val="21"/>
              </w:rPr>
            </w:pPr>
            <w:r>
              <w:rPr>
                <w:rFonts w:ascii="Times New Roman" w:hAnsi="Times New Roman" w:cs="Times New Roman"/>
                <w:szCs w:val="21"/>
              </w:rPr>
              <w:t>HJ 1000-2018</w:t>
            </w:r>
          </w:p>
        </w:tc>
        <w:tc>
          <w:tcPr>
            <w:tcW w:w="1390" w:type="dxa"/>
            <w:tcBorders>
              <w:tl2br w:val="nil"/>
              <w:tr2bl w:val="nil"/>
            </w:tcBorders>
            <w:shd w:val="clear" w:color="auto" w:fill="auto"/>
            <w:vAlign w:val="center"/>
          </w:tcPr>
          <w:p w14:paraId="62BBB17E">
            <w:pPr>
              <w:jc w:val="center"/>
              <w:rPr>
                <w:rFonts w:ascii="Times New Roman" w:hAnsi="Times New Roman" w:cs="Times New Roman"/>
                <w:szCs w:val="21"/>
              </w:rPr>
            </w:pPr>
            <w:r>
              <w:rPr>
                <w:rFonts w:ascii="Times New Roman" w:hAnsi="Times New Roman" w:cs="Times New Roman"/>
                <w:szCs w:val="21"/>
              </w:rPr>
              <w:t>/</w:t>
            </w:r>
          </w:p>
        </w:tc>
        <w:tc>
          <w:tcPr>
            <w:tcW w:w="876" w:type="dxa"/>
            <w:tcBorders>
              <w:tl2br w:val="nil"/>
              <w:tr2bl w:val="nil"/>
            </w:tcBorders>
            <w:shd w:val="clear" w:color="auto" w:fill="auto"/>
            <w:vAlign w:val="center"/>
          </w:tcPr>
          <w:p w14:paraId="78BA2AE4">
            <w:pPr>
              <w:jc w:val="center"/>
              <w:rPr>
                <w:rFonts w:ascii="Times New Roman" w:hAnsi="Times New Roman" w:cs="Times New Roman"/>
                <w:szCs w:val="21"/>
              </w:rPr>
            </w:pPr>
            <w:r>
              <w:rPr>
                <w:rFonts w:ascii="Times New Roman" w:hAnsi="Times New Roman" w:cs="Times New Roman"/>
                <w:szCs w:val="21"/>
              </w:rPr>
              <w:t>/</w:t>
            </w:r>
          </w:p>
        </w:tc>
      </w:tr>
      <w:tr w14:paraId="72FA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0AFF9192">
            <w:pPr>
              <w:adjustRightInd w:val="0"/>
              <w:snapToGrid w:val="0"/>
              <w:jc w:val="center"/>
              <w:rPr>
                <w:rFonts w:ascii="Times New Roman" w:hAnsi="Times New Roman" w:cs="Times New Roman"/>
                <w:bCs/>
                <w:szCs w:val="21"/>
              </w:rPr>
            </w:pPr>
            <w:r>
              <w:rPr>
                <w:rFonts w:ascii="Times New Roman" w:hAnsi="Times New Roman" w:cs="Times New Roman"/>
                <w:bCs/>
                <w:szCs w:val="21"/>
              </w:rPr>
              <w:t>14</w:t>
            </w:r>
          </w:p>
        </w:tc>
        <w:tc>
          <w:tcPr>
            <w:tcW w:w="1210" w:type="dxa"/>
            <w:tcBorders>
              <w:tl2br w:val="nil"/>
              <w:tr2bl w:val="nil"/>
            </w:tcBorders>
            <w:shd w:val="clear" w:color="auto" w:fill="auto"/>
            <w:vAlign w:val="center"/>
          </w:tcPr>
          <w:p w14:paraId="26FC4D7A">
            <w:pPr>
              <w:adjustRightInd w:val="0"/>
              <w:snapToGrid w:val="0"/>
              <w:jc w:val="center"/>
              <w:rPr>
                <w:rFonts w:ascii="Times New Roman" w:hAnsi="Times New Roman" w:cs="Times New Roman"/>
                <w:bCs/>
                <w:szCs w:val="21"/>
              </w:rPr>
            </w:pPr>
            <w:r>
              <w:rPr>
                <w:rFonts w:ascii="Times New Roman" w:hAnsi="Times New Roman" w:cs="Times New Roman"/>
                <w:szCs w:val="21"/>
              </w:rPr>
              <w:t>亚硝酸盐（NO</w:t>
            </w:r>
            <w:r>
              <w:rPr>
                <w:rFonts w:ascii="Times New Roman" w:hAnsi="Times New Roman" w:cs="Times New Roman"/>
                <w:szCs w:val="21"/>
                <w:vertAlign w:val="subscript"/>
              </w:rPr>
              <w:t>2</w:t>
            </w:r>
            <w:r>
              <w:rPr>
                <w:rFonts w:ascii="Times New Roman" w:hAnsi="Times New Roman" w:cs="Times New Roman"/>
                <w:szCs w:val="21"/>
                <w:vertAlign w:val="superscript"/>
              </w:rPr>
              <w:t>-</w:t>
            </w:r>
            <w:r>
              <w:rPr>
                <w:rFonts w:ascii="Times New Roman" w:hAnsi="Times New Roman" w:cs="Times New Roman"/>
                <w:szCs w:val="21"/>
              </w:rPr>
              <w:t>）</w:t>
            </w:r>
          </w:p>
        </w:tc>
        <w:tc>
          <w:tcPr>
            <w:tcW w:w="2789" w:type="dxa"/>
            <w:vMerge w:val="restart"/>
            <w:tcBorders>
              <w:tl2br w:val="nil"/>
              <w:tr2bl w:val="nil"/>
            </w:tcBorders>
            <w:shd w:val="clear" w:color="auto" w:fill="auto"/>
            <w:vAlign w:val="center"/>
          </w:tcPr>
          <w:p w14:paraId="748BA490">
            <w:pPr>
              <w:adjustRightInd w:val="0"/>
              <w:snapToGrid w:val="0"/>
              <w:jc w:val="center"/>
              <w:rPr>
                <w:rFonts w:ascii="Times New Roman" w:hAnsi="Times New Roman" w:cs="Times New Roman"/>
                <w:bCs/>
                <w:szCs w:val="21"/>
              </w:rPr>
            </w:pPr>
            <w:r>
              <w:rPr>
                <w:rFonts w:ascii="Times New Roman" w:hAnsi="Times New Roman" w:cs="Times New Roman"/>
                <w:szCs w:val="21"/>
              </w:rPr>
              <w:t>水质 无机阴离子（F</w:t>
            </w:r>
            <w:r>
              <w:rPr>
                <w:rFonts w:ascii="Times New Roman" w:hAnsi="Times New Roman" w:cs="Times New Roman"/>
                <w:szCs w:val="21"/>
                <w:vertAlign w:val="superscript"/>
              </w:rPr>
              <w:t>-</w:t>
            </w:r>
            <w:r>
              <w:rPr>
                <w:rFonts w:ascii="Times New Roman" w:hAnsi="Times New Roman" w:cs="Times New Roman"/>
                <w:szCs w:val="21"/>
              </w:rPr>
              <w:t>、Cl</w:t>
            </w:r>
            <w:r>
              <w:rPr>
                <w:rFonts w:ascii="Times New Roman" w:hAnsi="Times New Roman" w:cs="Times New Roman"/>
                <w:szCs w:val="21"/>
                <w:vertAlign w:val="superscript"/>
              </w:rPr>
              <w:t>-</w:t>
            </w:r>
            <w:r>
              <w:rPr>
                <w:rFonts w:ascii="Times New Roman" w:hAnsi="Times New Roman" w:cs="Times New Roman"/>
                <w:szCs w:val="21"/>
              </w:rPr>
              <w:t>、NO</w:t>
            </w:r>
            <w:r>
              <w:rPr>
                <w:rFonts w:ascii="Times New Roman" w:hAnsi="Times New Roman" w:cs="Times New Roman"/>
                <w:szCs w:val="21"/>
                <w:vertAlign w:val="subscript"/>
              </w:rPr>
              <w:t>2</w:t>
            </w:r>
            <w:r>
              <w:rPr>
                <w:rFonts w:ascii="Times New Roman" w:hAnsi="Times New Roman" w:cs="Times New Roman"/>
                <w:szCs w:val="21"/>
                <w:vertAlign w:val="superscript"/>
              </w:rPr>
              <w:t>-</w:t>
            </w:r>
            <w:r>
              <w:rPr>
                <w:rFonts w:ascii="Times New Roman" w:hAnsi="Times New Roman" w:cs="Times New Roman"/>
                <w:szCs w:val="21"/>
              </w:rPr>
              <w:t>、Br</w:t>
            </w:r>
            <w:r>
              <w:rPr>
                <w:rFonts w:ascii="Times New Roman" w:hAnsi="Times New Roman" w:cs="Times New Roman"/>
                <w:szCs w:val="21"/>
                <w:vertAlign w:val="superscript"/>
              </w:rPr>
              <w:t>-</w:t>
            </w:r>
            <w:r>
              <w:rPr>
                <w:rFonts w:ascii="Times New Roman" w:hAnsi="Times New Roman" w:cs="Times New Roman"/>
                <w:szCs w:val="21"/>
              </w:rPr>
              <w:t>、NO</w:t>
            </w:r>
            <w:r>
              <w:rPr>
                <w:rFonts w:ascii="Times New Roman" w:hAnsi="Times New Roman" w:cs="Times New Roman"/>
                <w:szCs w:val="21"/>
                <w:vertAlign w:val="subscript"/>
              </w:rPr>
              <w:t>3</w:t>
            </w:r>
            <w:r>
              <w:rPr>
                <w:rFonts w:ascii="Times New Roman" w:hAnsi="Times New Roman" w:cs="Times New Roman"/>
                <w:szCs w:val="21"/>
                <w:vertAlign w:val="superscript"/>
              </w:rPr>
              <w:t>-</w:t>
            </w:r>
            <w:r>
              <w:rPr>
                <w:rFonts w:ascii="Times New Roman" w:hAnsi="Times New Roman" w:cs="Times New Roman"/>
                <w:szCs w:val="21"/>
              </w:rPr>
              <w:t>、PO</w:t>
            </w:r>
            <w:r>
              <w:rPr>
                <w:rFonts w:ascii="Times New Roman" w:hAnsi="Times New Roman" w:cs="Times New Roman"/>
                <w:szCs w:val="21"/>
                <w:vertAlign w:val="subscript"/>
              </w:rPr>
              <w:t>4</w:t>
            </w:r>
            <w:r>
              <w:rPr>
                <w:rFonts w:ascii="Times New Roman" w:hAnsi="Times New Roman" w:cs="Times New Roman"/>
                <w:szCs w:val="21"/>
                <w:vertAlign w:val="superscript"/>
              </w:rPr>
              <w:t>3-</w:t>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vertAlign w:val="superscript"/>
              </w:rPr>
              <w:t>2-</w:t>
            </w:r>
            <w:r>
              <w:rPr>
                <w:rFonts w:ascii="Times New Roman" w:hAnsi="Times New Roman" w:cs="Times New Roman"/>
                <w:szCs w:val="21"/>
              </w:rPr>
              <w:t>、SO</w:t>
            </w:r>
            <w:r>
              <w:rPr>
                <w:rFonts w:ascii="Times New Roman" w:hAnsi="Times New Roman" w:cs="Times New Roman"/>
                <w:szCs w:val="21"/>
                <w:vertAlign w:val="subscript"/>
              </w:rPr>
              <w:t>4</w:t>
            </w:r>
            <w:r>
              <w:rPr>
                <w:rFonts w:ascii="Times New Roman" w:hAnsi="Times New Roman" w:cs="Times New Roman"/>
                <w:szCs w:val="21"/>
                <w:vertAlign w:val="superscript"/>
              </w:rPr>
              <w:t>2-</w:t>
            </w:r>
            <w:r>
              <w:rPr>
                <w:rFonts w:ascii="Times New Roman" w:hAnsi="Times New Roman" w:cs="Times New Roman"/>
                <w:szCs w:val="21"/>
              </w:rPr>
              <w:t>）的测定 离子色谱法</w:t>
            </w:r>
          </w:p>
        </w:tc>
        <w:tc>
          <w:tcPr>
            <w:tcW w:w="1794" w:type="dxa"/>
            <w:vMerge w:val="restart"/>
            <w:tcBorders>
              <w:tl2br w:val="nil"/>
              <w:tr2bl w:val="nil"/>
            </w:tcBorders>
            <w:shd w:val="clear" w:color="auto" w:fill="auto"/>
            <w:vAlign w:val="center"/>
          </w:tcPr>
          <w:p w14:paraId="2C6EF6E6">
            <w:pPr>
              <w:jc w:val="center"/>
              <w:rPr>
                <w:rFonts w:ascii="Times New Roman" w:hAnsi="Times New Roman" w:cs="Times New Roman"/>
                <w:bCs/>
                <w:szCs w:val="21"/>
              </w:rPr>
            </w:pPr>
            <w:r>
              <w:rPr>
                <w:rFonts w:ascii="Times New Roman" w:hAnsi="Times New Roman" w:cs="Times New Roman"/>
                <w:szCs w:val="21"/>
              </w:rPr>
              <w:t>HJ 84-2016</w:t>
            </w:r>
          </w:p>
        </w:tc>
        <w:tc>
          <w:tcPr>
            <w:tcW w:w="1390" w:type="dxa"/>
            <w:vMerge w:val="restart"/>
            <w:tcBorders>
              <w:tl2br w:val="nil"/>
              <w:tr2bl w:val="nil"/>
            </w:tcBorders>
            <w:shd w:val="clear" w:color="auto" w:fill="auto"/>
            <w:vAlign w:val="center"/>
          </w:tcPr>
          <w:p w14:paraId="676D89BC">
            <w:pPr>
              <w:jc w:val="center"/>
              <w:rPr>
                <w:rFonts w:ascii="Times New Roman" w:hAnsi="Times New Roman" w:cs="Times New Roman"/>
                <w:bCs/>
                <w:szCs w:val="21"/>
              </w:rPr>
            </w:pPr>
            <w:r>
              <w:rPr>
                <w:rFonts w:ascii="Times New Roman" w:hAnsi="Times New Roman" w:cs="Times New Roman"/>
                <w:szCs w:val="21"/>
              </w:rPr>
              <w:t>离子色谱仪IC6000</w:t>
            </w:r>
          </w:p>
        </w:tc>
        <w:tc>
          <w:tcPr>
            <w:tcW w:w="876" w:type="dxa"/>
            <w:tcBorders>
              <w:tl2br w:val="nil"/>
              <w:tr2bl w:val="nil"/>
            </w:tcBorders>
            <w:shd w:val="clear" w:color="auto" w:fill="auto"/>
            <w:vAlign w:val="center"/>
          </w:tcPr>
          <w:p w14:paraId="2C69B7BA">
            <w:pPr>
              <w:jc w:val="center"/>
              <w:rPr>
                <w:rFonts w:ascii="Times New Roman" w:hAnsi="Times New Roman" w:cs="Times New Roman"/>
                <w:bCs/>
                <w:szCs w:val="21"/>
              </w:rPr>
            </w:pPr>
            <w:r>
              <w:rPr>
                <w:rFonts w:ascii="Times New Roman" w:hAnsi="Times New Roman" w:cs="Times New Roman"/>
                <w:szCs w:val="21"/>
              </w:rPr>
              <w:t>0.016 mg/L</w:t>
            </w:r>
          </w:p>
        </w:tc>
      </w:tr>
      <w:tr w14:paraId="4D09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39A56629">
            <w:pPr>
              <w:adjustRightInd w:val="0"/>
              <w:snapToGrid w:val="0"/>
              <w:jc w:val="center"/>
              <w:rPr>
                <w:rFonts w:ascii="Times New Roman" w:hAnsi="Times New Roman" w:cs="Times New Roman"/>
                <w:bCs/>
                <w:szCs w:val="21"/>
              </w:rPr>
            </w:pPr>
            <w:r>
              <w:rPr>
                <w:rFonts w:ascii="Times New Roman" w:hAnsi="Times New Roman" w:cs="Times New Roman"/>
                <w:bCs/>
                <w:szCs w:val="21"/>
              </w:rPr>
              <w:t>15</w:t>
            </w:r>
          </w:p>
        </w:tc>
        <w:tc>
          <w:tcPr>
            <w:tcW w:w="1210" w:type="dxa"/>
            <w:tcBorders>
              <w:tl2br w:val="nil"/>
              <w:tr2bl w:val="nil"/>
            </w:tcBorders>
            <w:shd w:val="clear" w:color="auto" w:fill="auto"/>
            <w:vAlign w:val="center"/>
          </w:tcPr>
          <w:p w14:paraId="0FCE16D0">
            <w:pPr>
              <w:adjustRightInd w:val="0"/>
              <w:snapToGrid w:val="0"/>
              <w:jc w:val="center"/>
              <w:rPr>
                <w:rFonts w:ascii="Times New Roman" w:hAnsi="Times New Roman" w:cs="Times New Roman"/>
                <w:bCs/>
                <w:szCs w:val="21"/>
              </w:rPr>
            </w:pPr>
            <w:r>
              <w:rPr>
                <w:rFonts w:ascii="Times New Roman" w:hAnsi="Times New Roman" w:cs="Times New Roman"/>
                <w:szCs w:val="21"/>
                <w:lang w:bidi="ar"/>
              </w:rPr>
              <w:t>硝酸盐（</w:t>
            </w:r>
            <w:r>
              <w:rPr>
                <w:rFonts w:ascii="Times New Roman" w:hAnsi="Times New Roman" w:cs="Times New Roman"/>
                <w:szCs w:val="21"/>
              </w:rPr>
              <w:t>NO</w:t>
            </w:r>
            <w:r>
              <w:rPr>
                <w:rFonts w:ascii="Times New Roman" w:hAnsi="Times New Roman" w:cs="Times New Roman"/>
                <w:szCs w:val="21"/>
                <w:vertAlign w:val="subscript"/>
              </w:rPr>
              <w:t>3</w:t>
            </w:r>
            <w:r>
              <w:rPr>
                <w:rFonts w:ascii="Times New Roman" w:hAnsi="Times New Roman" w:cs="Times New Roman"/>
                <w:szCs w:val="21"/>
                <w:vertAlign w:val="superscript"/>
              </w:rPr>
              <w:t>-</w:t>
            </w:r>
            <w:r>
              <w:rPr>
                <w:rFonts w:ascii="Times New Roman" w:hAnsi="Times New Roman" w:cs="Times New Roman"/>
                <w:szCs w:val="21"/>
                <w:lang w:bidi="ar"/>
              </w:rPr>
              <w:t>）</w:t>
            </w:r>
          </w:p>
        </w:tc>
        <w:tc>
          <w:tcPr>
            <w:tcW w:w="2789" w:type="dxa"/>
            <w:vMerge w:val="continue"/>
            <w:tcBorders>
              <w:tl2br w:val="nil"/>
              <w:tr2bl w:val="nil"/>
            </w:tcBorders>
            <w:shd w:val="clear" w:color="auto" w:fill="auto"/>
            <w:vAlign w:val="center"/>
          </w:tcPr>
          <w:p w14:paraId="3424FDC3">
            <w:pPr>
              <w:jc w:val="center"/>
              <w:rPr>
                <w:rFonts w:ascii="Times New Roman" w:hAnsi="Times New Roman" w:cs="Times New Roman"/>
                <w:szCs w:val="21"/>
              </w:rPr>
            </w:pPr>
          </w:p>
        </w:tc>
        <w:tc>
          <w:tcPr>
            <w:tcW w:w="1794" w:type="dxa"/>
            <w:vMerge w:val="continue"/>
            <w:tcBorders>
              <w:tl2br w:val="nil"/>
              <w:tr2bl w:val="nil"/>
            </w:tcBorders>
            <w:shd w:val="clear" w:color="auto" w:fill="auto"/>
            <w:vAlign w:val="center"/>
          </w:tcPr>
          <w:p w14:paraId="64052F1A">
            <w:pPr>
              <w:adjustRightInd w:val="0"/>
              <w:snapToGrid w:val="0"/>
              <w:jc w:val="center"/>
              <w:rPr>
                <w:rFonts w:ascii="Times New Roman" w:hAnsi="Times New Roman" w:cs="Times New Roman"/>
                <w:szCs w:val="21"/>
              </w:rPr>
            </w:pPr>
          </w:p>
        </w:tc>
        <w:tc>
          <w:tcPr>
            <w:tcW w:w="1390" w:type="dxa"/>
            <w:vMerge w:val="continue"/>
            <w:tcBorders>
              <w:tl2br w:val="nil"/>
              <w:tr2bl w:val="nil"/>
            </w:tcBorders>
            <w:shd w:val="clear" w:color="auto" w:fill="auto"/>
            <w:vAlign w:val="center"/>
          </w:tcPr>
          <w:p w14:paraId="10F6BF2C">
            <w:pPr>
              <w:jc w:val="center"/>
              <w:rPr>
                <w:rFonts w:ascii="Times New Roman" w:hAnsi="Times New Roman" w:cs="Times New Roman"/>
                <w:szCs w:val="21"/>
              </w:rPr>
            </w:pPr>
          </w:p>
        </w:tc>
        <w:tc>
          <w:tcPr>
            <w:tcW w:w="876" w:type="dxa"/>
            <w:tcBorders>
              <w:tl2br w:val="nil"/>
              <w:tr2bl w:val="nil"/>
            </w:tcBorders>
            <w:shd w:val="clear" w:color="auto" w:fill="auto"/>
            <w:vAlign w:val="center"/>
          </w:tcPr>
          <w:p w14:paraId="40481554">
            <w:pPr>
              <w:jc w:val="center"/>
              <w:rPr>
                <w:rFonts w:ascii="Times New Roman" w:hAnsi="Times New Roman" w:cs="Times New Roman"/>
                <w:bCs/>
                <w:szCs w:val="21"/>
              </w:rPr>
            </w:pPr>
            <w:r>
              <w:rPr>
                <w:rFonts w:ascii="Times New Roman" w:hAnsi="Times New Roman" w:cs="Times New Roman"/>
                <w:szCs w:val="21"/>
              </w:rPr>
              <w:t>0.016 mg/L</w:t>
            </w:r>
          </w:p>
        </w:tc>
      </w:tr>
      <w:tr w14:paraId="0D45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1D8D55CE">
            <w:pPr>
              <w:adjustRightInd w:val="0"/>
              <w:snapToGrid w:val="0"/>
              <w:jc w:val="center"/>
              <w:rPr>
                <w:rFonts w:ascii="Times New Roman" w:hAnsi="Times New Roman" w:cs="Times New Roman"/>
                <w:bCs/>
                <w:szCs w:val="21"/>
              </w:rPr>
            </w:pPr>
            <w:r>
              <w:rPr>
                <w:rFonts w:ascii="Times New Roman" w:hAnsi="Times New Roman" w:cs="Times New Roman"/>
                <w:bCs/>
                <w:szCs w:val="21"/>
              </w:rPr>
              <w:t>16</w:t>
            </w:r>
          </w:p>
        </w:tc>
        <w:tc>
          <w:tcPr>
            <w:tcW w:w="1210" w:type="dxa"/>
            <w:tcBorders>
              <w:tl2br w:val="nil"/>
              <w:tr2bl w:val="nil"/>
            </w:tcBorders>
            <w:shd w:val="clear" w:color="auto" w:fill="auto"/>
            <w:vAlign w:val="center"/>
          </w:tcPr>
          <w:p w14:paraId="53A90ED4">
            <w:pPr>
              <w:adjustRightInd w:val="0"/>
              <w:snapToGrid w:val="0"/>
              <w:jc w:val="center"/>
              <w:rPr>
                <w:rFonts w:ascii="Times New Roman" w:hAnsi="Times New Roman" w:cs="Times New Roman"/>
                <w:szCs w:val="21"/>
                <w:lang w:bidi="ar"/>
              </w:rPr>
            </w:pPr>
            <w:r>
              <w:rPr>
                <w:rFonts w:ascii="Times New Roman" w:hAnsi="Times New Roman" w:cs="Times New Roman"/>
                <w:bCs/>
                <w:szCs w:val="21"/>
                <w:lang w:bidi="ar"/>
              </w:rPr>
              <w:t>氰化物</w:t>
            </w:r>
          </w:p>
        </w:tc>
        <w:tc>
          <w:tcPr>
            <w:tcW w:w="2789" w:type="dxa"/>
            <w:tcBorders>
              <w:tl2br w:val="nil"/>
              <w:tr2bl w:val="nil"/>
            </w:tcBorders>
            <w:shd w:val="clear" w:color="auto" w:fill="auto"/>
            <w:vAlign w:val="center"/>
          </w:tcPr>
          <w:p w14:paraId="79141AB8">
            <w:pPr>
              <w:jc w:val="center"/>
              <w:rPr>
                <w:rFonts w:ascii="Times New Roman" w:hAnsi="Times New Roman" w:cs="Times New Roman"/>
                <w:szCs w:val="21"/>
              </w:rPr>
            </w:pPr>
            <w:r>
              <w:rPr>
                <w:rFonts w:ascii="Times New Roman" w:hAnsi="Times New Roman" w:cs="Times New Roman"/>
                <w:szCs w:val="21"/>
              </w:rPr>
              <w:t xml:space="preserve">水质 氰化物的测定 </w:t>
            </w:r>
          </w:p>
          <w:p w14:paraId="6A704B4E">
            <w:pPr>
              <w:jc w:val="center"/>
              <w:rPr>
                <w:rFonts w:ascii="Times New Roman" w:hAnsi="Times New Roman" w:cs="Times New Roman"/>
                <w:szCs w:val="21"/>
              </w:rPr>
            </w:pPr>
            <w:r>
              <w:rPr>
                <w:rFonts w:ascii="Times New Roman" w:hAnsi="Times New Roman" w:cs="Times New Roman"/>
                <w:szCs w:val="21"/>
              </w:rPr>
              <w:t>容量法和分光光度法</w:t>
            </w:r>
          </w:p>
          <w:p w14:paraId="0C3F2D40">
            <w:pPr>
              <w:jc w:val="center"/>
              <w:rPr>
                <w:rFonts w:ascii="Times New Roman" w:hAnsi="Times New Roman" w:cs="Times New Roman"/>
                <w:szCs w:val="21"/>
              </w:rPr>
            </w:pPr>
            <w:r>
              <w:rPr>
                <w:rFonts w:ascii="Times New Roman" w:hAnsi="Times New Roman" w:cs="Times New Roman"/>
                <w:szCs w:val="21"/>
              </w:rPr>
              <w:t>(方法 3 异烟酸-巴比妥酸光度法)</w:t>
            </w:r>
          </w:p>
        </w:tc>
        <w:tc>
          <w:tcPr>
            <w:tcW w:w="1794" w:type="dxa"/>
            <w:tcBorders>
              <w:tl2br w:val="nil"/>
              <w:tr2bl w:val="nil"/>
            </w:tcBorders>
            <w:shd w:val="clear" w:color="auto" w:fill="auto"/>
            <w:vAlign w:val="center"/>
          </w:tcPr>
          <w:p w14:paraId="38F562A7">
            <w:pPr>
              <w:pStyle w:val="70"/>
              <w:rPr>
                <w:rFonts w:ascii="Times New Roman" w:hAnsi="Times New Roman" w:eastAsiaTheme="minorEastAsia"/>
                <w:szCs w:val="21"/>
              </w:rPr>
            </w:pPr>
            <w:r>
              <w:rPr>
                <w:rFonts w:ascii="Times New Roman" w:hAnsi="Times New Roman"/>
                <w:szCs w:val="21"/>
              </w:rPr>
              <w:t>HJ 484-2009</w:t>
            </w:r>
          </w:p>
        </w:tc>
        <w:tc>
          <w:tcPr>
            <w:tcW w:w="1390" w:type="dxa"/>
            <w:tcBorders>
              <w:tl2br w:val="nil"/>
              <w:tr2bl w:val="nil"/>
            </w:tcBorders>
            <w:shd w:val="clear" w:color="auto" w:fill="auto"/>
            <w:vAlign w:val="center"/>
          </w:tcPr>
          <w:p w14:paraId="3FC39340">
            <w:pPr>
              <w:jc w:val="center"/>
              <w:rPr>
                <w:rFonts w:ascii="Times New Roman" w:hAnsi="Times New Roman" w:cs="Times New Roman"/>
                <w:szCs w:val="21"/>
              </w:rPr>
            </w:pPr>
            <w:r>
              <w:rPr>
                <w:rFonts w:ascii="Times New Roman" w:hAnsi="Times New Roman" w:eastAsia="宋体" w:cs="Times New Roman"/>
                <w:bCs/>
                <w:szCs w:val="21"/>
              </w:rPr>
              <w:t>T6新悦可见分光光度计</w:t>
            </w:r>
          </w:p>
        </w:tc>
        <w:tc>
          <w:tcPr>
            <w:tcW w:w="876" w:type="dxa"/>
            <w:tcBorders>
              <w:tl2br w:val="nil"/>
              <w:tr2bl w:val="nil"/>
            </w:tcBorders>
            <w:shd w:val="clear" w:color="auto" w:fill="auto"/>
            <w:vAlign w:val="center"/>
          </w:tcPr>
          <w:p w14:paraId="72D01D65">
            <w:pPr>
              <w:jc w:val="center"/>
              <w:rPr>
                <w:rFonts w:ascii="Times New Roman" w:hAnsi="Times New Roman" w:cs="Times New Roman"/>
                <w:szCs w:val="21"/>
              </w:rPr>
            </w:pPr>
            <w:r>
              <w:rPr>
                <w:rFonts w:ascii="Times New Roman" w:hAnsi="Times New Roman" w:cs="Times New Roman"/>
                <w:bCs/>
                <w:szCs w:val="21"/>
              </w:rPr>
              <w:t>0.004 mg/L</w:t>
            </w:r>
          </w:p>
        </w:tc>
      </w:tr>
      <w:tr w14:paraId="1C9B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5BA45A81">
            <w:pPr>
              <w:adjustRightInd w:val="0"/>
              <w:snapToGrid w:val="0"/>
              <w:jc w:val="center"/>
              <w:rPr>
                <w:rFonts w:ascii="Times New Roman" w:hAnsi="Times New Roman" w:cs="Times New Roman"/>
                <w:bCs/>
                <w:szCs w:val="21"/>
              </w:rPr>
            </w:pPr>
            <w:r>
              <w:rPr>
                <w:rFonts w:ascii="Times New Roman" w:hAnsi="Times New Roman" w:cs="Times New Roman"/>
                <w:bCs/>
                <w:szCs w:val="21"/>
              </w:rPr>
              <w:t>17</w:t>
            </w:r>
          </w:p>
        </w:tc>
        <w:tc>
          <w:tcPr>
            <w:tcW w:w="1210" w:type="dxa"/>
            <w:tcBorders>
              <w:tl2br w:val="nil"/>
              <w:tr2bl w:val="nil"/>
            </w:tcBorders>
            <w:shd w:val="clear" w:color="auto" w:fill="auto"/>
            <w:vAlign w:val="center"/>
          </w:tcPr>
          <w:p w14:paraId="616DD98E">
            <w:pPr>
              <w:adjustRightInd w:val="0"/>
              <w:snapToGrid w:val="0"/>
              <w:jc w:val="center"/>
              <w:rPr>
                <w:rFonts w:ascii="Times New Roman" w:hAnsi="Times New Roman" w:cs="Times New Roman"/>
                <w:bCs/>
                <w:szCs w:val="21"/>
              </w:rPr>
            </w:pPr>
            <w:r>
              <w:rPr>
                <w:rFonts w:ascii="Times New Roman" w:hAnsi="Times New Roman" w:cs="Times New Roman"/>
                <w:szCs w:val="21"/>
                <w:lang w:bidi="ar"/>
              </w:rPr>
              <w:t>氟化物（</w:t>
            </w:r>
            <w:r>
              <w:rPr>
                <w:rFonts w:ascii="Times New Roman" w:hAnsi="Times New Roman" w:cs="Times New Roman"/>
                <w:szCs w:val="21"/>
              </w:rPr>
              <w:t>F</w:t>
            </w:r>
            <w:r>
              <w:rPr>
                <w:rFonts w:ascii="Times New Roman" w:hAnsi="Times New Roman" w:cs="Times New Roman"/>
                <w:szCs w:val="21"/>
                <w:vertAlign w:val="superscript"/>
              </w:rPr>
              <w:t>-</w:t>
            </w:r>
            <w:r>
              <w:rPr>
                <w:rFonts w:ascii="Times New Roman" w:hAnsi="Times New Roman" w:cs="Times New Roman"/>
                <w:szCs w:val="21"/>
                <w:lang w:bidi="ar"/>
              </w:rPr>
              <w:t>）</w:t>
            </w:r>
          </w:p>
        </w:tc>
        <w:tc>
          <w:tcPr>
            <w:tcW w:w="2789" w:type="dxa"/>
            <w:tcBorders>
              <w:tl2br w:val="nil"/>
              <w:tr2bl w:val="nil"/>
            </w:tcBorders>
            <w:shd w:val="clear" w:color="auto" w:fill="auto"/>
            <w:vAlign w:val="center"/>
          </w:tcPr>
          <w:p w14:paraId="081D2D21">
            <w:pPr>
              <w:adjustRightInd w:val="0"/>
              <w:snapToGrid w:val="0"/>
              <w:jc w:val="center"/>
              <w:rPr>
                <w:rFonts w:ascii="Times New Roman" w:hAnsi="Times New Roman" w:cs="Times New Roman"/>
                <w:szCs w:val="21"/>
              </w:rPr>
            </w:pPr>
            <w:r>
              <w:rPr>
                <w:rFonts w:ascii="Times New Roman" w:hAnsi="Times New Roman" w:cs="Times New Roman"/>
                <w:szCs w:val="21"/>
              </w:rPr>
              <w:t>水质 无机阴离子（F</w:t>
            </w:r>
            <w:r>
              <w:rPr>
                <w:rFonts w:ascii="Times New Roman" w:hAnsi="Times New Roman" w:cs="Times New Roman"/>
                <w:szCs w:val="21"/>
                <w:vertAlign w:val="superscript"/>
              </w:rPr>
              <w:t>-</w:t>
            </w:r>
            <w:r>
              <w:rPr>
                <w:rFonts w:ascii="Times New Roman" w:hAnsi="Times New Roman" w:cs="Times New Roman"/>
                <w:szCs w:val="21"/>
              </w:rPr>
              <w:t>、Cl</w:t>
            </w:r>
            <w:r>
              <w:rPr>
                <w:rFonts w:ascii="Times New Roman" w:hAnsi="Times New Roman" w:cs="Times New Roman"/>
                <w:szCs w:val="21"/>
                <w:vertAlign w:val="superscript"/>
              </w:rPr>
              <w:t>-</w:t>
            </w:r>
            <w:r>
              <w:rPr>
                <w:rFonts w:ascii="Times New Roman" w:hAnsi="Times New Roman" w:cs="Times New Roman"/>
                <w:szCs w:val="21"/>
              </w:rPr>
              <w:t>、NO</w:t>
            </w:r>
            <w:r>
              <w:rPr>
                <w:rFonts w:ascii="Times New Roman" w:hAnsi="Times New Roman" w:cs="Times New Roman"/>
                <w:szCs w:val="21"/>
                <w:vertAlign w:val="subscript"/>
              </w:rPr>
              <w:t>2</w:t>
            </w:r>
            <w:r>
              <w:rPr>
                <w:rFonts w:ascii="Times New Roman" w:hAnsi="Times New Roman" w:cs="Times New Roman"/>
                <w:szCs w:val="21"/>
                <w:vertAlign w:val="superscript"/>
              </w:rPr>
              <w:t>-</w:t>
            </w:r>
            <w:r>
              <w:rPr>
                <w:rFonts w:ascii="Times New Roman" w:hAnsi="Times New Roman" w:cs="Times New Roman"/>
                <w:szCs w:val="21"/>
              </w:rPr>
              <w:t>、Br</w:t>
            </w:r>
            <w:r>
              <w:rPr>
                <w:rFonts w:ascii="Times New Roman" w:hAnsi="Times New Roman" w:cs="Times New Roman"/>
                <w:szCs w:val="21"/>
                <w:vertAlign w:val="superscript"/>
              </w:rPr>
              <w:t>-</w:t>
            </w:r>
            <w:r>
              <w:rPr>
                <w:rFonts w:ascii="Times New Roman" w:hAnsi="Times New Roman" w:cs="Times New Roman"/>
                <w:szCs w:val="21"/>
              </w:rPr>
              <w:t>、NO</w:t>
            </w:r>
            <w:r>
              <w:rPr>
                <w:rFonts w:ascii="Times New Roman" w:hAnsi="Times New Roman" w:cs="Times New Roman"/>
                <w:szCs w:val="21"/>
                <w:vertAlign w:val="subscript"/>
              </w:rPr>
              <w:t>3</w:t>
            </w:r>
            <w:r>
              <w:rPr>
                <w:rFonts w:ascii="Times New Roman" w:hAnsi="Times New Roman" w:cs="Times New Roman"/>
                <w:szCs w:val="21"/>
                <w:vertAlign w:val="superscript"/>
              </w:rPr>
              <w:t>-</w:t>
            </w:r>
            <w:r>
              <w:rPr>
                <w:rFonts w:ascii="Times New Roman" w:hAnsi="Times New Roman" w:cs="Times New Roman"/>
                <w:szCs w:val="21"/>
              </w:rPr>
              <w:t>、PO</w:t>
            </w:r>
            <w:r>
              <w:rPr>
                <w:rFonts w:ascii="Times New Roman" w:hAnsi="Times New Roman" w:cs="Times New Roman"/>
                <w:szCs w:val="21"/>
                <w:vertAlign w:val="subscript"/>
              </w:rPr>
              <w:t>4</w:t>
            </w:r>
            <w:r>
              <w:rPr>
                <w:rFonts w:ascii="Times New Roman" w:hAnsi="Times New Roman" w:cs="Times New Roman"/>
                <w:szCs w:val="21"/>
                <w:vertAlign w:val="superscript"/>
              </w:rPr>
              <w:t>3-</w:t>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vertAlign w:val="superscript"/>
              </w:rPr>
              <w:t>2-</w:t>
            </w:r>
            <w:r>
              <w:rPr>
                <w:rFonts w:ascii="Times New Roman" w:hAnsi="Times New Roman" w:cs="Times New Roman"/>
                <w:szCs w:val="21"/>
              </w:rPr>
              <w:t>、SO</w:t>
            </w:r>
            <w:r>
              <w:rPr>
                <w:rFonts w:ascii="Times New Roman" w:hAnsi="Times New Roman" w:cs="Times New Roman"/>
                <w:szCs w:val="21"/>
                <w:vertAlign w:val="subscript"/>
              </w:rPr>
              <w:t>4</w:t>
            </w:r>
            <w:r>
              <w:rPr>
                <w:rFonts w:ascii="Times New Roman" w:hAnsi="Times New Roman" w:cs="Times New Roman"/>
                <w:szCs w:val="21"/>
                <w:vertAlign w:val="superscript"/>
              </w:rPr>
              <w:t>2-</w:t>
            </w:r>
            <w:r>
              <w:rPr>
                <w:rFonts w:ascii="Times New Roman" w:hAnsi="Times New Roman" w:cs="Times New Roman"/>
                <w:szCs w:val="21"/>
              </w:rPr>
              <w:t>）的测定 离子色谱法</w:t>
            </w:r>
          </w:p>
        </w:tc>
        <w:tc>
          <w:tcPr>
            <w:tcW w:w="1794" w:type="dxa"/>
            <w:tcBorders>
              <w:tl2br w:val="nil"/>
              <w:tr2bl w:val="nil"/>
            </w:tcBorders>
            <w:shd w:val="clear" w:color="auto" w:fill="auto"/>
            <w:vAlign w:val="center"/>
          </w:tcPr>
          <w:p w14:paraId="38B41166">
            <w:pPr>
              <w:jc w:val="center"/>
              <w:rPr>
                <w:rFonts w:ascii="Times New Roman" w:hAnsi="Times New Roman" w:cs="Times New Roman"/>
                <w:szCs w:val="21"/>
              </w:rPr>
            </w:pPr>
            <w:r>
              <w:rPr>
                <w:rFonts w:ascii="Times New Roman" w:hAnsi="Times New Roman" w:cs="Times New Roman"/>
                <w:szCs w:val="21"/>
              </w:rPr>
              <w:t>HJ 84-2016</w:t>
            </w:r>
          </w:p>
        </w:tc>
        <w:tc>
          <w:tcPr>
            <w:tcW w:w="1390" w:type="dxa"/>
            <w:tcBorders>
              <w:tl2br w:val="nil"/>
              <w:tr2bl w:val="nil"/>
            </w:tcBorders>
            <w:shd w:val="clear" w:color="auto" w:fill="auto"/>
            <w:vAlign w:val="center"/>
          </w:tcPr>
          <w:p w14:paraId="300D09D5">
            <w:pPr>
              <w:jc w:val="center"/>
              <w:rPr>
                <w:rFonts w:ascii="Times New Roman" w:hAnsi="Times New Roman" w:cs="Times New Roman"/>
                <w:szCs w:val="21"/>
              </w:rPr>
            </w:pPr>
            <w:r>
              <w:rPr>
                <w:rFonts w:ascii="Times New Roman" w:hAnsi="Times New Roman" w:cs="Times New Roman"/>
                <w:szCs w:val="21"/>
              </w:rPr>
              <w:t>离子色谱仪IC6000</w:t>
            </w:r>
          </w:p>
        </w:tc>
        <w:tc>
          <w:tcPr>
            <w:tcW w:w="876" w:type="dxa"/>
            <w:tcBorders>
              <w:tl2br w:val="nil"/>
              <w:tr2bl w:val="nil"/>
            </w:tcBorders>
            <w:shd w:val="clear" w:color="auto" w:fill="auto"/>
            <w:vAlign w:val="center"/>
          </w:tcPr>
          <w:p w14:paraId="120B0C54">
            <w:pPr>
              <w:jc w:val="center"/>
              <w:rPr>
                <w:rFonts w:ascii="Times New Roman" w:hAnsi="Times New Roman" w:cs="Times New Roman"/>
                <w:bCs/>
                <w:szCs w:val="21"/>
              </w:rPr>
            </w:pPr>
            <w:r>
              <w:rPr>
                <w:rFonts w:ascii="Times New Roman" w:hAnsi="Times New Roman" w:cs="Times New Roman"/>
                <w:szCs w:val="21"/>
              </w:rPr>
              <w:t>0.006 mg/L</w:t>
            </w:r>
          </w:p>
        </w:tc>
      </w:tr>
      <w:tr w14:paraId="2875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1E6C96BE">
            <w:pPr>
              <w:adjustRightInd w:val="0"/>
              <w:snapToGrid w:val="0"/>
              <w:jc w:val="center"/>
              <w:rPr>
                <w:rFonts w:ascii="Times New Roman" w:hAnsi="Times New Roman" w:cs="Times New Roman"/>
                <w:bCs/>
                <w:szCs w:val="21"/>
              </w:rPr>
            </w:pPr>
            <w:r>
              <w:rPr>
                <w:rFonts w:ascii="Times New Roman" w:hAnsi="Times New Roman" w:cs="Times New Roman"/>
                <w:bCs/>
                <w:szCs w:val="21"/>
              </w:rPr>
              <w:t>18</w:t>
            </w:r>
          </w:p>
        </w:tc>
        <w:tc>
          <w:tcPr>
            <w:tcW w:w="1210" w:type="dxa"/>
            <w:tcBorders>
              <w:tl2br w:val="nil"/>
              <w:tr2bl w:val="nil"/>
            </w:tcBorders>
            <w:shd w:val="clear" w:color="auto" w:fill="auto"/>
            <w:vAlign w:val="center"/>
          </w:tcPr>
          <w:p w14:paraId="6AF54461">
            <w:pPr>
              <w:adjustRightInd w:val="0"/>
              <w:snapToGrid w:val="0"/>
              <w:jc w:val="center"/>
              <w:rPr>
                <w:rFonts w:ascii="Times New Roman" w:hAnsi="Times New Roman" w:cs="Times New Roman"/>
                <w:szCs w:val="21"/>
                <w:lang w:bidi="ar"/>
              </w:rPr>
            </w:pPr>
            <w:r>
              <w:rPr>
                <w:rFonts w:ascii="Times New Roman" w:hAnsi="Times New Roman" w:cs="Times New Roman"/>
                <w:bCs/>
                <w:szCs w:val="21"/>
                <w:lang w:bidi="ar"/>
              </w:rPr>
              <w:t>汞</w:t>
            </w:r>
          </w:p>
        </w:tc>
        <w:tc>
          <w:tcPr>
            <w:tcW w:w="2789" w:type="dxa"/>
            <w:vMerge w:val="restart"/>
            <w:tcBorders>
              <w:tl2br w:val="nil"/>
              <w:tr2bl w:val="nil"/>
            </w:tcBorders>
            <w:shd w:val="clear" w:color="auto" w:fill="auto"/>
            <w:vAlign w:val="center"/>
          </w:tcPr>
          <w:p w14:paraId="1EE4D77B">
            <w:pPr>
              <w:jc w:val="center"/>
              <w:rPr>
                <w:rFonts w:ascii="Times New Roman" w:hAnsi="Times New Roman" w:cs="Times New Roman"/>
                <w:szCs w:val="21"/>
              </w:rPr>
            </w:pPr>
            <w:r>
              <w:rPr>
                <w:rFonts w:ascii="Times New Roman" w:hAnsi="Times New Roman" w:cs="Times New Roman"/>
                <w:bCs/>
                <w:szCs w:val="21"/>
              </w:rPr>
              <w:t>水质 汞、砷、硒、铋和锑的测定  原子荧光法</w:t>
            </w:r>
          </w:p>
        </w:tc>
        <w:tc>
          <w:tcPr>
            <w:tcW w:w="1794" w:type="dxa"/>
            <w:vMerge w:val="restart"/>
            <w:tcBorders>
              <w:tl2br w:val="nil"/>
              <w:tr2bl w:val="nil"/>
            </w:tcBorders>
            <w:shd w:val="clear" w:color="auto" w:fill="auto"/>
            <w:vAlign w:val="center"/>
          </w:tcPr>
          <w:p w14:paraId="34A902CF">
            <w:pPr>
              <w:jc w:val="center"/>
              <w:rPr>
                <w:rFonts w:ascii="Times New Roman" w:hAnsi="Times New Roman" w:cs="Times New Roman"/>
                <w:szCs w:val="21"/>
              </w:rPr>
            </w:pPr>
            <w:r>
              <w:rPr>
                <w:rFonts w:ascii="Times New Roman" w:hAnsi="Times New Roman" w:cs="Times New Roman"/>
                <w:bCs/>
                <w:szCs w:val="21"/>
              </w:rPr>
              <w:t>HJ 694-2014</w:t>
            </w:r>
          </w:p>
        </w:tc>
        <w:tc>
          <w:tcPr>
            <w:tcW w:w="1390" w:type="dxa"/>
            <w:vMerge w:val="restart"/>
            <w:tcBorders>
              <w:tl2br w:val="nil"/>
              <w:tr2bl w:val="nil"/>
            </w:tcBorders>
            <w:shd w:val="clear" w:color="auto" w:fill="auto"/>
            <w:vAlign w:val="center"/>
          </w:tcPr>
          <w:p w14:paraId="70D8AE8C">
            <w:pPr>
              <w:pStyle w:val="70"/>
              <w:rPr>
                <w:rFonts w:ascii="Times New Roman" w:hAnsi="Times New Roman"/>
                <w:szCs w:val="21"/>
              </w:rPr>
            </w:pPr>
            <w:r>
              <w:rPr>
                <w:rFonts w:ascii="Times New Roman" w:hAnsi="Times New Roman"/>
                <w:szCs w:val="21"/>
              </w:rPr>
              <w:t>PF3原子</w:t>
            </w:r>
          </w:p>
          <w:p w14:paraId="14808E29">
            <w:pPr>
              <w:pStyle w:val="70"/>
              <w:rPr>
                <w:rFonts w:ascii="Times New Roman" w:hAnsi="Times New Roman" w:eastAsiaTheme="minorEastAsia"/>
                <w:szCs w:val="21"/>
              </w:rPr>
            </w:pPr>
            <w:r>
              <w:rPr>
                <w:rFonts w:ascii="Times New Roman" w:hAnsi="Times New Roman"/>
                <w:szCs w:val="21"/>
              </w:rPr>
              <w:t>荧光光度计</w:t>
            </w:r>
          </w:p>
        </w:tc>
        <w:tc>
          <w:tcPr>
            <w:tcW w:w="876" w:type="dxa"/>
            <w:tcBorders>
              <w:tl2br w:val="nil"/>
              <w:tr2bl w:val="nil"/>
            </w:tcBorders>
            <w:shd w:val="clear" w:color="auto" w:fill="auto"/>
            <w:vAlign w:val="center"/>
          </w:tcPr>
          <w:p w14:paraId="1B0CF833">
            <w:pPr>
              <w:jc w:val="center"/>
              <w:rPr>
                <w:rFonts w:ascii="Times New Roman" w:hAnsi="Times New Roman" w:cs="Times New Roman"/>
                <w:szCs w:val="21"/>
              </w:rPr>
            </w:pPr>
            <w:r>
              <w:rPr>
                <w:rFonts w:ascii="Times New Roman" w:hAnsi="Times New Roman" w:cs="Times New Roman"/>
                <w:bCs/>
                <w:szCs w:val="21"/>
              </w:rPr>
              <w:t>0.04 µg/L</w:t>
            </w:r>
          </w:p>
        </w:tc>
      </w:tr>
      <w:tr w14:paraId="7BA3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1D24E7EA">
            <w:pPr>
              <w:adjustRightInd w:val="0"/>
              <w:snapToGrid w:val="0"/>
              <w:jc w:val="center"/>
              <w:rPr>
                <w:rFonts w:ascii="Times New Roman" w:hAnsi="Times New Roman" w:cs="Times New Roman"/>
                <w:bCs/>
                <w:szCs w:val="21"/>
              </w:rPr>
            </w:pPr>
            <w:r>
              <w:rPr>
                <w:rFonts w:ascii="Times New Roman" w:hAnsi="Times New Roman" w:cs="Times New Roman"/>
                <w:bCs/>
                <w:szCs w:val="21"/>
              </w:rPr>
              <w:t>19</w:t>
            </w:r>
          </w:p>
        </w:tc>
        <w:tc>
          <w:tcPr>
            <w:tcW w:w="1210" w:type="dxa"/>
            <w:tcBorders>
              <w:tl2br w:val="nil"/>
              <w:tr2bl w:val="nil"/>
            </w:tcBorders>
            <w:shd w:val="clear" w:color="auto" w:fill="auto"/>
            <w:vAlign w:val="center"/>
          </w:tcPr>
          <w:p w14:paraId="7C28DA62">
            <w:pPr>
              <w:adjustRightInd w:val="0"/>
              <w:snapToGrid w:val="0"/>
              <w:jc w:val="center"/>
              <w:rPr>
                <w:rFonts w:ascii="Times New Roman" w:hAnsi="Times New Roman" w:cs="Times New Roman"/>
                <w:szCs w:val="21"/>
                <w:lang w:bidi="ar"/>
              </w:rPr>
            </w:pPr>
            <w:r>
              <w:rPr>
                <w:rFonts w:ascii="Times New Roman" w:hAnsi="Times New Roman" w:cs="Times New Roman"/>
                <w:bCs/>
                <w:szCs w:val="21"/>
                <w:lang w:bidi="ar"/>
              </w:rPr>
              <w:t>砷</w:t>
            </w:r>
          </w:p>
        </w:tc>
        <w:tc>
          <w:tcPr>
            <w:tcW w:w="2789" w:type="dxa"/>
            <w:vMerge w:val="continue"/>
            <w:tcBorders>
              <w:tl2br w:val="nil"/>
              <w:tr2bl w:val="nil"/>
            </w:tcBorders>
            <w:shd w:val="clear" w:color="auto" w:fill="auto"/>
            <w:vAlign w:val="center"/>
          </w:tcPr>
          <w:p w14:paraId="00CEE560">
            <w:pPr>
              <w:jc w:val="center"/>
              <w:rPr>
                <w:rFonts w:ascii="Times New Roman" w:hAnsi="Times New Roman" w:cs="Times New Roman"/>
                <w:szCs w:val="21"/>
              </w:rPr>
            </w:pPr>
          </w:p>
        </w:tc>
        <w:tc>
          <w:tcPr>
            <w:tcW w:w="1794" w:type="dxa"/>
            <w:vMerge w:val="continue"/>
            <w:tcBorders>
              <w:tl2br w:val="nil"/>
              <w:tr2bl w:val="nil"/>
            </w:tcBorders>
            <w:shd w:val="clear" w:color="auto" w:fill="auto"/>
            <w:vAlign w:val="center"/>
          </w:tcPr>
          <w:p w14:paraId="1CB639FA">
            <w:pPr>
              <w:jc w:val="center"/>
              <w:rPr>
                <w:rFonts w:ascii="Times New Roman" w:hAnsi="Times New Roman" w:cs="Times New Roman"/>
                <w:szCs w:val="21"/>
              </w:rPr>
            </w:pPr>
          </w:p>
        </w:tc>
        <w:tc>
          <w:tcPr>
            <w:tcW w:w="1390" w:type="dxa"/>
            <w:vMerge w:val="continue"/>
            <w:tcBorders>
              <w:tl2br w:val="nil"/>
              <w:tr2bl w:val="nil"/>
            </w:tcBorders>
            <w:shd w:val="clear" w:color="auto" w:fill="auto"/>
            <w:vAlign w:val="center"/>
          </w:tcPr>
          <w:p w14:paraId="03152C79">
            <w:pPr>
              <w:jc w:val="center"/>
              <w:rPr>
                <w:rFonts w:ascii="Times New Roman" w:hAnsi="Times New Roman" w:cs="Times New Roman"/>
                <w:szCs w:val="21"/>
              </w:rPr>
            </w:pPr>
          </w:p>
        </w:tc>
        <w:tc>
          <w:tcPr>
            <w:tcW w:w="876" w:type="dxa"/>
            <w:tcBorders>
              <w:tl2br w:val="nil"/>
              <w:tr2bl w:val="nil"/>
            </w:tcBorders>
            <w:shd w:val="clear" w:color="auto" w:fill="auto"/>
            <w:vAlign w:val="center"/>
          </w:tcPr>
          <w:p w14:paraId="5DFC2F22">
            <w:pPr>
              <w:jc w:val="center"/>
              <w:rPr>
                <w:rFonts w:ascii="Times New Roman" w:hAnsi="Times New Roman" w:cs="Times New Roman"/>
                <w:szCs w:val="21"/>
              </w:rPr>
            </w:pPr>
            <w:r>
              <w:rPr>
                <w:rFonts w:ascii="Times New Roman" w:hAnsi="Times New Roman" w:cs="Times New Roman"/>
                <w:bCs/>
                <w:szCs w:val="21"/>
              </w:rPr>
              <w:t>0.3 µg/L</w:t>
            </w:r>
          </w:p>
        </w:tc>
      </w:tr>
      <w:tr w14:paraId="24EA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5A8CC11E">
            <w:pPr>
              <w:adjustRightInd w:val="0"/>
              <w:snapToGrid w:val="0"/>
              <w:jc w:val="center"/>
              <w:rPr>
                <w:rFonts w:ascii="Times New Roman" w:hAnsi="Times New Roman" w:cs="Times New Roman"/>
                <w:bCs/>
                <w:szCs w:val="21"/>
              </w:rPr>
            </w:pPr>
            <w:r>
              <w:rPr>
                <w:rFonts w:ascii="Times New Roman" w:hAnsi="Times New Roman" w:cs="Times New Roman"/>
                <w:bCs/>
                <w:szCs w:val="21"/>
              </w:rPr>
              <w:t>20</w:t>
            </w:r>
          </w:p>
        </w:tc>
        <w:tc>
          <w:tcPr>
            <w:tcW w:w="1210" w:type="dxa"/>
            <w:tcBorders>
              <w:tl2br w:val="nil"/>
              <w:tr2bl w:val="nil"/>
            </w:tcBorders>
            <w:shd w:val="clear" w:color="auto" w:fill="auto"/>
            <w:vAlign w:val="center"/>
          </w:tcPr>
          <w:p w14:paraId="0AE98A50">
            <w:pPr>
              <w:adjustRightInd w:val="0"/>
              <w:snapToGrid w:val="0"/>
              <w:jc w:val="center"/>
              <w:rPr>
                <w:rFonts w:ascii="Times New Roman" w:hAnsi="Times New Roman" w:cs="Times New Roman"/>
                <w:bCs/>
                <w:szCs w:val="21"/>
                <w:lang w:bidi="ar"/>
              </w:rPr>
            </w:pPr>
            <w:r>
              <w:rPr>
                <w:rFonts w:ascii="Times New Roman" w:hAnsi="Times New Roman" w:cs="Times New Roman"/>
                <w:bCs/>
                <w:szCs w:val="21"/>
                <w:lang w:bidi="ar"/>
              </w:rPr>
              <w:t>镉</w:t>
            </w:r>
          </w:p>
        </w:tc>
        <w:tc>
          <w:tcPr>
            <w:tcW w:w="2789" w:type="dxa"/>
            <w:tcBorders>
              <w:tl2br w:val="nil"/>
              <w:tr2bl w:val="nil"/>
            </w:tcBorders>
            <w:shd w:val="clear" w:color="auto" w:fill="auto"/>
            <w:vAlign w:val="center"/>
          </w:tcPr>
          <w:p w14:paraId="7C12C251">
            <w:pPr>
              <w:jc w:val="center"/>
              <w:rPr>
                <w:rFonts w:ascii="Times New Roman" w:hAnsi="Times New Roman" w:cs="Times New Roman"/>
                <w:bCs/>
                <w:szCs w:val="21"/>
              </w:rPr>
            </w:pPr>
            <w:r>
              <w:rPr>
                <w:rFonts w:ascii="Times New Roman" w:hAnsi="Times New Roman" w:cs="Times New Roman"/>
                <w:bCs/>
                <w:szCs w:val="21"/>
              </w:rPr>
              <w:t>水质 铜、铅、锌、镉的测定</w:t>
            </w:r>
          </w:p>
          <w:p w14:paraId="27709F6D">
            <w:pPr>
              <w:jc w:val="center"/>
              <w:rPr>
                <w:rFonts w:ascii="Times New Roman" w:hAnsi="Times New Roman" w:cs="Times New Roman"/>
                <w:bCs/>
                <w:szCs w:val="21"/>
              </w:rPr>
            </w:pPr>
            <w:r>
              <w:rPr>
                <w:rFonts w:ascii="Times New Roman" w:hAnsi="Times New Roman" w:cs="Times New Roman"/>
                <w:bCs/>
                <w:szCs w:val="21"/>
              </w:rPr>
              <w:t>原子吸收分光光度法</w:t>
            </w:r>
          </w:p>
          <w:p w14:paraId="5350AEE8">
            <w:pPr>
              <w:jc w:val="center"/>
              <w:rPr>
                <w:rFonts w:ascii="Times New Roman" w:hAnsi="Times New Roman" w:cs="Times New Roman"/>
                <w:szCs w:val="21"/>
              </w:rPr>
            </w:pPr>
            <w:r>
              <w:rPr>
                <w:rFonts w:ascii="Times New Roman" w:hAnsi="Times New Roman" w:cs="Times New Roman"/>
                <w:bCs/>
                <w:szCs w:val="21"/>
              </w:rPr>
              <w:t>（第二部分 螯合萃取法）</w:t>
            </w:r>
          </w:p>
        </w:tc>
        <w:tc>
          <w:tcPr>
            <w:tcW w:w="1794" w:type="dxa"/>
            <w:tcBorders>
              <w:tl2br w:val="nil"/>
              <w:tr2bl w:val="nil"/>
            </w:tcBorders>
            <w:shd w:val="clear" w:color="auto" w:fill="auto"/>
            <w:vAlign w:val="center"/>
          </w:tcPr>
          <w:p w14:paraId="7DE6C669">
            <w:pPr>
              <w:jc w:val="center"/>
              <w:rPr>
                <w:rFonts w:ascii="Times New Roman" w:hAnsi="Times New Roman" w:cs="Times New Roman"/>
                <w:szCs w:val="21"/>
              </w:rPr>
            </w:pPr>
            <w:r>
              <w:rPr>
                <w:rFonts w:ascii="Times New Roman" w:hAnsi="Times New Roman" w:cs="Times New Roman"/>
                <w:bCs/>
                <w:szCs w:val="21"/>
              </w:rPr>
              <w:t>GB/T 7475-87</w:t>
            </w:r>
          </w:p>
        </w:tc>
        <w:tc>
          <w:tcPr>
            <w:tcW w:w="1390" w:type="dxa"/>
            <w:tcBorders>
              <w:tl2br w:val="nil"/>
              <w:tr2bl w:val="nil"/>
            </w:tcBorders>
            <w:shd w:val="clear" w:color="auto" w:fill="auto"/>
            <w:vAlign w:val="center"/>
          </w:tcPr>
          <w:p w14:paraId="014E7AC5">
            <w:pPr>
              <w:jc w:val="center"/>
              <w:rPr>
                <w:rFonts w:ascii="Times New Roman" w:hAnsi="Times New Roman" w:cs="Times New Roman"/>
                <w:bCs/>
                <w:szCs w:val="21"/>
              </w:rPr>
            </w:pPr>
            <w:r>
              <w:rPr>
                <w:rFonts w:ascii="Times New Roman" w:hAnsi="Times New Roman" w:cs="Times New Roman"/>
                <w:bCs/>
                <w:szCs w:val="21"/>
              </w:rPr>
              <w:t>原子吸收</w:t>
            </w:r>
          </w:p>
          <w:p w14:paraId="555B7EAA">
            <w:pPr>
              <w:jc w:val="center"/>
              <w:rPr>
                <w:rFonts w:ascii="Times New Roman" w:hAnsi="Times New Roman" w:cs="Times New Roman"/>
                <w:bCs/>
                <w:szCs w:val="21"/>
              </w:rPr>
            </w:pPr>
            <w:r>
              <w:rPr>
                <w:rFonts w:ascii="Times New Roman" w:hAnsi="Times New Roman" w:cs="Times New Roman"/>
                <w:bCs/>
                <w:szCs w:val="21"/>
              </w:rPr>
              <w:t>分光光度计</w:t>
            </w:r>
          </w:p>
          <w:p w14:paraId="0819F65A">
            <w:pPr>
              <w:jc w:val="center"/>
              <w:rPr>
                <w:rFonts w:ascii="Times New Roman" w:hAnsi="Times New Roman" w:cs="Times New Roman"/>
                <w:szCs w:val="21"/>
              </w:rPr>
            </w:pPr>
            <w:r>
              <w:rPr>
                <w:rFonts w:ascii="Times New Roman" w:hAnsi="Times New Roman" w:cs="Times New Roman"/>
                <w:bCs/>
                <w:szCs w:val="21"/>
              </w:rPr>
              <w:t>AA-7020型</w:t>
            </w:r>
          </w:p>
        </w:tc>
        <w:tc>
          <w:tcPr>
            <w:tcW w:w="876" w:type="dxa"/>
            <w:tcBorders>
              <w:tl2br w:val="nil"/>
              <w:tr2bl w:val="nil"/>
            </w:tcBorders>
            <w:shd w:val="clear" w:color="auto" w:fill="auto"/>
            <w:vAlign w:val="center"/>
          </w:tcPr>
          <w:p w14:paraId="69EE799E">
            <w:pPr>
              <w:jc w:val="center"/>
              <w:rPr>
                <w:rFonts w:ascii="Times New Roman" w:hAnsi="Times New Roman" w:cs="Times New Roman"/>
                <w:bCs/>
                <w:szCs w:val="21"/>
              </w:rPr>
            </w:pPr>
            <w:r>
              <w:rPr>
                <w:rFonts w:ascii="Times New Roman" w:hAnsi="Times New Roman" w:cs="Times New Roman"/>
                <w:bCs/>
                <w:szCs w:val="21"/>
              </w:rPr>
              <w:t>0.25 µg/L</w:t>
            </w:r>
          </w:p>
        </w:tc>
      </w:tr>
      <w:tr w14:paraId="7F07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0580FEA2">
            <w:pPr>
              <w:adjustRightInd w:val="0"/>
              <w:snapToGrid w:val="0"/>
              <w:jc w:val="center"/>
              <w:rPr>
                <w:rFonts w:ascii="Times New Roman" w:hAnsi="Times New Roman" w:cs="Times New Roman"/>
                <w:bCs/>
                <w:szCs w:val="21"/>
              </w:rPr>
            </w:pPr>
            <w:r>
              <w:rPr>
                <w:rFonts w:ascii="Times New Roman" w:hAnsi="Times New Roman" w:cs="Times New Roman"/>
                <w:bCs/>
                <w:szCs w:val="21"/>
              </w:rPr>
              <w:t>21</w:t>
            </w:r>
          </w:p>
        </w:tc>
        <w:tc>
          <w:tcPr>
            <w:tcW w:w="1210" w:type="dxa"/>
            <w:tcBorders>
              <w:tl2br w:val="nil"/>
              <w:tr2bl w:val="nil"/>
            </w:tcBorders>
            <w:shd w:val="clear" w:color="auto" w:fill="auto"/>
            <w:vAlign w:val="center"/>
          </w:tcPr>
          <w:p w14:paraId="59D12414">
            <w:pPr>
              <w:adjustRightInd w:val="0"/>
              <w:snapToGrid w:val="0"/>
              <w:jc w:val="center"/>
              <w:rPr>
                <w:rFonts w:ascii="Times New Roman" w:hAnsi="Times New Roman" w:cs="Times New Roman"/>
                <w:bCs/>
                <w:szCs w:val="21"/>
                <w:lang w:bidi="ar"/>
              </w:rPr>
            </w:pPr>
            <w:r>
              <w:rPr>
                <w:rFonts w:ascii="Times New Roman" w:hAnsi="Times New Roman" w:cs="Times New Roman"/>
                <w:bCs/>
                <w:szCs w:val="21"/>
              </w:rPr>
              <w:t>六价铬</w:t>
            </w:r>
          </w:p>
        </w:tc>
        <w:tc>
          <w:tcPr>
            <w:tcW w:w="2789" w:type="dxa"/>
            <w:tcBorders>
              <w:tl2br w:val="nil"/>
              <w:tr2bl w:val="nil"/>
            </w:tcBorders>
            <w:shd w:val="clear" w:color="auto" w:fill="auto"/>
            <w:vAlign w:val="center"/>
          </w:tcPr>
          <w:p w14:paraId="111B47F4">
            <w:pPr>
              <w:jc w:val="center"/>
              <w:rPr>
                <w:rFonts w:ascii="Times New Roman" w:hAnsi="Times New Roman" w:cs="Times New Roman"/>
                <w:bCs/>
                <w:szCs w:val="21"/>
              </w:rPr>
            </w:pPr>
            <w:r>
              <w:rPr>
                <w:rFonts w:ascii="Times New Roman" w:hAnsi="Times New Roman" w:cs="Times New Roman"/>
                <w:bCs/>
                <w:szCs w:val="21"/>
              </w:rPr>
              <w:t>水质 六价铬的测定</w:t>
            </w:r>
          </w:p>
          <w:p w14:paraId="365016FA">
            <w:pPr>
              <w:jc w:val="center"/>
              <w:rPr>
                <w:rFonts w:ascii="Times New Roman" w:hAnsi="Times New Roman" w:cs="Times New Roman"/>
                <w:szCs w:val="21"/>
              </w:rPr>
            </w:pPr>
            <w:r>
              <w:rPr>
                <w:rFonts w:ascii="Times New Roman" w:hAnsi="Times New Roman" w:cs="Times New Roman"/>
                <w:bCs/>
                <w:szCs w:val="21"/>
              </w:rPr>
              <w:t>二苯碳酰二肼分光光度法</w:t>
            </w:r>
          </w:p>
        </w:tc>
        <w:tc>
          <w:tcPr>
            <w:tcW w:w="1794" w:type="dxa"/>
            <w:tcBorders>
              <w:tl2br w:val="nil"/>
              <w:tr2bl w:val="nil"/>
            </w:tcBorders>
            <w:shd w:val="clear" w:color="auto" w:fill="auto"/>
            <w:vAlign w:val="center"/>
          </w:tcPr>
          <w:p w14:paraId="57DC5C59">
            <w:pPr>
              <w:jc w:val="center"/>
              <w:rPr>
                <w:rFonts w:ascii="Times New Roman" w:hAnsi="Times New Roman" w:cs="Times New Roman"/>
                <w:szCs w:val="21"/>
              </w:rPr>
            </w:pPr>
            <w:r>
              <w:rPr>
                <w:rFonts w:ascii="Times New Roman" w:hAnsi="Times New Roman" w:cs="Times New Roman"/>
                <w:bCs/>
                <w:szCs w:val="21"/>
              </w:rPr>
              <w:t>GB 7467-1987</w:t>
            </w:r>
          </w:p>
        </w:tc>
        <w:tc>
          <w:tcPr>
            <w:tcW w:w="1390" w:type="dxa"/>
            <w:tcBorders>
              <w:tl2br w:val="nil"/>
              <w:tr2bl w:val="nil"/>
            </w:tcBorders>
            <w:shd w:val="clear" w:color="auto" w:fill="auto"/>
            <w:vAlign w:val="center"/>
          </w:tcPr>
          <w:p w14:paraId="76758AA3">
            <w:pPr>
              <w:jc w:val="center"/>
              <w:rPr>
                <w:rFonts w:ascii="Times New Roman" w:hAnsi="Times New Roman" w:cs="Times New Roman"/>
                <w:bCs/>
                <w:szCs w:val="21"/>
              </w:rPr>
            </w:pPr>
            <w:r>
              <w:rPr>
                <w:rFonts w:ascii="Times New Roman" w:hAnsi="Times New Roman" w:cs="Times New Roman"/>
                <w:bCs/>
                <w:szCs w:val="21"/>
              </w:rPr>
              <w:t>T6新悦可见</w:t>
            </w:r>
          </w:p>
          <w:p w14:paraId="7CD8A783">
            <w:pPr>
              <w:jc w:val="center"/>
              <w:rPr>
                <w:rFonts w:ascii="Times New Roman" w:hAnsi="Times New Roman" w:cs="Times New Roman"/>
                <w:szCs w:val="21"/>
              </w:rPr>
            </w:pPr>
            <w:r>
              <w:rPr>
                <w:rFonts w:ascii="Times New Roman" w:hAnsi="Times New Roman" w:cs="Times New Roman"/>
                <w:bCs/>
                <w:szCs w:val="21"/>
              </w:rPr>
              <w:t>分光光度计</w:t>
            </w:r>
          </w:p>
        </w:tc>
        <w:tc>
          <w:tcPr>
            <w:tcW w:w="876" w:type="dxa"/>
            <w:tcBorders>
              <w:tl2br w:val="nil"/>
              <w:tr2bl w:val="nil"/>
            </w:tcBorders>
            <w:shd w:val="clear" w:color="auto" w:fill="auto"/>
            <w:vAlign w:val="center"/>
          </w:tcPr>
          <w:p w14:paraId="2A55C827">
            <w:pPr>
              <w:jc w:val="center"/>
              <w:rPr>
                <w:rFonts w:ascii="Times New Roman" w:hAnsi="Times New Roman" w:cs="Times New Roman"/>
                <w:bCs/>
                <w:szCs w:val="21"/>
              </w:rPr>
            </w:pPr>
            <w:r>
              <w:rPr>
                <w:rFonts w:ascii="Times New Roman" w:hAnsi="Times New Roman" w:cs="Times New Roman"/>
                <w:bCs/>
                <w:szCs w:val="21"/>
              </w:rPr>
              <w:t>0.004 mg/L</w:t>
            </w:r>
          </w:p>
        </w:tc>
      </w:tr>
      <w:tr w14:paraId="466D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0AFBE9EF">
            <w:pPr>
              <w:adjustRightInd w:val="0"/>
              <w:snapToGrid w:val="0"/>
              <w:jc w:val="center"/>
              <w:rPr>
                <w:rFonts w:ascii="Times New Roman" w:hAnsi="Times New Roman" w:cs="Times New Roman"/>
                <w:bCs/>
                <w:szCs w:val="21"/>
              </w:rPr>
            </w:pPr>
            <w:r>
              <w:rPr>
                <w:rFonts w:ascii="Times New Roman" w:hAnsi="Times New Roman" w:cs="Times New Roman"/>
                <w:bCs/>
                <w:szCs w:val="21"/>
              </w:rPr>
              <w:t>22</w:t>
            </w:r>
          </w:p>
        </w:tc>
        <w:tc>
          <w:tcPr>
            <w:tcW w:w="1210" w:type="dxa"/>
            <w:tcBorders>
              <w:tl2br w:val="nil"/>
              <w:tr2bl w:val="nil"/>
            </w:tcBorders>
            <w:shd w:val="clear" w:color="auto" w:fill="auto"/>
            <w:vAlign w:val="center"/>
          </w:tcPr>
          <w:p w14:paraId="443390D9">
            <w:pPr>
              <w:adjustRightInd w:val="0"/>
              <w:snapToGrid w:val="0"/>
              <w:jc w:val="center"/>
              <w:rPr>
                <w:rFonts w:ascii="Times New Roman" w:hAnsi="Times New Roman" w:cs="Times New Roman"/>
                <w:bCs/>
                <w:szCs w:val="21"/>
                <w:lang w:bidi="ar"/>
              </w:rPr>
            </w:pPr>
            <w:r>
              <w:rPr>
                <w:rFonts w:ascii="Times New Roman" w:hAnsi="Times New Roman" w:cs="Times New Roman"/>
                <w:bCs/>
                <w:szCs w:val="21"/>
                <w:lang w:bidi="ar"/>
              </w:rPr>
              <w:t>铅</w:t>
            </w:r>
          </w:p>
        </w:tc>
        <w:tc>
          <w:tcPr>
            <w:tcW w:w="2789" w:type="dxa"/>
            <w:tcBorders>
              <w:tl2br w:val="nil"/>
              <w:tr2bl w:val="nil"/>
            </w:tcBorders>
            <w:shd w:val="clear" w:color="auto" w:fill="auto"/>
            <w:vAlign w:val="center"/>
          </w:tcPr>
          <w:p w14:paraId="0B27A848">
            <w:pPr>
              <w:jc w:val="center"/>
              <w:rPr>
                <w:rFonts w:ascii="Times New Roman" w:hAnsi="Times New Roman" w:cs="Times New Roman"/>
                <w:bCs/>
                <w:szCs w:val="21"/>
              </w:rPr>
            </w:pPr>
            <w:r>
              <w:rPr>
                <w:rFonts w:ascii="Times New Roman" w:hAnsi="Times New Roman" w:cs="Times New Roman"/>
                <w:bCs/>
                <w:szCs w:val="21"/>
              </w:rPr>
              <w:t xml:space="preserve">生活饮用水标准检验方法 </w:t>
            </w:r>
          </w:p>
          <w:p w14:paraId="4EC59461">
            <w:pPr>
              <w:jc w:val="center"/>
              <w:rPr>
                <w:rFonts w:ascii="Times New Roman" w:hAnsi="Times New Roman" w:cs="Times New Roman"/>
                <w:bCs/>
                <w:szCs w:val="21"/>
              </w:rPr>
            </w:pPr>
            <w:r>
              <w:rPr>
                <w:rFonts w:ascii="Times New Roman" w:hAnsi="Times New Roman" w:cs="Times New Roman"/>
                <w:bCs/>
                <w:szCs w:val="21"/>
              </w:rPr>
              <w:t xml:space="preserve">金属指标（11.1 铅 </w:t>
            </w:r>
          </w:p>
          <w:p w14:paraId="7B94BDF8">
            <w:pPr>
              <w:jc w:val="center"/>
              <w:rPr>
                <w:rFonts w:ascii="Times New Roman" w:hAnsi="Times New Roman" w:cs="Times New Roman"/>
                <w:szCs w:val="21"/>
              </w:rPr>
            </w:pPr>
            <w:r>
              <w:rPr>
                <w:rFonts w:ascii="Times New Roman" w:hAnsi="Times New Roman" w:cs="Times New Roman"/>
                <w:bCs/>
                <w:szCs w:val="21"/>
              </w:rPr>
              <w:t>无火焰原子吸收分光光度法）</w:t>
            </w:r>
          </w:p>
        </w:tc>
        <w:tc>
          <w:tcPr>
            <w:tcW w:w="1794" w:type="dxa"/>
            <w:tcBorders>
              <w:tl2br w:val="nil"/>
              <w:tr2bl w:val="nil"/>
            </w:tcBorders>
            <w:shd w:val="clear" w:color="auto" w:fill="auto"/>
            <w:vAlign w:val="center"/>
          </w:tcPr>
          <w:p w14:paraId="19BB6CE9">
            <w:pPr>
              <w:jc w:val="center"/>
              <w:rPr>
                <w:rFonts w:ascii="Times New Roman" w:hAnsi="Times New Roman" w:cs="Times New Roman"/>
                <w:szCs w:val="21"/>
              </w:rPr>
            </w:pPr>
            <w:r>
              <w:rPr>
                <w:rFonts w:ascii="Times New Roman" w:hAnsi="Times New Roman" w:cs="Times New Roman"/>
                <w:bCs/>
                <w:szCs w:val="21"/>
              </w:rPr>
              <w:t>GB/T 5750.6-2006</w:t>
            </w:r>
          </w:p>
        </w:tc>
        <w:tc>
          <w:tcPr>
            <w:tcW w:w="1390" w:type="dxa"/>
            <w:tcBorders>
              <w:tl2br w:val="nil"/>
              <w:tr2bl w:val="nil"/>
            </w:tcBorders>
            <w:shd w:val="clear" w:color="auto" w:fill="auto"/>
            <w:vAlign w:val="center"/>
          </w:tcPr>
          <w:p w14:paraId="3BDA26C1">
            <w:pPr>
              <w:jc w:val="center"/>
              <w:rPr>
                <w:rFonts w:ascii="Times New Roman" w:hAnsi="Times New Roman" w:cs="Times New Roman"/>
                <w:bCs/>
                <w:szCs w:val="21"/>
              </w:rPr>
            </w:pPr>
            <w:r>
              <w:rPr>
                <w:rFonts w:ascii="Times New Roman" w:hAnsi="Times New Roman" w:cs="Times New Roman"/>
                <w:bCs/>
                <w:szCs w:val="21"/>
              </w:rPr>
              <w:t>原子吸收</w:t>
            </w:r>
          </w:p>
          <w:p w14:paraId="3A804C5B">
            <w:pPr>
              <w:jc w:val="center"/>
              <w:rPr>
                <w:rFonts w:ascii="Times New Roman" w:hAnsi="Times New Roman" w:cs="Times New Roman"/>
                <w:szCs w:val="21"/>
              </w:rPr>
            </w:pPr>
            <w:r>
              <w:rPr>
                <w:rFonts w:ascii="Times New Roman" w:hAnsi="Times New Roman" w:cs="Times New Roman"/>
                <w:bCs/>
                <w:szCs w:val="21"/>
              </w:rPr>
              <w:t>分光光度计AA-7020</w:t>
            </w:r>
          </w:p>
        </w:tc>
        <w:tc>
          <w:tcPr>
            <w:tcW w:w="876" w:type="dxa"/>
            <w:tcBorders>
              <w:tl2br w:val="nil"/>
              <w:tr2bl w:val="nil"/>
            </w:tcBorders>
            <w:shd w:val="clear" w:color="auto" w:fill="auto"/>
            <w:vAlign w:val="center"/>
          </w:tcPr>
          <w:p w14:paraId="624FFDC6">
            <w:pPr>
              <w:jc w:val="center"/>
              <w:rPr>
                <w:rFonts w:ascii="Times New Roman" w:hAnsi="Times New Roman" w:cs="Times New Roman"/>
                <w:bCs/>
                <w:szCs w:val="21"/>
              </w:rPr>
            </w:pPr>
            <w:r>
              <w:rPr>
                <w:rFonts w:ascii="Times New Roman" w:hAnsi="Times New Roman" w:cs="Times New Roman"/>
                <w:bCs/>
                <w:szCs w:val="21"/>
              </w:rPr>
              <w:t>2.5 µg/L</w:t>
            </w:r>
          </w:p>
        </w:tc>
      </w:tr>
      <w:tr w14:paraId="2FCB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5CF665E0">
            <w:pPr>
              <w:adjustRightInd w:val="0"/>
              <w:snapToGrid w:val="0"/>
              <w:jc w:val="center"/>
              <w:rPr>
                <w:rFonts w:ascii="Times New Roman" w:hAnsi="Times New Roman" w:cs="Times New Roman"/>
                <w:bCs/>
                <w:szCs w:val="21"/>
              </w:rPr>
            </w:pPr>
            <w:r>
              <w:rPr>
                <w:rFonts w:ascii="Times New Roman" w:hAnsi="Times New Roman" w:cs="Times New Roman"/>
                <w:bCs/>
                <w:szCs w:val="21"/>
              </w:rPr>
              <w:t>23</w:t>
            </w:r>
          </w:p>
        </w:tc>
        <w:tc>
          <w:tcPr>
            <w:tcW w:w="1210" w:type="dxa"/>
            <w:tcBorders>
              <w:tl2br w:val="nil"/>
              <w:tr2bl w:val="nil"/>
            </w:tcBorders>
            <w:shd w:val="clear" w:color="auto" w:fill="auto"/>
            <w:vAlign w:val="center"/>
          </w:tcPr>
          <w:p w14:paraId="11A078A1">
            <w:pPr>
              <w:adjustRightInd w:val="0"/>
              <w:snapToGrid w:val="0"/>
              <w:jc w:val="center"/>
              <w:rPr>
                <w:rFonts w:ascii="Times New Roman" w:hAnsi="Times New Roman" w:cs="Times New Roman"/>
                <w:bCs/>
                <w:szCs w:val="21"/>
                <w:lang w:bidi="ar"/>
              </w:rPr>
            </w:pPr>
            <w:r>
              <w:rPr>
                <w:rFonts w:ascii="Times New Roman" w:hAnsi="Times New Roman" w:cs="Times New Roman"/>
                <w:szCs w:val="21"/>
              </w:rPr>
              <w:t>甲苯</w:t>
            </w:r>
          </w:p>
        </w:tc>
        <w:tc>
          <w:tcPr>
            <w:tcW w:w="2789" w:type="dxa"/>
            <w:vMerge w:val="restart"/>
            <w:tcBorders>
              <w:tl2br w:val="nil"/>
              <w:tr2bl w:val="nil"/>
            </w:tcBorders>
            <w:shd w:val="clear" w:color="auto" w:fill="auto"/>
            <w:vAlign w:val="center"/>
          </w:tcPr>
          <w:p w14:paraId="76EF3D23">
            <w:pPr>
              <w:jc w:val="center"/>
              <w:rPr>
                <w:rFonts w:ascii="Times New Roman" w:hAnsi="Times New Roman" w:cs="Times New Roman"/>
                <w:szCs w:val="21"/>
              </w:rPr>
            </w:pPr>
            <w:r>
              <w:rPr>
                <w:rFonts w:ascii="Times New Roman" w:hAnsi="Times New Roman" w:cs="Times New Roman"/>
                <w:szCs w:val="21"/>
              </w:rPr>
              <w:t xml:space="preserve">水质   挥发性有机物的测定 </w:t>
            </w:r>
          </w:p>
          <w:p w14:paraId="15660072">
            <w:pPr>
              <w:jc w:val="center"/>
              <w:rPr>
                <w:rFonts w:ascii="Times New Roman" w:hAnsi="Times New Roman" w:cs="Times New Roman"/>
                <w:bCs/>
                <w:szCs w:val="21"/>
              </w:rPr>
            </w:pPr>
            <w:r>
              <w:rPr>
                <w:rFonts w:ascii="Times New Roman" w:hAnsi="Times New Roman" w:cs="Times New Roman"/>
                <w:szCs w:val="21"/>
              </w:rPr>
              <w:t>吹扫捕集/气相色谱-质谱法</w:t>
            </w:r>
          </w:p>
        </w:tc>
        <w:tc>
          <w:tcPr>
            <w:tcW w:w="1794" w:type="dxa"/>
            <w:vMerge w:val="restart"/>
            <w:tcBorders>
              <w:tl2br w:val="nil"/>
              <w:tr2bl w:val="nil"/>
            </w:tcBorders>
            <w:shd w:val="clear" w:color="auto" w:fill="auto"/>
            <w:vAlign w:val="center"/>
          </w:tcPr>
          <w:p w14:paraId="4EAD5F67">
            <w:pPr>
              <w:jc w:val="center"/>
              <w:rPr>
                <w:rFonts w:ascii="Times New Roman" w:hAnsi="Times New Roman" w:cs="Times New Roman"/>
                <w:bCs/>
                <w:szCs w:val="21"/>
              </w:rPr>
            </w:pPr>
            <w:r>
              <w:rPr>
                <w:rFonts w:ascii="Times New Roman" w:hAnsi="Times New Roman" w:cs="Times New Roman"/>
                <w:szCs w:val="21"/>
              </w:rPr>
              <w:t>HJ 639-2012</w:t>
            </w:r>
          </w:p>
        </w:tc>
        <w:tc>
          <w:tcPr>
            <w:tcW w:w="1390" w:type="dxa"/>
            <w:vMerge w:val="restart"/>
            <w:tcBorders>
              <w:tl2br w:val="nil"/>
              <w:tr2bl w:val="nil"/>
            </w:tcBorders>
            <w:shd w:val="clear" w:color="auto" w:fill="auto"/>
            <w:vAlign w:val="center"/>
          </w:tcPr>
          <w:p w14:paraId="6C14976A">
            <w:pPr>
              <w:jc w:val="center"/>
              <w:rPr>
                <w:rFonts w:ascii="Times New Roman" w:hAnsi="Times New Roman" w:cs="Times New Roman"/>
                <w:bCs/>
                <w:szCs w:val="21"/>
              </w:rPr>
            </w:pPr>
            <w:r>
              <w:rPr>
                <w:rFonts w:ascii="Times New Roman" w:hAnsi="Times New Roman" w:cs="Times New Roman"/>
                <w:szCs w:val="21"/>
              </w:rPr>
              <w:t>气相色谱-质谱联用仪Trace 1300/ISQ QD</w:t>
            </w:r>
          </w:p>
        </w:tc>
        <w:tc>
          <w:tcPr>
            <w:tcW w:w="876" w:type="dxa"/>
            <w:tcBorders>
              <w:tl2br w:val="nil"/>
              <w:tr2bl w:val="nil"/>
            </w:tcBorders>
            <w:shd w:val="clear" w:color="auto" w:fill="auto"/>
            <w:vAlign w:val="center"/>
          </w:tcPr>
          <w:p w14:paraId="213A2FA4">
            <w:pPr>
              <w:jc w:val="center"/>
              <w:rPr>
                <w:rFonts w:ascii="Times New Roman" w:hAnsi="Times New Roman" w:cs="Times New Roman"/>
                <w:bCs/>
                <w:szCs w:val="21"/>
              </w:rPr>
            </w:pPr>
            <w:r>
              <w:rPr>
                <w:rFonts w:ascii="Times New Roman" w:hAnsi="Times New Roman" w:eastAsia="宋体" w:cs="Times New Roman"/>
                <w:szCs w:val="21"/>
              </w:rPr>
              <w:t>1</w:t>
            </w:r>
            <w:r>
              <w:rPr>
                <w:rFonts w:ascii="Times New Roman" w:hAnsi="Times New Roman" w:cs="Times New Roman"/>
                <w:szCs w:val="21"/>
              </w:rPr>
              <w:t>.4</w:t>
            </w:r>
            <w:r>
              <w:rPr>
                <w:rFonts w:ascii="Times New Roman" w:hAnsi="Times New Roman" w:eastAsia="宋体" w:cs="Times New Roman"/>
                <w:szCs w:val="21"/>
              </w:rPr>
              <w:t xml:space="preserve"> µg/L</w:t>
            </w:r>
          </w:p>
        </w:tc>
      </w:tr>
      <w:tr w14:paraId="1EDA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5B933E16">
            <w:pPr>
              <w:adjustRightInd w:val="0"/>
              <w:snapToGrid w:val="0"/>
              <w:jc w:val="center"/>
              <w:rPr>
                <w:rFonts w:ascii="Times New Roman" w:hAnsi="Times New Roman" w:cs="Times New Roman"/>
                <w:bCs/>
                <w:szCs w:val="21"/>
              </w:rPr>
            </w:pPr>
            <w:r>
              <w:rPr>
                <w:rFonts w:ascii="Times New Roman" w:hAnsi="Times New Roman" w:cs="Times New Roman"/>
                <w:bCs/>
                <w:szCs w:val="21"/>
              </w:rPr>
              <w:t>24</w:t>
            </w:r>
          </w:p>
        </w:tc>
        <w:tc>
          <w:tcPr>
            <w:tcW w:w="1210" w:type="dxa"/>
            <w:tcBorders>
              <w:tl2br w:val="nil"/>
              <w:tr2bl w:val="nil"/>
            </w:tcBorders>
            <w:shd w:val="clear" w:color="auto" w:fill="auto"/>
            <w:vAlign w:val="center"/>
          </w:tcPr>
          <w:p w14:paraId="144523EF">
            <w:pPr>
              <w:adjustRightInd w:val="0"/>
              <w:snapToGrid w:val="0"/>
              <w:jc w:val="center"/>
              <w:rPr>
                <w:rFonts w:ascii="Times New Roman" w:hAnsi="Times New Roman" w:cs="Times New Roman"/>
                <w:bCs/>
                <w:szCs w:val="21"/>
                <w:lang w:bidi="ar"/>
              </w:rPr>
            </w:pPr>
            <w:r>
              <w:rPr>
                <w:rFonts w:ascii="Times New Roman" w:hAnsi="Times New Roman" w:cs="Times New Roman"/>
                <w:szCs w:val="21"/>
              </w:rPr>
              <w:t>邻二甲苯</w:t>
            </w:r>
          </w:p>
        </w:tc>
        <w:tc>
          <w:tcPr>
            <w:tcW w:w="2789" w:type="dxa"/>
            <w:vMerge w:val="continue"/>
            <w:tcBorders>
              <w:tl2br w:val="nil"/>
              <w:tr2bl w:val="nil"/>
            </w:tcBorders>
            <w:shd w:val="clear" w:color="auto" w:fill="auto"/>
            <w:vAlign w:val="center"/>
          </w:tcPr>
          <w:p w14:paraId="3064AB37">
            <w:pPr>
              <w:adjustRightInd w:val="0"/>
              <w:snapToGrid w:val="0"/>
              <w:jc w:val="center"/>
              <w:rPr>
                <w:rFonts w:ascii="Times New Roman" w:hAnsi="Times New Roman" w:cs="Times New Roman"/>
                <w:bCs/>
                <w:szCs w:val="21"/>
              </w:rPr>
            </w:pPr>
          </w:p>
        </w:tc>
        <w:tc>
          <w:tcPr>
            <w:tcW w:w="1794" w:type="dxa"/>
            <w:vMerge w:val="continue"/>
            <w:tcBorders>
              <w:tl2br w:val="nil"/>
              <w:tr2bl w:val="nil"/>
            </w:tcBorders>
            <w:shd w:val="clear" w:color="auto" w:fill="auto"/>
            <w:vAlign w:val="center"/>
          </w:tcPr>
          <w:p w14:paraId="57FF1F59">
            <w:pPr>
              <w:adjustRightInd w:val="0"/>
              <w:snapToGrid w:val="0"/>
              <w:jc w:val="center"/>
              <w:rPr>
                <w:rFonts w:ascii="Times New Roman" w:hAnsi="Times New Roman" w:cs="Times New Roman"/>
                <w:bCs/>
                <w:szCs w:val="21"/>
              </w:rPr>
            </w:pPr>
          </w:p>
        </w:tc>
        <w:tc>
          <w:tcPr>
            <w:tcW w:w="1390" w:type="dxa"/>
            <w:vMerge w:val="continue"/>
            <w:tcBorders>
              <w:tl2br w:val="nil"/>
              <w:tr2bl w:val="nil"/>
            </w:tcBorders>
            <w:shd w:val="clear" w:color="auto" w:fill="auto"/>
            <w:vAlign w:val="center"/>
          </w:tcPr>
          <w:p w14:paraId="267C0710">
            <w:pPr>
              <w:adjustRightInd w:val="0"/>
              <w:snapToGrid w:val="0"/>
              <w:jc w:val="center"/>
              <w:rPr>
                <w:rFonts w:ascii="Times New Roman" w:hAnsi="Times New Roman" w:cs="Times New Roman"/>
                <w:bCs/>
                <w:szCs w:val="21"/>
              </w:rPr>
            </w:pPr>
          </w:p>
        </w:tc>
        <w:tc>
          <w:tcPr>
            <w:tcW w:w="876" w:type="dxa"/>
            <w:tcBorders>
              <w:tl2br w:val="nil"/>
              <w:tr2bl w:val="nil"/>
            </w:tcBorders>
            <w:shd w:val="clear" w:color="auto" w:fill="auto"/>
            <w:vAlign w:val="center"/>
          </w:tcPr>
          <w:p w14:paraId="2EC13BDE">
            <w:pPr>
              <w:jc w:val="center"/>
              <w:rPr>
                <w:rFonts w:ascii="Times New Roman" w:hAnsi="Times New Roman" w:cs="Times New Roman"/>
                <w:bCs/>
                <w:szCs w:val="21"/>
              </w:rPr>
            </w:pPr>
            <w:r>
              <w:rPr>
                <w:rFonts w:ascii="Times New Roman" w:hAnsi="Times New Roman" w:cs="Times New Roman"/>
                <w:szCs w:val="21"/>
              </w:rPr>
              <w:t>1.4</w:t>
            </w:r>
            <w:r>
              <w:rPr>
                <w:rFonts w:ascii="Times New Roman" w:hAnsi="Times New Roman" w:eastAsia="宋体" w:cs="Times New Roman"/>
                <w:szCs w:val="21"/>
              </w:rPr>
              <w:t xml:space="preserve"> µg/L</w:t>
            </w:r>
          </w:p>
        </w:tc>
      </w:tr>
      <w:tr w14:paraId="6FDE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1E7A79AC">
            <w:pPr>
              <w:adjustRightInd w:val="0"/>
              <w:snapToGrid w:val="0"/>
              <w:jc w:val="center"/>
              <w:rPr>
                <w:rFonts w:ascii="Times New Roman" w:hAnsi="Times New Roman" w:cs="Times New Roman"/>
                <w:bCs/>
                <w:szCs w:val="21"/>
              </w:rPr>
            </w:pPr>
            <w:r>
              <w:rPr>
                <w:rFonts w:ascii="Times New Roman" w:hAnsi="Times New Roman" w:cs="Times New Roman"/>
                <w:bCs/>
                <w:szCs w:val="21"/>
              </w:rPr>
              <w:t>25</w:t>
            </w:r>
          </w:p>
        </w:tc>
        <w:tc>
          <w:tcPr>
            <w:tcW w:w="1210" w:type="dxa"/>
            <w:tcBorders>
              <w:tl2br w:val="nil"/>
              <w:tr2bl w:val="nil"/>
            </w:tcBorders>
            <w:shd w:val="clear" w:color="auto" w:fill="auto"/>
            <w:vAlign w:val="center"/>
          </w:tcPr>
          <w:p w14:paraId="14118D7A">
            <w:pPr>
              <w:adjustRightInd w:val="0"/>
              <w:snapToGrid w:val="0"/>
              <w:jc w:val="center"/>
              <w:rPr>
                <w:rFonts w:ascii="Times New Roman" w:hAnsi="Times New Roman" w:cs="Times New Roman"/>
                <w:bCs/>
                <w:szCs w:val="21"/>
                <w:lang w:bidi="ar"/>
              </w:rPr>
            </w:pPr>
            <w:r>
              <w:rPr>
                <w:rFonts w:ascii="Times New Roman" w:hAnsi="Times New Roman" w:cs="Times New Roman"/>
                <w:szCs w:val="21"/>
              </w:rPr>
              <w:t>间,对二甲苯</w:t>
            </w:r>
          </w:p>
        </w:tc>
        <w:tc>
          <w:tcPr>
            <w:tcW w:w="2789" w:type="dxa"/>
            <w:vMerge w:val="continue"/>
            <w:tcBorders>
              <w:tl2br w:val="nil"/>
              <w:tr2bl w:val="nil"/>
            </w:tcBorders>
            <w:shd w:val="clear" w:color="auto" w:fill="auto"/>
            <w:vAlign w:val="center"/>
          </w:tcPr>
          <w:p w14:paraId="526C1B16">
            <w:pPr>
              <w:adjustRightInd w:val="0"/>
              <w:snapToGrid w:val="0"/>
              <w:jc w:val="center"/>
              <w:rPr>
                <w:rFonts w:ascii="Times New Roman" w:hAnsi="Times New Roman" w:cs="Times New Roman"/>
                <w:bCs/>
                <w:szCs w:val="21"/>
              </w:rPr>
            </w:pPr>
          </w:p>
        </w:tc>
        <w:tc>
          <w:tcPr>
            <w:tcW w:w="1794" w:type="dxa"/>
            <w:vMerge w:val="continue"/>
            <w:tcBorders>
              <w:tl2br w:val="nil"/>
              <w:tr2bl w:val="nil"/>
            </w:tcBorders>
            <w:shd w:val="clear" w:color="auto" w:fill="auto"/>
            <w:vAlign w:val="center"/>
          </w:tcPr>
          <w:p w14:paraId="1405175D">
            <w:pPr>
              <w:adjustRightInd w:val="0"/>
              <w:snapToGrid w:val="0"/>
              <w:jc w:val="center"/>
              <w:rPr>
                <w:rFonts w:ascii="Times New Roman" w:hAnsi="Times New Roman" w:cs="Times New Roman"/>
                <w:bCs/>
                <w:szCs w:val="21"/>
              </w:rPr>
            </w:pPr>
          </w:p>
        </w:tc>
        <w:tc>
          <w:tcPr>
            <w:tcW w:w="1390" w:type="dxa"/>
            <w:vMerge w:val="continue"/>
            <w:tcBorders>
              <w:tl2br w:val="nil"/>
              <w:tr2bl w:val="nil"/>
            </w:tcBorders>
            <w:shd w:val="clear" w:color="auto" w:fill="auto"/>
            <w:vAlign w:val="center"/>
          </w:tcPr>
          <w:p w14:paraId="08B4AAD9">
            <w:pPr>
              <w:adjustRightInd w:val="0"/>
              <w:snapToGrid w:val="0"/>
              <w:jc w:val="center"/>
              <w:rPr>
                <w:rFonts w:ascii="Times New Roman" w:hAnsi="Times New Roman" w:cs="Times New Roman"/>
                <w:bCs/>
                <w:szCs w:val="21"/>
              </w:rPr>
            </w:pPr>
          </w:p>
        </w:tc>
        <w:tc>
          <w:tcPr>
            <w:tcW w:w="876" w:type="dxa"/>
            <w:tcBorders>
              <w:tl2br w:val="nil"/>
              <w:tr2bl w:val="nil"/>
            </w:tcBorders>
            <w:shd w:val="clear" w:color="auto" w:fill="auto"/>
            <w:vAlign w:val="center"/>
          </w:tcPr>
          <w:p w14:paraId="4B36B40E">
            <w:pPr>
              <w:jc w:val="center"/>
              <w:rPr>
                <w:rFonts w:ascii="Times New Roman" w:hAnsi="Times New Roman" w:cs="Times New Roman"/>
                <w:bCs/>
                <w:szCs w:val="21"/>
              </w:rPr>
            </w:pPr>
            <w:r>
              <w:rPr>
                <w:rFonts w:ascii="Times New Roman" w:hAnsi="Times New Roman" w:cs="Times New Roman"/>
                <w:szCs w:val="21"/>
              </w:rPr>
              <w:t>2.2</w:t>
            </w:r>
            <w:r>
              <w:rPr>
                <w:rFonts w:ascii="Times New Roman" w:hAnsi="Times New Roman" w:eastAsia="宋体" w:cs="Times New Roman"/>
                <w:szCs w:val="21"/>
              </w:rPr>
              <w:t xml:space="preserve"> µg/L</w:t>
            </w:r>
          </w:p>
        </w:tc>
      </w:tr>
      <w:tr w14:paraId="27CC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5FCE3DC0">
            <w:pPr>
              <w:adjustRightInd w:val="0"/>
              <w:snapToGrid w:val="0"/>
              <w:jc w:val="center"/>
              <w:rPr>
                <w:rFonts w:ascii="Times New Roman" w:hAnsi="Times New Roman" w:cs="Times New Roman"/>
                <w:bCs/>
                <w:szCs w:val="21"/>
              </w:rPr>
            </w:pPr>
            <w:r>
              <w:rPr>
                <w:rFonts w:ascii="Times New Roman" w:hAnsi="Times New Roman" w:cs="Times New Roman"/>
                <w:bCs/>
                <w:szCs w:val="21"/>
              </w:rPr>
              <w:t>26</w:t>
            </w:r>
          </w:p>
        </w:tc>
        <w:tc>
          <w:tcPr>
            <w:tcW w:w="1210" w:type="dxa"/>
            <w:tcBorders>
              <w:tl2br w:val="nil"/>
              <w:tr2bl w:val="nil"/>
            </w:tcBorders>
            <w:shd w:val="clear" w:color="auto" w:fill="auto"/>
            <w:vAlign w:val="center"/>
          </w:tcPr>
          <w:p w14:paraId="2B794C10">
            <w:pPr>
              <w:adjustRightInd w:val="0"/>
              <w:snapToGrid w:val="0"/>
              <w:jc w:val="center"/>
              <w:rPr>
                <w:rFonts w:ascii="Times New Roman" w:hAnsi="Times New Roman" w:cs="Times New Roman"/>
                <w:bCs/>
                <w:szCs w:val="21"/>
              </w:rPr>
            </w:pPr>
            <w:r>
              <w:rPr>
                <w:rFonts w:ascii="Times New Roman" w:hAnsi="Times New Roman" w:cs="Times New Roman"/>
                <w:szCs w:val="21"/>
              </w:rPr>
              <w:t>碱度</w:t>
            </w:r>
          </w:p>
        </w:tc>
        <w:tc>
          <w:tcPr>
            <w:tcW w:w="2789" w:type="dxa"/>
            <w:tcBorders>
              <w:tl2br w:val="nil"/>
              <w:tr2bl w:val="nil"/>
            </w:tcBorders>
            <w:shd w:val="clear" w:color="auto" w:fill="auto"/>
            <w:vAlign w:val="center"/>
          </w:tcPr>
          <w:p w14:paraId="21AE214F">
            <w:pPr>
              <w:jc w:val="center"/>
              <w:rPr>
                <w:rFonts w:ascii="Times New Roman" w:hAnsi="Times New Roman" w:cs="Times New Roman"/>
                <w:szCs w:val="21"/>
              </w:rPr>
            </w:pPr>
            <w:r>
              <w:rPr>
                <w:rFonts w:ascii="Times New Roman" w:hAnsi="Times New Roman" w:cs="Times New Roman"/>
                <w:szCs w:val="21"/>
              </w:rPr>
              <w:t>碱度酸碱指示剂滴定法</w:t>
            </w:r>
          </w:p>
        </w:tc>
        <w:tc>
          <w:tcPr>
            <w:tcW w:w="1794" w:type="dxa"/>
            <w:tcBorders>
              <w:tl2br w:val="nil"/>
              <w:tr2bl w:val="nil"/>
            </w:tcBorders>
            <w:shd w:val="clear" w:color="auto" w:fill="auto"/>
            <w:vAlign w:val="center"/>
          </w:tcPr>
          <w:p w14:paraId="0D37A475">
            <w:pPr>
              <w:jc w:val="center"/>
              <w:rPr>
                <w:rFonts w:ascii="Times New Roman" w:hAnsi="Times New Roman" w:cs="Times New Roman"/>
                <w:szCs w:val="21"/>
              </w:rPr>
            </w:pPr>
            <w:r>
              <w:rPr>
                <w:rFonts w:ascii="Times New Roman" w:hAnsi="Times New Roman" w:cs="Times New Roman"/>
                <w:bCs/>
                <w:szCs w:val="21"/>
              </w:rPr>
              <w:t>《水和废水监测分析方法》（第四版）国家环境保护总局（2002年）</w:t>
            </w:r>
          </w:p>
        </w:tc>
        <w:tc>
          <w:tcPr>
            <w:tcW w:w="1390" w:type="dxa"/>
            <w:tcBorders>
              <w:tl2br w:val="nil"/>
              <w:tr2bl w:val="nil"/>
            </w:tcBorders>
            <w:shd w:val="clear" w:color="auto" w:fill="auto"/>
            <w:vAlign w:val="center"/>
          </w:tcPr>
          <w:p w14:paraId="447FB309">
            <w:pPr>
              <w:jc w:val="center"/>
              <w:rPr>
                <w:rFonts w:ascii="Times New Roman" w:hAnsi="Times New Roman" w:cs="Times New Roman"/>
                <w:bCs/>
                <w:szCs w:val="21"/>
              </w:rPr>
            </w:pPr>
            <w:r>
              <w:rPr>
                <w:rFonts w:ascii="Times New Roman" w:hAnsi="Times New Roman" w:cs="Times New Roman"/>
                <w:bCs/>
                <w:szCs w:val="21"/>
              </w:rPr>
              <w:t>酸式</w:t>
            </w:r>
          </w:p>
          <w:p w14:paraId="292B6E7C">
            <w:pPr>
              <w:jc w:val="center"/>
              <w:rPr>
                <w:rFonts w:ascii="Times New Roman" w:hAnsi="Times New Roman" w:cs="Times New Roman"/>
                <w:szCs w:val="21"/>
              </w:rPr>
            </w:pPr>
            <w:r>
              <w:rPr>
                <w:rFonts w:ascii="Times New Roman" w:hAnsi="Times New Roman" w:cs="Times New Roman"/>
                <w:bCs/>
                <w:szCs w:val="21"/>
              </w:rPr>
              <w:t>滴定管</w:t>
            </w:r>
          </w:p>
        </w:tc>
        <w:tc>
          <w:tcPr>
            <w:tcW w:w="876" w:type="dxa"/>
            <w:tcBorders>
              <w:tl2br w:val="nil"/>
              <w:tr2bl w:val="nil"/>
            </w:tcBorders>
            <w:shd w:val="clear" w:color="auto" w:fill="auto"/>
            <w:vAlign w:val="center"/>
          </w:tcPr>
          <w:p w14:paraId="59BB5A5C">
            <w:pPr>
              <w:jc w:val="center"/>
              <w:rPr>
                <w:rFonts w:ascii="Times New Roman" w:hAnsi="Times New Roman" w:cs="Times New Roman"/>
                <w:szCs w:val="21"/>
              </w:rPr>
            </w:pPr>
            <w:r>
              <w:rPr>
                <w:rFonts w:ascii="Times New Roman" w:hAnsi="Times New Roman" w:cs="Times New Roman"/>
                <w:szCs w:val="21"/>
              </w:rPr>
              <w:t>/</w:t>
            </w:r>
          </w:p>
        </w:tc>
      </w:tr>
      <w:tr w14:paraId="0C45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5FFC2718">
            <w:pPr>
              <w:adjustRightInd w:val="0"/>
              <w:snapToGrid w:val="0"/>
              <w:jc w:val="center"/>
              <w:rPr>
                <w:rFonts w:ascii="Times New Roman" w:hAnsi="Times New Roman" w:cs="Times New Roman"/>
                <w:bCs/>
                <w:szCs w:val="21"/>
              </w:rPr>
            </w:pPr>
            <w:r>
              <w:rPr>
                <w:rFonts w:ascii="Times New Roman" w:hAnsi="Times New Roman" w:cs="Times New Roman"/>
                <w:bCs/>
                <w:szCs w:val="21"/>
              </w:rPr>
              <w:t>27</w:t>
            </w:r>
          </w:p>
        </w:tc>
        <w:tc>
          <w:tcPr>
            <w:tcW w:w="1210" w:type="dxa"/>
            <w:tcBorders>
              <w:tl2br w:val="nil"/>
              <w:tr2bl w:val="nil"/>
            </w:tcBorders>
            <w:shd w:val="clear" w:color="auto" w:fill="auto"/>
            <w:vAlign w:val="center"/>
          </w:tcPr>
          <w:p w14:paraId="41ADD27D">
            <w:pPr>
              <w:adjustRightInd w:val="0"/>
              <w:snapToGrid w:val="0"/>
              <w:jc w:val="center"/>
              <w:rPr>
                <w:rFonts w:ascii="Times New Roman" w:hAnsi="Times New Roman" w:cs="Times New Roman"/>
                <w:bCs/>
                <w:szCs w:val="21"/>
              </w:rPr>
            </w:pPr>
            <w:r>
              <w:rPr>
                <w:rFonts w:ascii="Times New Roman" w:hAnsi="Times New Roman" w:cs="Times New Roman"/>
                <w:szCs w:val="21"/>
              </w:rPr>
              <w:t>钾</w:t>
            </w:r>
          </w:p>
        </w:tc>
        <w:tc>
          <w:tcPr>
            <w:tcW w:w="2789" w:type="dxa"/>
            <w:vMerge w:val="restart"/>
            <w:tcBorders>
              <w:tl2br w:val="nil"/>
              <w:tr2bl w:val="nil"/>
            </w:tcBorders>
            <w:shd w:val="clear" w:color="auto" w:fill="auto"/>
            <w:vAlign w:val="center"/>
          </w:tcPr>
          <w:p w14:paraId="75230A55">
            <w:pPr>
              <w:jc w:val="center"/>
              <w:rPr>
                <w:rFonts w:ascii="Times New Roman" w:hAnsi="Times New Roman" w:cs="Times New Roman"/>
                <w:szCs w:val="21"/>
              </w:rPr>
            </w:pPr>
            <w:r>
              <w:rPr>
                <w:rFonts w:ascii="Times New Roman" w:hAnsi="Times New Roman" w:cs="Times New Roman"/>
                <w:szCs w:val="21"/>
              </w:rPr>
              <w:t>水质 32种元素的测定</w:t>
            </w:r>
          </w:p>
          <w:p w14:paraId="7CD619D5">
            <w:pPr>
              <w:jc w:val="center"/>
              <w:rPr>
                <w:rFonts w:ascii="Times New Roman" w:hAnsi="Times New Roman" w:cs="Times New Roman"/>
                <w:bCs/>
                <w:szCs w:val="21"/>
              </w:rPr>
            </w:pPr>
            <w:r>
              <w:rPr>
                <w:rFonts w:ascii="Times New Roman" w:hAnsi="Times New Roman" w:cs="Times New Roman"/>
                <w:szCs w:val="21"/>
              </w:rPr>
              <w:t>电感耦合等离子体发射光谱法</w:t>
            </w:r>
          </w:p>
        </w:tc>
        <w:tc>
          <w:tcPr>
            <w:tcW w:w="1794" w:type="dxa"/>
            <w:vMerge w:val="restart"/>
            <w:tcBorders>
              <w:tl2br w:val="nil"/>
              <w:tr2bl w:val="nil"/>
            </w:tcBorders>
            <w:shd w:val="clear" w:color="auto" w:fill="auto"/>
            <w:vAlign w:val="center"/>
          </w:tcPr>
          <w:p w14:paraId="7D950D45">
            <w:pPr>
              <w:jc w:val="center"/>
              <w:rPr>
                <w:rFonts w:ascii="Times New Roman" w:hAnsi="Times New Roman" w:cs="Times New Roman"/>
                <w:bCs/>
                <w:szCs w:val="21"/>
              </w:rPr>
            </w:pPr>
            <w:r>
              <w:rPr>
                <w:rFonts w:ascii="Times New Roman" w:hAnsi="Times New Roman" w:cs="Times New Roman"/>
                <w:szCs w:val="21"/>
              </w:rPr>
              <w:t>HJ 776-2015</w:t>
            </w:r>
          </w:p>
        </w:tc>
        <w:tc>
          <w:tcPr>
            <w:tcW w:w="1390" w:type="dxa"/>
            <w:vMerge w:val="restart"/>
            <w:tcBorders>
              <w:tl2br w:val="nil"/>
              <w:tr2bl w:val="nil"/>
            </w:tcBorders>
            <w:shd w:val="clear" w:color="auto" w:fill="auto"/>
            <w:vAlign w:val="center"/>
          </w:tcPr>
          <w:p w14:paraId="75CEDB42">
            <w:pPr>
              <w:jc w:val="center"/>
              <w:rPr>
                <w:rFonts w:ascii="Times New Roman" w:hAnsi="Times New Roman" w:cs="Times New Roman"/>
                <w:bCs/>
                <w:szCs w:val="21"/>
              </w:rPr>
            </w:pPr>
            <w:r>
              <w:rPr>
                <w:rFonts w:ascii="Times New Roman" w:hAnsi="Times New Roman" w:cs="Times New Roman"/>
                <w:szCs w:val="21"/>
              </w:rPr>
              <w:t>电感耦合等离子体发射光谱仪7200 DUO</w:t>
            </w:r>
          </w:p>
        </w:tc>
        <w:tc>
          <w:tcPr>
            <w:tcW w:w="876" w:type="dxa"/>
            <w:tcBorders>
              <w:tl2br w:val="nil"/>
              <w:tr2bl w:val="nil"/>
            </w:tcBorders>
            <w:shd w:val="clear" w:color="auto" w:fill="auto"/>
            <w:vAlign w:val="center"/>
          </w:tcPr>
          <w:p w14:paraId="3CA2F6A3">
            <w:pPr>
              <w:jc w:val="center"/>
              <w:rPr>
                <w:rFonts w:ascii="Times New Roman" w:hAnsi="Times New Roman" w:cs="Times New Roman"/>
                <w:bCs/>
                <w:szCs w:val="21"/>
              </w:rPr>
            </w:pPr>
            <w:r>
              <w:rPr>
                <w:rFonts w:ascii="Times New Roman" w:hAnsi="Times New Roman" w:cs="Times New Roman"/>
                <w:szCs w:val="21"/>
              </w:rPr>
              <w:t>0.05 mg/L</w:t>
            </w:r>
          </w:p>
        </w:tc>
      </w:tr>
      <w:tr w14:paraId="09B8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60" w:type="dxa"/>
            <w:tcBorders>
              <w:tl2br w:val="nil"/>
              <w:tr2bl w:val="nil"/>
            </w:tcBorders>
            <w:shd w:val="clear" w:color="auto" w:fill="auto"/>
            <w:vAlign w:val="center"/>
          </w:tcPr>
          <w:p w14:paraId="73BEC8AD">
            <w:pPr>
              <w:adjustRightInd w:val="0"/>
              <w:snapToGrid w:val="0"/>
              <w:jc w:val="center"/>
              <w:rPr>
                <w:rFonts w:ascii="Times New Roman" w:hAnsi="Times New Roman" w:cs="Times New Roman"/>
                <w:bCs/>
                <w:szCs w:val="21"/>
              </w:rPr>
            </w:pPr>
            <w:r>
              <w:rPr>
                <w:rFonts w:ascii="Times New Roman" w:hAnsi="Times New Roman" w:cs="Times New Roman"/>
                <w:bCs/>
                <w:szCs w:val="21"/>
              </w:rPr>
              <w:t>28</w:t>
            </w:r>
          </w:p>
        </w:tc>
        <w:tc>
          <w:tcPr>
            <w:tcW w:w="1210" w:type="dxa"/>
            <w:tcBorders>
              <w:tl2br w:val="nil"/>
              <w:tr2bl w:val="nil"/>
            </w:tcBorders>
            <w:shd w:val="clear" w:color="auto" w:fill="auto"/>
            <w:vAlign w:val="center"/>
          </w:tcPr>
          <w:p w14:paraId="4B165F45">
            <w:pPr>
              <w:adjustRightInd w:val="0"/>
              <w:snapToGrid w:val="0"/>
              <w:jc w:val="center"/>
              <w:rPr>
                <w:rFonts w:ascii="Times New Roman" w:hAnsi="Times New Roman" w:cs="Times New Roman"/>
                <w:bCs/>
                <w:szCs w:val="21"/>
              </w:rPr>
            </w:pPr>
            <w:r>
              <w:rPr>
                <w:rFonts w:ascii="Times New Roman" w:hAnsi="Times New Roman" w:cs="Times New Roman"/>
                <w:szCs w:val="21"/>
              </w:rPr>
              <w:t>钙</w:t>
            </w:r>
          </w:p>
        </w:tc>
        <w:tc>
          <w:tcPr>
            <w:tcW w:w="2789" w:type="dxa"/>
            <w:vMerge w:val="continue"/>
            <w:tcBorders>
              <w:tl2br w:val="nil"/>
              <w:tr2bl w:val="nil"/>
            </w:tcBorders>
            <w:shd w:val="clear" w:color="auto" w:fill="auto"/>
            <w:vAlign w:val="center"/>
          </w:tcPr>
          <w:p w14:paraId="3873C1B4">
            <w:pPr>
              <w:jc w:val="center"/>
              <w:rPr>
                <w:rFonts w:ascii="Times New Roman" w:hAnsi="Times New Roman" w:cs="Times New Roman"/>
                <w:szCs w:val="21"/>
              </w:rPr>
            </w:pPr>
          </w:p>
        </w:tc>
        <w:tc>
          <w:tcPr>
            <w:tcW w:w="1794" w:type="dxa"/>
            <w:vMerge w:val="continue"/>
            <w:tcBorders>
              <w:tl2br w:val="nil"/>
              <w:tr2bl w:val="nil"/>
            </w:tcBorders>
            <w:shd w:val="clear" w:color="auto" w:fill="auto"/>
            <w:vAlign w:val="center"/>
          </w:tcPr>
          <w:p w14:paraId="4835C82E">
            <w:pPr>
              <w:jc w:val="center"/>
              <w:rPr>
                <w:rFonts w:ascii="Times New Roman" w:hAnsi="Times New Roman" w:cs="Times New Roman"/>
                <w:szCs w:val="21"/>
              </w:rPr>
            </w:pPr>
          </w:p>
        </w:tc>
        <w:tc>
          <w:tcPr>
            <w:tcW w:w="1390" w:type="dxa"/>
            <w:vMerge w:val="continue"/>
            <w:tcBorders>
              <w:tl2br w:val="nil"/>
              <w:tr2bl w:val="nil"/>
            </w:tcBorders>
            <w:shd w:val="clear" w:color="auto" w:fill="auto"/>
            <w:vAlign w:val="center"/>
          </w:tcPr>
          <w:p w14:paraId="4FAB456C">
            <w:pPr>
              <w:jc w:val="center"/>
              <w:rPr>
                <w:rFonts w:ascii="Times New Roman" w:hAnsi="Times New Roman" w:cs="Times New Roman"/>
                <w:szCs w:val="21"/>
              </w:rPr>
            </w:pPr>
          </w:p>
        </w:tc>
        <w:tc>
          <w:tcPr>
            <w:tcW w:w="876" w:type="dxa"/>
            <w:tcBorders>
              <w:tl2br w:val="nil"/>
              <w:tr2bl w:val="nil"/>
            </w:tcBorders>
            <w:shd w:val="clear" w:color="auto" w:fill="auto"/>
            <w:vAlign w:val="center"/>
          </w:tcPr>
          <w:p w14:paraId="3C5DBD53">
            <w:pPr>
              <w:jc w:val="center"/>
              <w:rPr>
                <w:rFonts w:ascii="Times New Roman" w:hAnsi="Times New Roman" w:cs="Times New Roman"/>
                <w:bCs/>
                <w:szCs w:val="21"/>
              </w:rPr>
            </w:pPr>
            <w:r>
              <w:rPr>
                <w:rFonts w:ascii="Times New Roman" w:hAnsi="Times New Roman" w:cs="Times New Roman"/>
                <w:szCs w:val="21"/>
              </w:rPr>
              <w:t>0.02 mg/L</w:t>
            </w:r>
          </w:p>
        </w:tc>
      </w:tr>
      <w:tr w14:paraId="7FB7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0" w:type="dxa"/>
            <w:tcBorders>
              <w:tl2br w:val="nil"/>
              <w:tr2bl w:val="nil"/>
            </w:tcBorders>
            <w:shd w:val="clear" w:color="auto" w:fill="auto"/>
            <w:vAlign w:val="center"/>
          </w:tcPr>
          <w:p w14:paraId="46083B56">
            <w:pPr>
              <w:adjustRightInd w:val="0"/>
              <w:snapToGrid w:val="0"/>
              <w:jc w:val="center"/>
              <w:rPr>
                <w:rFonts w:ascii="Times New Roman" w:hAnsi="Times New Roman" w:cs="Times New Roman"/>
                <w:bCs/>
                <w:szCs w:val="21"/>
              </w:rPr>
            </w:pPr>
            <w:r>
              <w:rPr>
                <w:rFonts w:ascii="Times New Roman" w:hAnsi="Times New Roman" w:cs="Times New Roman"/>
                <w:bCs/>
                <w:szCs w:val="21"/>
              </w:rPr>
              <w:t>29</w:t>
            </w:r>
          </w:p>
        </w:tc>
        <w:tc>
          <w:tcPr>
            <w:tcW w:w="1210" w:type="dxa"/>
            <w:tcBorders>
              <w:tl2br w:val="nil"/>
              <w:tr2bl w:val="nil"/>
            </w:tcBorders>
            <w:shd w:val="clear" w:color="auto" w:fill="auto"/>
            <w:vAlign w:val="center"/>
          </w:tcPr>
          <w:p w14:paraId="2231AB82">
            <w:pPr>
              <w:adjustRightInd w:val="0"/>
              <w:snapToGrid w:val="0"/>
              <w:jc w:val="center"/>
              <w:rPr>
                <w:rFonts w:ascii="Times New Roman" w:hAnsi="Times New Roman" w:cs="Times New Roman"/>
                <w:bCs/>
                <w:szCs w:val="21"/>
              </w:rPr>
            </w:pPr>
            <w:r>
              <w:rPr>
                <w:rFonts w:ascii="Times New Roman" w:hAnsi="Times New Roman" w:cs="Times New Roman"/>
                <w:szCs w:val="21"/>
              </w:rPr>
              <w:t>镁</w:t>
            </w:r>
          </w:p>
        </w:tc>
        <w:tc>
          <w:tcPr>
            <w:tcW w:w="2789" w:type="dxa"/>
            <w:vMerge w:val="continue"/>
            <w:tcBorders>
              <w:tl2br w:val="nil"/>
              <w:tr2bl w:val="nil"/>
            </w:tcBorders>
            <w:shd w:val="clear" w:color="auto" w:fill="auto"/>
            <w:vAlign w:val="center"/>
          </w:tcPr>
          <w:p w14:paraId="281A9891">
            <w:pPr>
              <w:jc w:val="center"/>
              <w:rPr>
                <w:rFonts w:ascii="Times New Roman" w:hAnsi="Times New Roman" w:cs="Times New Roman"/>
                <w:szCs w:val="21"/>
              </w:rPr>
            </w:pPr>
          </w:p>
        </w:tc>
        <w:tc>
          <w:tcPr>
            <w:tcW w:w="1794" w:type="dxa"/>
            <w:vMerge w:val="continue"/>
            <w:tcBorders>
              <w:tl2br w:val="nil"/>
              <w:tr2bl w:val="nil"/>
            </w:tcBorders>
            <w:shd w:val="clear" w:color="auto" w:fill="auto"/>
            <w:vAlign w:val="center"/>
          </w:tcPr>
          <w:p w14:paraId="661E936C">
            <w:pPr>
              <w:jc w:val="center"/>
              <w:rPr>
                <w:rFonts w:ascii="Times New Roman" w:hAnsi="Times New Roman" w:cs="Times New Roman"/>
                <w:szCs w:val="21"/>
              </w:rPr>
            </w:pPr>
          </w:p>
        </w:tc>
        <w:tc>
          <w:tcPr>
            <w:tcW w:w="1390" w:type="dxa"/>
            <w:vMerge w:val="continue"/>
            <w:tcBorders>
              <w:tl2br w:val="nil"/>
              <w:tr2bl w:val="nil"/>
            </w:tcBorders>
            <w:shd w:val="clear" w:color="auto" w:fill="auto"/>
            <w:vAlign w:val="center"/>
          </w:tcPr>
          <w:p w14:paraId="05B179FC">
            <w:pPr>
              <w:jc w:val="center"/>
              <w:rPr>
                <w:rFonts w:ascii="Times New Roman" w:hAnsi="Times New Roman" w:cs="Times New Roman"/>
                <w:szCs w:val="21"/>
              </w:rPr>
            </w:pPr>
          </w:p>
        </w:tc>
        <w:tc>
          <w:tcPr>
            <w:tcW w:w="876" w:type="dxa"/>
            <w:tcBorders>
              <w:tl2br w:val="nil"/>
              <w:tr2bl w:val="nil"/>
            </w:tcBorders>
            <w:shd w:val="clear" w:color="auto" w:fill="auto"/>
            <w:vAlign w:val="center"/>
          </w:tcPr>
          <w:p w14:paraId="3A9DCEC1">
            <w:pPr>
              <w:jc w:val="center"/>
              <w:rPr>
                <w:rFonts w:ascii="Times New Roman" w:hAnsi="Times New Roman" w:cs="Times New Roman"/>
                <w:bCs/>
                <w:szCs w:val="21"/>
              </w:rPr>
            </w:pPr>
            <w:r>
              <w:rPr>
                <w:rFonts w:ascii="Times New Roman" w:hAnsi="Times New Roman" w:cs="Times New Roman"/>
                <w:szCs w:val="21"/>
              </w:rPr>
              <w:t>0.003 mg/L</w:t>
            </w:r>
          </w:p>
        </w:tc>
      </w:tr>
    </w:tbl>
    <w:p w14:paraId="148204A1">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（3）监测时间及监测频率</w:t>
      </w:r>
    </w:p>
    <w:p w14:paraId="685328BD">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连续监测1天，每天监测一次，取一个混合样。本次地下水评价</w:t>
      </w:r>
      <w:r>
        <w:rPr>
          <w:rFonts w:hint="eastAsia" w:ascii="Times New Roman" w:hAnsi="Times New Roman" w:eastAsia="宋体" w:cs="Times New Roman"/>
          <w:sz w:val="24"/>
        </w:rPr>
        <w:t>常规因子和特征因子均委托光远检测有限公司</w:t>
      </w:r>
      <w:r>
        <w:rPr>
          <w:rFonts w:ascii="Times New Roman" w:hAnsi="Times New Roman" w:eastAsia="宋体" w:cs="Times New Roman"/>
          <w:sz w:val="24"/>
        </w:rPr>
        <w:t>于202</w:t>
      </w:r>
      <w:r>
        <w:rPr>
          <w:rFonts w:hint="eastAsia" w:ascii="Times New Roman" w:hAnsi="Times New Roman" w:eastAsia="宋体" w:cs="Times New Roman"/>
          <w:sz w:val="24"/>
        </w:rPr>
        <w:t>3</w:t>
      </w:r>
      <w:r>
        <w:rPr>
          <w:rFonts w:ascii="Times New Roman" w:hAnsi="Times New Roman" w:eastAsia="宋体" w:cs="Times New Roman"/>
          <w:sz w:val="24"/>
        </w:rPr>
        <w:t>年</w:t>
      </w:r>
      <w:r>
        <w:rPr>
          <w:rFonts w:hint="eastAsia" w:ascii="Times New Roman" w:hAnsi="Times New Roman" w:eastAsia="宋体" w:cs="Times New Roman"/>
          <w:sz w:val="24"/>
        </w:rPr>
        <w:t>3</w:t>
      </w:r>
      <w:r>
        <w:rPr>
          <w:rFonts w:ascii="Times New Roman" w:hAnsi="Times New Roman" w:eastAsia="宋体" w:cs="Times New Roman"/>
          <w:sz w:val="24"/>
        </w:rPr>
        <w:t>月</w:t>
      </w:r>
      <w:r>
        <w:rPr>
          <w:rFonts w:hint="eastAsia" w:ascii="Times New Roman" w:hAnsi="Times New Roman" w:eastAsia="宋体" w:cs="Times New Roman"/>
          <w:sz w:val="24"/>
        </w:rPr>
        <w:t>23</w:t>
      </w:r>
      <w:r>
        <w:rPr>
          <w:rFonts w:ascii="Times New Roman" w:hAnsi="Times New Roman" w:eastAsia="宋体" w:cs="Times New Roman"/>
          <w:sz w:val="24"/>
        </w:rPr>
        <w:t>日监测</w:t>
      </w:r>
      <w:r>
        <w:rPr>
          <w:rFonts w:hint="eastAsia" w:ascii="Times New Roman" w:hAnsi="Times New Roman" w:eastAsia="宋体" w:cs="Times New Roman"/>
          <w:sz w:val="24"/>
        </w:rPr>
        <w:t>。</w:t>
      </w:r>
    </w:p>
    <w:p w14:paraId="7AD35785">
      <w:pPr>
        <w:pStyle w:val="4"/>
        <w:numPr>
          <w:ilvl w:val="2"/>
          <w:numId w:val="50"/>
        </w:numPr>
        <w:tabs>
          <w:tab w:val="clear" w:pos="0"/>
        </w:tabs>
      </w:pPr>
      <w:r>
        <w:t>地下水环境质量现状评价</w:t>
      </w:r>
    </w:p>
    <w:p w14:paraId="44D593AF">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（1）评价方法</w:t>
      </w:r>
    </w:p>
    <w:p w14:paraId="4BFDE161">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根据监测结果，采用单因子污染指数法，对照评价标准对地下水环境质量现状进行评价，计算公式如下：</w:t>
      </w:r>
    </w:p>
    <w:p w14:paraId="5817E132">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常规污染物（</w:t>
      </w:r>
      <w:r>
        <w:rPr>
          <w:rFonts w:hint="eastAsia" w:ascii="Times New Roman" w:hAnsi="Times New Roman" w:eastAsia="宋体" w:cs="Times New Roman"/>
          <w:sz w:val="24"/>
        </w:rPr>
        <w:t>p</w:t>
      </w:r>
      <w:r>
        <w:rPr>
          <w:rFonts w:ascii="Times New Roman" w:hAnsi="Times New Roman" w:eastAsia="宋体" w:cs="Times New Roman"/>
          <w:sz w:val="24"/>
        </w:rPr>
        <w:t>H值除外）：</w:t>
      </w:r>
    </w:p>
    <w:p w14:paraId="2AF82CB2">
      <w:pPr>
        <w:spacing w:line="360" w:lineRule="auto"/>
        <w:ind w:firstLine="480" w:firstLineChars="200"/>
        <w:contextualSpacing/>
        <w:jc w:val="center"/>
        <w:rPr>
          <w:rFonts w:ascii="Times New Roman" w:hAnsi="Times New Roman" w:eastAsia="宋体" w:cs="Times New Roman"/>
          <w:sz w:val="24"/>
        </w:rPr>
      </w:pPr>
      <w:r>
        <w:rPr>
          <w:rFonts w:ascii="Times New Roman" w:hAnsi="Times New Roman" w:eastAsia="宋体" w:cs="Times New Roman"/>
          <w:sz w:val="24"/>
        </w:rPr>
        <w:t>P</w:t>
      </w:r>
      <w:r>
        <w:rPr>
          <w:rFonts w:ascii="Times New Roman" w:hAnsi="Times New Roman" w:eastAsia="宋体" w:cs="Times New Roman"/>
          <w:sz w:val="24"/>
          <w:vertAlign w:val="subscript"/>
        </w:rPr>
        <w:t>i</w:t>
      </w:r>
      <w:r>
        <w:rPr>
          <w:rFonts w:ascii="Times New Roman" w:hAnsi="Times New Roman" w:eastAsia="宋体" w:cs="Times New Roman"/>
          <w:sz w:val="24"/>
        </w:rPr>
        <w:t>=C</w:t>
      </w:r>
      <w:r>
        <w:rPr>
          <w:rFonts w:ascii="Times New Roman" w:hAnsi="Times New Roman" w:eastAsia="宋体" w:cs="Times New Roman"/>
          <w:sz w:val="24"/>
          <w:vertAlign w:val="subscript"/>
        </w:rPr>
        <w:t>i</w:t>
      </w:r>
      <w:r>
        <w:rPr>
          <w:rFonts w:ascii="Times New Roman" w:hAnsi="Times New Roman" w:eastAsia="宋体" w:cs="Times New Roman"/>
          <w:sz w:val="24"/>
        </w:rPr>
        <w:t>/C</w:t>
      </w:r>
      <w:r>
        <w:rPr>
          <w:rFonts w:ascii="Times New Roman" w:hAnsi="Times New Roman" w:eastAsia="宋体" w:cs="Times New Roman"/>
          <w:sz w:val="24"/>
          <w:vertAlign w:val="subscript"/>
        </w:rPr>
        <w:t>si</w:t>
      </w:r>
    </w:p>
    <w:p w14:paraId="09C03218">
      <w:pPr>
        <w:spacing w:line="360" w:lineRule="auto"/>
        <w:contextualSpacing/>
        <w:rPr>
          <w:rFonts w:ascii="Times New Roman" w:hAnsi="Times New Roman" w:eastAsia="宋体" w:cs="Times New Roman"/>
          <w:sz w:val="24"/>
        </w:rPr>
      </w:pPr>
      <w:r>
        <w:rPr>
          <w:rFonts w:ascii="Times New Roman" w:hAnsi="Times New Roman" w:eastAsia="宋体" w:cs="Times New Roman"/>
          <w:sz w:val="24"/>
        </w:rPr>
        <w:t>式中，P</w:t>
      </w:r>
      <w:r>
        <w:rPr>
          <w:rFonts w:ascii="Times New Roman" w:hAnsi="Times New Roman" w:eastAsia="宋体" w:cs="Times New Roman"/>
          <w:sz w:val="24"/>
          <w:vertAlign w:val="subscript"/>
        </w:rPr>
        <w:t>i</w:t>
      </w:r>
      <w:r>
        <w:rPr>
          <w:rFonts w:ascii="Times New Roman" w:hAnsi="Times New Roman" w:eastAsia="宋体" w:cs="Times New Roman"/>
          <w:sz w:val="24"/>
        </w:rPr>
        <w:t>——第i种污染物的单项水质指数，无量纲</w:t>
      </w:r>
    </w:p>
    <w:p w14:paraId="1C435F1A">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 xml:space="preserve">  C</w:t>
      </w:r>
      <w:r>
        <w:rPr>
          <w:rFonts w:ascii="Times New Roman" w:hAnsi="Times New Roman" w:eastAsia="宋体" w:cs="Times New Roman"/>
          <w:sz w:val="24"/>
          <w:vertAlign w:val="subscript"/>
        </w:rPr>
        <w:t>i</w:t>
      </w:r>
      <w:r>
        <w:rPr>
          <w:rFonts w:ascii="Times New Roman" w:hAnsi="Times New Roman" w:eastAsia="宋体" w:cs="Times New Roman"/>
          <w:sz w:val="24"/>
        </w:rPr>
        <w:t>——第i种水质因子的监测浓度值，单位：mg/L</w:t>
      </w:r>
    </w:p>
    <w:p w14:paraId="00245154">
      <w:pPr>
        <w:spacing w:line="360" w:lineRule="auto"/>
        <w:ind w:firstLine="720" w:firstLineChars="300"/>
        <w:contextualSpacing/>
        <w:rPr>
          <w:rFonts w:ascii="Times New Roman" w:hAnsi="Times New Roman" w:eastAsia="宋体" w:cs="Times New Roman"/>
          <w:sz w:val="24"/>
        </w:rPr>
      </w:pPr>
      <w:r>
        <w:rPr>
          <w:rFonts w:ascii="Times New Roman" w:hAnsi="Times New Roman" w:eastAsia="宋体" w:cs="Times New Roman"/>
          <w:sz w:val="24"/>
        </w:rPr>
        <w:t>C</w:t>
      </w:r>
      <w:r>
        <w:rPr>
          <w:rFonts w:ascii="Times New Roman" w:hAnsi="Times New Roman" w:eastAsia="宋体" w:cs="Times New Roman"/>
          <w:sz w:val="24"/>
          <w:vertAlign w:val="subscript"/>
        </w:rPr>
        <w:t>si</w:t>
      </w:r>
      <w:r>
        <w:rPr>
          <w:rFonts w:ascii="Times New Roman" w:hAnsi="Times New Roman" w:eastAsia="宋体" w:cs="Times New Roman"/>
          <w:sz w:val="24"/>
        </w:rPr>
        <w:t>——第i种水质因子的标准浓度值，单位：mg/L</w:t>
      </w:r>
    </w:p>
    <w:p w14:paraId="51017A9E">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pH的标准指数：</w:t>
      </w:r>
    </w:p>
    <w:p w14:paraId="1AF9784A">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 xml:space="preserve">             </w:t>
      </w:r>
      <m:oMath>
        <m:sSub>
          <m:sSubPr>
            <m:ctrlPr>
              <w:rPr>
                <w:rFonts w:ascii="Cambria Math" w:hAnsi="Cambria Math" w:eastAsia="宋体" w:cs="Times New Roman"/>
                <w:sz w:val="24"/>
                <w:szCs w:val="28"/>
              </w:rPr>
            </m:ctrlPr>
          </m:sSubPr>
          <m:e>
            <m:r>
              <m:rPr>
                <m:sty m:val="p"/>
              </m:rPr>
              <w:rPr>
                <w:rFonts w:ascii="Cambria Math" w:hAnsi="Cambria Math" w:eastAsia="宋体" w:cs="Times New Roman"/>
                <w:sz w:val="24"/>
                <w:szCs w:val="28"/>
              </w:rPr>
              <m:t>P</m:t>
            </m:r>
            <m:ctrlPr>
              <w:rPr>
                <w:rFonts w:ascii="Cambria Math" w:hAnsi="Cambria Math" w:eastAsia="宋体" w:cs="Times New Roman"/>
                <w:sz w:val="24"/>
                <w:szCs w:val="28"/>
              </w:rPr>
            </m:ctrlPr>
          </m:e>
          <m:sub>
            <m:r>
              <m:rPr>
                <m:sty m:val="p"/>
              </m:rPr>
              <w:rPr>
                <w:rFonts w:ascii="Cambria Math" w:hAnsi="Cambria Math" w:eastAsia="宋体" w:cs="Times New Roman"/>
                <w:sz w:val="24"/>
                <w:szCs w:val="28"/>
              </w:rPr>
              <m:t>pH</m:t>
            </m:r>
            <m:ctrlPr>
              <w:rPr>
                <w:rFonts w:ascii="Cambria Math" w:hAnsi="Cambria Math" w:eastAsia="宋体" w:cs="Times New Roman"/>
                <w:sz w:val="24"/>
                <w:szCs w:val="28"/>
              </w:rPr>
            </m:ctrlPr>
          </m:sub>
        </m:sSub>
        <m:r>
          <m:rPr>
            <m:sty m:val="p"/>
          </m:rPr>
          <w:rPr>
            <w:rFonts w:ascii="Cambria Math" w:hAnsi="Cambria Math" w:eastAsia="宋体" w:cs="Times New Roman"/>
            <w:sz w:val="24"/>
            <w:szCs w:val="28"/>
          </w:rPr>
          <m:t>=</m:t>
        </m:r>
        <m:f>
          <m:fPr>
            <m:ctrlPr>
              <w:rPr>
                <w:rFonts w:ascii="Cambria Math" w:hAnsi="Cambria Math" w:eastAsia="宋体" w:cs="Times New Roman"/>
                <w:sz w:val="24"/>
                <w:szCs w:val="28"/>
              </w:rPr>
            </m:ctrlPr>
          </m:fPr>
          <m:num>
            <m:r>
              <m:rPr>
                <m:sty m:val="p"/>
              </m:rPr>
              <w:rPr>
                <w:rFonts w:ascii="Cambria Math" w:hAnsi="Cambria Math" w:eastAsia="宋体" w:cs="Times New Roman"/>
                <w:sz w:val="24"/>
                <w:szCs w:val="28"/>
              </w:rPr>
              <m:t>7.0−pH</m:t>
            </m:r>
            <m:ctrlPr>
              <w:rPr>
                <w:rFonts w:ascii="Cambria Math" w:hAnsi="Cambria Math" w:eastAsia="宋体" w:cs="Times New Roman"/>
                <w:sz w:val="24"/>
                <w:szCs w:val="28"/>
              </w:rPr>
            </m:ctrlPr>
          </m:num>
          <m:den>
            <m:r>
              <m:rPr>
                <m:sty m:val="p"/>
              </m:rPr>
              <w:rPr>
                <w:rFonts w:ascii="Cambria Math" w:hAnsi="Cambria Math" w:eastAsia="宋体" w:cs="Times New Roman"/>
                <w:sz w:val="24"/>
                <w:szCs w:val="28"/>
              </w:rPr>
              <m:t>7.0−</m:t>
            </m:r>
            <m:sSub>
              <m:sSubPr>
                <m:ctrlPr>
                  <w:rPr>
                    <w:rFonts w:ascii="Cambria Math" w:hAnsi="Cambria Math" w:eastAsia="宋体" w:cs="Times New Roman"/>
                    <w:sz w:val="24"/>
                    <w:szCs w:val="28"/>
                  </w:rPr>
                </m:ctrlPr>
              </m:sSubPr>
              <m:e>
                <m:r>
                  <m:rPr>
                    <m:sty m:val="p"/>
                  </m:rPr>
                  <w:rPr>
                    <w:rFonts w:ascii="Cambria Math" w:hAnsi="Cambria Math" w:eastAsia="宋体" w:cs="Times New Roman"/>
                    <w:sz w:val="24"/>
                    <w:szCs w:val="28"/>
                  </w:rPr>
                  <m:t>pH</m:t>
                </m:r>
                <m:ctrlPr>
                  <w:rPr>
                    <w:rFonts w:ascii="Cambria Math" w:hAnsi="Cambria Math" w:eastAsia="宋体" w:cs="Times New Roman"/>
                    <w:sz w:val="24"/>
                    <w:szCs w:val="28"/>
                  </w:rPr>
                </m:ctrlPr>
              </m:e>
              <m:sub>
                <m:r>
                  <m:rPr>
                    <m:sty m:val="p"/>
                  </m:rPr>
                  <w:rPr>
                    <w:rFonts w:ascii="Cambria Math" w:hAnsi="Cambria Math" w:eastAsia="宋体" w:cs="Times New Roman"/>
                    <w:sz w:val="24"/>
                    <w:szCs w:val="28"/>
                  </w:rPr>
                  <m:t>sd</m:t>
                </m:r>
                <m:ctrlPr>
                  <w:rPr>
                    <w:rFonts w:ascii="Cambria Math" w:hAnsi="Cambria Math" w:eastAsia="宋体" w:cs="Times New Roman"/>
                    <w:sz w:val="24"/>
                    <w:szCs w:val="28"/>
                  </w:rPr>
                </m:ctrlPr>
              </m:sub>
            </m:sSub>
            <m:ctrlPr>
              <w:rPr>
                <w:rFonts w:ascii="Cambria Math" w:hAnsi="Cambria Math" w:eastAsia="宋体" w:cs="Times New Roman"/>
                <w:sz w:val="24"/>
                <w:szCs w:val="28"/>
              </w:rPr>
            </m:ctrlPr>
          </m:den>
        </m:f>
        <m:r>
          <m:rPr>
            <m:sty m:val="p"/>
          </m:rPr>
          <w:rPr>
            <w:rFonts w:ascii="Cambria Math" w:hAnsi="Cambria Math" w:eastAsia="宋体" w:cs="Times New Roman"/>
            <w:sz w:val="24"/>
            <w:szCs w:val="28"/>
          </w:rPr>
          <m:t xml:space="preserve">                   pH≤7</m:t>
        </m:r>
      </m:oMath>
    </w:p>
    <w:p w14:paraId="556F21C0">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 xml:space="preserve">             </w:t>
      </w:r>
      <m:oMath>
        <m:sSub>
          <m:sSubPr>
            <m:ctrlPr>
              <w:rPr>
                <w:rFonts w:ascii="Cambria Math" w:hAnsi="Cambria Math" w:eastAsia="宋体" w:cs="Times New Roman"/>
                <w:sz w:val="24"/>
                <w:szCs w:val="28"/>
              </w:rPr>
            </m:ctrlPr>
          </m:sSubPr>
          <m:e>
            <m:r>
              <m:rPr>
                <m:sty m:val="p"/>
              </m:rPr>
              <w:rPr>
                <w:rFonts w:ascii="Cambria Math" w:hAnsi="Cambria Math" w:eastAsia="宋体" w:cs="Times New Roman"/>
                <w:sz w:val="24"/>
                <w:szCs w:val="28"/>
              </w:rPr>
              <m:t>P</m:t>
            </m:r>
            <m:ctrlPr>
              <w:rPr>
                <w:rFonts w:ascii="Cambria Math" w:hAnsi="Cambria Math" w:eastAsia="宋体" w:cs="Times New Roman"/>
                <w:sz w:val="24"/>
                <w:szCs w:val="28"/>
              </w:rPr>
            </m:ctrlPr>
          </m:e>
          <m:sub>
            <m:r>
              <m:rPr>
                <m:sty m:val="p"/>
              </m:rPr>
              <w:rPr>
                <w:rFonts w:ascii="Cambria Math" w:hAnsi="Cambria Math" w:eastAsia="宋体" w:cs="Times New Roman"/>
                <w:sz w:val="24"/>
                <w:szCs w:val="28"/>
              </w:rPr>
              <m:t>pH</m:t>
            </m:r>
            <m:ctrlPr>
              <w:rPr>
                <w:rFonts w:ascii="Cambria Math" w:hAnsi="Cambria Math" w:eastAsia="宋体" w:cs="Times New Roman"/>
                <w:sz w:val="24"/>
                <w:szCs w:val="28"/>
              </w:rPr>
            </m:ctrlPr>
          </m:sub>
        </m:sSub>
        <m:r>
          <m:rPr>
            <m:sty m:val="p"/>
          </m:rPr>
          <w:rPr>
            <w:rFonts w:ascii="Cambria Math" w:hAnsi="Cambria Math" w:eastAsia="宋体" w:cs="Times New Roman"/>
            <w:sz w:val="24"/>
            <w:szCs w:val="28"/>
          </w:rPr>
          <m:t>=</m:t>
        </m:r>
        <m:f>
          <m:fPr>
            <m:ctrlPr>
              <w:rPr>
                <w:rFonts w:ascii="Cambria Math" w:hAnsi="Cambria Math" w:eastAsia="宋体" w:cs="Times New Roman"/>
                <w:sz w:val="24"/>
                <w:szCs w:val="28"/>
              </w:rPr>
            </m:ctrlPr>
          </m:fPr>
          <m:num>
            <m:r>
              <m:rPr>
                <m:sty m:val="p"/>
              </m:rPr>
              <w:rPr>
                <w:rFonts w:ascii="Cambria Math" w:hAnsi="Cambria Math" w:eastAsia="宋体" w:cs="Times New Roman"/>
                <w:sz w:val="24"/>
                <w:szCs w:val="28"/>
              </w:rPr>
              <m:t>pH−7.0</m:t>
            </m:r>
            <m:ctrlPr>
              <w:rPr>
                <w:rFonts w:ascii="Cambria Math" w:hAnsi="Cambria Math" w:eastAsia="宋体" w:cs="Times New Roman"/>
                <w:sz w:val="24"/>
                <w:szCs w:val="28"/>
              </w:rPr>
            </m:ctrlPr>
          </m:num>
          <m:den>
            <m:sSub>
              <m:sSubPr>
                <m:ctrlPr>
                  <w:rPr>
                    <w:rFonts w:ascii="Cambria Math" w:hAnsi="Cambria Math" w:eastAsia="宋体" w:cs="Times New Roman"/>
                    <w:sz w:val="24"/>
                    <w:szCs w:val="28"/>
                  </w:rPr>
                </m:ctrlPr>
              </m:sSubPr>
              <m:e>
                <m:r>
                  <m:rPr>
                    <m:sty m:val="p"/>
                  </m:rPr>
                  <w:rPr>
                    <w:rFonts w:ascii="Cambria Math" w:hAnsi="Cambria Math" w:eastAsia="宋体" w:cs="Times New Roman"/>
                    <w:sz w:val="24"/>
                    <w:szCs w:val="28"/>
                  </w:rPr>
                  <m:t>pH</m:t>
                </m:r>
                <m:ctrlPr>
                  <w:rPr>
                    <w:rFonts w:ascii="Cambria Math" w:hAnsi="Cambria Math" w:eastAsia="宋体" w:cs="Times New Roman"/>
                    <w:sz w:val="24"/>
                    <w:szCs w:val="28"/>
                  </w:rPr>
                </m:ctrlPr>
              </m:e>
              <m:sub>
                <m:r>
                  <m:rPr>
                    <m:sty m:val="p"/>
                  </m:rPr>
                  <w:rPr>
                    <w:rFonts w:ascii="Cambria Math" w:hAnsi="Cambria Math" w:eastAsia="宋体" w:cs="Times New Roman"/>
                    <w:sz w:val="24"/>
                    <w:szCs w:val="28"/>
                  </w:rPr>
                  <m:t>su</m:t>
                </m:r>
                <m:ctrlPr>
                  <w:rPr>
                    <w:rFonts w:ascii="Cambria Math" w:hAnsi="Cambria Math" w:eastAsia="宋体" w:cs="Times New Roman"/>
                    <w:sz w:val="24"/>
                    <w:szCs w:val="28"/>
                  </w:rPr>
                </m:ctrlPr>
              </m:sub>
            </m:sSub>
            <m:r>
              <m:rPr>
                <m:sty m:val="p"/>
              </m:rPr>
              <w:rPr>
                <w:rFonts w:ascii="Cambria Math" w:hAnsi="Cambria Math" w:eastAsia="宋体" w:cs="Times New Roman"/>
                <w:sz w:val="24"/>
                <w:szCs w:val="28"/>
              </w:rPr>
              <m:t>−7.0</m:t>
            </m:r>
            <m:ctrlPr>
              <w:rPr>
                <w:rFonts w:ascii="Cambria Math" w:hAnsi="Cambria Math" w:eastAsia="宋体" w:cs="Times New Roman"/>
                <w:sz w:val="24"/>
                <w:szCs w:val="28"/>
              </w:rPr>
            </m:ctrlPr>
          </m:den>
        </m:f>
        <m:r>
          <m:rPr>
            <m:sty m:val="p"/>
          </m:rPr>
          <w:rPr>
            <w:rFonts w:ascii="Cambria Math" w:hAnsi="Cambria Math" w:eastAsia="宋体" w:cs="Times New Roman"/>
            <w:sz w:val="24"/>
            <w:szCs w:val="28"/>
          </w:rPr>
          <m:t xml:space="preserve">                   pH&gt;7</m:t>
        </m:r>
      </m:oMath>
    </w:p>
    <w:p w14:paraId="6B38EB41">
      <w:pPr>
        <w:spacing w:line="360" w:lineRule="auto"/>
        <w:contextualSpacing/>
        <w:rPr>
          <w:rFonts w:ascii="Times New Roman" w:hAnsi="Times New Roman" w:eastAsia="宋体" w:cs="Times New Roman"/>
          <w:sz w:val="24"/>
        </w:rPr>
      </w:pPr>
      <w:r>
        <w:rPr>
          <w:rFonts w:ascii="Times New Roman" w:hAnsi="Times New Roman" w:eastAsia="宋体" w:cs="Times New Roman"/>
          <w:sz w:val="24"/>
        </w:rPr>
        <w:t>式中，P</w:t>
      </w:r>
      <w:r>
        <w:rPr>
          <w:rFonts w:ascii="Times New Roman" w:hAnsi="Times New Roman" w:eastAsia="宋体" w:cs="Times New Roman"/>
          <w:sz w:val="24"/>
          <w:vertAlign w:val="subscript"/>
        </w:rPr>
        <w:t>pH</w:t>
      </w:r>
      <w:r>
        <w:rPr>
          <w:rFonts w:ascii="Times New Roman" w:hAnsi="Times New Roman" w:eastAsia="宋体" w:cs="Times New Roman"/>
          <w:sz w:val="24"/>
        </w:rPr>
        <w:t>——pH的标准指数，无量纲</w:t>
      </w:r>
    </w:p>
    <w:p w14:paraId="6E91D135">
      <w:pPr>
        <w:spacing w:line="360" w:lineRule="auto"/>
        <w:ind w:firstLine="720" w:firstLineChars="300"/>
        <w:contextualSpacing/>
        <w:rPr>
          <w:rFonts w:ascii="Times New Roman" w:hAnsi="Times New Roman" w:eastAsia="宋体" w:cs="Times New Roman"/>
          <w:sz w:val="24"/>
        </w:rPr>
      </w:pPr>
      <w:r>
        <w:rPr>
          <w:rFonts w:ascii="Times New Roman" w:hAnsi="Times New Roman" w:eastAsia="宋体" w:cs="Times New Roman"/>
          <w:sz w:val="24"/>
        </w:rPr>
        <w:t>pH——pH实测值</w:t>
      </w:r>
    </w:p>
    <w:p w14:paraId="514F76CB">
      <w:pPr>
        <w:spacing w:line="360" w:lineRule="auto"/>
        <w:ind w:firstLine="720" w:firstLineChars="300"/>
        <w:contextualSpacing/>
        <w:rPr>
          <w:rFonts w:ascii="Times New Roman" w:hAnsi="Times New Roman" w:eastAsia="宋体" w:cs="Times New Roman"/>
          <w:sz w:val="24"/>
        </w:rPr>
      </w:pPr>
      <w:r>
        <w:rPr>
          <w:rFonts w:ascii="Times New Roman" w:hAnsi="Times New Roman" w:eastAsia="宋体" w:cs="Times New Roman"/>
          <w:sz w:val="24"/>
        </w:rPr>
        <w:t>pH</w:t>
      </w:r>
      <w:r>
        <w:rPr>
          <w:rFonts w:ascii="Times New Roman" w:hAnsi="Times New Roman" w:eastAsia="宋体" w:cs="Times New Roman"/>
          <w:sz w:val="24"/>
          <w:vertAlign w:val="subscript"/>
        </w:rPr>
        <w:t>su</w:t>
      </w:r>
      <w:r>
        <w:rPr>
          <w:rFonts w:ascii="Times New Roman" w:hAnsi="Times New Roman" w:eastAsia="宋体" w:cs="Times New Roman"/>
          <w:sz w:val="24"/>
        </w:rPr>
        <w:t>——标准中规定的pH值上限</w:t>
      </w:r>
    </w:p>
    <w:p w14:paraId="2BBA2216">
      <w:pPr>
        <w:spacing w:line="520" w:lineRule="exact"/>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pH</w:t>
      </w:r>
      <w:r>
        <w:rPr>
          <w:rFonts w:ascii="Times New Roman" w:hAnsi="Times New Roman" w:eastAsia="宋体" w:cs="Times New Roman"/>
          <w:sz w:val="24"/>
          <w:vertAlign w:val="subscript"/>
        </w:rPr>
        <w:t>sd</w:t>
      </w:r>
      <w:r>
        <w:rPr>
          <w:rFonts w:ascii="Times New Roman" w:hAnsi="Times New Roman" w:eastAsia="宋体" w:cs="Times New Roman"/>
          <w:sz w:val="24"/>
        </w:rPr>
        <w:t>¬——标准中规定的pH值下限</w:t>
      </w:r>
    </w:p>
    <w:p w14:paraId="62C1AFE1">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水质评价因子的标准指数大于1，表明该评价因子的水质超过了规定的水质标准，已经不能满足使用功能要求。</w:t>
      </w:r>
    </w:p>
    <w:p w14:paraId="6C12799E">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（2）评价标准</w:t>
      </w:r>
    </w:p>
    <w:p w14:paraId="148BF525">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本次地下水环境质量现状评价执行GB/T14848-2017《地下水质量标准》Ⅲ类标准要求，评价标准值</w:t>
      </w:r>
      <w:r>
        <w:rPr>
          <w:rFonts w:hint="eastAsia" w:ascii="Times New Roman" w:hAnsi="Times New Roman" w:eastAsia="宋体" w:cs="Times New Roman"/>
          <w:sz w:val="24"/>
        </w:rPr>
        <w:t>详</w:t>
      </w:r>
      <w:r>
        <w:rPr>
          <w:rFonts w:ascii="Times New Roman" w:hAnsi="Times New Roman" w:eastAsia="宋体" w:cs="Times New Roman"/>
          <w:sz w:val="24"/>
        </w:rPr>
        <w:t>见</w:t>
      </w:r>
      <w:r>
        <w:rPr>
          <w:rFonts w:hint="eastAsia" w:ascii="Times New Roman" w:hAnsi="Times New Roman" w:eastAsia="宋体" w:cs="Times New Roman"/>
          <w:sz w:val="24"/>
        </w:rPr>
        <w:t>表2.4-1</w:t>
      </w:r>
      <w:r>
        <w:rPr>
          <w:rFonts w:ascii="Times New Roman" w:hAnsi="Times New Roman" w:eastAsia="宋体" w:cs="Times New Roman"/>
          <w:sz w:val="24"/>
        </w:rPr>
        <w:t>。</w:t>
      </w:r>
    </w:p>
    <w:p w14:paraId="5046DEF0">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ascii="Times New Roman" w:hAnsi="Times New Roman" w:eastAsia="宋体" w:cs="Times New Roman"/>
          <w:sz w:val="24"/>
        </w:rPr>
        <w:t>）监测井井深及水位统计</w:t>
      </w:r>
    </w:p>
    <w:p w14:paraId="623E0616">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项目现场监测水井井深及水位详见</w:t>
      </w:r>
      <w:r>
        <w:rPr>
          <w:rFonts w:hint="eastAsia" w:ascii="Times New Roman" w:hAnsi="Times New Roman" w:eastAsia="宋体" w:cs="Times New Roman"/>
          <w:sz w:val="24"/>
        </w:rPr>
        <w:t>下表</w:t>
      </w:r>
      <w:r>
        <w:rPr>
          <w:rFonts w:ascii="Times New Roman" w:hAnsi="Times New Roman" w:eastAsia="宋体" w:cs="Times New Roman"/>
          <w:sz w:val="24"/>
        </w:rPr>
        <w:t>。</w:t>
      </w:r>
    </w:p>
    <w:p w14:paraId="535D7FFB">
      <w:pPr>
        <w:spacing w:line="520" w:lineRule="exact"/>
        <w:contextualSpacing/>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表4.</w:t>
      </w:r>
      <w:r>
        <w:rPr>
          <w:rFonts w:hint="eastAsia" w:ascii="Times New Roman" w:hAnsi="Times New Roman" w:eastAsia="宋体" w:cs="Times New Roman"/>
          <w:b/>
          <w:sz w:val="21"/>
          <w:szCs w:val="21"/>
          <w:lang w:val="en-US" w:eastAsia="zh-CN"/>
        </w:rPr>
        <w:t>4</w:t>
      </w:r>
      <w:r>
        <w:rPr>
          <w:rFonts w:hint="eastAsia" w:ascii="Times New Roman" w:hAnsi="Times New Roman" w:eastAsia="宋体" w:cs="Times New Roman"/>
          <w:b/>
          <w:sz w:val="21"/>
          <w:szCs w:val="21"/>
        </w:rPr>
        <w:t>-6</w:t>
      </w:r>
      <w:r>
        <w:rPr>
          <w:rFonts w:ascii="Times New Roman" w:hAnsi="Times New Roman" w:eastAsia="宋体" w:cs="Times New Roman"/>
          <w:b/>
          <w:sz w:val="21"/>
          <w:szCs w:val="21"/>
        </w:rPr>
        <w:t xml:space="preserve">   各监测点位井深及水位统计结果一览表</w:t>
      </w:r>
    </w:p>
    <w:tbl>
      <w:tblPr>
        <w:tblStyle w:val="30"/>
        <w:tblW w:w="8519"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328"/>
        <w:gridCol w:w="1536"/>
        <w:gridCol w:w="1536"/>
        <w:gridCol w:w="1620"/>
        <w:gridCol w:w="1019"/>
      </w:tblGrid>
      <w:tr w14:paraId="47138E8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398AFE4F">
            <w:pPr>
              <w:snapToGrid w:val="0"/>
              <w:jc w:val="center"/>
              <w:textAlignment w:val="center"/>
              <w:rPr>
                <w:rFonts w:ascii="Times New Roman" w:hAnsi="Times New Roman" w:eastAsia="宋体" w:cs="Times New Roman"/>
                <w:szCs w:val="21"/>
                <w:lang w:bidi="ar"/>
              </w:rPr>
            </w:pPr>
            <w:r>
              <w:rPr>
                <w:rFonts w:ascii="Times New Roman" w:hAnsi="Times New Roman" w:eastAsia="宋体" w:cs="Times New Roman"/>
                <w:szCs w:val="21"/>
                <w:lang w:bidi="ar"/>
              </w:rPr>
              <w:t>检测点位</w:t>
            </w:r>
          </w:p>
        </w:tc>
        <w:tc>
          <w:tcPr>
            <w:tcW w:w="1328" w:type="dxa"/>
            <w:tcBorders>
              <w:tl2br w:val="nil"/>
              <w:tr2bl w:val="nil"/>
            </w:tcBorders>
            <w:vAlign w:val="center"/>
          </w:tcPr>
          <w:p w14:paraId="3E837D74">
            <w:pPr>
              <w:snapToGrid w:val="0"/>
              <w:jc w:val="center"/>
              <w:textAlignment w:val="center"/>
              <w:rPr>
                <w:rFonts w:ascii="Times New Roman" w:hAnsi="Times New Roman" w:eastAsia="宋体" w:cs="Times New Roman"/>
                <w:szCs w:val="21"/>
                <w:lang w:bidi="ar"/>
              </w:rPr>
            </w:pPr>
            <w:r>
              <w:rPr>
                <w:rFonts w:ascii="Times New Roman" w:hAnsi="Times New Roman" w:eastAsia="宋体" w:cs="Times New Roman"/>
                <w:szCs w:val="21"/>
                <w:lang w:bidi="ar"/>
              </w:rPr>
              <w:t>检测日期</w:t>
            </w:r>
          </w:p>
        </w:tc>
        <w:tc>
          <w:tcPr>
            <w:tcW w:w="1536" w:type="dxa"/>
            <w:tcBorders>
              <w:tl2br w:val="nil"/>
              <w:tr2bl w:val="nil"/>
            </w:tcBorders>
            <w:vAlign w:val="center"/>
          </w:tcPr>
          <w:p w14:paraId="43DA3126">
            <w:pPr>
              <w:jc w:val="center"/>
              <w:rPr>
                <w:rFonts w:ascii="Times New Roman" w:hAnsi="Times New Roman" w:eastAsia="宋体" w:cs="Times New Roman"/>
                <w:szCs w:val="21"/>
                <w:lang w:bidi="ar"/>
              </w:rPr>
            </w:pPr>
            <w:r>
              <w:rPr>
                <w:rFonts w:ascii="Times New Roman" w:hAnsi="Times New Roman" w:cs="Times New Roman"/>
                <w:szCs w:val="21"/>
              </w:rPr>
              <w:t>水温℃</w:t>
            </w:r>
          </w:p>
        </w:tc>
        <w:tc>
          <w:tcPr>
            <w:tcW w:w="1536" w:type="dxa"/>
            <w:tcBorders>
              <w:tl2br w:val="nil"/>
              <w:tr2bl w:val="nil"/>
            </w:tcBorders>
            <w:vAlign w:val="center"/>
          </w:tcPr>
          <w:p w14:paraId="18ED846C">
            <w:pPr>
              <w:jc w:val="center"/>
              <w:rPr>
                <w:rFonts w:ascii="Times New Roman" w:hAnsi="Times New Roman" w:eastAsia="宋体" w:cs="Times New Roman"/>
                <w:szCs w:val="21"/>
                <w:lang w:bidi="ar"/>
              </w:rPr>
            </w:pPr>
            <w:r>
              <w:rPr>
                <w:rFonts w:ascii="Times New Roman" w:hAnsi="Times New Roman" w:cs="Times New Roman"/>
                <w:szCs w:val="21"/>
              </w:rPr>
              <w:t>井深</w:t>
            </w:r>
            <w:r>
              <w:rPr>
                <w:rFonts w:ascii="Times New Roman" w:hAnsi="Times New Roman" w:cs="Times New Roman"/>
                <w:bCs/>
                <w:szCs w:val="21"/>
              </w:rPr>
              <w:t>m</w:t>
            </w:r>
          </w:p>
        </w:tc>
        <w:tc>
          <w:tcPr>
            <w:tcW w:w="1620" w:type="dxa"/>
            <w:tcBorders>
              <w:tl2br w:val="nil"/>
              <w:tr2bl w:val="nil"/>
            </w:tcBorders>
            <w:vAlign w:val="center"/>
          </w:tcPr>
          <w:p w14:paraId="7FB547D2">
            <w:pPr>
              <w:jc w:val="center"/>
              <w:rPr>
                <w:rFonts w:ascii="Times New Roman" w:hAnsi="Times New Roman" w:eastAsia="宋体" w:cs="Times New Roman"/>
                <w:szCs w:val="21"/>
                <w:lang w:bidi="ar"/>
              </w:rPr>
            </w:pPr>
            <w:r>
              <w:rPr>
                <w:rFonts w:ascii="Times New Roman" w:hAnsi="Times New Roman" w:cs="Times New Roman"/>
                <w:szCs w:val="21"/>
              </w:rPr>
              <w:t>水位埋深</w:t>
            </w:r>
            <w:r>
              <w:rPr>
                <w:rFonts w:ascii="Times New Roman" w:hAnsi="Times New Roman" w:cs="Times New Roman"/>
                <w:bCs/>
                <w:szCs w:val="21"/>
              </w:rPr>
              <w:t>m</w:t>
            </w:r>
          </w:p>
        </w:tc>
        <w:tc>
          <w:tcPr>
            <w:tcW w:w="1019" w:type="dxa"/>
            <w:tcBorders>
              <w:tl2br w:val="nil"/>
              <w:tr2bl w:val="nil"/>
            </w:tcBorders>
            <w:vAlign w:val="center"/>
          </w:tcPr>
          <w:p w14:paraId="607622A9">
            <w:pPr>
              <w:jc w:val="center"/>
              <w:rPr>
                <w:rFonts w:ascii="Times New Roman" w:hAnsi="Times New Roman" w:eastAsia="宋体" w:cs="Times New Roman"/>
                <w:szCs w:val="21"/>
                <w:lang w:bidi="ar"/>
              </w:rPr>
            </w:pPr>
            <w:r>
              <w:rPr>
                <w:rFonts w:hint="eastAsia" w:asciiTheme="minorEastAsia" w:hAnsiTheme="minorEastAsia" w:cstheme="minorEastAsia"/>
                <w:szCs w:val="21"/>
              </w:rPr>
              <w:t>功能</w:t>
            </w:r>
          </w:p>
        </w:tc>
      </w:tr>
      <w:tr w14:paraId="5BF2779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2402D934">
            <w:pPr>
              <w:jc w:val="center"/>
              <w:rPr>
                <w:rFonts w:ascii="Times New Roman" w:hAnsi="Times New Roman" w:eastAsia="宋体" w:cs="Times New Roman"/>
                <w:b/>
                <w:bCs/>
                <w:szCs w:val="21"/>
                <w:lang w:bidi="ar"/>
              </w:rPr>
            </w:pPr>
            <w:r>
              <w:rPr>
                <w:rFonts w:hint="eastAsia" w:asciiTheme="minorEastAsia" w:hAnsiTheme="minorEastAsia" w:cstheme="minorEastAsia"/>
                <w:szCs w:val="21"/>
              </w:rPr>
              <w:t>西赵店村</w:t>
            </w:r>
          </w:p>
        </w:tc>
        <w:tc>
          <w:tcPr>
            <w:tcW w:w="1328" w:type="dxa"/>
            <w:tcBorders>
              <w:tl2br w:val="nil"/>
              <w:tr2bl w:val="nil"/>
            </w:tcBorders>
            <w:vAlign w:val="center"/>
          </w:tcPr>
          <w:p w14:paraId="76649EC0">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24E05F6E">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12.3</w:t>
            </w:r>
          </w:p>
        </w:tc>
        <w:tc>
          <w:tcPr>
            <w:tcW w:w="1536" w:type="dxa"/>
            <w:tcBorders>
              <w:tl2br w:val="nil"/>
              <w:tr2bl w:val="nil"/>
            </w:tcBorders>
            <w:vAlign w:val="center"/>
          </w:tcPr>
          <w:p w14:paraId="066A4F70">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1620" w:type="dxa"/>
            <w:tcBorders>
              <w:tl2br w:val="nil"/>
              <w:tr2bl w:val="nil"/>
            </w:tcBorders>
            <w:vAlign w:val="center"/>
          </w:tcPr>
          <w:p w14:paraId="0DA0DF91">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16</w:t>
            </w:r>
          </w:p>
        </w:tc>
        <w:tc>
          <w:tcPr>
            <w:tcW w:w="1019" w:type="dxa"/>
            <w:tcBorders>
              <w:tl2br w:val="nil"/>
              <w:tr2bl w:val="nil"/>
            </w:tcBorders>
            <w:vAlign w:val="center"/>
          </w:tcPr>
          <w:p w14:paraId="094B998F">
            <w:pPr>
              <w:widowControl/>
              <w:jc w:val="center"/>
              <w:textAlignment w:val="center"/>
              <w:rPr>
                <w:rFonts w:ascii="Times New Roman" w:hAnsi="Times New Roman" w:eastAsia="宋体" w:cs="Times New Roman"/>
                <w:szCs w:val="21"/>
                <w:lang w:bidi="ar"/>
              </w:rPr>
            </w:pPr>
            <w:r>
              <w:rPr>
                <w:rFonts w:hint="eastAsia" w:cs="Times New Roman"/>
                <w:bCs/>
                <w:szCs w:val="21"/>
              </w:rPr>
              <w:t>灌溉</w:t>
            </w:r>
          </w:p>
        </w:tc>
      </w:tr>
      <w:tr w14:paraId="3261A34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1A73A077">
            <w:pPr>
              <w:jc w:val="center"/>
              <w:rPr>
                <w:rFonts w:ascii="Times New Roman" w:hAnsi="Times New Roman" w:eastAsia="宋体" w:cs="Times New Roman"/>
                <w:b/>
                <w:bCs/>
                <w:szCs w:val="21"/>
              </w:rPr>
            </w:pPr>
            <w:r>
              <w:rPr>
                <w:rFonts w:hint="eastAsia" w:asciiTheme="minorEastAsia" w:hAnsiTheme="minorEastAsia" w:cstheme="minorEastAsia"/>
                <w:szCs w:val="21"/>
              </w:rPr>
              <w:t>骆家村</w:t>
            </w:r>
          </w:p>
        </w:tc>
        <w:tc>
          <w:tcPr>
            <w:tcW w:w="1328" w:type="dxa"/>
            <w:tcBorders>
              <w:tl2br w:val="nil"/>
              <w:tr2bl w:val="nil"/>
            </w:tcBorders>
            <w:vAlign w:val="center"/>
          </w:tcPr>
          <w:p w14:paraId="7B5AFA89">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38C85098">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11.5</w:t>
            </w:r>
          </w:p>
        </w:tc>
        <w:tc>
          <w:tcPr>
            <w:tcW w:w="1536" w:type="dxa"/>
            <w:tcBorders>
              <w:tl2br w:val="nil"/>
              <w:tr2bl w:val="nil"/>
            </w:tcBorders>
            <w:vAlign w:val="center"/>
          </w:tcPr>
          <w:p w14:paraId="5175EAD6">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1620" w:type="dxa"/>
            <w:tcBorders>
              <w:tl2br w:val="nil"/>
              <w:tr2bl w:val="nil"/>
            </w:tcBorders>
            <w:vAlign w:val="center"/>
          </w:tcPr>
          <w:p w14:paraId="1FD6120B">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15</w:t>
            </w:r>
          </w:p>
        </w:tc>
        <w:tc>
          <w:tcPr>
            <w:tcW w:w="1019" w:type="dxa"/>
            <w:tcBorders>
              <w:tl2br w:val="nil"/>
              <w:tr2bl w:val="nil"/>
            </w:tcBorders>
            <w:vAlign w:val="center"/>
          </w:tcPr>
          <w:p w14:paraId="63302F40">
            <w:pPr>
              <w:jc w:val="center"/>
              <w:rPr>
                <w:rFonts w:ascii="Times New Roman" w:hAnsi="Times New Roman" w:eastAsia="宋体" w:cs="Times New Roman"/>
                <w:szCs w:val="21"/>
                <w:lang w:bidi="ar"/>
              </w:rPr>
            </w:pPr>
            <w:r>
              <w:rPr>
                <w:rFonts w:hint="eastAsia" w:cs="Times New Roman"/>
                <w:bCs/>
                <w:szCs w:val="21"/>
              </w:rPr>
              <w:t>灌溉</w:t>
            </w:r>
          </w:p>
        </w:tc>
      </w:tr>
      <w:tr w14:paraId="27D75EE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0348F288">
            <w:pPr>
              <w:jc w:val="center"/>
              <w:rPr>
                <w:rFonts w:ascii="Times New Roman" w:hAnsi="Times New Roman" w:eastAsia="宋体" w:cs="Times New Roman"/>
                <w:b/>
                <w:bCs/>
                <w:szCs w:val="21"/>
              </w:rPr>
            </w:pPr>
            <w:r>
              <w:rPr>
                <w:rFonts w:hint="eastAsia" w:asciiTheme="minorEastAsia" w:hAnsiTheme="minorEastAsia" w:cstheme="minorEastAsia"/>
                <w:szCs w:val="21"/>
              </w:rPr>
              <w:t>八里庄村</w:t>
            </w:r>
          </w:p>
        </w:tc>
        <w:tc>
          <w:tcPr>
            <w:tcW w:w="1328" w:type="dxa"/>
            <w:tcBorders>
              <w:tl2br w:val="nil"/>
              <w:tr2bl w:val="nil"/>
            </w:tcBorders>
            <w:vAlign w:val="center"/>
          </w:tcPr>
          <w:p w14:paraId="1590190B">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6591200E">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11.9</w:t>
            </w:r>
          </w:p>
        </w:tc>
        <w:tc>
          <w:tcPr>
            <w:tcW w:w="1536" w:type="dxa"/>
            <w:tcBorders>
              <w:tl2br w:val="nil"/>
              <w:tr2bl w:val="nil"/>
            </w:tcBorders>
            <w:vAlign w:val="center"/>
          </w:tcPr>
          <w:p w14:paraId="6D4CC919">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48</w:t>
            </w:r>
          </w:p>
        </w:tc>
        <w:tc>
          <w:tcPr>
            <w:tcW w:w="1620" w:type="dxa"/>
            <w:tcBorders>
              <w:tl2br w:val="nil"/>
              <w:tr2bl w:val="nil"/>
            </w:tcBorders>
            <w:vAlign w:val="center"/>
          </w:tcPr>
          <w:p w14:paraId="1E69BC50">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17</w:t>
            </w:r>
          </w:p>
        </w:tc>
        <w:tc>
          <w:tcPr>
            <w:tcW w:w="1019" w:type="dxa"/>
            <w:tcBorders>
              <w:tl2br w:val="nil"/>
              <w:tr2bl w:val="nil"/>
            </w:tcBorders>
            <w:vAlign w:val="center"/>
          </w:tcPr>
          <w:p w14:paraId="15120DA4">
            <w:pPr>
              <w:widowControl/>
              <w:jc w:val="center"/>
              <w:textAlignment w:val="center"/>
              <w:rPr>
                <w:rFonts w:ascii="Times New Roman" w:hAnsi="Times New Roman" w:eastAsia="宋体" w:cs="Times New Roman"/>
                <w:szCs w:val="21"/>
                <w:lang w:bidi="ar"/>
              </w:rPr>
            </w:pPr>
            <w:r>
              <w:rPr>
                <w:rFonts w:hint="eastAsia" w:cs="Times New Roman"/>
                <w:bCs/>
                <w:szCs w:val="21"/>
              </w:rPr>
              <w:t>灌溉</w:t>
            </w:r>
          </w:p>
        </w:tc>
      </w:tr>
      <w:tr w14:paraId="4BE7BE7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71FDB084">
            <w:pPr>
              <w:jc w:val="center"/>
              <w:rPr>
                <w:rFonts w:ascii="Times New Roman" w:hAnsi="Times New Roman" w:eastAsia="宋体" w:cs="Times New Roman"/>
                <w:b/>
                <w:bCs/>
                <w:szCs w:val="21"/>
              </w:rPr>
            </w:pPr>
            <w:r>
              <w:rPr>
                <w:rFonts w:hint="eastAsia" w:asciiTheme="minorEastAsia" w:hAnsiTheme="minorEastAsia" w:cstheme="minorEastAsia"/>
                <w:szCs w:val="21"/>
              </w:rPr>
              <w:t>卞家村</w:t>
            </w:r>
          </w:p>
        </w:tc>
        <w:tc>
          <w:tcPr>
            <w:tcW w:w="1328" w:type="dxa"/>
            <w:tcBorders>
              <w:tl2br w:val="nil"/>
              <w:tr2bl w:val="nil"/>
            </w:tcBorders>
            <w:vAlign w:val="center"/>
          </w:tcPr>
          <w:p w14:paraId="25A28A14">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6C33328F">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11.3</w:t>
            </w:r>
          </w:p>
        </w:tc>
        <w:tc>
          <w:tcPr>
            <w:tcW w:w="1536" w:type="dxa"/>
            <w:tcBorders>
              <w:tl2br w:val="nil"/>
              <w:tr2bl w:val="nil"/>
            </w:tcBorders>
            <w:vAlign w:val="center"/>
          </w:tcPr>
          <w:p w14:paraId="497D388A">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1620" w:type="dxa"/>
            <w:tcBorders>
              <w:tl2br w:val="nil"/>
              <w:tr2bl w:val="nil"/>
            </w:tcBorders>
            <w:vAlign w:val="center"/>
          </w:tcPr>
          <w:p w14:paraId="3048F14D">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17</w:t>
            </w:r>
          </w:p>
        </w:tc>
        <w:tc>
          <w:tcPr>
            <w:tcW w:w="1019" w:type="dxa"/>
            <w:tcBorders>
              <w:tl2br w:val="nil"/>
              <w:tr2bl w:val="nil"/>
            </w:tcBorders>
            <w:vAlign w:val="center"/>
          </w:tcPr>
          <w:p w14:paraId="3ABB2737">
            <w:pPr>
              <w:widowControl/>
              <w:jc w:val="center"/>
              <w:textAlignment w:val="center"/>
              <w:rPr>
                <w:rFonts w:ascii="Times New Roman" w:hAnsi="Times New Roman" w:eastAsia="宋体" w:cs="Times New Roman"/>
                <w:szCs w:val="21"/>
                <w:lang w:bidi="ar"/>
              </w:rPr>
            </w:pPr>
            <w:r>
              <w:rPr>
                <w:rFonts w:hint="eastAsia" w:cs="Times New Roman"/>
                <w:kern w:val="0"/>
                <w:szCs w:val="21"/>
                <w:lang w:bidi="ar"/>
              </w:rPr>
              <w:t>灌溉</w:t>
            </w:r>
          </w:p>
        </w:tc>
      </w:tr>
      <w:tr w14:paraId="5B021B5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29D6BECE">
            <w:pPr>
              <w:jc w:val="center"/>
              <w:rPr>
                <w:rFonts w:ascii="Times New Roman" w:hAnsi="Times New Roman" w:eastAsia="宋体" w:cs="Times New Roman"/>
                <w:b/>
                <w:bCs/>
                <w:szCs w:val="21"/>
              </w:rPr>
            </w:pPr>
            <w:r>
              <w:rPr>
                <w:rFonts w:hint="eastAsia" w:asciiTheme="minorEastAsia" w:hAnsiTheme="minorEastAsia" w:cstheme="minorEastAsia"/>
                <w:szCs w:val="21"/>
              </w:rPr>
              <w:t>殷庄村</w:t>
            </w:r>
          </w:p>
        </w:tc>
        <w:tc>
          <w:tcPr>
            <w:tcW w:w="1328" w:type="dxa"/>
            <w:tcBorders>
              <w:tl2br w:val="nil"/>
              <w:tr2bl w:val="nil"/>
            </w:tcBorders>
            <w:vAlign w:val="center"/>
          </w:tcPr>
          <w:p w14:paraId="4F6BD18F">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3B930207">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12.0</w:t>
            </w:r>
          </w:p>
        </w:tc>
        <w:tc>
          <w:tcPr>
            <w:tcW w:w="1536" w:type="dxa"/>
            <w:tcBorders>
              <w:tl2br w:val="nil"/>
              <w:tr2bl w:val="nil"/>
            </w:tcBorders>
            <w:vAlign w:val="center"/>
          </w:tcPr>
          <w:p w14:paraId="2496C2A2">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38</w:t>
            </w:r>
          </w:p>
        </w:tc>
        <w:tc>
          <w:tcPr>
            <w:tcW w:w="1620" w:type="dxa"/>
            <w:tcBorders>
              <w:tl2br w:val="nil"/>
              <w:tr2bl w:val="nil"/>
            </w:tcBorders>
            <w:vAlign w:val="center"/>
          </w:tcPr>
          <w:p w14:paraId="52CEC66B">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16</w:t>
            </w:r>
          </w:p>
        </w:tc>
        <w:tc>
          <w:tcPr>
            <w:tcW w:w="1019" w:type="dxa"/>
            <w:tcBorders>
              <w:tl2br w:val="nil"/>
              <w:tr2bl w:val="nil"/>
            </w:tcBorders>
            <w:vAlign w:val="center"/>
          </w:tcPr>
          <w:p w14:paraId="5C1E9D58">
            <w:pPr>
              <w:widowControl/>
              <w:jc w:val="center"/>
              <w:textAlignment w:val="center"/>
              <w:rPr>
                <w:rFonts w:ascii="Times New Roman" w:hAnsi="Times New Roman" w:eastAsia="宋体" w:cs="Times New Roman"/>
                <w:szCs w:val="21"/>
                <w:lang w:bidi="ar"/>
              </w:rPr>
            </w:pPr>
            <w:r>
              <w:rPr>
                <w:rFonts w:hint="eastAsia" w:cs="Times New Roman"/>
                <w:kern w:val="0"/>
                <w:szCs w:val="21"/>
                <w:lang w:bidi="ar"/>
              </w:rPr>
              <w:t>灌溉</w:t>
            </w:r>
          </w:p>
        </w:tc>
      </w:tr>
      <w:tr w14:paraId="0ACC2DF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3D61A5A2">
            <w:pPr>
              <w:jc w:val="center"/>
              <w:rPr>
                <w:rFonts w:ascii="Times New Roman" w:hAnsi="Times New Roman" w:eastAsia="宋体" w:cs="Times New Roman"/>
                <w:b/>
                <w:bCs/>
                <w:szCs w:val="21"/>
              </w:rPr>
            </w:pPr>
            <w:r>
              <w:rPr>
                <w:rFonts w:hint="eastAsia" w:asciiTheme="minorEastAsia" w:hAnsiTheme="minorEastAsia" w:cstheme="minorEastAsia"/>
                <w:szCs w:val="21"/>
              </w:rPr>
              <w:t>田朱楼村</w:t>
            </w:r>
          </w:p>
        </w:tc>
        <w:tc>
          <w:tcPr>
            <w:tcW w:w="1328" w:type="dxa"/>
            <w:tcBorders>
              <w:tl2br w:val="nil"/>
              <w:tr2bl w:val="nil"/>
            </w:tcBorders>
            <w:vAlign w:val="center"/>
          </w:tcPr>
          <w:p w14:paraId="4C2A9F21">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1536" w:type="dxa"/>
            <w:tcBorders>
              <w:tl2br w:val="nil"/>
              <w:tr2bl w:val="nil"/>
            </w:tcBorders>
            <w:vAlign w:val="center"/>
          </w:tcPr>
          <w:p w14:paraId="08417259">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12.9</w:t>
            </w:r>
          </w:p>
        </w:tc>
        <w:tc>
          <w:tcPr>
            <w:tcW w:w="1536" w:type="dxa"/>
            <w:tcBorders>
              <w:tl2br w:val="nil"/>
              <w:tr2bl w:val="nil"/>
            </w:tcBorders>
            <w:vAlign w:val="center"/>
          </w:tcPr>
          <w:p w14:paraId="7A5C6529">
            <w:pPr>
              <w:widowControl/>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41</w:t>
            </w:r>
          </w:p>
        </w:tc>
        <w:tc>
          <w:tcPr>
            <w:tcW w:w="1620" w:type="dxa"/>
            <w:tcBorders>
              <w:tl2br w:val="nil"/>
              <w:tr2bl w:val="nil"/>
            </w:tcBorders>
            <w:vAlign w:val="center"/>
          </w:tcPr>
          <w:p w14:paraId="20FC2243">
            <w:pPr>
              <w:widowControl/>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15</w:t>
            </w:r>
          </w:p>
        </w:tc>
        <w:tc>
          <w:tcPr>
            <w:tcW w:w="1019" w:type="dxa"/>
            <w:tcBorders>
              <w:tl2br w:val="nil"/>
              <w:tr2bl w:val="nil"/>
            </w:tcBorders>
            <w:vAlign w:val="center"/>
          </w:tcPr>
          <w:p w14:paraId="05E60B8C">
            <w:pPr>
              <w:widowControl/>
              <w:jc w:val="center"/>
              <w:textAlignment w:val="center"/>
              <w:rPr>
                <w:rFonts w:ascii="Times New Roman" w:hAnsi="Times New Roman" w:eastAsia="宋体" w:cs="Times New Roman"/>
                <w:szCs w:val="21"/>
                <w:lang w:bidi="ar"/>
              </w:rPr>
            </w:pPr>
            <w:r>
              <w:rPr>
                <w:rFonts w:hint="eastAsia" w:cs="Times New Roman"/>
                <w:kern w:val="0"/>
                <w:szCs w:val="21"/>
                <w:lang w:bidi="ar"/>
              </w:rPr>
              <w:t>灌溉</w:t>
            </w:r>
          </w:p>
        </w:tc>
      </w:tr>
    </w:tbl>
    <w:p w14:paraId="13721F3E">
      <w:pPr>
        <w:spacing w:line="520" w:lineRule="exact"/>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ascii="Times New Roman" w:hAnsi="Times New Roman" w:eastAsia="宋体" w:cs="Times New Roman"/>
          <w:sz w:val="24"/>
        </w:rPr>
        <w:t>）监测结果统计及评价</w:t>
      </w:r>
    </w:p>
    <w:p w14:paraId="70161A70">
      <w:pPr>
        <w:pStyle w:val="62"/>
        <w:spacing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color w:val="auto"/>
          <w:sz w:val="24"/>
          <w:szCs w:val="24"/>
        </w:rPr>
        <w:t>地下水环境质量现状监测结果统计分析见</w:t>
      </w:r>
      <w:r>
        <w:rPr>
          <w:rFonts w:hint="eastAsia" w:ascii="Times New Roman" w:hAnsi="Times New Roman" w:eastAsia="宋体" w:cs="Times New Roman"/>
          <w:color w:val="auto"/>
          <w:sz w:val="24"/>
          <w:szCs w:val="24"/>
        </w:rPr>
        <w:t>下表。</w:t>
      </w:r>
    </w:p>
    <w:p w14:paraId="02DB65F4">
      <w:pPr>
        <w:spacing w:before="156" w:beforeLines="50"/>
        <w:contextualSpacing/>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表4.5-7</w:t>
      </w:r>
      <w:r>
        <w:rPr>
          <w:rFonts w:ascii="Times New Roman" w:hAnsi="Times New Roman" w:eastAsia="宋体" w:cs="Times New Roman"/>
          <w:b/>
          <w:bCs/>
          <w:szCs w:val="21"/>
        </w:rPr>
        <w:t xml:space="preserve">   地下水环境质量现状监测结果统计表</w:t>
      </w:r>
      <w:r>
        <w:rPr>
          <w:rFonts w:hint="eastAsia" w:ascii="Times New Roman" w:hAnsi="Times New Roman" w:eastAsia="宋体" w:cs="Times New Roman"/>
          <w:b/>
          <w:bCs/>
          <w:szCs w:val="21"/>
        </w:rPr>
        <w:t>（</w:t>
      </w:r>
      <w:r>
        <w:rPr>
          <w:rFonts w:ascii="Times New Roman" w:hAnsi="Times New Roman" w:eastAsia="宋体" w:cs="Times New Roman"/>
          <w:b/>
          <w:bCs/>
          <w:szCs w:val="21"/>
        </w:rPr>
        <w:t>单位：mg/L（另注除外）</w:t>
      </w:r>
      <w:r>
        <w:rPr>
          <w:rFonts w:hint="eastAsia" w:ascii="Times New Roman" w:hAnsi="Times New Roman" w:eastAsia="宋体" w:cs="Times New Roman"/>
          <w:b/>
          <w:bCs/>
          <w:szCs w:val="21"/>
        </w:rPr>
        <w:t>）</w:t>
      </w:r>
    </w:p>
    <w:tbl>
      <w:tblPr>
        <w:tblStyle w:val="30"/>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07"/>
        <w:gridCol w:w="1816"/>
        <w:gridCol w:w="1585"/>
        <w:gridCol w:w="908"/>
        <w:gridCol w:w="1045"/>
        <w:gridCol w:w="914"/>
        <w:gridCol w:w="882"/>
      </w:tblGrid>
      <w:tr w14:paraId="6102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tcBorders>
              <w:tl2br w:val="nil"/>
              <w:tr2bl w:val="nil"/>
            </w:tcBorders>
            <w:vAlign w:val="center"/>
          </w:tcPr>
          <w:p w14:paraId="317157CD">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监测点位</w:t>
            </w:r>
          </w:p>
        </w:tc>
        <w:tc>
          <w:tcPr>
            <w:tcW w:w="1816" w:type="dxa"/>
            <w:tcBorders>
              <w:tl2br w:val="nil"/>
              <w:tr2bl w:val="nil"/>
            </w:tcBorders>
            <w:vAlign w:val="center"/>
          </w:tcPr>
          <w:p w14:paraId="786270D0">
            <w:pPr>
              <w:spacing w:line="300" w:lineRule="atLeast"/>
              <w:jc w:val="center"/>
              <w:rPr>
                <w:rFonts w:ascii="Times New Roman" w:hAnsi="Times New Roman" w:eastAsia="宋体" w:cs="Times New Roman"/>
                <w:bCs/>
                <w:szCs w:val="21"/>
              </w:rPr>
            </w:pPr>
            <w:r>
              <w:rPr>
                <w:rFonts w:ascii="Times New Roman" w:hAnsi="Times New Roman" w:eastAsia="宋体" w:cs="Times New Roman"/>
                <w:szCs w:val="21"/>
              </w:rPr>
              <w:t>监测项目</w:t>
            </w:r>
          </w:p>
        </w:tc>
        <w:tc>
          <w:tcPr>
            <w:tcW w:w="1585" w:type="dxa"/>
            <w:tcBorders>
              <w:tl2br w:val="nil"/>
              <w:tr2bl w:val="nil"/>
            </w:tcBorders>
            <w:vAlign w:val="center"/>
          </w:tcPr>
          <w:p w14:paraId="289C8C22">
            <w:pPr>
              <w:spacing w:line="300" w:lineRule="atLeast"/>
              <w:jc w:val="center"/>
              <w:rPr>
                <w:rFonts w:ascii="Times New Roman" w:hAnsi="Times New Roman" w:eastAsia="宋体" w:cs="Times New Roman"/>
                <w:bCs/>
                <w:szCs w:val="21"/>
              </w:rPr>
            </w:pPr>
            <w:r>
              <w:rPr>
                <w:rFonts w:ascii="Times New Roman" w:hAnsi="Times New Roman" w:eastAsia="宋体" w:cs="Times New Roman"/>
                <w:szCs w:val="21"/>
              </w:rPr>
              <w:t>监测值</w:t>
            </w:r>
          </w:p>
        </w:tc>
        <w:tc>
          <w:tcPr>
            <w:tcW w:w="908" w:type="dxa"/>
            <w:tcBorders>
              <w:tl2br w:val="nil"/>
              <w:tr2bl w:val="nil"/>
            </w:tcBorders>
            <w:vAlign w:val="center"/>
          </w:tcPr>
          <w:p w14:paraId="293CDC66">
            <w:pPr>
              <w:spacing w:line="300" w:lineRule="atLeast"/>
              <w:jc w:val="center"/>
              <w:rPr>
                <w:rFonts w:ascii="Times New Roman" w:hAnsi="Times New Roman" w:eastAsia="宋体" w:cs="Times New Roman"/>
                <w:bCs/>
                <w:szCs w:val="21"/>
              </w:rPr>
            </w:pPr>
            <w:r>
              <w:rPr>
                <w:rFonts w:ascii="Times New Roman" w:hAnsi="Times New Roman" w:eastAsia="宋体" w:cs="Times New Roman"/>
                <w:szCs w:val="21"/>
              </w:rPr>
              <w:t>标准值</w:t>
            </w:r>
          </w:p>
        </w:tc>
        <w:tc>
          <w:tcPr>
            <w:tcW w:w="1045" w:type="dxa"/>
            <w:tcBorders>
              <w:tl2br w:val="nil"/>
              <w:tr2bl w:val="nil"/>
            </w:tcBorders>
            <w:vAlign w:val="center"/>
          </w:tcPr>
          <w:p w14:paraId="18F6DEE6">
            <w:pPr>
              <w:spacing w:line="300" w:lineRule="atLeast"/>
              <w:jc w:val="center"/>
              <w:rPr>
                <w:rFonts w:ascii="Times New Roman" w:hAnsi="Times New Roman" w:eastAsia="宋体" w:cs="Times New Roman"/>
                <w:bCs/>
                <w:szCs w:val="21"/>
              </w:rPr>
            </w:pPr>
            <w:r>
              <w:rPr>
                <w:rFonts w:ascii="Times New Roman" w:hAnsi="Times New Roman" w:eastAsia="宋体" w:cs="Times New Roman"/>
                <w:szCs w:val="21"/>
              </w:rPr>
              <w:t>标准指数</w:t>
            </w:r>
          </w:p>
        </w:tc>
        <w:tc>
          <w:tcPr>
            <w:tcW w:w="914" w:type="dxa"/>
            <w:tcBorders>
              <w:tl2br w:val="nil"/>
              <w:tr2bl w:val="nil"/>
            </w:tcBorders>
            <w:vAlign w:val="center"/>
          </w:tcPr>
          <w:p w14:paraId="263EBAF0">
            <w:pPr>
              <w:spacing w:line="300" w:lineRule="atLeast"/>
              <w:jc w:val="center"/>
              <w:rPr>
                <w:rFonts w:ascii="Times New Roman" w:hAnsi="Times New Roman" w:eastAsia="宋体" w:cs="Times New Roman"/>
                <w:bCs/>
                <w:szCs w:val="21"/>
              </w:rPr>
            </w:pPr>
            <w:r>
              <w:rPr>
                <w:rFonts w:ascii="Times New Roman" w:hAnsi="Times New Roman" w:eastAsia="宋体" w:cs="Times New Roman"/>
                <w:szCs w:val="21"/>
              </w:rPr>
              <w:t>超标倍数</w:t>
            </w:r>
          </w:p>
        </w:tc>
        <w:tc>
          <w:tcPr>
            <w:tcW w:w="882" w:type="dxa"/>
            <w:tcBorders>
              <w:tl2br w:val="nil"/>
              <w:tr2bl w:val="nil"/>
            </w:tcBorders>
            <w:vAlign w:val="center"/>
          </w:tcPr>
          <w:p w14:paraId="4591888D">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达标判断</w:t>
            </w:r>
          </w:p>
        </w:tc>
      </w:tr>
      <w:tr w14:paraId="0D32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restart"/>
            <w:tcBorders>
              <w:tl2br w:val="nil"/>
              <w:tr2bl w:val="nil"/>
            </w:tcBorders>
            <w:vAlign w:val="center"/>
          </w:tcPr>
          <w:p w14:paraId="64DF0FE0">
            <w:pPr>
              <w:jc w:val="center"/>
              <w:rPr>
                <w:rFonts w:ascii="Times New Roman" w:hAnsi="Times New Roman" w:eastAsia="宋体" w:cs="Times New Roman"/>
                <w:szCs w:val="21"/>
              </w:rPr>
            </w:pPr>
            <w:r>
              <w:rPr>
                <w:rFonts w:hint="eastAsia" w:asciiTheme="minorEastAsia" w:hAnsiTheme="minorEastAsia" w:cstheme="minorEastAsia"/>
                <w:szCs w:val="21"/>
              </w:rPr>
              <w:t>西赵店村</w:t>
            </w:r>
          </w:p>
        </w:tc>
        <w:tc>
          <w:tcPr>
            <w:tcW w:w="1816" w:type="dxa"/>
            <w:tcBorders>
              <w:tl2br w:val="nil"/>
              <w:tr2bl w:val="nil"/>
            </w:tcBorders>
            <w:vAlign w:val="center"/>
          </w:tcPr>
          <w:p w14:paraId="0B5C7DB5">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pH</w:t>
            </w:r>
          </w:p>
        </w:tc>
        <w:tc>
          <w:tcPr>
            <w:tcW w:w="1585" w:type="dxa"/>
            <w:tcBorders>
              <w:tl2br w:val="nil"/>
              <w:tr2bl w:val="nil"/>
            </w:tcBorders>
            <w:vAlign w:val="center"/>
          </w:tcPr>
          <w:p w14:paraId="2DE515B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908" w:type="dxa"/>
            <w:tcBorders>
              <w:tl2br w:val="nil"/>
              <w:tr2bl w:val="nil"/>
            </w:tcBorders>
            <w:vAlign w:val="center"/>
          </w:tcPr>
          <w:p w14:paraId="64EB827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6.5-8.5</w:t>
            </w:r>
          </w:p>
        </w:tc>
        <w:tc>
          <w:tcPr>
            <w:tcW w:w="1045" w:type="dxa"/>
            <w:tcBorders>
              <w:tl2br w:val="nil"/>
              <w:tr2bl w:val="nil"/>
            </w:tcBorders>
            <w:vAlign w:val="center"/>
          </w:tcPr>
          <w:p w14:paraId="5FADADC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914" w:type="dxa"/>
            <w:tcBorders>
              <w:tl2br w:val="nil"/>
              <w:tr2bl w:val="nil"/>
            </w:tcBorders>
            <w:vAlign w:val="center"/>
          </w:tcPr>
          <w:p w14:paraId="256CDBD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64C628C7">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05BA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39C9C1A7">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04A938D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耗氧量</w:t>
            </w:r>
          </w:p>
        </w:tc>
        <w:tc>
          <w:tcPr>
            <w:tcW w:w="1585" w:type="dxa"/>
            <w:tcBorders>
              <w:tl2br w:val="nil"/>
              <w:tr2bl w:val="nil"/>
            </w:tcBorders>
            <w:vAlign w:val="center"/>
          </w:tcPr>
          <w:p w14:paraId="09441E7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0.68</w:t>
            </w:r>
          </w:p>
        </w:tc>
        <w:tc>
          <w:tcPr>
            <w:tcW w:w="908" w:type="dxa"/>
            <w:tcBorders>
              <w:tl2br w:val="nil"/>
              <w:tr2bl w:val="nil"/>
            </w:tcBorders>
            <w:vAlign w:val="center"/>
          </w:tcPr>
          <w:p w14:paraId="7F50F4D3">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3.0</w:t>
            </w:r>
          </w:p>
        </w:tc>
        <w:tc>
          <w:tcPr>
            <w:tcW w:w="1045" w:type="dxa"/>
            <w:tcBorders>
              <w:tl2br w:val="nil"/>
              <w:tr2bl w:val="nil"/>
            </w:tcBorders>
            <w:vAlign w:val="center"/>
          </w:tcPr>
          <w:p w14:paraId="6AE1F7C2">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 xml:space="preserve">0.23 </w:t>
            </w:r>
          </w:p>
        </w:tc>
        <w:tc>
          <w:tcPr>
            <w:tcW w:w="914" w:type="dxa"/>
            <w:tcBorders>
              <w:tl2br w:val="nil"/>
              <w:tr2bl w:val="nil"/>
            </w:tcBorders>
            <w:vAlign w:val="center"/>
          </w:tcPr>
          <w:p w14:paraId="52287EB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24C4A225">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0E98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41DE457B">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4E3A5E11">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氨氮</w:t>
            </w:r>
          </w:p>
        </w:tc>
        <w:tc>
          <w:tcPr>
            <w:tcW w:w="1585" w:type="dxa"/>
            <w:tcBorders>
              <w:tl2br w:val="nil"/>
              <w:tr2bl w:val="nil"/>
            </w:tcBorders>
            <w:vAlign w:val="center"/>
          </w:tcPr>
          <w:p w14:paraId="012B6F33">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0.038</w:t>
            </w:r>
          </w:p>
        </w:tc>
        <w:tc>
          <w:tcPr>
            <w:tcW w:w="908" w:type="dxa"/>
            <w:tcBorders>
              <w:tl2br w:val="nil"/>
              <w:tr2bl w:val="nil"/>
            </w:tcBorders>
            <w:vAlign w:val="center"/>
          </w:tcPr>
          <w:p w14:paraId="12E1B5C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0.5</w:t>
            </w:r>
          </w:p>
        </w:tc>
        <w:tc>
          <w:tcPr>
            <w:tcW w:w="1045" w:type="dxa"/>
            <w:tcBorders>
              <w:tl2br w:val="nil"/>
              <w:tr2bl w:val="nil"/>
            </w:tcBorders>
            <w:vAlign w:val="center"/>
          </w:tcPr>
          <w:p w14:paraId="37C741A9">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 xml:space="preserve">0.01 </w:t>
            </w:r>
          </w:p>
        </w:tc>
        <w:tc>
          <w:tcPr>
            <w:tcW w:w="914" w:type="dxa"/>
            <w:tcBorders>
              <w:tl2br w:val="nil"/>
              <w:tr2bl w:val="nil"/>
            </w:tcBorders>
            <w:vAlign w:val="center"/>
          </w:tcPr>
          <w:p w14:paraId="74094EF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60FBC211">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7A33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795E5461">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07D92D53">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硝酸盐</w:t>
            </w:r>
          </w:p>
        </w:tc>
        <w:tc>
          <w:tcPr>
            <w:tcW w:w="1585" w:type="dxa"/>
            <w:tcBorders>
              <w:tl2br w:val="nil"/>
              <w:tr2bl w:val="nil"/>
            </w:tcBorders>
            <w:vAlign w:val="center"/>
          </w:tcPr>
          <w:p w14:paraId="295EE42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2.86</w:t>
            </w:r>
          </w:p>
        </w:tc>
        <w:tc>
          <w:tcPr>
            <w:tcW w:w="908" w:type="dxa"/>
            <w:tcBorders>
              <w:tl2br w:val="nil"/>
              <w:tr2bl w:val="nil"/>
            </w:tcBorders>
            <w:vAlign w:val="center"/>
          </w:tcPr>
          <w:p w14:paraId="45358AD3">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20.0</w:t>
            </w:r>
          </w:p>
        </w:tc>
        <w:tc>
          <w:tcPr>
            <w:tcW w:w="1045" w:type="dxa"/>
            <w:tcBorders>
              <w:tl2br w:val="nil"/>
              <w:tr2bl w:val="nil"/>
            </w:tcBorders>
            <w:vAlign w:val="center"/>
          </w:tcPr>
          <w:p w14:paraId="1521A6AA">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 xml:space="preserve">0.95 </w:t>
            </w:r>
          </w:p>
        </w:tc>
        <w:tc>
          <w:tcPr>
            <w:tcW w:w="914" w:type="dxa"/>
            <w:tcBorders>
              <w:tl2br w:val="nil"/>
              <w:tr2bl w:val="nil"/>
            </w:tcBorders>
            <w:vAlign w:val="center"/>
          </w:tcPr>
          <w:p w14:paraId="2FCCCC6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71DACFAF">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6A92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79ED310A">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77EAE19A">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亚硝酸盐</w:t>
            </w:r>
          </w:p>
        </w:tc>
        <w:tc>
          <w:tcPr>
            <w:tcW w:w="1585" w:type="dxa"/>
            <w:tcBorders>
              <w:tl2br w:val="nil"/>
              <w:tr2bl w:val="nil"/>
            </w:tcBorders>
            <w:vAlign w:val="center"/>
          </w:tcPr>
          <w:p w14:paraId="318DBDB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0.016L</w:t>
            </w:r>
          </w:p>
        </w:tc>
        <w:tc>
          <w:tcPr>
            <w:tcW w:w="908" w:type="dxa"/>
            <w:tcBorders>
              <w:tl2br w:val="nil"/>
              <w:tr2bl w:val="nil"/>
            </w:tcBorders>
            <w:vAlign w:val="center"/>
          </w:tcPr>
          <w:p w14:paraId="45DC3E66">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045" w:type="dxa"/>
            <w:tcBorders>
              <w:tl2br w:val="nil"/>
              <w:tr2bl w:val="nil"/>
            </w:tcBorders>
            <w:vAlign w:val="center"/>
          </w:tcPr>
          <w:p w14:paraId="1F46418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25F540BE">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9FD3E0A">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4B5D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45532F0B">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7CE0484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挥发酚</w:t>
            </w:r>
          </w:p>
        </w:tc>
        <w:tc>
          <w:tcPr>
            <w:tcW w:w="1585" w:type="dxa"/>
            <w:tcBorders>
              <w:tl2br w:val="nil"/>
              <w:tr2bl w:val="nil"/>
            </w:tcBorders>
            <w:vAlign w:val="center"/>
          </w:tcPr>
          <w:p w14:paraId="60F2F79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0.0003L</w:t>
            </w:r>
          </w:p>
        </w:tc>
        <w:tc>
          <w:tcPr>
            <w:tcW w:w="908" w:type="dxa"/>
            <w:tcBorders>
              <w:tl2br w:val="nil"/>
              <w:tr2bl w:val="nil"/>
            </w:tcBorders>
            <w:vAlign w:val="center"/>
          </w:tcPr>
          <w:p w14:paraId="50F002D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0.002</w:t>
            </w:r>
          </w:p>
        </w:tc>
        <w:tc>
          <w:tcPr>
            <w:tcW w:w="1045" w:type="dxa"/>
            <w:tcBorders>
              <w:tl2br w:val="nil"/>
              <w:tr2bl w:val="nil"/>
            </w:tcBorders>
            <w:vAlign w:val="center"/>
          </w:tcPr>
          <w:p w14:paraId="3132BF4D">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332BC995">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725220D7">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0C5F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19382C56">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1CBE21D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氟化物</w:t>
            </w:r>
          </w:p>
        </w:tc>
        <w:tc>
          <w:tcPr>
            <w:tcW w:w="1585" w:type="dxa"/>
            <w:tcBorders>
              <w:tl2br w:val="nil"/>
              <w:tr2bl w:val="nil"/>
            </w:tcBorders>
            <w:vAlign w:val="center"/>
          </w:tcPr>
          <w:p w14:paraId="09D1AC9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0.431</w:t>
            </w:r>
          </w:p>
        </w:tc>
        <w:tc>
          <w:tcPr>
            <w:tcW w:w="908" w:type="dxa"/>
            <w:tcBorders>
              <w:tl2br w:val="nil"/>
              <w:tr2bl w:val="nil"/>
            </w:tcBorders>
            <w:vAlign w:val="center"/>
          </w:tcPr>
          <w:p w14:paraId="63D2FFBA">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1.0</w:t>
            </w:r>
          </w:p>
        </w:tc>
        <w:tc>
          <w:tcPr>
            <w:tcW w:w="1045" w:type="dxa"/>
            <w:tcBorders>
              <w:tl2br w:val="nil"/>
              <w:tr2bl w:val="nil"/>
            </w:tcBorders>
            <w:vAlign w:val="center"/>
          </w:tcPr>
          <w:p w14:paraId="7DB52682">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0.431</w:t>
            </w:r>
          </w:p>
        </w:tc>
        <w:tc>
          <w:tcPr>
            <w:tcW w:w="914" w:type="dxa"/>
            <w:tcBorders>
              <w:tl2br w:val="nil"/>
              <w:tr2bl w:val="nil"/>
            </w:tcBorders>
            <w:vAlign w:val="center"/>
          </w:tcPr>
          <w:p w14:paraId="78DC217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3107AFBA">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4752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74472658">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3BBB117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氰化物</w:t>
            </w:r>
          </w:p>
        </w:tc>
        <w:tc>
          <w:tcPr>
            <w:tcW w:w="1585" w:type="dxa"/>
            <w:tcBorders>
              <w:tl2br w:val="nil"/>
              <w:tr2bl w:val="nil"/>
            </w:tcBorders>
            <w:vAlign w:val="center"/>
          </w:tcPr>
          <w:p w14:paraId="0581246D">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0.004L</w:t>
            </w:r>
          </w:p>
        </w:tc>
        <w:tc>
          <w:tcPr>
            <w:tcW w:w="908" w:type="dxa"/>
            <w:tcBorders>
              <w:tl2br w:val="nil"/>
              <w:tr2bl w:val="nil"/>
            </w:tcBorders>
            <w:vAlign w:val="center"/>
          </w:tcPr>
          <w:p w14:paraId="46E2A64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045" w:type="dxa"/>
            <w:tcBorders>
              <w:tl2br w:val="nil"/>
              <w:tr2bl w:val="nil"/>
            </w:tcBorders>
            <w:vAlign w:val="center"/>
          </w:tcPr>
          <w:p w14:paraId="716D1A42">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202153B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25BCDB20">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2109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063242AC">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4B4C982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砷</w:t>
            </w:r>
          </w:p>
        </w:tc>
        <w:tc>
          <w:tcPr>
            <w:tcW w:w="1585" w:type="dxa"/>
            <w:tcBorders>
              <w:tl2br w:val="nil"/>
              <w:tr2bl w:val="nil"/>
            </w:tcBorders>
            <w:vAlign w:val="center"/>
          </w:tcPr>
          <w:p w14:paraId="78D26D3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0.0003L</w:t>
            </w:r>
          </w:p>
        </w:tc>
        <w:tc>
          <w:tcPr>
            <w:tcW w:w="908" w:type="dxa"/>
            <w:tcBorders>
              <w:tl2br w:val="nil"/>
              <w:tr2bl w:val="nil"/>
            </w:tcBorders>
            <w:vAlign w:val="center"/>
          </w:tcPr>
          <w:p w14:paraId="48624D9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0.01</w:t>
            </w:r>
          </w:p>
        </w:tc>
        <w:tc>
          <w:tcPr>
            <w:tcW w:w="1045" w:type="dxa"/>
            <w:tcBorders>
              <w:tl2br w:val="nil"/>
              <w:tr2bl w:val="nil"/>
            </w:tcBorders>
            <w:vAlign w:val="center"/>
          </w:tcPr>
          <w:p w14:paraId="279050F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68CD760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2C8DBA57">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0233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0268940F">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22B28A4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汞</w:t>
            </w:r>
          </w:p>
        </w:tc>
        <w:tc>
          <w:tcPr>
            <w:tcW w:w="1585" w:type="dxa"/>
            <w:tcBorders>
              <w:tl2br w:val="nil"/>
              <w:tr2bl w:val="nil"/>
            </w:tcBorders>
            <w:vAlign w:val="center"/>
          </w:tcPr>
          <w:p w14:paraId="7C06981A">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0.00004L</w:t>
            </w:r>
          </w:p>
        </w:tc>
        <w:tc>
          <w:tcPr>
            <w:tcW w:w="908" w:type="dxa"/>
            <w:tcBorders>
              <w:tl2br w:val="nil"/>
              <w:tr2bl w:val="nil"/>
            </w:tcBorders>
            <w:vAlign w:val="center"/>
          </w:tcPr>
          <w:p w14:paraId="6CEA8F2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1045" w:type="dxa"/>
            <w:tcBorders>
              <w:tl2br w:val="nil"/>
              <w:tr2bl w:val="nil"/>
            </w:tcBorders>
            <w:vAlign w:val="center"/>
          </w:tcPr>
          <w:p w14:paraId="29037C8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5E703718">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2F6D14F3">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7F3B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518AE3EE">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4DE1B6A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六价铬</w:t>
            </w:r>
          </w:p>
        </w:tc>
        <w:tc>
          <w:tcPr>
            <w:tcW w:w="1585" w:type="dxa"/>
            <w:tcBorders>
              <w:tl2br w:val="nil"/>
              <w:tr2bl w:val="nil"/>
            </w:tcBorders>
            <w:vAlign w:val="center"/>
          </w:tcPr>
          <w:p w14:paraId="44017A1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0.004L</w:t>
            </w:r>
          </w:p>
        </w:tc>
        <w:tc>
          <w:tcPr>
            <w:tcW w:w="908" w:type="dxa"/>
            <w:tcBorders>
              <w:tl2br w:val="nil"/>
              <w:tr2bl w:val="nil"/>
            </w:tcBorders>
            <w:vAlign w:val="center"/>
          </w:tcPr>
          <w:p w14:paraId="798E218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045" w:type="dxa"/>
            <w:tcBorders>
              <w:tl2br w:val="nil"/>
              <w:tr2bl w:val="nil"/>
            </w:tcBorders>
            <w:vAlign w:val="center"/>
          </w:tcPr>
          <w:p w14:paraId="3E464DC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7A4E006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6E83841C">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50E0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4BB745F9">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77718F9E">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总硬度</w:t>
            </w:r>
          </w:p>
        </w:tc>
        <w:tc>
          <w:tcPr>
            <w:tcW w:w="1585" w:type="dxa"/>
            <w:tcBorders>
              <w:tl2br w:val="nil"/>
              <w:tr2bl w:val="nil"/>
            </w:tcBorders>
            <w:vAlign w:val="center"/>
          </w:tcPr>
          <w:p w14:paraId="0E40943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274</w:t>
            </w:r>
          </w:p>
        </w:tc>
        <w:tc>
          <w:tcPr>
            <w:tcW w:w="908" w:type="dxa"/>
            <w:tcBorders>
              <w:tl2br w:val="nil"/>
              <w:tr2bl w:val="nil"/>
            </w:tcBorders>
            <w:vAlign w:val="center"/>
          </w:tcPr>
          <w:p w14:paraId="5E879CD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450</w:t>
            </w:r>
          </w:p>
        </w:tc>
        <w:tc>
          <w:tcPr>
            <w:tcW w:w="1045" w:type="dxa"/>
            <w:tcBorders>
              <w:tl2br w:val="nil"/>
              <w:tr2bl w:val="nil"/>
            </w:tcBorders>
            <w:vAlign w:val="center"/>
          </w:tcPr>
          <w:p w14:paraId="76150E8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0.61</w:t>
            </w:r>
          </w:p>
        </w:tc>
        <w:tc>
          <w:tcPr>
            <w:tcW w:w="914" w:type="dxa"/>
            <w:tcBorders>
              <w:tl2br w:val="nil"/>
              <w:tr2bl w:val="nil"/>
            </w:tcBorders>
            <w:vAlign w:val="center"/>
          </w:tcPr>
          <w:p w14:paraId="075A2C08">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261E237D">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2185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20A69722">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20D68C85">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铅</w:t>
            </w:r>
          </w:p>
        </w:tc>
        <w:tc>
          <w:tcPr>
            <w:tcW w:w="1585" w:type="dxa"/>
            <w:tcBorders>
              <w:tl2br w:val="nil"/>
              <w:tr2bl w:val="nil"/>
            </w:tcBorders>
            <w:vAlign w:val="center"/>
          </w:tcPr>
          <w:p w14:paraId="4D76437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0.0023L</w:t>
            </w:r>
          </w:p>
        </w:tc>
        <w:tc>
          <w:tcPr>
            <w:tcW w:w="908" w:type="dxa"/>
            <w:tcBorders>
              <w:tl2br w:val="nil"/>
              <w:tr2bl w:val="nil"/>
            </w:tcBorders>
            <w:vAlign w:val="center"/>
          </w:tcPr>
          <w:p w14:paraId="60CDB852">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0.01</w:t>
            </w:r>
          </w:p>
        </w:tc>
        <w:tc>
          <w:tcPr>
            <w:tcW w:w="1045" w:type="dxa"/>
            <w:tcBorders>
              <w:tl2br w:val="nil"/>
              <w:tr2bl w:val="nil"/>
            </w:tcBorders>
            <w:vAlign w:val="center"/>
          </w:tcPr>
          <w:p w14:paraId="4B89866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7AC5CDA5">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5CB5CA62">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1AF5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1C1BF2F8">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4E9F138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镉</w:t>
            </w:r>
          </w:p>
        </w:tc>
        <w:tc>
          <w:tcPr>
            <w:tcW w:w="1585" w:type="dxa"/>
            <w:tcBorders>
              <w:tl2br w:val="nil"/>
              <w:tr2bl w:val="nil"/>
            </w:tcBorders>
            <w:vAlign w:val="center"/>
          </w:tcPr>
          <w:p w14:paraId="073A4612">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0.00025L</w:t>
            </w:r>
          </w:p>
        </w:tc>
        <w:tc>
          <w:tcPr>
            <w:tcW w:w="908" w:type="dxa"/>
            <w:tcBorders>
              <w:tl2br w:val="nil"/>
              <w:tr2bl w:val="nil"/>
            </w:tcBorders>
            <w:vAlign w:val="center"/>
          </w:tcPr>
          <w:p w14:paraId="009B5E03">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0.005</w:t>
            </w:r>
          </w:p>
        </w:tc>
        <w:tc>
          <w:tcPr>
            <w:tcW w:w="1045" w:type="dxa"/>
            <w:tcBorders>
              <w:tl2br w:val="nil"/>
              <w:tr2bl w:val="nil"/>
            </w:tcBorders>
            <w:vAlign w:val="center"/>
          </w:tcPr>
          <w:p w14:paraId="5CA62D1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3788FEE6">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13F14FE4">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5358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19EDA16B">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5FA008F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铁</w:t>
            </w:r>
          </w:p>
        </w:tc>
        <w:tc>
          <w:tcPr>
            <w:tcW w:w="1585" w:type="dxa"/>
            <w:tcBorders>
              <w:tl2br w:val="nil"/>
              <w:tr2bl w:val="nil"/>
            </w:tcBorders>
            <w:vAlign w:val="center"/>
          </w:tcPr>
          <w:p w14:paraId="07AEA33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0.01L</w:t>
            </w:r>
          </w:p>
        </w:tc>
        <w:tc>
          <w:tcPr>
            <w:tcW w:w="908" w:type="dxa"/>
            <w:tcBorders>
              <w:tl2br w:val="nil"/>
              <w:tr2bl w:val="nil"/>
            </w:tcBorders>
            <w:vAlign w:val="center"/>
          </w:tcPr>
          <w:p w14:paraId="11F44DC2">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0.3</w:t>
            </w:r>
          </w:p>
        </w:tc>
        <w:tc>
          <w:tcPr>
            <w:tcW w:w="1045" w:type="dxa"/>
            <w:tcBorders>
              <w:tl2br w:val="nil"/>
              <w:tr2bl w:val="nil"/>
            </w:tcBorders>
            <w:vAlign w:val="center"/>
          </w:tcPr>
          <w:p w14:paraId="0613704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46D9E900">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294AAF5F">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79E7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5" w:hRule="atLeast"/>
          <w:tblHeader/>
          <w:jc w:val="center"/>
        </w:trPr>
        <w:tc>
          <w:tcPr>
            <w:tcW w:w="1207" w:type="dxa"/>
            <w:vMerge w:val="continue"/>
            <w:tcBorders>
              <w:tl2br w:val="nil"/>
              <w:tr2bl w:val="nil"/>
            </w:tcBorders>
            <w:vAlign w:val="center"/>
          </w:tcPr>
          <w:p w14:paraId="5BE391C7">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0E2C8340">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锰</w:t>
            </w:r>
          </w:p>
        </w:tc>
        <w:tc>
          <w:tcPr>
            <w:tcW w:w="1585" w:type="dxa"/>
            <w:tcBorders>
              <w:tl2br w:val="nil"/>
              <w:tr2bl w:val="nil"/>
            </w:tcBorders>
            <w:vAlign w:val="center"/>
          </w:tcPr>
          <w:p w14:paraId="711FD3A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0.01</w:t>
            </w:r>
          </w:p>
        </w:tc>
        <w:tc>
          <w:tcPr>
            <w:tcW w:w="908" w:type="dxa"/>
            <w:tcBorders>
              <w:tl2br w:val="nil"/>
              <w:tr2bl w:val="nil"/>
            </w:tcBorders>
            <w:vAlign w:val="center"/>
          </w:tcPr>
          <w:p w14:paraId="2A95CBCE">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0.10</w:t>
            </w:r>
          </w:p>
        </w:tc>
        <w:tc>
          <w:tcPr>
            <w:tcW w:w="1045" w:type="dxa"/>
            <w:tcBorders>
              <w:tl2br w:val="nil"/>
              <w:tr2bl w:val="nil"/>
            </w:tcBorders>
            <w:vAlign w:val="center"/>
          </w:tcPr>
          <w:p w14:paraId="2F8C0E6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0.1</w:t>
            </w:r>
          </w:p>
        </w:tc>
        <w:tc>
          <w:tcPr>
            <w:tcW w:w="914" w:type="dxa"/>
            <w:tcBorders>
              <w:tl2br w:val="nil"/>
              <w:tr2bl w:val="nil"/>
            </w:tcBorders>
            <w:vAlign w:val="center"/>
          </w:tcPr>
          <w:p w14:paraId="6CA4A936">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1A8A3761">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61A6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06056E31">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52DB9C6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溶解性总固体</w:t>
            </w:r>
          </w:p>
        </w:tc>
        <w:tc>
          <w:tcPr>
            <w:tcW w:w="1585" w:type="dxa"/>
            <w:tcBorders>
              <w:tl2br w:val="nil"/>
              <w:tr2bl w:val="nil"/>
            </w:tcBorders>
            <w:vAlign w:val="center"/>
          </w:tcPr>
          <w:p w14:paraId="110C1FA3">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445</w:t>
            </w:r>
          </w:p>
        </w:tc>
        <w:tc>
          <w:tcPr>
            <w:tcW w:w="908" w:type="dxa"/>
            <w:tcBorders>
              <w:tl2br w:val="nil"/>
              <w:tr2bl w:val="nil"/>
            </w:tcBorders>
            <w:vAlign w:val="center"/>
          </w:tcPr>
          <w:p w14:paraId="51D5267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1000</w:t>
            </w:r>
          </w:p>
        </w:tc>
        <w:tc>
          <w:tcPr>
            <w:tcW w:w="1045" w:type="dxa"/>
            <w:tcBorders>
              <w:tl2br w:val="nil"/>
              <w:tr2bl w:val="nil"/>
            </w:tcBorders>
            <w:vAlign w:val="center"/>
          </w:tcPr>
          <w:p w14:paraId="2FAFAC3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0.445</w:t>
            </w:r>
          </w:p>
        </w:tc>
        <w:tc>
          <w:tcPr>
            <w:tcW w:w="914" w:type="dxa"/>
            <w:tcBorders>
              <w:tl2br w:val="nil"/>
              <w:tr2bl w:val="nil"/>
            </w:tcBorders>
            <w:vAlign w:val="center"/>
          </w:tcPr>
          <w:p w14:paraId="39972BE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783A7BC">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48DF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7CCE0257">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02CD5784">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硫酸盐</w:t>
            </w:r>
          </w:p>
        </w:tc>
        <w:tc>
          <w:tcPr>
            <w:tcW w:w="1585" w:type="dxa"/>
            <w:tcBorders>
              <w:tl2br w:val="nil"/>
              <w:tr2bl w:val="nil"/>
            </w:tcBorders>
            <w:vAlign w:val="center"/>
          </w:tcPr>
          <w:p w14:paraId="27D0AEF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151</w:t>
            </w:r>
          </w:p>
        </w:tc>
        <w:tc>
          <w:tcPr>
            <w:tcW w:w="908" w:type="dxa"/>
            <w:tcBorders>
              <w:tl2br w:val="nil"/>
              <w:tr2bl w:val="nil"/>
            </w:tcBorders>
            <w:vAlign w:val="center"/>
          </w:tcPr>
          <w:p w14:paraId="43A51D8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250</w:t>
            </w:r>
          </w:p>
        </w:tc>
        <w:tc>
          <w:tcPr>
            <w:tcW w:w="1045" w:type="dxa"/>
            <w:tcBorders>
              <w:tl2br w:val="nil"/>
              <w:tr2bl w:val="nil"/>
            </w:tcBorders>
            <w:vAlign w:val="center"/>
          </w:tcPr>
          <w:p w14:paraId="79FE86CA">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0.604</w:t>
            </w:r>
          </w:p>
        </w:tc>
        <w:tc>
          <w:tcPr>
            <w:tcW w:w="914" w:type="dxa"/>
            <w:tcBorders>
              <w:tl2br w:val="nil"/>
              <w:tr2bl w:val="nil"/>
            </w:tcBorders>
            <w:vAlign w:val="center"/>
          </w:tcPr>
          <w:p w14:paraId="56293271">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EF5AB83">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4EED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369C4F36">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2238C894">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氯化物</w:t>
            </w:r>
          </w:p>
        </w:tc>
        <w:tc>
          <w:tcPr>
            <w:tcW w:w="1585" w:type="dxa"/>
            <w:tcBorders>
              <w:tl2br w:val="nil"/>
              <w:tr2bl w:val="nil"/>
            </w:tcBorders>
            <w:vAlign w:val="center"/>
          </w:tcPr>
          <w:p w14:paraId="49EA254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128</w:t>
            </w:r>
          </w:p>
        </w:tc>
        <w:tc>
          <w:tcPr>
            <w:tcW w:w="908" w:type="dxa"/>
            <w:tcBorders>
              <w:tl2br w:val="nil"/>
              <w:tr2bl w:val="nil"/>
            </w:tcBorders>
            <w:vAlign w:val="center"/>
          </w:tcPr>
          <w:p w14:paraId="2E978F1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250</w:t>
            </w:r>
          </w:p>
        </w:tc>
        <w:tc>
          <w:tcPr>
            <w:tcW w:w="1045" w:type="dxa"/>
            <w:tcBorders>
              <w:tl2br w:val="nil"/>
              <w:tr2bl w:val="nil"/>
            </w:tcBorders>
            <w:vAlign w:val="center"/>
          </w:tcPr>
          <w:p w14:paraId="483D64F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0.512</w:t>
            </w:r>
          </w:p>
        </w:tc>
        <w:tc>
          <w:tcPr>
            <w:tcW w:w="914" w:type="dxa"/>
            <w:tcBorders>
              <w:tl2br w:val="nil"/>
              <w:tr2bl w:val="nil"/>
            </w:tcBorders>
            <w:vAlign w:val="center"/>
          </w:tcPr>
          <w:p w14:paraId="753A0C3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1B6CCE41">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5ACC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48CBFE22">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32AD89B0">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总大肠菌群(MPN/100mL)</w:t>
            </w:r>
          </w:p>
        </w:tc>
        <w:tc>
          <w:tcPr>
            <w:tcW w:w="1585" w:type="dxa"/>
            <w:tcBorders>
              <w:tl2br w:val="nil"/>
              <w:tr2bl w:val="nil"/>
            </w:tcBorders>
            <w:vAlign w:val="center"/>
          </w:tcPr>
          <w:p w14:paraId="15582AF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2.2L</w:t>
            </w:r>
          </w:p>
        </w:tc>
        <w:tc>
          <w:tcPr>
            <w:tcW w:w="908" w:type="dxa"/>
            <w:tcBorders>
              <w:tl2br w:val="nil"/>
              <w:tr2bl w:val="nil"/>
            </w:tcBorders>
            <w:vAlign w:val="center"/>
          </w:tcPr>
          <w:p w14:paraId="48E343C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1045" w:type="dxa"/>
            <w:tcBorders>
              <w:tl2br w:val="nil"/>
              <w:tr2bl w:val="nil"/>
            </w:tcBorders>
            <w:vAlign w:val="center"/>
          </w:tcPr>
          <w:p w14:paraId="48195557">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14B6EDF8">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799B4767">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324B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1CFE763E">
            <w:pPr>
              <w:spacing w:line="300" w:lineRule="atLeast"/>
              <w:jc w:val="center"/>
              <w:rPr>
                <w:rFonts w:ascii="Times New Roman" w:hAnsi="Times New Roman" w:eastAsia="宋体" w:cs="Times New Roman"/>
                <w:kern w:val="0"/>
                <w:szCs w:val="21"/>
                <w:lang w:bidi="ar"/>
              </w:rPr>
            </w:pPr>
          </w:p>
        </w:tc>
        <w:tc>
          <w:tcPr>
            <w:tcW w:w="1816" w:type="dxa"/>
            <w:tcBorders>
              <w:bottom w:val="single" w:color="000000" w:sz="4" w:space="0"/>
              <w:tl2br w:val="nil"/>
              <w:tr2bl w:val="nil"/>
            </w:tcBorders>
            <w:vAlign w:val="center"/>
          </w:tcPr>
          <w:p w14:paraId="62112D8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细菌总数(CFU/mL)</w:t>
            </w:r>
          </w:p>
        </w:tc>
        <w:tc>
          <w:tcPr>
            <w:tcW w:w="1585" w:type="dxa"/>
            <w:tcBorders>
              <w:bottom w:val="single" w:color="000000" w:sz="4" w:space="0"/>
              <w:tl2br w:val="nil"/>
              <w:tr2bl w:val="nil"/>
            </w:tcBorders>
            <w:vAlign w:val="center"/>
          </w:tcPr>
          <w:p w14:paraId="548999E4">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38</w:t>
            </w:r>
          </w:p>
        </w:tc>
        <w:tc>
          <w:tcPr>
            <w:tcW w:w="908" w:type="dxa"/>
            <w:tcBorders>
              <w:bottom w:val="single" w:color="000000" w:sz="4" w:space="0"/>
              <w:tl2br w:val="nil"/>
              <w:tr2bl w:val="nil"/>
            </w:tcBorders>
            <w:vAlign w:val="center"/>
          </w:tcPr>
          <w:p w14:paraId="7BA26C4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1045" w:type="dxa"/>
            <w:tcBorders>
              <w:bottom w:val="single" w:color="000000" w:sz="4" w:space="0"/>
              <w:tl2br w:val="nil"/>
              <w:tr2bl w:val="nil"/>
            </w:tcBorders>
            <w:vAlign w:val="center"/>
          </w:tcPr>
          <w:p w14:paraId="5EAE7A7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0.38</w:t>
            </w:r>
          </w:p>
        </w:tc>
        <w:tc>
          <w:tcPr>
            <w:tcW w:w="914" w:type="dxa"/>
            <w:tcBorders>
              <w:bottom w:val="single" w:color="000000" w:sz="4" w:space="0"/>
              <w:tl2br w:val="nil"/>
              <w:tr2bl w:val="nil"/>
            </w:tcBorders>
            <w:vAlign w:val="center"/>
          </w:tcPr>
          <w:p w14:paraId="5AFC4C3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bottom w:val="single" w:color="000000" w:sz="4" w:space="0"/>
              <w:tl2br w:val="nil"/>
              <w:tr2bl w:val="nil"/>
            </w:tcBorders>
            <w:vAlign w:val="center"/>
          </w:tcPr>
          <w:p w14:paraId="76927D54">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36F5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3" w:hRule="atLeast"/>
          <w:tblHeader/>
          <w:jc w:val="center"/>
        </w:trPr>
        <w:tc>
          <w:tcPr>
            <w:tcW w:w="1207" w:type="dxa"/>
            <w:vMerge w:val="continue"/>
            <w:tcBorders>
              <w:tl2br w:val="nil"/>
              <w:tr2bl w:val="nil"/>
            </w:tcBorders>
            <w:vAlign w:val="center"/>
          </w:tcPr>
          <w:p w14:paraId="17405BAD">
            <w:pPr>
              <w:spacing w:line="300" w:lineRule="atLeast"/>
              <w:jc w:val="center"/>
              <w:rPr>
                <w:rFonts w:ascii="Times New Roman" w:hAnsi="Times New Roman" w:eastAsia="宋体" w:cs="Times New Roman"/>
                <w:kern w:val="0"/>
                <w:szCs w:val="21"/>
                <w:lang w:bidi="ar"/>
              </w:rPr>
            </w:pPr>
          </w:p>
        </w:tc>
        <w:tc>
          <w:tcPr>
            <w:tcW w:w="1816" w:type="dxa"/>
            <w:tcBorders>
              <w:top w:val="single" w:color="000000" w:sz="4" w:space="0"/>
              <w:bottom w:val="single" w:color="000000" w:sz="4" w:space="0"/>
              <w:tl2br w:val="nil"/>
              <w:tr2bl w:val="nil"/>
            </w:tcBorders>
            <w:vAlign w:val="center"/>
          </w:tcPr>
          <w:p w14:paraId="7C3296D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甲苯</w:t>
            </w:r>
          </w:p>
        </w:tc>
        <w:tc>
          <w:tcPr>
            <w:tcW w:w="1585" w:type="dxa"/>
            <w:tcBorders>
              <w:top w:val="single" w:color="000000" w:sz="4" w:space="0"/>
              <w:bottom w:val="single" w:color="000000" w:sz="4" w:space="0"/>
              <w:tl2br w:val="nil"/>
              <w:tr2bl w:val="nil"/>
            </w:tcBorders>
            <w:vAlign w:val="center"/>
          </w:tcPr>
          <w:p w14:paraId="08EC0EC0">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1.4 L</w:t>
            </w:r>
          </w:p>
        </w:tc>
        <w:tc>
          <w:tcPr>
            <w:tcW w:w="908" w:type="dxa"/>
            <w:tcBorders>
              <w:top w:val="single" w:color="000000" w:sz="4" w:space="0"/>
              <w:bottom w:val="single" w:color="000000" w:sz="4" w:space="0"/>
              <w:tl2br w:val="nil"/>
              <w:tr2bl w:val="nil"/>
            </w:tcBorders>
            <w:vAlign w:val="center"/>
          </w:tcPr>
          <w:p w14:paraId="300E464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0.7</w:t>
            </w:r>
          </w:p>
        </w:tc>
        <w:tc>
          <w:tcPr>
            <w:tcW w:w="1045" w:type="dxa"/>
            <w:tcBorders>
              <w:top w:val="single" w:color="000000" w:sz="4" w:space="0"/>
              <w:bottom w:val="single" w:color="000000" w:sz="4" w:space="0"/>
              <w:tl2br w:val="nil"/>
              <w:tr2bl w:val="nil"/>
            </w:tcBorders>
            <w:vAlign w:val="center"/>
          </w:tcPr>
          <w:p w14:paraId="03BDC05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op w:val="single" w:color="000000" w:sz="4" w:space="0"/>
              <w:bottom w:val="single" w:color="000000" w:sz="4" w:space="0"/>
              <w:tl2br w:val="nil"/>
              <w:tr2bl w:val="nil"/>
            </w:tcBorders>
            <w:vAlign w:val="center"/>
          </w:tcPr>
          <w:p w14:paraId="6AFF1EA5">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op w:val="single" w:color="000000" w:sz="4" w:space="0"/>
              <w:bottom w:val="single" w:color="000000" w:sz="4" w:space="0"/>
              <w:tl2br w:val="nil"/>
              <w:tr2bl w:val="nil"/>
            </w:tcBorders>
            <w:vAlign w:val="center"/>
          </w:tcPr>
          <w:p w14:paraId="36E685B2">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6F55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9" w:hRule="atLeast"/>
          <w:tblHeader/>
          <w:jc w:val="center"/>
        </w:trPr>
        <w:tc>
          <w:tcPr>
            <w:tcW w:w="1207" w:type="dxa"/>
            <w:vMerge w:val="continue"/>
            <w:tcBorders>
              <w:tl2br w:val="nil"/>
              <w:tr2bl w:val="nil"/>
            </w:tcBorders>
            <w:vAlign w:val="center"/>
          </w:tcPr>
          <w:p w14:paraId="77237D30">
            <w:pPr>
              <w:spacing w:line="300" w:lineRule="atLeast"/>
              <w:jc w:val="center"/>
              <w:rPr>
                <w:rFonts w:ascii="Times New Roman" w:hAnsi="Times New Roman" w:eastAsia="宋体" w:cs="Times New Roman"/>
                <w:kern w:val="0"/>
                <w:szCs w:val="21"/>
                <w:lang w:bidi="ar"/>
              </w:rPr>
            </w:pPr>
          </w:p>
        </w:tc>
        <w:tc>
          <w:tcPr>
            <w:tcW w:w="1816" w:type="dxa"/>
            <w:tcBorders>
              <w:top w:val="single" w:color="000000" w:sz="4" w:space="0"/>
              <w:tl2br w:val="nil"/>
              <w:tr2bl w:val="nil"/>
            </w:tcBorders>
            <w:vAlign w:val="center"/>
          </w:tcPr>
          <w:p w14:paraId="0E00DDE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二甲苯</w:t>
            </w:r>
          </w:p>
        </w:tc>
        <w:tc>
          <w:tcPr>
            <w:tcW w:w="1585" w:type="dxa"/>
            <w:tcBorders>
              <w:top w:val="single" w:color="000000" w:sz="4" w:space="0"/>
              <w:tl2br w:val="nil"/>
              <w:tr2bl w:val="nil"/>
            </w:tcBorders>
            <w:vAlign w:val="center"/>
          </w:tcPr>
          <w:p w14:paraId="1A871404">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908" w:type="dxa"/>
            <w:tcBorders>
              <w:top w:val="single" w:color="000000" w:sz="4" w:space="0"/>
              <w:tl2br w:val="nil"/>
              <w:tr2bl w:val="nil"/>
            </w:tcBorders>
            <w:vAlign w:val="center"/>
          </w:tcPr>
          <w:p w14:paraId="460C9D5A">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045" w:type="dxa"/>
            <w:tcBorders>
              <w:top w:val="single" w:color="000000" w:sz="4" w:space="0"/>
              <w:tl2br w:val="nil"/>
              <w:tr2bl w:val="nil"/>
            </w:tcBorders>
            <w:vAlign w:val="center"/>
          </w:tcPr>
          <w:p w14:paraId="03C7F2E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op w:val="single" w:color="000000" w:sz="4" w:space="0"/>
              <w:tl2br w:val="nil"/>
              <w:tr2bl w:val="nil"/>
            </w:tcBorders>
            <w:vAlign w:val="center"/>
          </w:tcPr>
          <w:p w14:paraId="4688DE19">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op w:val="single" w:color="000000" w:sz="4" w:space="0"/>
              <w:tl2br w:val="nil"/>
              <w:tr2bl w:val="nil"/>
            </w:tcBorders>
            <w:vAlign w:val="center"/>
          </w:tcPr>
          <w:p w14:paraId="43EB54A8">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018F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restart"/>
            <w:tcBorders>
              <w:tl2br w:val="nil"/>
              <w:tr2bl w:val="nil"/>
            </w:tcBorders>
            <w:vAlign w:val="center"/>
          </w:tcPr>
          <w:p w14:paraId="72B461E0">
            <w:pPr>
              <w:jc w:val="center"/>
              <w:rPr>
                <w:rFonts w:ascii="Times New Roman" w:hAnsi="Times New Roman" w:eastAsia="宋体" w:cs="Times New Roman"/>
                <w:kern w:val="0"/>
                <w:szCs w:val="21"/>
                <w:lang w:bidi="ar"/>
              </w:rPr>
            </w:pPr>
            <w:r>
              <w:rPr>
                <w:rFonts w:hint="eastAsia" w:asciiTheme="minorEastAsia" w:hAnsiTheme="minorEastAsia" w:cstheme="minorEastAsia"/>
                <w:szCs w:val="21"/>
              </w:rPr>
              <w:t>骆家村</w:t>
            </w:r>
          </w:p>
        </w:tc>
        <w:tc>
          <w:tcPr>
            <w:tcW w:w="1816" w:type="dxa"/>
            <w:tcBorders>
              <w:tl2br w:val="nil"/>
              <w:tr2bl w:val="nil"/>
            </w:tcBorders>
            <w:vAlign w:val="center"/>
          </w:tcPr>
          <w:p w14:paraId="4B0C4D25">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pH</w:t>
            </w:r>
          </w:p>
        </w:tc>
        <w:tc>
          <w:tcPr>
            <w:tcW w:w="1585" w:type="dxa"/>
            <w:tcBorders>
              <w:tl2br w:val="nil"/>
              <w:tr2bl w:val="nil"/>
            </w:tcBorders>
            <w:vAlign w:val="center"/>
          </w:tcPr>
          <w:p w14:paraId="2832F104">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7.2</w:t>
            </w:r>
          </w:p>
        </w:tc>
        <w:tc>
          <w:tcPr>
            <w:tcW w:w="908" w:type="dxa"/>
            <w:tcBorders>
              <w:tl2br w:val="nil"/>
              <w:tr2bl w:val="nil"/>
            </w:tcBorders>
            <w:vAlign w:val="center"/>
          </w:tcPr>
          <w:p w14:paraId="6062C35A">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6.5-8.5</w:t>
            </w:r>
          </w:p>
        </w:tc>
        <w:tc>
          <w:tcPr>
            <w:tcW w:w="1045" w:type="dxa"/>
            <w:tcBorders>
              <w:tl2br w:val="nil"/>
              <w:tr2bl w:val="nil"/>
            </w:tcBorders>
            <w:vAlign w:val="center"/>
          </w:tcPr>
          <w:p w14:paraId="3A36040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0.13</w:t>
            </w:r>
          </w:p>
        </w:tc>
        <w:tc>
          <w:tcPr>
            <w:tcW w:w="914" w:type="dxa"/>
            <w:tcBorders>
              <w:tl2br w:val="nil"/>
              <w:tr2bl w:val="nil"/>
            </w:tcBorders>
            <w:vAlign w:val="center"/>
          </w:tcPr>
          <w:p w14:paraId="11161D56">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D095B10">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3B87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2CAA7072">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76E00CD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耗氧量</w:t>
            </w:r>
          </w:p>
        </w:tc>
        <w:tc>
          <w:tcPr>
            <w:tcW w:w="1585" w:type="dxa"/>
            <w:tcBorders>
              <w:tl2br w:val="nil"/>
              <w:tr2bl w:val="nil"/>
            </w:tcBorders>
            <w:vAlign w:val="center"/>
          </w:tcPr>
          <w:p w14:paraId="2365261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0.73</w:t>
            </w:r>
          </w:p>
        </w:tc>
        <w:tc>
          <w:tcPr>
            <w:tcW w:w="908" w:type="dxa"/>
            <w:tcBorders>
              <w:tl2br w:val="nil"/>
              <w:tr2bl w:val="nil"/>
            </w:tcBorders>
            <w:vAlign w:val="center"/>
          </w:tcPr>
          <w:p w14:paraId="150EF51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3.0</w:t>
            </w:r>
          </w:p>
        </w:tc>
        <w:tc>
          <w:tcPr>
            <w:tcW w:w="1045" w:type="dxa"/>
            <w:tcBorders>
              <w:tl2br w:val="nil"/>
              <w:tr2bl w:val="nil"/>
            </w:tcBorders>
            <w:vAlign w:val="center"/>
          </w:tcPr>
          <w:p w14:paraId="5AF6149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0.24</w:t>
            </w:r>
          </w:p>
        </w:tc>
        <w:tc>
          <w:tcPr>
            <w:tcW w:w="914" w:type="dxa"/>
            <w:tcBorders>
              <w:tl2br w:val="nil"/>
              <w:tr2bl w:val="nil"/>
            </w:tcBorders>
            <w:vAlign w:val="center"/>
          </w:tcPr>
          <w:p w14:paraId="518FAE5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AD900A4">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3643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47F6B8D9">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18E750D8">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氨氮</w:t>
            </w:r>
          </w:p>
        </w:tc>
        <w:tc>
          <w:tcPr>
            <w:tcW w:w="1585" w:type="dxa"/>
            <w:tcBorders>
              <w:tl2br w:val="nil"/>
              <w:tr2bl w:val="nil"/>
            </w:tcBorders>
            <w:vAlign w:val="center"/>
          </w:tcPr>
          <w:p w14:paraId="599EA3E3">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0.059</w:t>
            </w:r>
          </w:p>
        </w:tc>
        <w:tc>
          <w:tcPr>
            <w:tcW w:w="908" w:type="dxa"/>
            <w:tcBorders>
              <w:tl2br w:val="nil"/>
              <w:tr2bl w:val="nil"/>
            </w:tcBorders>
            <w:vAlign w:val="center"/>
          </w:tcPr>
          <w:p w14:paraId="7CBCB9D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0.5</w:t>
            </w:r>
          </w:p>
        </w:tc>
        <w:tc>
          <w:tcPr>
            <w:tcW w:w="1045" w:type="dxa"/>
            <w:tcBorders>
              <w:tl2br w:val="nil"/>
              <w:tr2bl w:val="nil"/>
            </w:tcBorders>
            <w:vAlign w:val="center"/>
          </w:tcPr>
          <w:p w14:paraId="5B29E4E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0.12</w:t>
            </w:r>
          </w:p>
        </w:tc>
        <w:tc>
          <w:tcPr>
            <w:tcW w:w="914" w:type="dxa"/>
            <w:tcBorders>
              <w:tl2br w:val="nil"/>
              <w:tr2bl w:val="nil"/>
            </w:tcBorders>
            <w:vAlign w:val="center"/>
          </w:tcPr>
          <w:p w14:paraId="77C290D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125E2F2A">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0013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28D4F470">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5674D81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硝酸盐</w:t>
            </w:r>
          </w:p>
        </w:tc>
        <w:tc>
          <w:tcPr>
            <w:tcW w:w="1585" w:type="dxa"/>
            <w:tcBorders>
              <w:tl2br w:val="nil"/>
              <w:tr2bl w:val="nil"/>
            </w:tcBorders>
            <w:vAlign w:val="center"/>
          </w:tcPr>
          <w:p w14:paraId="64A565E9">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2.98</w:t>
            </w:r>
          </w:p>
        </w:tc>
        <w:tc>
          <w:tcPr>
            <w:tcW w:w="908" w:type="dxa"/>
            <w:tcBorders>
              <w:tl2br w:val="nil"/>
              <w:tr2bl w:val="nil"/>
            </w:tcBorders>
            <w:vAlign w:val="center"/>
          </w:tcPr>
          <w:p w14:paraId="1B07CDB0">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20.0</w:t>
            </w:r>
          </w:p>
        </w:tc>
        <w:tc>
          <w:tcPr>
            <w:tcW w:w="1045" w:type="dxa"/>
            <w:tcBorders>
              <w:tl2br w:val="nil"/>
              <w:tr2bl w:val="nil"/>
            </w:tcBorders>
            <w:vAlign w:val="center"/>
          </w:tcPr>
          <w:p w14:paraId="54B2E01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0.15</w:t>
            </w:r>
          </w:p>
        </w:tc>
        <w:tc>
          <w:tcPr>
            <w:tcW w:w="914" w:type="dxa"/>
            <w:tcBorders>
              <w:tl2br w:val="nil"/>
              <w:tr2bl w:val="nil"/>
            </w:tcBorders>
            <w:vAlign w:val="center"/>
          </w:tcPr>
          <w:p w14:paraId="3642F392">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7AA44DA">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1DA6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088B423E">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4B1A9ED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亚硝酸盐</w:t>
            </w:r>
          </w:p>
        </w:tc>
        <w:tc>
          <w:tcPr>
            <w:tcW w:w="1585" w:type="dxa"/>
            <w:tcBorders>
              <w:tl2br w:val="nil"/>
              <w:tr2bl w:val="nil"/>
            </w:tcBorders>
            <w:vAlign w:val="center"/>
          </w:tcPr>
          <w:p w14:paraId="290B3B6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0.016L</w:t>
            </w:r>
          </w:p>
        </w:tc>
        <w:tc>
          <w:tcPr>
            <w:tcW w:w="908" w:type="dxa"/>
            <w:tcBorders>
              <w:tl2br w:val="nil"/>
              <w:tr2bl w:val="nil"/>
            </w:tcBorders>
            <w:vAlign w:val="center"/>
          </w:tcPr>
          <w:p w14:paraId="2CECBC4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045" w:type="dxa"/>
            <w:tcBorders>
              <w:tl2br w:val="nil"/>
              <w:tr2bl w:val="nil"/>
            </w:tcBorders>
            <w:vAlign w:val="center"/>
          </w:tcPr>
          <w:p w14:paraId="44E5C1A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4796E47E">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335D6C17">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5A98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74582E0D">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30EA6DC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挥发酚</w:t>
            </w:r>
          </w:p>
        </w:tc>
        <w:tc>
          <w:tcPr>
            <w:tcW w:w="1585" w:type="dxa"/>
            <w:tcBorders>
              <w:tl2br w:val="nil"/>
              <w:tr2bl w:val="nil"/>
            </w:tcBorders>
            <w:vAlign w:val="center"/>
          </w:tcPr>
          <w:p w14:paraId="21F6F07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0.0003L</w:t>
            </w:r>
          </w:p>
        </w:tc>
        <w:tc>
          <w:tcPr>
            <w:tcW w:w="908" w:type="dxa"/>
            <w:tcBorders>
              <w:tl2br w:val="nil"/>
              <w:tr2bl w:val="nil"/>
            </w:tcBorders>
            <w:vAlign w:val="center"/>
          </w:tcPr>
          <w:p w14:paraId="72CF2520">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0.002</w:t>
            </w:r>
          </w:p>
        </w:tc>
        <w:tc>
          <w:tcPr>
            <w:tcW w:w="1045" w:type="dxa"/>
            <w:tcBorders>
              <w:tl2br w:val="nil"/>
              <w:tr2bl w:val="nil"/>
            </w:tcBorders>
            <w:vAlign w:val="center"/>
          </w:tcPr>
          <w:p w14:paraId="242ADC0D">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695AB33A">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5D2BAA1C">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2CE6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3A560569">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5E0B2F1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氟化物</w:t>
            </w:r>
          </w:p>
        </w:tc>
        <w:tc>
          <w:tcPr>
            <w:tcW w:w="1585" w:type="dxa"/>
            <w:tcBorders>
              <w:tl2br w:val="nil"/>
              <w:tr2bl w:val="nil"/>
            </w:tcBorders>
            <w:vAlign w:val="center"/>
          </w:tcPr>
          <w:p w14:paraId="6B6F499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0.614</w:t>
            </w:r>
          </w:p>
        </w:tc>
        <w:tc>
          <w:tcPr>
            <w:tcW w:w="908" w:type="dxa"/>
            <w:tcBorders>
              <w:tl2br w:val="nil"/>
              <w:tr2bl w:val="nil"/>
            </w:tcBorders>
            <w:vAlign w:val="center"/>
          </w:tcPr>
          <w:p w14:paraId="10E678B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1.0</w:t>
            </w:r>
          </w:p>
        </w:tc>
        <w:tc>
          <w:tcPr>
            <w:tcW w:w="1045" w:type="dxa"/>
            <w:tcBorders>
              <w:tl2br w:val="nil"/>
              <w:tr2bl w:val="nil"/>
            </w:tcBorders>
            <w:vAlign w:val="center"/>
          </w:tcPr>
          <w:p w14:paraId="192DA63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0.614</w:t>
            </w:r>
          </w:p>
        </w:tc>
        <w:tc>
          <w:tcPr>
            <w:tcW w:w="914" w:type="dxa"/>
            <w:tcBorders>
              <w:tl2br w:val="nil"/>
              <w:tr2bl w:val="nil"/>
            </w:tcBorders>
            <w:vAlign w:val="center"/>
          </w:tcPr>
          <w:p w14:paraId="661441D8">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1D6128EC">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22BD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0AC142E5">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23C3C3D1">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氰化物</w:t>
            </w:r>
          </w:p>
        </w:tc>
        <w:tc>
          <w:tcPr>
            <w:tcW w:w="1585" w:type="dxa"/>
            <w:tcBorders>
              <w:tl2br w:val="nil"/>
              <w:tr2bl w:val="nil"/>
            </w:tcBorders>
            <w:vAlign w:val="center"/>
          </w:tcPr>
          <w:p w14:paraId="0CAB36C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0.004L</w:t>
            </w:r>
          </w:p>
        </w:tc>
        <w:tc>
          <w:tcPr>
            <w:tcW w:w="908" w:type="dxa"/>
            <w:tcBorders>
              <w:tl2br w:val="nil"/>
              <w:tr2bl w:val="nil"/>
            </w:tcBorders>
            <w:vAlign w:val="center"/>
          </w:tcPr>
          <w:p w14:paraId="763E613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045" w:type="dxa"/>
            <w:tcBorders>
              <w:tl2br w:val="nil"/>
              <w:tr2bl w:val="nil"/>
            </w:tcBorders>
            <w:vAlign w:val="center"/>
          </w:tcPr>
          <w:p w14:paraId="31540DB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49272BA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D356B53">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59EF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44A3B6F0">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54389D9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砷</w:t>
            </w:r>
          </w:p>
        </w:tc>
        <w:tc>
          <w:tcPr>
            <w:tcW w:w="1585" w:type="dxa"/>
            <w:tcBorders>
              <w:tl2br w:val="nil"/>
              <w:tr2bl w:val="nil"/>
            </w:tcBorders>
          </w:tcPr>
          <w:p w14:paraId="4317E8B5">
            <w:pPr>
              <w:pStyle w:val="42"/>
              <w:spacing w:before="29" w:line="250" w:lineRule="exact"/>
              <w:ind w:left="227" w:right="217"/>
              <w:rPr>
                <w:rFonts w:ascii="Times New Roman" w:hAnsi="Times New Roman" w:eastAsia="宋体" w:cs="Times New Roman"/>
                <w:sz w:val="21"/>
                <w:szCs w:val="21"/>
              </w:rPr>
            </w:pPr>
            <w:r>
              <w:rPr>
                <w:rFonts w:hint="eastAsia" w:ascii="Times New Roman" w:hAnsi="Times New Roman" w:eastAsia="宋体" w:cs="Times New Roman"/>
                <w:sz w:val="21"/>
                <w:szCs w:val="21"/>
              </w:rPr>
              <w:t>0.0003L</w:t>
            </w:r>
          </w:p>
        </w:tc>
        <w:tc>
          <w:tcPr>
            <w:tcW w:w="908" w:type="dxa"/>
            <w:tcBorders>
              <w:tl2br w:val="nil"/>
              <w:tr2bl w:val="nil"/>
            </w:tcBorders>
          </w:tcPr>
          <w:p w14:paraId="67F82BA7">
            <w:pPr>
              <w:pStyle w:val="42"/>
              <w:spacing w:before="53" w:line="226" w:lineRule="exact"/>
              <w:ind w:left="129" w:right="119"/>
              <w:rPr>
                <w:rFonts w:ascii="Times New Roman" w:hAnsi="Times New Roman" w:eastAsia="宋体" w:cs="Times New Roman"/>
                <w:sz w:val="21"/>
                <w:szCs w:val="21"/>
              </w:rPr>
            </w:pPr>
            <w:r>
              <w:rPr>
                <w:rFonts w:ascii="Times New Roman"/>
                <w:sz w:val="21"/>
              </w:rPr>
              <w:t>0.01</w:t>
            </w:r>
          </w:p>
        </w:tc>
        <w:tc>
          <w:tcPr>
            <w:tcW w:w="1045" w:type="dxa"/>
            <w:tcBorders>
              <w:tl2br w:val="nil"/>
              <w:tr2bl w:val="nil"/>
            </w:tcBorders>
          </w:tcPr>
          <w:p w14:paraId="158DBD8F">
            <w:pPr>
              <w:spacing w:before="41" w:line="238"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34C1A11A">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4FC6BA5D">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46A4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0A29ED1D">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7D4BF513">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汞</w:t>
            </w:r>
          </w:p>
        </w:tc>
        <w:tc>
          <w:tcPr>
            <w:tcW w:w="1585" w:type="dxa"/>
            <w:tcBorders>
              <w:tl2br w:val="nil"/>
              <w:tr2bl w:val="nil"/>
            </w:tcBorders>
            <w:vAlign w:val="center"/>
          </w:tcPr>
          <w:p w14:paraId="4B07538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0.00004L</w:t>
            </w:r>
          </w:p>
        </w:tc>
        <w:tc>
          <w:tcPr>
            <w:tcW w:w="908" w:type="dxa"/>
            <w:tcBorders>
              <w:tl2br w:val="nil"/>
              <w:tr2bl w:val="nil"/>
            </w:tcBorders>
            <w:vAlign w:val="center"/>
          </w:tcPr>
          <w:p w14:paraId="3FAB192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1045" w:type="dxa"/>
            <w:tcBorders>
              <w:tl2br w:val="nil"/>
              <w:tr2bl w:val="nil"/>
            </w:tcBorders>
            <w:vAlign w:val="center"/>
          </w:tcPr>
          <w:p w14:paraId="5A8C279A">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69D591C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6211B78A">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06DC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27ACA416">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229CAF35">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六价铬</w:t>
            </w:r>
          </w:p>
        </w:tc>
        <w:tc>
          <w:tcPr>
            <w:tcW w:w="1585" w:type="dxa"/>
            <w:tcBorders>
              <w:tl2br w:val="nil"/>
              <w:tr2bl w:val="nil"/>
            </w:tcBorders>
            <w:vAlign w:val="center"/>
          </w:tcPr>
          <w:p w14:paraId="763A413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0.004L</w:t>
            </w:r>
          </w:p>
        </w:tc>
        <w:tc>
          <w:tcPr>
            <w:tcW w:w="908" w:type="dxa"/>
            <w:tcBorders>
              <w:tl2br w:val="nil"/>
              <w:tr2bl w:val="nil"/>
            </w:tcBorders>
            <w:vAlign w:val="center"/>
          </w:tcPr>
          <w:p w14:paraId="65A5AAD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045" w:type="dxa"/>
            <w:tcBorders>
              <w:tl2br w:val="nil"/>
              <w:tr2bl w:val="nil"/>
            </w:tcBorders>
            <w:vAlign w:val="center"/>
          </w:tcPr>
          <w:p w14:paraId="2645B9F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0148C7F5">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3C957DBD">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2D67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09490510">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36400F66">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总硬度</w:t>
            </w:r>
          </w:p>
        </w:tc>
        <w:tc>
          <w:tcPr>
            <w:tcW w:w="1585" w:type="dxa"/>
            <w:tcBorders>
              <w:tl2br w:val="nil"/>
              <w:tr2bl w:val="nil"/>
            </w:tcBorders>
            <w:vAlign w:val="center"/>
          </w:tcPr>
          <w:p w14:paraId="48B644DA">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384</w:t>
            </w:r>
          </w:p>
        </w:tc>
        <w:tc>
          <w:tcPr>
            <w:tcW w:w="908" w:type="dxa"/>
            <w:tcBorders>
              <w:tl2br w:val="nil"/>
              <w:tr2bl w:val="nil"/>
            </w:tcBorders>
            <w:vAlign w:val="center"/>
          </w:tcPr>
          <w:p w14:paraId="23BACE6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450</w:t>
            </w:r>
          </w:p>
        </w:tc>
        <w:tc>
          <w:tcPr>
            <w:tcW w:w="1045" w:type="dxa"/>
            <w:tcBorders>
              <w:tl2br w:val="nil"/>
              <w:tr2bl w:val="nil"/>
            </w:tcBorders>
            <w:vAlign w:val="center"/>
          </w:tcPr>
          <w:p w14:paraId="75342A83">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0.853</w:t>
            </w:r>
          </w:p>
        </w:tc>
        <w:tc>
          <w:tcPr>
            <w:tcW w:w="914" w:type="dxa"/>
            <w:tcBorders>
              <w:tl2br w:val="nil"/>
              <w:tr2bl w:val="nil"/>
            </w:tcBorders>
            <w:vAlign w:val="center"/>
          </w:tcPr>
          <w:p w14:paraId="2D8B0463">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39DD79C1">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4836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0457BEFE">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70680246">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铅</w:t>
            </w:r>
          </w:p>
        </w:tc>
        <w:tc>
          <w:tcPr>
            <w:tcW w:w="1585" w:type="dxa"/>
            <w:tcBorders>
              <w:tl2br w:val="nil"/>
              <w:tr2bl w:val="nil"/>
            </w:tcBorders>
            <w:vAlign w:val="center"/>
          </w:tcPr>
          <w:p w14:paraId="6D671AD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0.0023L</w:t>
            </w:r>
          </w:p>
        </w:tc>
        <w:tc>
          <w:tcPr>
            <w:tcW w:w="908" w:type="dxa"/>
            <w:tcBorders>
              <w:tl2br w:val="nil"/>
              <w:tr2bl w:val="nil"/>
            </w:tcBorders>
            <w:vAlign w:val="center"/>
          </w:tcPr>
          <w:p w14:paraId="00E4044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0.01</w:t>
            </w:r>
          </w:p>
        </w:tc>
        <w:tc>
          <w:tcPr>
            <w:tcW w:w="1045" w:type="dxa"/>
            <w:tcBorders>
              <w:tl2br w:val="nil"/>
              <w:tr2bl w:val="nil"/>
            </w:tcBorders>
            <w:vAlign w:val="center"/>
          </w:tcPr>
          <w:p w14:paraId="08BF011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638F1578">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74FE1146">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0088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0795E923">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186E4B9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镉</w:t>
            </w:r>
          </w:p>
        </w:tc>
        <w:tc>
          <w:tcPr>
            <w:tcW w:w="1585" w:type="dxa"/>
            <w:tcBorders>
              <w:tl2br w:val="nil"/>
              <w:tr2bl w:val="nil"/>
            </w:tcBorders>
            <w:vAlign w:val="center"/>
          </w:tcPr>
          <w:p w14:paraId="5BC852A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0.00025L</w:t>
            </w:r>
          </w:p>
        </w:tc>
        <w:tc>
          <w:tcPr>
            <w:tcW w:w="908" w:type="dxa"/>
            <w:tcBorders>
              <w:tl2br w:val="nil"/>
              <w:tr2bl w:val="nil"/>
            </w:tcBorders>
            <w:vAlign w:val="center"/>
          </w:tcPr>
          <w:p w14:paraId="178B2B6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0.005</w:t>
            </w:r>
          </w:p>
        </w:tc>
        <w:tc>
          <w:tcPr>
            <w:tcW w:w="1045" w:type="dxa"/>
            <w:tcBorders>
              <w:tl2br w:val="nil"/>
              <w:tr2bl w:val="nil"/>
            </w:tcBorders>
            <w:vAlign w:val="center"/>
          </w:tcPr>
          <w:p w14:paraId="2A173B5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282A564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1DAAFC99">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42BA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46EF3B49">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45E0DCA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铁</w:t>
            </w:r>
          </w:p>
        </w:tc>
        <w:tc>
          <w:tcPr>
            <w:tcW w:w="1585" w:type="dxa"/>
            <w:tcBorders>
              <w:tl2br w:val="nil"/>
              <w:tr2bl w:val="nil"/>
            </w:tcBorders>
            <w:vAlign w:val="center"/>
          </w:tcPr>
          <w:p w14:paraId="40765C2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0.01L</w:t>
            </w:r>
          </w:p>
        </w:tc>
        <w:tc>
          <w:tcPr>
            <w:tcW w:w="908" w:type="dxa"/>
            <w:tcBorders>
              <w:tl2br w:val="nil"/>
              <w:tr2bl w:val="nil"/>
            </w:tcBorders>
            <w:vAlign w:val="center"/>
          </w:tcPr>
          <w:p w14:paraId="2C85BBE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0.3</w:t>
            </w:r>
          </w:p>
        </w:tc>
        <w:tc>
          <w:tcPr>
            <w:tcW w:w="1045" w:type="dxa"/>
            <w:tcBorders>
              <w:tl2br w:val="nil"/>
              <w:tr2bl w:val="nil"/>
            </w:tcBorders>
            <w:vAlign w:val="center"/>
          </w:tcPr>
          <w:p w14:paraId="497F7C6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079BF4A9">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6EB7AE25">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4051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508C2E44">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03BBE482">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锰</w:t>
            </w:r>
          </w:p>
        </w:tc>
        <w:tc>
          <w:tcPr>
            <w:tcW w:w="1585" w:type="dxa"/>
            <w:tcBorders>
              <w:tl2br w:val="nil"/>
              <w:tr2bl w:val="nil"/>
            </w:tcBorders>
            <w:vAlign w:val="center"/>
          </w:tcPr>
          <w:p w14:paraId="197DF7A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0.02</w:t>
            </w:r>
          </w:p>
        </w:tc>
        <w:tc>
          <w:tcPr>
            <w:tcW w:w="908" w:type="dxa"/>
            <w:tcBorders>
              <w:tl2br w:val="nil"/>
              <w:tr2bl w:val="nil"/>
            </w:tcBorders>
            <w:vAlign w:val="center"/>
          </w:tcPr>
          <w:p w14:paraId="74B3502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0.10</w:t>
            </w:r>
          </w:p>
        </w:tc>
        <w:tc>
          <w:tcPr>
            <w:tcW w:w="1045" w:type="dxa"/>
            <w:tcBorders>
              <w:tl2br w:val="nil"/>
              <w:tr2bl w:val="nil"/>
            </w:tcBorders>
            <w:vAlign w:val="center"/>
          </w:tcPr>
          <w:p w14:paraId="482D7DC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0.2</w:t>
            </w:r>
          </w:p>
        </w:tc>
        <w:tc>
          <w:tcPr>
            <w:tcW w:w="914" w:type="dxa"/>
            <w:tcBorders>
              <w:tl2br w:val="nil"/>
              <w:tr2bl w:val="nil"/>
            </w:tcBorders>
            <w:vAlign w:val="center"/>
          </w:tcPr>
          <w:p w14:paraId="7EA099C6">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E2AB56A">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48D1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297918B1">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646597A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溶解性总固体</w:t>
            </w:r>
          </w:p>
        </w:tc>
        <w:tc>
          <w:tcPr>
            <w:tcW w:w="1585" w:type="dxa"/>
            <w:tcBorders>
              <w:tl2br w:val="nil"/>
              <w:tr2bl w:val="nil"/>
            </w:tcBorders>
            <w:vAlign w:val="center"/>
          </w:tcPr>
          <w:p w14:paraId="584859F3">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638</w:t>
            </w:r>
          </w:p>
        </w:tc>
        <w:tc>
          <w:tcPr>
            <w:tcW w:w="908" w:type="dxa"/>
            <w:tcBorders>
              <w:tl2br w:val="nil"/>
              <w:tr2bl w:val="nil"/>
            </w:tcBorders>
            <w:vAlign w:val="center"/>
          </w:tcPr>
          <w:p w14:paraId="77DE492E">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1000</w:t>
            </w:r>
          </w:p>
        </w:tc>
        <w:tc>
          <w:tcPr>
            <w:tcW w:w="1045" w:type="dxa"/>
            <w:tcBorders>
              <w:tl2br w:val="nil"/>
              <w:tr2bl w:val="nil"/>
            </w:tcBorders>
            <w:vAlign w:val="center"/>
          </w:tcPr>
          <w:p w14:paraId="547B0EA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0.638</w:t>
            </w:r>
          </w:p>
        </w:tc>
        <w:tc>
          <w:tcPr>
            <w:tcW w:w="914" w:type="dxa"/>
            <w:tcBorders>
              <w:tl2br w:val="nil"/>
              <w:tr2bl w:val="nil"/>
            </w:tcBorders>
            <w:vAlign w:val="center"/>
          </w:tcPr>
          <w:p w14:paraId="53D1AB3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7BBB20C7">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6904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61849F88">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79999FD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硫酸盐</w:t>
            </w:r>
          </w:p>
        </w:tc>
        <w:tc>
          <w:tcPr>
            <w:tcW w:w="1585" w:type="dxa"/>
            <w:tcBorders>
              <w:tl2br w:val="nil"/>
              <w:tr2bl w:val="nil"/>
            </w:tcBorders>
            <w:vAlign w:val="center"/>
          </w:tcPr>
          <w:p w14:paraId="4871D6D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188</w:t>
            </w:r>
          </w:p>
        </w:tc>
        <w:tc>
          <w:tcPr>
            <w:tcW w:w="908" w:type="dxa"/>
            <w:tcBorders>
              <w:tl2br w:val="nil"/>
              <w:tr2bl w:val="nil"/>
            </w:tcBorders>
            <w:vAlign w:val="center"/>
          </w:tcPr>
          <w:p w14:paraId="06231C6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250</w:t>
            </w:r>
          </w:p>
        </w:tc>
        <w:tc>
          <w:tcPr>
            <w:tcW w:w="1045" w:type="dxa"/>
            <w:tcBorders>
              <w:tl2br w:val="nil"/>
              <w:tr2bl w:val="nil"/>
            </w:tcBorders>
            <w:vAlign w:val="center"/>
          </w:tcPr>
          <w:p w14:paraId="7A1093B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0.752</w:t>
            </w:r>
          </w:p>
        </w:tc>
        <w:tc>
          <w:tcPr>
            <w:tcW w:w="914" w:type="dxa"/>
            <w:tcBorders>
              <w:tl2br w:val="nil"/>
              <w:tr2bl w:val="nil"/>
            </w:tcBorders>
            <w:vAlign w:val="center"/>
          </w:tcPr>
          <w:p w14:paraId="54B88B13">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6D5FC056">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3914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6D45B600">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069A622B">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氯化物</w:t>
            </w:r>
          </w:p>
        </w:tc>
        <w:tc>
          <w:tcPr>
            <w:tcW w:w="1585" w:type="dxa"/>
            <w:tcBorders>
              <w:tl2br w:val="nil"/>
              <w:tr2bl w:val="nil"/>
            </w:tcBorders>
            <w:vAlign w:val="center"/>
          </w:tcPr>
          <w:p w14:paraId="69F614F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172</w:t>
            </w:r>
          </w:p>
        </w:tc>
        <w:tc>
          <w:tcPr>
            <w:tcW w:w="908" w:type="dxa"/>
            <w:tcBorders>
              <w:tl2br w:val="nil"/>
              <w:tr2bl w:val="nil"/>
            </w:tcBorders>
            <w:vAlign w:val="center"/>
          </w:tcPr>
          <w:p w14:paraId="5024EB0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250</w:t>
            </w:r>
          </w:p>
        </w:tc>
        <w:tc>
          <w:tcPr>
            <w:tcW w:w="1045" w:type="dxa"/>
            <w:tcBorders>
              <w:tl2br w:val="nil"/>
              <w:tr2bl w:val="nil"/>
            </w:tcBorders>
            <w:vAlign w:val="center"/>
          </w:tcPr>
          <w:p w14:paraId="288792F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0.688</w:t>
            </w:r>
          </w:p>
        </w:tc>
        <w:tc>
          <w:tcPr>
            <w:tcW w:w="914" w:type="dxa"/>
            <w:tcBorders>
              <w:tl2br w:val="nil"/>
              <w:tr2bl w:val="nil"/>
            </w:tcBorders>
            <w:vAlign w:val="center"/>
          </w:tcPr>
          <w:p w14:paraId="7E2FCB16">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58BB6C71">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5AD8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0D279B22">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35813457">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总大肠菌群(MPN/100mL)</w:t>
            </w:r>
          </w:p>
        </w:tc>
        <w:tc>
          <w:tcPr>
            <w:tcW w:w="1585" w:type="dxa"/>
            <w:tcBorders>
              <w:tl2br w:val="nil"/>
              <w:tr2bl w:val="nil"/>
            </w:tcBorders>
            <w:vAlign w:val="center"/>
          </w:tcPr>
          <w:p w14:paraId="0F4CE0C0">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2.2L</w:t>
            </w:r>
          </w:p>
        </w:tc>
        <w:tc>
          <w:tcPr>
            <w:tcW w:w="908" w:type="dxa"/>
            <w:tcBorders>
              <w:tl2br w:val="nil"/>
              <w:tr2bl w:val="nil"/>
            </w:tcBorders>
            <w:vAlign w:val="center"/>
          </w:tcPr>
          <w:p w14:paraId="6814FB60">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1045" w:type="dxa"/>
            <w:tcBorders>
              <w:tl2br w:val="nil"/>
              <w:tr2bl w:val="nil"/>
            </w:tcBorders>
            <w:vAlign w:val="center"/>
          </w:tcPr>
          <w:p w14:paraId="32F1D26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496B9F9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5AD6C459">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3724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5B28D37E">
            <w:pPr>
              <w:spacing w:line="300" w:lineRule="atLeast"/>
              <w:jc w:val="center"/>
              <w:rPr>
                <w:rFonts w:ascii="Times New Roman" w:hAnsi="Times New Roman" w:eastAsia="宋体" w:cs="Times New Roman"/>
                <w:bCs/>
                <w:szCs w:val="21"/>
              </w:rPr>
            </w:pPr>
          </w:p>
        </w:tc>
        <w:tc>
          <w:tcPr>
            <w:tcW w:w="1816" w:type="dxa"/>
            <w:tcBorders>
              <w:tl2br w:val="nil"/>
              <w:tr2bl w:val="nil"/>
            </w:tcBorders>
            <w:vAlign w:val="center"/>
          </w:tcPr>
          <w:p w14:paraId="189B39D7">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细菌总数(CFU/mL)</w:t>
            </w:r>
          </w:p>
        </w:tc>
        <w:tc>
          <w:tcPr>
            <w:tcW w:w="1585" w:type="dxa"/>
            <w:tcBorders>
              <w:tl2br w:val="nil"/>
              <w:tr2bl w:val="nil"/>
            </w:tcBorders>
            <w:vAlign w:val="center"/>
          </w:tcPr>
          <w:p w14:paraId="42D8245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46</w:t>
            </w:r>
          </w:p>
        </w:tc>
        <w:tc>
          <w:tcPr>
            <w:tcW w:w="908" w:type="dxa"/>
            <w:tcBorders>
              <w:tl2br w:val="nil"/>
              <w:tr2bl w:val="nil"/>
            </w:tcBorders>
            <w:vAlign w:val="center"/>
          </w:tcPr>
          <w:p w14:paraId="506E239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1045" w:type="dxa"/>
            <w:tcBorders>
              <w:tl2br w:val="nil"/>
              <w:tr2bl w:val="nil"/>
            </w:tcBorders>
            <w:vAlign w:val="center"/>
          </w:tcPr>
          <w:p w14:paraId="590A1D4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0.46</w:t>
            </w:r>
          </w:p>
        </w:tc>
        <w:tc>
          <w:tcPr>
            <w:tcW w:w="914" w:type="dxa"/>
            <w:tcBorders>
              <w:tl2br w:val="nil"/>
              <w:tr2bl w:val="nil"/>
            </w:tcBorders>
            <w:vAlign w:val="center"/>
          </w:tcPr>
          <w:p w14:paraId="667EB6E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74750390">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455A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6" w:hRule="atLeast"/>
          <w:tblHeader/>
          <w:jc w:val="center"/>
        </w:trPr>
        <w:tc>
          <w:tcPr>
            <w:tcW w:w="1207" w:type="dxa"/>
            <w:vMerge w:val="continue"/>
            <w:tcBorders>
              <w:tl2br w:val="nil"/>
              <w:tr2bl w:val="nil"/>
            </w:tcBorders>
            <w:vAlign w:val="center"/>
          </w:tcPr>
          <w:p w14:paraId="2879B6F6">
            <w:pPr>
              <w:spacing w:line="300" w:lineRule="atLeast"/>
              <w:jc w:val="center"/>
              <w:rPr>
                <w:rFonts w:ascii="Times New Roman" w:hAnsi="Times New Roman" w:eastAsia="宋体" w:cs="Times New Roman"/>
                <w:bCs/>
                <w:szCs w:val="21"/>
              </w:rPr>
            </w:pPr>
          </w:p>
        </w:tc>
        <w:tc>
          <w:tcPr>
            <w:tcW w:w="1816" w:type="dxa"/>
            <w:tcBorders>
              <w:top w:val="single" w:color="000000" w:sz="4" w:space="0"/>
              <w:bottom w:val="single" w:color="000000" w:sz="4" w:space="0"/>
              <w:tl2br w:val="nil"/>
              <w:tr2bl w:val="nil"/>
            </w:tcBorders>
            <w:vAlign w:val="center"/>
          </w:tcPr>
          <w:p w14:paraId="49333B63">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甲苯</w:t>
            </w:r>
          </w:p>
        </w:tc>
        <w:tc>
          <w:tcPr>
            <w:tcW w:w="1585" w:type="dxa"/>
            <w:tcBorders>
              <w:top w:val="single" w:color="000000" w:sz="4" w:space="0"/>
              <w:bottom w:val="single" w:color="000000" w:sz="4" w:space="0"/>
              <w:tl2br w:val="nil"/>
              <w:tr2bl w:val="nil"/>
            </w:tcBorders>
            <w:vAlign w:val="center"/>
          </w:tcPr>
          <w:p w14:paraId="52969B89">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1.4 L</w:t>
            </w:r>
          </w:p>
        </w:tc>
        <w:tc>
          <w:tcPr>
            <w:tcW w:w="908" w:type="dxa"/>
            <w:tcBorders>
              <w:top w:val="single" w:color="000000" w:sz="4" w:space="0"/>
              <w:bottom w:val="single" w:color="000000" w:sz="4" w:space="0"/>
              <w:tl2br w:val="nil"/>
              <w:tr2bl w:val="nil"/>
            </w:tcBorders>
            <w:vAlign w:val="center"/>
          </w:tcPr>
          <w:p w14:paraId="6A99898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0.7</w:t>
            </w:r>
          </w:p>
        </w:tc>
        <w:tc>
          <w:tcPr>
            <w:tcW w:w="1045" w:type="dxa"/>
            <w:tcBorders>
              <w:top w:val="single" w:color="000000" w:sz="4" w:space="0"/>
              <w:bottom w:val="single" w:color="000000" w:sz="4" w:space="0"/>
              <w:tl2br w:val="nil"/>
              <w:tr2bl w:val="nil"/>
            </w:tcBorders>
            <w:vAlign w:val="center"/>
          </w:tcPr>
          <w:p w14:paraId="0F56525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op w:val="single" w:color="000000" w:sz="4" w:space="0"/>
              <w:bottom w:val="single" w:color="000000" w:sz="4" w:space="0"/>
              <w:tl2br w:val="nil"/>
              <w:tr2bl w:val="nil"/>
            </w:tcBorders>
            <w:vAlign w:val="center"/>
          </w:tcPr>
          <w:p w14:paraId="1743F56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op w:val="single" w:color="000000" w:sz="4" w:space="0"/>
              <w:bottom w:val="single" w:color="000000" w:sz="4" w:space="0"/>
              <w:tl2br w:val="nil"/>
              <w:tr2bl w:val="nil"/>
            </w:tcBorders>
            <w:vAlign w:val="center"/>
          </w:tcPr>
          <w:p w14:paraId="7843BF0A">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294A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6" w:hRule="atLeast"/>
          <w:tblHeader/>
          <w:jc w:val="center"/>
        </w:trPr>
        <w:tc>
          <w:tcPr>
            <w:tcW w:w="1207" w:type="dxa"/>
            <w:vMerge w:val="continue"/>
            <w:tcBorders>
              <w:tl2br w:val="nil"/>
              <w:tr2bl w:val="nil"/>
            </w:tcBorders>
            <w:vAlign w:val="center"/>
          </w:tcPr>
          <w:p w14:paraId="47E8A602">
            <w:pPr>
              <w:spacing w:line="300" w:lineRule="atLeast"/>
              <w:jc w:val="center"/>
              <w:rPr>
                <w:rFonts w:ascii="Times New Roman" w:hAnsi="Times New Roman" w:eastAsia="宋体" w:cs="Times New Roman"/>
                <w:bCs/>
                <w:szCs w:val="21"/>
              </w:rPr>
            </w:pPr>
          </w:p>
        </w:tc>
        <w:tc>
          <w:tcPr>
            <w:tcW w:w="1816" w:type="dxa"/>
            <w:tcBorders>
              <w:top w:val="single" w:color="000000" w:sz="4" w:space="0"/>
              <w:tl2br w:val="nil"/>
              <w:tr2bl w:val="nil"/>
            </w:tcBorders>
            <w:vAlign w:val="center"/>
          </w:tcPr>
          <w:p w14:paraId="0A8B6A6D">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二甲苯</w:t>
            </w:r>
          </w:p>
        </w:tc>
        <w:tc>
          <w:tcPr>
            <w:tcW w:w="1585" w:type="dxa"/>
            <w:tcBorders>
              <w:top w:val="single" w:color="000000" w:sz="4" w:space="0"/>
              <w:tl2br w:val="nil"/>
              <w:tr2bl w:val="nil"/>
            </w:tcBorders>
            <w:vAlign w:val="center"/>
          </w:tcPr>
          <w:p w14:paraId="5B8000C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908" w:type="dxa"/>
            <w:tcBorders>
              <w:top w:val="single" w:color="000000" w:sz="4" w:space="0"/>
              <w:tl2br w:val="nil"/>
              <w:tr2bl w:val="nil"/>
            </w:tcBorders>
            <w:vAlign w:val="center"/>
          </w:tcPr>
          <w:p w14:paraId="598233B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045" w:type="dxa"/>
            <w:tcBorders>
              <w:top w:val="single" w:color="000000" w:sz="4" w:space="0"/>
              <w:tl2br w:val="nil"/>
              <w:tr2bl w:val="nil"/>
            </w:tcBorders>
            <w:vAlign w:val="center"/>
          </w:tcPr>
          <w:p w14:paraId="27C3201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op w:val="single" w:color="000000" w:sz="4" w:space="0"/>
              <w:tl2br w:val="nil"/>
              <w:tr2bl w:val="nil"/>
            </w:tcBorders>
            <w:vAlign w:val="center"/>
          </w:tcPr>
          <w:p w14:paraId="0BC1C4E9">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op w:val="single" w:color="000000" w:sz="4" w:space="0"/>
              <w:tl2br w:val="nil"/>
              <w:tr2bl w:val="nil"/>
            </w:tcBorders>
            <w:vAlign w:val="center"/>
          </w:tcPr>
          <w:p w14:paraId="4F83BFDD">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548E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restart"/>
            <w:tcBorders>
              <w:tl2br w:val="nil"/>
              <w:tr2bl w:val="nil"/>
            </w:tcBorders>
            <w:vAlign w:val="center"/>
          </w:tcPr>
          <w:p w14:paraId="3D82F475">
            <w:pPr>
              <w:jc w:val="center"/>
              <w:rPr>
                <w:rFonts w:ascii="Times New Roman" w:hAnsi="Times New Roman" w:eastAsia="宋体" w:cs="Times New Roman"/>
                <w:szCs w:val="21"/>
              </w:rPr>
            </w:pPr>
            <w:r>
              <w:rPr>
                <w:rFonts w:hint="eastAsia" w:asciiTheme="minorEastAsia" w:hAnsiTheme="minorEastAsia" w:cstheme="minorEastAsia"/>
                <w:szCs w:val="21"/>
              </w:rPr>
              <w:t>八里庄村</w:t>
            </w:r>
          </w:p>
        </w:tc>
        <w:tc>
          <w:tcPr>
            <w:tcW w:w="1816" w:type="dxa"/>
            <w:tcBorders>
              <w:tl2br w:val="nil"/>
              <w:tr2bl w:val="nil"/>
            </w:tcBorders>
            <w:vAlign w:val="center"/>
          </w:tcPr>
          <w:p w14:paraId="61C0EDC8">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pH</w:t>
            </w:r>
          </w:p>
        </w:tc>
        <w:tc>
          <w:tcPr>
            <w:tcW w:w="1585" w:type="dxa"/>
            <w:tcBorders>
              <w:tl2br w:val="nil"/>
              <w:tr2bl w:val="nil"/>
            </w:tcBorders>
            <w:vAlign w:val="center"/>
          </w:tcPr>
          <w:p w14:paraId="5DA7A9A3">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7.1</w:t>
            </w:r>
          </w:p>
        </w:tc>
        <w:tc>
          <w:tcPr>
            <w:tcW w:w="908" w:type="dxa"/>
            <w:tcBorders>
              <w:tl2br w:val="nil"/>
              <w:tr2bl w:val="nil"/>
            </w:tcBorders>
            <w:vAlign w:val="center"/>
          </w:tcPr>
          <w:p w14:paraId="5293554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6.5-8.5</w:t>
            </w:r>
          </w:p>
        </w:tc>
        <w:tc>
          <w:tcPr>
            <w:tcW w:w="1045" w:type="dxa"/>
            <w:tcBorders>
              <w:tl2br w:val="nil"/>
              <w:tr2bl w:val="nil"/>
            </w:tcBorders>
            <w:vAlign w:val="center"/>
          </w:tcPr>
          <w:p w14:paraId="5E65E749">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0.07</w:t>
            </w:r>
          </w:p>
        </w:tc>
        <w:tc>
          <w:tcPr>
            <w:tcW w:w="914" w:type="dxa"/>
            <w:tcBorders>
              <w:tl2br w:val="nil"/>
              <w:tr2bl w:val="nil"/>
            </w:tcBorders>
            <w:vAlign w:val="center"/>
          </w:tcPr>
          <w:p w14:paraId="3318580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133336FE">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0C00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22C06895">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36C96F01">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耗氧量</w:t>
            </w:r>
          </w:p>
        </w:tc>
        <w:tc>
          <w:tcPr>
            <w:tcW w:w="1585" w:type="dxa"/>
            <w:tcBorders>
              <w:tl2br w:val="nil"/>
              <w:tr2bl w:val="nil"/>
            </w:tcBorders>
            <w:vAlign w:val="center"/>
          </w:tcPr>
          <w:p w14:paraId="6BD7C4D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0.81</w:t>
            </w:r>
          </w:p>
        </w:tc>
        <w:tc>
          <w:tcPr>
            <w:tcW w:w="908" w:type="dxa"/>
            <w:tcBorders>
              <w:tl2br w:val="nil"/>
              <w:tr2bl w:val="nil"/>
            </w:tcBorders>
            <w:vAlign w:val="center"/>
          </w:tcPr>
          <w:p w14:paraId="17591691">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3.0</w:t>
            </w:r>
          </w:p>
        </w:tc>
        <w:tc>
          <w:tcPr>
            <w:tcW w:w="1045" w:type="dxa"/>
            <w:tcBorders>
              <w:tl2br w:val="nil"/>
              <w:tr2bl w:val="nil"/>
            </w:tcBorders>
            <w:vAlign w:val="center"/>
          </w:tcPr>
          <w:p w14:paraId="49FAC67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 xml:space="preserve">0.27 </w:t>
            </w:r>
          </w:p>
        </w:tc>
        <w:tc>
          <w:tcPr>
            <w:tcW w:w="914" w:type="dxa"/>
            <w:tcBorders>
              <w:tl2br w:val="nil"/>
              <w:tr2bl w:val="nil"/>
            </w:tcBorders>
            <w:vAlign w:val="center"/>
          </w:tcPr>
          <w:p w14:paraId="20C21BF8">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327BFD62">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2F9A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54D16E4E">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285FD2ED">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氨氮</w:t>
            </w:r>
          </w:p>
        </w:tc>
        <w:tc>
          <w:tcPr>
            <w:tcW w:w="1585" w:type="dxa"/>
            <w:tcBorders>
              <w:tl2br w:val="nil"/>
              <w:tr2bl w:val="nil"/>
            </w:tcBorders>
            <w:vAlign w:val="center"/>
          </w:tcPr>
          <w:p w14:paraId="42821D0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0.045</w:t>
            </w:r>
          </w:p>
        </w:tc>
        <w:tc>
          <w:tcPr>
            <w:tcW w:w="908" w:type="dxa"/>
            <w:tcBorders>
              <w:tl2br w:val="nil"/>
              <w:tr2bl w:val="nil"/>
            </w:tcBorders>
            <w:vAlign w:val="center"/>
          </w:tcPr>
          <w:p w14:paraId="5D8245C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0.5</w:t>
            </w:r>
          </w:p>
        </w:tc>
        <w:tc>
          <w:tcPr>
            <w:tcW w:w="1045" w:type="dxa"/>
            <w:tcBorders>
              <w:tl2br w:val="nil"/>
              <w:tr2bl w:val="nil"/>
            </w:tcBorders>
            <w:vAlign w:val="center"/>
          </w:tcPr>
          <w:p w14:paraId="1FBF312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 xml:space="preserve">0.02 </w:t>
            </w:r>
          </w:p>
        </w:tc>
        <w:tc>
          <w:tcPr>
            <w:tcW w:w="914" w:type="dxa"/>
            <w:tcBorders>
              <w:tl2br w:val="nil"/>
              <w:tr2bl w:val="nil"/>
            </w:tcBorders>
            <w:vAlign w:val="center"/>
          </w:tcPr>
          <w:p w14:paraId="6BB9EDA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6046B4AC">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6887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29B510F1">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435DE494">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szCs w:val="21"/>
              </w:rPr>
              <w:t>硝酸盐</w:t>
            </w:r>
          </w:p>
        </w:tc>
        <w:tc>
          <w:tcPr>
            <w:tcW w:w="1585" w:type="dxa"/>
            <w:tcBorders>
              <w:tl2br w:val="nil"/>
              <w:tr2bl w:val="nil"/>
            </w:tcBorders>
            <w:vAlign w:val="center"/>
          </w:tcPr>
          <w:p w14:paraId="216F80A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0.856</w:t>
            </w:r>
          </w:p>
        </w:tc>
        <w:tc>
          <w:tcPr>
            <w:tcW w:w="908" w:type="dxa"/>
            <w:tcBorders>
              <w:tl2br w:val="nil"/>
              <w:tr2bl w:val="nil"/>
            </w:tcBorders>
            <w:vAlign w:val="center"/>
          </w:tcPr>
          <w:p w14:paraId="48758DD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20.0</w:t>
            </w:r>
          </w:p>
        </w:tc>
        <w:tc>
          <w:tcPr>
            <w:tcW w:w="1045" w:type="dxa"/>
            <w:tcBorders>
              <w:tl2br w:val="nil"/>
              <w:tr2bl w:val="nil"/>
            </w:tcBorders>
            <w:vAlign w:val="center"/>
          </w:tcPr>
          <w:p w14:paraId="15C6F752">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 xml:space="preserve">0.29 </w:t>
            </w:r>
          </w:p>
        </w:tc>
        <w:tc>
          <w:tcPr>
            <w:tcW w:w="914" w:type="dxa"/>
            <w:tcBorders>
              <w:tl2br w:val="nil"/>
              <w:tr2bl w:val="nil"/>
            </w:tcBorders>
            <w:vAlign w:val="center"/>
          </w:tcPr>
          <w:p w14:paraId="62A08A32">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502281E">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64E9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522D056B">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1E58A65E">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szCs w:val="21"/>
              </w:rPr>
              <w:t>亚硝酸盐</w:t>
            </w:r>
          </w:p>
        </w:tc>
        <w:tc>
          <w:tcPr>
            <w:tcW w:w="1585" w:type="dxa"/>
            <w:tcBorders>
              <w:tl2br w:val="nil"/>
              <w:tr2bl w:val="nil"/>
            </w:tcBorders>
            <w:vAlign w:val="center"/>
          </w:tcPr>
          <w:p w14:paraId="02799A77">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0.016L</w:t>
            </w:r>
          </w:p>
        </w:tc>
        <w:tc>
          <w:tcPr>
            <w:tcW w:w="908" w:type="dxa"/>
            <w:tcBorders>
              <w:tl2br w:val="nil"/>
              <w:tr2bl w:val="nil"/>
            </w:tcBorders>
            <w:vAlign w:val="center"/>
          </w:tcPr>
          <w:p w14:paraId="021005E2">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045" w:type="dxa"/>
            <w:tcBorders>
              <w:tl2br w:val="nil"/>
              <w:tr2bl w:val="nil"/>
            </w:tcBorders>
            <w:vAlign w:val="center"/>
          </w:tcPr>
          <w:p w14:paraId="44E1169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5155A73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6EAEC1C1">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6C5E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2FC71222">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0F549C75">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挥发酚</w:t>
            </w:r>
          </w:p>
        </w:tc>
        <w:tc>
          <w:tcPr>
            <w:tcW w:w="1585" w:type="dxa"/>
            <w:tcBorders>
              <w:tl2br w:val="nil"/>
              <w:tr2bl w:val="nil"/>
            </w:tcBorders>
            <w:vAlign w:val="center"/>
          </w:tcPr>
          <w:p w14:paraId="24D282B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0.0003L</w:t>
            </w:r>
          </w:p>
        </w:tc>
        <w:tc>
          <w:tcPr>
            <w:tcW w:w="908" w:type="dxa"/>
            <w:tcBorders>
              <w:tl2br w:val="nil"/>
              <w:tr2bl w:val="nil"/>
            </w:tcBorders>
            <w:vAlign w:val="center"/>
          </w:tcPr>
          <w:p w14:paraId="6677B88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0.002</w:t>
            </w:r>
          </w:p>
        </w:tc>
        <w:tc>
          <w:tcPr>
            <w:tcW w:w="1045" w:type="dxa"/>
            <w:tcBorders>
              <w:tl2br w:val="nil"/>
              <w:tr2bl w:val="nil"/>
            </w:tcBorders>
            <w:vAlign w:val="center"/>
          </w:tcPr>
          <w:p w14:paraId="0CCBF20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71884B85">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651ACE5D">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0DC5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6C128BA2">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7AA94DA7">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氟化物</w:t>
            </w:r>
          </w:p>
        </w:tc>
        <w:tc>
          <w:tcPr>
            <w:tcW w:w="1585" w:type="dxa"/>
            <w:tcBorders>
              <w:tl2br w:val="nil"/>
              <w:tr2bl w:val="nil"/>
            </w:tcBorders>
            <w:vAlign w:val="center"/>
          </w:tcPr>
          <w:p w14:paraId="0E0BA27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0.161</w:t>
            </w:r>
          </w:p>
        </w:tc>
        <w:tc>
          <w:tcPr>
            <w:tcW w:w="908" w:type="dxa"/>
            <w:tcBorders>
              <w:tl2br w:val="nil"/>
              <w:tr2bl w:val="nil"/>
            </w:tcBorders>
            <w:vAlign w:val="center"/>
          </w:tcPr>
          <w:p w14:paraId="5E5C33B3">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1.0</w:t>
            </w:r>
          </w:p>
        </w:tc>
        <w:tc>
          <w:tcPr>
            <w:tcW w:w="1045" w:type="dxa"/>
            <w:tcBorders>
              <w:tl2br w:val="nil"/>
              <w:tr2bl w:val="nil"/>
            </w:tcBorders>
            <w:vAlign w:val="center"/>
          </w:tcPr>
          <w:p w14:paraId="4D028277">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0.161</w:t>
            </w:r>
          </w:p>
        </w:tc>
        <w:tc>
          <w:tcPr>
            <w:tcW w:w="914" w:type="dxa"/>
            <w:tcBorders>
              <w:tl2br w:val="nil"/>
              <w:tr2bl w:val="nil"/>
            </w:tcBorders>
            <w:vAlign w:val="center"/>
          </w:tcPr>
          <w:p w14:paraId="5BCAE331">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5C72C0EB">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76B2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743E52EF">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4FF6A522">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氰化物</w:t>
            </w:r>
          </w:p>
        </w:tc>
        <w:tc>
          <w:tcPr>
            <w:tcW w:w="1585" w:type="dxa"/>
            <w:tcBorders>
              <w:tl2br w:val="nil"/>
              <w:tr2bl w:val="nil"/>
            </w:tcBorders>
            <w:vAlign w:val="center"/>
          </w:tcPr>
          <w:p w14:paraId="1408160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0.004L</w:t>
            </w:r>
          </w:p>
        </w:tc>
        <w:tc>
          <w:tcPr>
            <w:tcW w:w="908" w:type="dxa"/>
            <w:tcBorders>
              <w:tl2br w:val="nil"/>
              <w:tr2bl w:val="nil"/>
            </w:tcBorders>
            <w:vAlign w:val="center"/>
          </w:tcPr>
          <w:p w14:paraId="618D444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045" w:type="dxa"/>
            <w:tcBorders>
              <w:tl2br w:val="nil"/>
              <w:tr2bl w:val="nil"/>
            </w:tcBorders>
            <w:vAlign w:val="center"/>
          </w:tcPr>
          <w:p w14:paraId="55F72D0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4C4D0B33">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5464F1E5">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5309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1C7C252C">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294247E6">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砷</w:t>
            </w:r>
          </w:p>
        </w:tc>
        <w:tc>
          <w:tcPr>
            <w:tcW w:w="1585" w:type="dxa"/>
            <w:tcBorders>
              <w:tl2br w:val="nil"/>
              <w:tr2bl w:val="nil"/>
            </w:tcBorders>
            <w:vAlign w:val="center"/>
          </w:tcPr>
          <w:p w14:paraId="4C9A07C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0.0003L</w:t>
            </w:r>
          </w:p>
        </w:tc>
        <w:tc>
          <w:tcPr>
            <w:tcW w:w="908" w:type="dxa"/>
            <w:tcBorders>
              <w:tl2br w:val="nil"/>
              <w:tr2bl w:val="nil"/>
            </w:tcBorders>
            <w:vAlign w:val="center"/>
          </w:tcPr>
          <w:p w14:paraId="11EF8975">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0.01</w:t>
            </w:r>
          </w:p>
        </w:tc>
        <w:tc>
          <w:tcPr>
            <w:tcW w:w="1045" w:type="dxa"/>
            <w:tcBorders>
              <w:tl2br w:val="nil"/>
              <w:tr2bl w:val="nil"/>
            </w:tcBorders>
            <w:vAlign w:val="center"/>
          </w:tcPr>
          <w:p w14:paraId="0CF3369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240C3B51">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55019664">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5A39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3C0A71A9">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3D3BA0C7">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汞</w:t>
            </w:r>
          </w:p>
        </w:tc>
        <w:tc>
          <w:tcPr>
            <w:tcW w:w="1585" w:type="dxa"/>
            <w:tcBorders>
              <w:tl2br w:val="nil"/>
              <w:tr2bl w:val="nil"/>
            </w:tcBorders>
            <w:vAlign w:val="center"/>
          </w:tcPr>
          <w:p w14:paraId="05E3C2A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0.00004L</w:t>
            </w:r>
          </w:p>
        </w:tc>
        <w:tc>
          <w:tcPr>
            <w:tcW w:w="908" w:type="dxa"/>
            <w:tcBorders>
              <w:tl2br w:val="nil"/>
              <w:tr2bl w:val="nil"/>
            </w:tcBorders>
            <w:vAlign w:val="center"/>
          </w:tcPr>
          <w:p w14:paraId="3E82352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1045" w:type="dxa"/>
            <w:tcBorders>
              <w:tl2br w:val="nil"/>
              <w:tr2bl w:val="nil"/>
            </w:tcBorders>
            <w:vAlign w:val="center"/>
          </w:tcPr>
          <w:p w14:paraId="57A34649">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62097B9F">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27A23FC">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1246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4CB77DF6">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7F20DD30">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六价铬</w:t>
            </w:r>
          </w:p>
        </w:tc>
        <w:tc>
          <w:tcPr>
            <w:tcW w:w="1585" w:type="dxa"/>
            <w:tcBorders>
              <w:tl2br w:val="nil"/>
              <w:tr2bl w:val="nil"/>
            </w:tcBorders>
            <w:vAlign w:val="center"/>
          </w:tcPr>
          <w:p w14:paraId="16929629">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0.004L</w:t>
            </w:r>
          </w:p>
        </w:tc>
        <w:tc>
          <w:tcPr>
            <w:tcW w:w="908" w:type="dxa"/>
            <w:tcBorders>
              <w:tl2br w:val="nil"/>
              <w:tr2bl w:val="nil"/>
            </w:tcBorders>
            <w:vAlign w:val="center"/>
          </w:tcPr>
          <w:p w14:paraId="2D51914A">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045" w:type="dxa"/>
            <w:tcBorders>
              <w:tl2br w:val="nil"/>
              <w:tr2bl w:val="nil"/>
            </w:tcBorders>
            <w:vAlign w:val="center"/>
          </w:tcPr>
          <w:p w14:paraId="46446827">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1E37A420">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6AB2E78">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2E03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63CAE458">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14F4AA1D">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总硬度</w:t>
            </w:r>
          </w:p>
        </w:tc>
        <w:tc>
          <w:tcPr>
            <w:tcW w:w="1585" w:type="dxa"/>
            <w:tcBorders>
              <w:tl2br w:val="nil"/>
              <w:tr2bl w:val="nil"/>
            </w:tcBorders>
            <w:vAlign w:val="center"/>
          </w:tcPr>
          <w:p w14:paraId="1EDC5FC3">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128</w:t>
            </w:r>
          </w:p>
        </w:tc>
        <w:tc>
          <w:tcPr>
            <w:tcW w:w="908" w:type="dxa"/>
            <w:tcBorders>
              <w:tl2br w:val="nil"/>
              <w:tr2bl w:val="nil"/>
            </w:tcBorders>
            <w:vAlign w:val="center"/>
          </w:tcPr>
          <w:p w14:paraId="428944E1">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450</w:t>
            </w:r>
          </w:p>
        </w:tc>
        <w:tc>
          <w:tcPr>
            <w:tcW w:w="1045" w:type="dxa"/>
            <w:tcBorders>
              <w:tl2br w:val="nil"/>
              <w:tr2bl w:val="nil"/>
            </w:tcBorders>
            <w:vAlign w:val="center"/>
          </w:tcPr>
          <w:p w14:paraId="089434A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0.284</w:t>
            </w:r>
          </w:p>
        </w:tc>
        <w:tc>
          <w:tcPr>
            <w:tcW w:w="914" w:type="dxa"/>
            <w:tcBorders>
              <w:tl2br w:val="nil"/>
              <w:tr2bl w:val="nil"/>
            </w:tcBorders>
            <w:vAlign w:val="center"/>
          </w:tcPr>
          <w:p w14:paraId="0D6C3BC2">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8FCB5D0">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336E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42A12ED3">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63B8DE9D">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铅</w:t>
            </w:r>
          </w:p>
        </w:tc>
        <w:tc>
          <w:tcPr>
            <w:tcW w:w="1585" w:type="dxa"/>
            <w:tcBorders>
              <w:tl2br w:val="nil"/>
              <w:tr2bl w:val="nil"/>
            </w:tcBorders>
            <w:vAlign w:val="center"/>
          </w:tcPr>
          <w:p w14:paraId="3E1B2EE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0.0023L</w:t>
            </w:r>
          </w:p>
        </w:tc>
        <w:tc>
          <w:tcPr>
            <w:tcW w:w="908" w:type="dxa"/>
            <w:tcBorders>
              <w:tl2br w:val="nil"/>
              <w:tr2bl w:val="nil"/>
            </w:tcBorders>
            <w:vAlign w:val="center"/>
          </w:tcPr>
          <w:p w14:paraId="4C18BD10">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0.01</w:t>
            </w:r>
          </w:p>
        </w:tc>
        <w:tc>
          <w:tcPr>
            <w:tcW w:w="1045" w:type="dxa"/>
            <w:tcBorders>
              <w:tl2br w:val="nil"/>
              <w:tr2bl w:val="nil"/>
            </w:tcBorders>
            <w:vAlign w:val="center"/>
          </w:tcPr>
          <w:p w14:paraId="39910495">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44961221">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4A978A2E">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3CE9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6790F474">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08E727CA">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镉</w:t>
            </w:r>
          </w:p>
        </w:tc>
        <w:tc>
          <w:tcPr>
            <w:tcW w:w="1585" w:type="dxa"/>
            <w:tcBorders>
              <w:tl2br w:val="nil"/>
              <w:tr2bl w:val="nil"/>
            </w:tcBorders>
            <w:vAlign w:val="center"/>
          </w:tcPr>
          <w:p w14:paraId="076D645D">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0.00025L</w:t>
            </w:r>
          </w:p>
        </w:tc>
        <w:tc>
          <w:tcPr>
            <w:tcW w:w="908" w:type="dxa"/>
            <w:tcBorders>
              <w:tl2br w:val="nil"/>
              <w:tr2bl w:val="nil"/>
            </w:tcBorders>
            <w:vAlign w:val="center"/>
          </w:tcPr>
          <w:p w14:paraId="2236A88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0.005</w:t>
            </w:r>
          </w:p>
        </w:tc>
        <w:tc>
          <w:tcPr>
            <w:tcW w:w="1045" w:type="dxa"/>
            <w:tcBorders>
              <w:tl2br w:val="nil"/>
              <w:tr2bl w:val="nil"/>
            </w:tcBorders>
            <w:vAlign w:val="center"/>
          </w:tcPr>
          <w:p w14:paraId="6E3E829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457B2E09">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8044CCE">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0D17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778EEC77">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605AFCB7">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铁</w:t>
            </w:r>
          </w:p>
        </w:tc>
        <w:tc>
          <w:tcPr>
            <w:tcW w:w="1585" w:type="dxa"/>
            <w:tcBorders>
              <w:tl2br w:val="nil"/>
              <w:tr2bl w:val="nil"/>
            </w:tcBorders>
            <w:vAlign w:val="center"/>
          </w:tcPr>
          <w:p w14:paraId="7FB51E6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0.01L</w:t>
            </w:r>
          </w:p>
        </w:tc>
        <w:tc>
          <w:tcPr>
            <w:tcW w:w="908" w:type="dxa"/>
            <w:tcBorders>
              <w:tl2br w:val="nil"/>
              <w:tr2bl w:val="nil"/>
            </w:tcBorders>
            <w:vAlign w:val="center"/>
          </w:tcPr>
          <w:p w14:paraId="390D4508">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0.3</w:t>
            </w:r>
          </w:p>
        </w:tc>
        <w:tc>
          <w:tcPr>
            <w:tcW w:w="1045" w:type="dxa"/>
            <w:tcBorders>
              <w:tl2br w:val="nil"/>
              <w:tr2bl w:val="nil"/>
            </w:tcBorders>
            <w:vAlign w:val="center"/>
          </w:tcPr>
          <w:p w14:paraId="06EDC222">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047A65F9">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3E6639EA">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34A9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416174AE">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34DD9005">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锰</w:t>
            </w:r>
          </w:p>
        </w:tc>
        <w:tc>
          <w:tcPr>
            <w:tcW w:w="1585" w:type="dxa"/>
            <w:tcBorders>
              <w:tl2br w:val="nil"/>
              <w:tr2bl w:val="nil"/>
            </w:tcBorders>
            <w:vAlign w:val="center"/>
          </w:tcPr>
          <w:p w14:paraId="7BCB3A6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0.01L</w:t>
            </w:r>
          </w:p>
        </w:tc>
        <w:tc>
          <w:tcPr>
            <w:tcW w:w="908" w:type="dxa"/>
            <w:tcBorders>
              <w:tl2br w:val="nil"/>
              <w:tr2bl w:val="nil"/>
            </w:tcBorders>
            <w:vAlign w:val="center"/>
          </w:tcPr>
          <w:p w14:paraId="4B6757B2">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0.10</w:t>
            </w:r>
          </w:p>
        </w:tc>
        <w:tc>
          <w:tcPr>
            <w:tcW w:w="1045" w:type="dxa"/>
            <w:tcBorders>
              <w:tl2br w:val="nil"/>
              <w:tr2bl w:val="nil"/>
            </w:tcBorders>
            <w:vAlign w:val="center"/>
          </w:tcPr>
          <w:p w14:paraId="2C1CA5E0">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2AE63C70">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1F3A1579">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43EB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5F4D1413">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31743287">
            <w:pPr>
              <w:spacing w:line="300" w:lineRule="atLeast"/>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溶解性总固体</w:t>
            </w:r>
          </w:p>
        </w:tc>
        <w:tc>
          <w:tcPr>
            <w:tcW w:w="1585" w:type="dxa"/>
            <w:tcBorders>
              <w:tl2br w:val="nil"/>
              <w:tr2bl w:val="nil"/>
            </w:tcBorders>
            <w:vAlign w:val="center"/>
          </w:tcPr>
          <w:p w14:paraId="2257C4C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207</w:t>
            </w:r>
          </w:p>
        </w:tc>
        <w:tc>
          <w:tcPr>
            <w:tcW w:w="908" w:type="dxa"/>
            <w:tcBorders>
              <w:tl2br w:val="nil"/>
              <w:tr2bl w:val="nil"/>
            </w:tcBorders>
            <w:vAlign w:val="center"/>
          </w:tcPr>
          <w:p w14:paraId="375664BE">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1000</w:t>
            </w:r>
          </w:p>
        </w:tc>
        <w:tc>
          <w:tcPr>
            <w:tcW w:w="1045" w:type="dxa"/>
            <w:tcBorders>
              <w:tl2br w:val="nil"/>
              <w:tr2bl w:val="nil"/>
            </w:tcBorders>
            <w:vAlign w:val="center"/>
          </w:tcPr>
          <w:p w14:paraId="2BA57DA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0.207</w:t>
            </w:r>
          </w:p>
        </w:tc>
        <w:tc>
          <w:tcPr>
            <w:tcW w:w="914" w:type="dxa"/>
            <w:tcBorders>
              <w:tl2br w:val="nil"/>
              <w:tr2bl w:val="nil"/>
            </w:tcBorders>
            <w:vAlign w:val="center"/>
          </w:tcPr>
          <w:p w14:paraId="3DEEDB5C">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D4BDAA7">
            <w:pPr>
              <w:spacing w:line="300" w:lineRule="atLeast"/>
              <w:jc w:val="center"/>
              <w:rPr>
                <w:rFonts w:ascii="Times New Roman" w:hAnsi="Times New Roman" w:eastAsia="宋体" w:cs="Times New Roman"/>
                <w:szCs w:val="21"/>
              </w:rPr>
            </w:pPr>
            <w:r>
              <w:rPr>
                <w:rFonts w:ascii="Times New Roman" w:hAnsi="Times New Roman" w:eastAsia="宋体" w:cs="Times New Roman"/>
                <w:bCs/>
                <w:szCs w:val="21"/>
              </w:rPr>
              <w:t>达标</w:t>
            </w:r>
          </w:p>
        </w:tc>
      </w:tr>
      <w:tr w14:paraId="72C2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3F47A36F">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18DC88CA">
            <w:pPr>
              <w:spacing w:line="300" w:lineRule="atLeast"/>
              <w:jc w:val="center"/>
              <w:rPr>
                <w:rFonts w:ascii="Times New Roman" w:hAnsi="Times New Roman" w:eastAsia="宋体" w:cs="Times New Roman"/>
                <w:kern w:val="0"/>
                <w:szCs w:val="21"/>
                <w:lang w:bidi="ar"/>
              </w:rPr>
            </w:pPr>
            <w:r>
              <w:rPr>
                <w:rFonts w:hint="eastAsia" w:ascii="Times New Roman" w:hAnsi="Times New Roman" w:eastAsia="宋体" w:cs="Times New Roman"/>
                <w:szCs w:val="21"/>
              </w:rPr>
              <w:t>硫酸盐</w:t>
            </w:r>
          </w:p>
        </w:tc>
        <w:tc>
          <w:tcPr>
            <w:tcW w:w="1585" w:type="dxa"/>
            <w:tcBorders>
              <w:tl2br w:val="nil"/>
              <w:tr2bl w:val="nil"/>
            </w:tcBorders>
            <w:vAlign w:val="center"/>
          </w:tcPr>
          <w:p w14:paraId="36B0E669">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101</w:t>
            </w:r>
          </w:p>
        </w:tc>
        <w:tc>
          <w:tcPr>
            <w:tcW w:w="908" w:type="dxa"/>
            <w:tcBorders>
              <w:tl2br w:val="nil"/>
              <w:tr2bl w:val="nil"/>
            </w:tcBorders>
            <w:vAlign w:val="center"/>
          </w:tcPr>
          <w:p w14:paraId="3476A00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250</w:t>
            </w:r>
          </w:p>
        </w:tc>
        <w:tc>
          <w:tcPr>
            <w:tcW w:w="1045" w:type="dxa"/>
            <w:tcBorders>
              <w:tl2br w:val="nil"/>
              <w:tr2bl w:val="nil"/>
            </w:tcBorders>
            <w:vAlign w:val="center"/>
          </w:tcPr>
          <w:p w14:paraId="2EC1CEEC">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0.404</w:t>
            </w:r>
          </w:p>
        </w:tc>
        <w:tc>
          <w:tcPr>
            <w:tcW w:w="914" w:type="dxa"/>
            <w:tcBorders>
              <w:tl2br w:val="nil"/>
              <w:tr2bl w:val="nil"/>
            </w:tcBorders>
            <w:vAlign w:val="center"/>
          </w:tcPr>
          <w:p w14:paraId="78B424E4">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366E7F92">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2EC3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23F32AC4">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6BD2A013">
            <w:pPr>
              <w:spacing w:line="300" w:lineRule="atLeast"/>
              <w:jc w:val="center"/>
              <w:rPr>
                <w:rFonts w:ascii="Times New Roman" w:hAnsi="Times New Roman" w:eastAsia="宋体" w:cs="Times New Roman"/>
                <w:kern w:val="0"/>
                <w:szCs w:val="21"/>
                <w:lang w:bidi="ar"/>
              </w:rPr>
            </w:pPr>
            <w:r>
              <w:rPr>
                <w:rFonts w:hint="eastAsia" w:ascii="Times New Roman" w:hAnsi="Times New Roman" w:eastAsia="宋体" w:cs="Times New Roman"/>
                <w:szCs w:val="21"/>
              </w:rPr>
              <w:t>氯化物</w:t>
            </w:r>
          </w:p>
        </w:tc>
        <w:tc>
          <w:tcPr>
            <w:tcW w:w="1585" w:type="dxa"/>
            <w:tcBorders>
              <w:tl2br w:val="nil"/>
              <w:tr2bl w:val="nil"/>
            </w:tcBorders>
            <w:vAlign w:val="center"/>
          </w:tcPr>
          <w:p w14:paraId="2B9F91F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62</w:t>
            </w:r>
          </w:p>
        </w:tc>
        <w:tc>
          <w:tcPr>
            <w:tcW w:w="908" w:type="dxa"/>
            <w:tcBorders>
              <w:tl2br w:val="nil"/>
              <w:tr2bl w:val="nil"/>
            </w:tcBorders>
            <w:vAlign w:val="center"/>
          </w:tcPr>
          <w:p w14:paraId="42480A67">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250</w:t>
            </w:r>
          </w:p>
        </w:tc>
        <w:tc>
          <w:tcPr>
            <w:tcW w:w="1045" w:type="dxa"/>
            <w:tcBorders>
              <w:tl2br w:val="nil"/>
              <w:tr2bl w:val="nil"/>
            </w:tcBorders>
            <w:vAlign w:val="center"/>
          </w:tcPr>
          <w:p w14:paraId="23401688">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0.25</w:t>
            </w:r>
          </w:p>
        </w:tc>
        <w:tc>
          <w:tcPr>
            <w:tcW w:w="914" w:type="dxa"/>
            <w:tcBorders>
              <w:tl2br w:val="nil"/>
              <w:tr2bl w:val="nil"/>
            </w:tcBorders>
            <w:vAlign w:val="center"/>
          </w:tcPr>
          <w:p w14:paraId="283266A1">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0A4233EC">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41DE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3CB1E91E">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29E78798">
            <w:pPr>
              <w:spacing w:line="300" w:lineRule="atLeast"/>
              <w:jc w:val="center"/>
              <w:rPr>
                <w:rFonts w:ascii="Times New Roman" w:hAnsi="Times New Roman" w:eastAsia="宋体" w:cs="Times New Roman"/>
                <w:kern w:val="0"/>
                <w:szCs w:val="21"/>
                <w:lang w:bidi="ar"/>
              </w:rPr>
            </w:pPr>
            <w:r>
              <w:rPr>
                <w:rFonts w:hint="eastAsia" w:ascii="Times New Roman" w:hAnsi="Times New Roman" w:eastAsia="宋体" w:cs="Times New Roman"/>
                <w:szCs w:val="21"/>
              </w:rPr>
              <w:t>总大肠菌群(MPN/100mL)</w:t>
            </w:r>
          </w:p>
        </w:tc>
        <w:tc>
          <w:tcPr>
            <w:tcW w:w="1585" w:type="dxa"/>
            <w:tcBorders>
              <w:tl2br w:val="nil"/>
              <w:tr2bl w:val="nil"/>
            </w:tcBorders>
            <w:vAlign w:val="center"/>
          </w:tcPr>
          <w:p w14:paraId="2C2B757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2.2L</w:t>
            </w:r>
          </w:p>
        </w:tc>
        <w:tc>
          <w:tcPr>
            <w:tcW w:w="908" w:type="dxa"/>
            <w:tcBorders>
              <w:tl2br w:val="nil"/>
              <w:tr2bl w:val="nil"/>
            </w:tcBorders>
            <w:vAlign w:val="center"/>
          </w:tcPr>
          <w:p w14:paraId="0033283A">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1045" w:type="dxa"/>
            <w:tcBorders>
              <w:tl2br w:val="nil"/>
              <w:tr2bl w:val="nil"/>
            </w:tcBorders>
            <w:vAlign w:val="center"/>
          </w:tcPr>
          <w:p w14:paraId="182A2D03">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l2br w:val="nil"/>
              <w:tr2bl w:val="nil"/>
            </w:tcBorders>
            <w:vAlign w:val="center"/>
          </w:tcPr>
          <w:p w14:paraId="3A376387">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53AC4C0D">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0323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jc w:val="center"/>
        </w:trPr>
        <w:tc>
          <w:tcPr>
            <w:tcW w:w="1207" w:type="dxa"/>
            <w:vMerge w:val="continue"/>
            <w:tcBorders>
              <w:tl2br w:val="nil"/>
              <w:tr2bl w:val="nil"/>
            </w:tcBorders>
            <w:vAlign w:val="center"/>
          </w:tcPr>
          <w:p w14:paraId="1BD91422">
            <w:pPr>
              <w:spacing w:line="300" w:lineRule="atLeast"/>
              <w:jc w:val="center"/>
              <w:rPr>
                <w:rFonts w:ascii="Times New Roman" w:hAnsi="Times New Roman" w:eastAsia="宋体" w:cs="Times New Roman"/>
                <w:kern w:val="0"/>
                <w:szCs w:val="21"/>
                <w:lang w:bidi="ar"/>
              </w:rPr>
            </w:pPr>
          </w:p>
        </w:tc>
        <w:tc>
          <w:tcPr>
            <w:tcW w:w="1816" w:type="dxa"/>
            <w:tcBorders>
              <w:tl2br w:val="nil"/>
              <w:tr2bl w:val="nil"/>
            </w:tcBorders>
            <w:vAlign w:val="center"/>
          </w:tcPr>
          <w:p w14:paraId="5DED05A9">
            <w:pPr>
              <w:spacing w:line="300" w:lineRule="atLeast"/>
              <w:jc w:val="center"/>
              <w:rPr>
                <w:rFonts w:ascii="Times New Roman" w:hAnsi="Times New Roman" w:eastAsia="宋体" w:cs="Times New Roman"/>
                <w:kern w:val="0"/>
                <w:szCs w:val="21"/>
                <w:lang w:bidi="ar"/>
              </w:rPr>
            </w:pPr>
            <w:r>
              <w:rPr>
                <w:rFonts w:hint="eastAsia" w:ascii="Times New Roman" w:hAnsi="Times New Roman" w:eastAsia="宋体" w:cs="Times New Roman"/>
                <w:szCs w:val="21"/>
              </w:rPr>
              <w:t>细菌总数(CFU/mL)</w:t>
            </w:r>
          </w:p>
        </w:tc>
        <w:tc>
          <w:tcPr>
            <w:tcW w:w="1585" w:type="dxa"/>
            <w:tcBorders>
              <w:tl2br w:val="nil"/>
              <w:tr2bl w:val="nil"/>
            </w:tcBorders>
            <w:vAlign w:val="center"/>
          </w:tcPr>
          <w:p w14:paraId="1FF0A5A9">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41</w:t>
            </w:r>
          </w:p>
        </w:tc>
        <w:tc>
          <w:tcPr>
            <w:tcW w:w="908" w:type="dxa"/>
            <w:tcBorders>
              <w:tl2br w:val="nil"/>
              <w:tr2bl w:val="nil"/>
            </w:tcBorders>
            <w:vAlign w:val="center"/>
          </w:tcPr>
          <w:p w14:paraId="178340B4">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1045" w:type="dxa"/>
            <w:tcBorders>
              <w:tl2br w:val="nil"/>
              <w:tr2bl w:val="nil"/>
            </w:tcBorders>
            <w:vAlign w:val="center"/>
          </w:tcPr>
          <w:p w14:paraId="3D04A82D">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0.41</w:t>
            </w:r>
          </w:p>
        </w:tc>
        <w:tc>
          <w:tcPr>
            <w:tcW w:w="914" w:type="dxa"/>
            <w:tcBorders>
              <w:tl2br w:val="nil"/>
              <w:tr2bl w:val="nil"/>
            </w:tcBorders>
            <w:vAlign w:val="center"/>
          </w:tcPr>
          <w:p w14:paraId="7E9F04FA">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l2br w:val="nil"/>
              <w:tr2bl w:val="nil"/>
            </w:tcBorders>
            <w:vAlign w:val="center"/>
          </w:tcPr>
          <w:p w14:paraId="328F190E">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4690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3" w:hRule="atLeast"/>
          <w:tblHeader/>
          <w:jc w:val="center"/>
        </w:trPr>
        <w:tc>
          <w:tcPr>
            <w:tcW w:w="1207" w:type="dxa"/>
            <w:vMerge w:val="continue"/>
            <w:tcBorders>
              <w:tl2br w:val="nil"/>
              <w:tr2bl w:val="nil"/>
            </w:tcBorders>
            <w:vAlign w:val="center"/>
          </w:tcPr>
          <w:p w14:paraId="50C254FC">
            <w:pPr>
              <w:spacing w:line="300" w:lineRule="atLeast"/>
              <w:jc w:val="center"/>
              <w:rPr>
                <w:rFonts w:ascii="Times New Roman" w:hAnsi="Times New Roman" w:eastAsia="宋体" w:cs="Times New Roman"/>
                <w:kern w:val="0"/>
                <w:szCs w:val="21"/>
                <w:lang w:bidi="ar"/>
              </w:rPr>
            </w:pPr>
          </w:p>
        </w:tc>
        <w:tc>
          <w:tcPr>
            <w:tcW w:w="1816" w:type="dxa"/>
            <w:tcBorders>
              <w:top w:val="single" w:color="000000" w:sz="4" w:space="0"/>
              <w:bottom w:val="single" w:color="000000" w:sz="4" w:space="0"/>
              <w:tl2br w:val="nil"/>
              <w:tr2bl w:val="nil"/>
            </w:tcBorders>
            <w:vAlign w:val="center"/>
          </w:tcPr>
          <w:p w14:paraId="37050239">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甲苯</w:t>
            </w:r>
          </w:p>
        </w:tc>
        <w:tc>
          <w:tcPr>
            <w:tcW w:w="1585" w:type="dxa"/>
            <w:tcBorders>
              <w:top w:val="single" w:color="000000" w:sz="4" w:space="0"/>
              <w:bottom w:val="single" w:color="000000" w:sz="4" w:space="0"/>
              <w:tl2br w:val="nil"/>
              <w:tr2bl w:val="nil"/>
            </w:tcBorders>
            <w:vAlign w:val="center"/>
          </w:tcPr>
          <w:p w14:paraId="699A79C6">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1.4 L</w:t>
            </w:r>
          </w:p>
        </w:tc>
        <w:tc>
          <w:tcPr>
            <w:tcW w:w="908" w:type="dxa"/>
            <w:tcBorders>
              <w:top w:val="single" w:color="000000" w:sz="4" w:space="0"/>
              <w:bottom w:val="single" w:color="000000" w:sz="4" w:space="0"/>
              <w:tl2br w:val="nil"/>
              <w:tr2bl w:val="nil"/>
            </w:tcBorders>
            <w:vAlign w:val="center"/>
          </w:tcPr>
          <w:p w14:paraId="43BB355D">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0.7</w:t>
            </w:r>
          </w:p>
        </w:tc>
        <w:tc>
          <w:tcPr>
            <w:tcW w:w="1045" w:type="dxa"/>
            <w:tcBorders>
              <w:top w:val="single" w:color="000000" w:sz="4" w:space="0"/>
              <w:bottom w:val="single" w:color="000000" w:sz="4" w:space="0"/>
              <w:tl2br w:val="nil"/>
              <w:tr2bl w:val="nil"/>
            </w:tcBorders>
            <w:vAlign w:val="center"/>
          </w:tcPr>
          <w:p w14:paraId="673F281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op w:val="single" w:color="000000" w:sz="4" w:space="0"/>
              <w:bottom w:val="single" w:color="000000" w:sz="4" w:space="0"/>
              <w:tl2br w:val="nil"/>
              <w:tr2bl w:val="nil"/>
            </w:tcBorders>
            <w:vAlign w:val="center"/>
          </w:tcPr>
          <w:p w14:paraId="183F0F2B">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op w:val="single" w:color="000000" w:sz="4" w:space="0"/>
              <w:bottom w:val="single" w:color="000000" w:sz="4" w:space="0"/>
              <w:tl2br w:val="nil"/>
              <w:tr2bl w:val="nil"/>
            </w:tcBorders>
            <w:vAlign w:val="center"/>
          </w:tcPr>
          <w:p w14:paraId="36D05AF2">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14:paraId="634C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 w:hRule="atLeast"/>
          <w:tblHeader/>
          <w:jc w:val="center"/>
        </w:trPr>
        <w:tc>
          <w:tcPr>
            <w:tcW w:w="1207" w:type="dxa"/>
            <w:vMerge w:val="continue"/>
            <w:tcBorders>
              <w:tl2br w:val="nil"/>
              <w:tr2bl w:val="nil"/>
            </w:tcBorders>
            <w:vAlign w:val="center"/>
          </w:tcPr>
          <w:p w14:paraId="36902984">
            <w:pPr>
              <w:spacing w:line="300" w:lineRule="atLeast"/>
              <w:jc w:val="center"/>
              <w:rPr>
                <w:rFonts w:ascii="Times New Roman" w:hAnsi="Times New Roman" w:eastAsia="宋体" w:cs="Times New Roman"/>
                <w:kern w:val="0"/>
                <w:szCs w:val="21"/>
                <w:lang w:bidi="ar"/>
              </w:rPr>
            </w:pPr>
          </w:p>
        </w:tc>
        <w:tc>
          <w:tcPr>
            <w:tcW w:w="1816" w:type="dxa"/>
            <w:tcBorders>
              <w:top w:val="single" w:color="000000" w:sz="4" w:space="0"/>
              <w:tl2br w:val="nil"/>
              <w:tr2bl w:val="nil"/>
            </w:tcBorders>
            <w:vAlign w:val="center"/>
          </w:tcPr>
          <w:p w14:paraId="1205A0FE">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二甲苯</w:t>
            </w:r>
          </w:p>
        </w:tc>
        <w:tc>
          <w:tcPr>
            <w:tcW w:w="1585" w:type="dxa"/>
            <w:tcBorders>
              <w:top w:val="single" w:color="000000" w:sz="4" w:space="0"/>
              <w:tl2br w:val="nil"/>
              <w:tr2bl w:val="nil"/>
            </w:tcBorders>
            <w:vAlign w:val="center"/>
          </w:tcPr>
          <w:p w14:paraId="2F01A93A">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908" w:type="dxa"/>
            <w:tcBorders>
              <w:top w:val="single" w:color="000000" w:sz="4" w:space="0"/>
              <w:tl2br w:val="nil"/>
              <w:tr2bl w:val="nil"/>
            </w:tcBorders>
            <w:vAlign w:val="center"/>
          </w:tcPr>
          <w:p w14:paraId="55B3BABF">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045" w:type="dxa"/>
            <w:tcBorders>
              <w:top w:val="single" w:color="000000" w:sz="4" w:space="0"/>
              <w:tl2br w:val="nil"/>
              <w:tr2bl w:val="nil"/>
            </w:tcBorders>
            <w:vAlign w:val="center"/>
          </w:tcPr>
          <w:p w14:paraId="6E736491">
            <w:pPr>
              <w:spacing w:line="300" w:lineRule="atLeas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14" w:type="dxa"/>
            <w:tcBorders>
              <w:top w:val="single" w:color="000000" w:sz="4" w:space="0"/>
              <w:tl2br w:val="nil"/>
              <w:tr2bl w:val="nil"/>
            </w:tcBorders>
            <w:vAlign w:val="center"/>
          </w:tcPr>
          <w:p w14:paraId="28C753FD">
            <w:pPr>
              <w:spacing w:line="300" w:lineRule="atLeast"/>
              <w:jc w:val="center"/>
              <w:rPr>
                <w:rFonts w:ascii="Times New Roman" w:hAnsi="Times New Roman" w:eastAsia="宋体" w:cs="Times New Roman"/>
                <w:szCs w:val="21"/>
              </w:rPr>
            </w:pPr>
            <w:r>
              <w:rPr>
                <w:rFonts w:ascii="Times New Roman" w:hAnsi="Times New Roman" w:eastAsia="宋体" w:cs="Times New Roman"/>
                <w:szCs w:val="21"/>
              </w:rPr>
              <w:t>0</w:t>
            </w:r>
          </w:p>
        </w:tc>
        <w:tc>
          <w:tcPr>
            <w:tcW w:w="882" w:type="dxa"/>
            <w:tcBorders>
              <w:top w:val="single" w:color="000000" w:sz="4" w:space="0"/>
              <w:tl2br w:val="nil"/>
              <w:tr2bl w:val="nil"/>
            </w:tcBorders>
            <w:vAlign w:val="center"/>
          </w:tcPr>
          <w:p w14:paraId="3011E944">
            <w:pPr>
              <w:spacing w:line="300" w:lineRule="atLeast"/>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bl>
    <w:p w14:paraId="6FEE80B7">
      <w:pPr>
        <w:snapToGrid w:val="0"/>
        <w:rPr>
          <w:rFonts w:ascii="Times New Roman" w:hAnsi="Times New Roman" w:eastAsia="宋体" w:cs="Times New Roman"/>
          <w:b/>
          <w:szCs w:val="21"/>
        </w:rPr>
      </w:pPr>
      <w:r>
        <w:rPr>
          <w:rFonts w:ascii="Times New Roman" w:hAnsi="Times New Roman" w:cs="Times New Roman"/>
          <w:b/>
          <w:szCs w:val="21"/>
        </w:rPr>
        <w:t>注：检出限加L表示未检出。</w:t>
      </w:r>
    </w:p>
    <w:p w14:paraId="6AF0B30C">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根据监测数据表明，地下水环境质量现状各监测点位pH、总硬度、氨氮、耗氧量、硝酸盐、亚硝酸盐、总氰化物、溶解性总固体、硫酸盐、氯化物、砷、汞、六价铬、铅、镉、铁、锰、总大肠菌群、菌落总数等监测值均能满足GB/T14848-2017《地下水质量标准》Ⅲ类标准要求。说明区域地下水环境质量现状较好。</w:t>
      </w:r>
    </w:p>
    <w:p w14:paraId="265DBA84">
      <w:pPr>
        <w:pStyle w:val="3"/>
        <w:numPr>
          <w:ilvl w:val="1"/>
          <w:numId w:val="43"/>
        </w:numPr>
      </w:pPr>
      <w:bookmarkStart w:id="183" w:name="_Toc18920"/>
      <w:bookmarkStart w:id="184" w:name="_Toc10793"/>
      <w:r>
        <w:t>声环境质量现状监测与评价</w:t>
      </w:r>
      <w:bookmarkEnd w:id="183"/>
      <w:bookmarkEnd w:id="184"/>
    </w:p>
    <w:p w14:paraId="0A5118E6">
      <w:pPr>
        <w:pStyle w:val="4"/>
        <w:numPr>
          <w:ilvl w:val="2"/>
          <w:numId w:val="51"/>
        </w:numPr>
        <w:tabs>
          <w:tab w:val="clear" w:pos="0"/>
        </w:tabs>
      </w:pPr>
      <w:r>
        <w:t>声环境质量现状监测</w:t>
      </w:r>
    </w:p>
    <w:p w14:paraId="469ACAAA">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（1）监测点的布设</w:t>
      </w:r>
    </w:p>
    <w:p w14:paraId="042C0E40">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在厂界四周各设一个声环境监测点，</w:t>
      </w:r>
      <w:r>
        <w:rPr>
          <w:rFonts w:hint="eastAsia" w:ascii="Times New Roman" w:hAnsi="Times New Roman" w:eastAsia="宋体" w:cs="Times New Roman"/>
          <w:sz w:val="24"/>
        </w:rPr>
        <w:t>在周边敏感目标骆家村各设一个</w:t>
      </w:r>
      <w:r>
        <w:rPr>
          <w:rFonts w:ascii="Times New Roman" w:hAnsi="Times New Roman" w:eastAsia="宋体" w:cs="Times New Roman"/>
          <w:sz w:val="24"/>
        </w:rPr>
        <w:t>声环境监测点</w:t>
      </w:r>
      <w:r>
        <w:rPr>
          <w:rFonts w:hint="eastAsia" w:ascii="Times New Roman" w:hAnsi="Times New Roman" w:eastAsia="宋体" w:cs="Times New Roman"/>
          <w:sz w:val="24"/>
        </w:rPr>
        <w:t>，</w:t>
      </w:r>
      <w:r>
        <w:rPr>
          <w:rFonts w:ascii="Times New Roman" w:hAnsi="Times New Roman" w:eastAsia="宋体" w:cs="Times New Roman"/>
          <w:sz w:val="24"/>
        </w:rPr>
        <w:t>共计</w:t>
      </w:r>
      <w:r>
        <w:rPr>
          <w:rFonts w:hint="eastAsia" w:ascii="Times New Roman" w:hAnsi="Times New Roman" w:eastAsia="宋体" w:cs="Times New Roman"/>
          <w:sz w:val="24"/>
        </w:rPr>
        <w:t>5</w:t>
      </w:r>
      <w:r>
        <w:rPr>
          <w:rFonts w:ascii="Times New Roman" w:hAnsi="Times New Roman" w:eastAsia="宋体" w:cs="Times New Roman"/>
          <w:sz w:val="24"/>
        </w:rPr>
        <w:t>个监测点。</w:t>
      </w:r>
    </w:p>
    <w:p w14:paraId="62AB45EF">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（2）监测时间及频率</w:t>
      </w:r>
    </w:p>
    <w:p w14:paraId="2F47517C">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本次声环境质量现状于202</w:t>
      </w:r>
      <w:r>
        <w:rPr>
          <w:rFonts w:hint="eastAsia" w:ascii="Times New Roman" w:hAnsi="Times New Roman" w:eastAsia="宋体" w:cs="Times New Roman"/>
          <w:sz w:val="24"/>
        </w:rPr>
        <w:t>3</w:t>
      </w:r>
      <w:r>
        <w:rPr>
          <w:rFonts w:ascii="Times New Roman" w:hAnsi="Times New Roman" w:eastAsia="宋体" w:cs="Times New Roman"/>
          <w:sz w:val="24"/>
        </w:rPr>
        <w:t>年</w:t>
      </w:r>
      <w:r>
        <w:rPr>
          <w:rFonts w:hint="eastAsia" w:ascii="Times New Roman" w:hAnsi="Times New Roman" w:eastAsia="宋体" w:cs="Times New Roman"/>
          <w:sz w:val="24"/>
        </w:rPr>
        <w:t>3</w:t>
      </w:r>
      <w:r>
        <w:rPr>
          <w:rFonts w:ascii="Times New Roman" w:hAnsi="Times New Roman" w:eastAsia="宋体" w:cs="Times New Roman"/>
          <w:sz w:val="24"/>
        </w:rPr>
        <w:t>月</w:t>
      </w:r>
      <w:r>
        <w:rPr>
          <w:rFonts w:hint="eastAsia" w:ascii="Times New Roman" w:hAnsi="Times New Roman" w:eastAsia="宋体" w:cs="Times New Roman"/>
          <w:sz w:val="24"/>
        </w:rPr>
        <w:t>23</w:t>
      </w:r>
      <w:r>
        <w:rPr>
          <w:rFonts w:ascii="Times New Roman" w:hAnsi="Times New Roman" w:eastAsia="宋体" w:cs="Times New Roman"/>
          <w:sz w:val="24"/>
        </w:rPr>
        <w:t>日-202</w:t>
      </w:r>
      <w:r>
        <w:rPr>
          <w:rFonts w:hint="eastAsia" w:ascii="Times New Roman" w:hAnsi="Times New Roman" w:eastAsia="宋体" w:cs="Times New Roman"/>
          <w:sz w:val="24"/>
        </w:rPr>
        <w:t>3</w:t>
      </w:r>
      <w:r>
        <w:rPr>
          <w:rFonts w:ascii="Times New Roman" w:hAnsi="Times New Roman" w:eastAsia="宋体" w:cs="Times New Roman"/>
          <w:sz w:val="24"/>
        </w:rPr>
        <w:t>年</w:t>
      </w:r>
      <w:r>
        <w:rPr>
          <w:rFonts w:hint="eastAsia" w:ascii="Times New Roman" w:hAnsi="Times New Roman" w:eastAsia="宋体" w:cs="Times New Roman"/>
          <w:sz w:val="24"/>
        </w:rPr>
        <w:t>3</w:t>
      </w:r>
      <w:r>
        <w:rPr>
          <w:rFonts w:ascii="Times New Roman" w:hAnsi="Times New Roman" w:eastAsia="宋体" w:cs="Times New Roman"/>
          <w:sz w:val="24"/>
        </w:rPr>
        <w:t>月</w:t>
      </w:r>
      <w:r>
        <w:rPr>
          <w:rFonts w:hint="eastAsia" w:ascii="Times New Roman" w:hAnsi="Times New Roman" w:eastAsia="宋体" w:cs="Times New Roman"/>
          <w:sz w:val="24"/>
        </w:rPr>
        <w:t>24</w:t>
      </w:r>
      <w:r>
        <w:rPr>
          <w:rFonts w:ascii="Times New Roman" w:hAnsi="Times New Roman" w:eastAsia="宋体" w:cs="Times New Roman"/>
          <w:sz w:val="24"/>
        </w:rPr>
        <w:t>日连续监测两天，每天昼、夜各监测一次。</w:t>
      </w:r>
    </w:p>
    <w:p w14:paraId="0D49D674">
      <w:pPr>
        <w:pStyle w:val="4"/>
        <w:numPr>
          <w:ilvl w:val="2"/>
          <w:numId w:val="51"/>
        </w:numPr>
        <w:tabs>
          <w:tab w:val="clear" w:pos="0"/>
        </w:tabs>
      </w:pPr>
      <w:r>
        <w:t>声环境质量现状评价</w:t>
      </w:r>
    </w:p>
    <w:p w14:paraId="28E4173A">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（1）评价标准</w:t>
      </w:r>
    </w:p>
    <w:p w14:paraId="559CD864">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本项目</w:t>
      </w:r>
      <w:r>
        <w:rPr>
          <w:rFonts w:hint="eastAsia" w:ascii="Times New Roman" w:hAnsi="Times New Roman" w:eastAsia="宋体" w:cs="Times New Roman"/>
          <w:sz w:val="24"/>
        </w:rPr>
        <w:t>厂界</w:t>
      </w:r>
      <w:r>
        <w:rPr>
          <w:rFonts w:ascii="Times New Roman" w:hAnsi="Times New Roman" w:eastAsia="宋体" w:cs="Times New Roman"/>
          <w:sz w:val="24"/>
        </w:rPr>
        <w:t>声环境质量执行《声环境质量标准》（GB3096-2008）3类标准限值（昼间≤65dB(A)、夜间≤55dB(A)）要求</w:t>
      </w:r>
      <w:r>
        <w:rPr>
          <w:rFonts w:hint="eastAsia" w:ascii="Times New Roman" w:hAnsi="Times New Roman" w:eastAsia="宋体" w:cs="Times New Roman"/>
          <w:sz w:val="24"/>
        </w:rPr>
        <w:t>，敏感点噪声</w:t>
      </w:r>
      <w:r>
        <w:rPr>
          <w:rFonts w:ascii="Times New Roman" w:hAnsi="Times New Roman" w:eastAsia="宋体" w:cs="Times New Roman"/>
          <w:sz w:val="24"/>
        </w:rPr>
        <w:t>执行《声环境质量标准》（GB3096-2008）</w:t>
      </w:r>
      <w:r>
        <w:rPr>
          <w:rFonts w:hint="eastAsia" w:ascii="Times New Roman" w:hAnsi="Times New Roman" w:eastAsia="宋体" w:cs="Times New Roman"/>
          <w:sz w:val="24"/>
        </w:rPr>
        <w:t>2</w:t>
      </w:r>
      <w:r>
        <w:rPr>
          <w:rFonts w:ascii="Times New Roman" w:hAnsi="Times New Roman" w:eastAsia="宋体" w:cs="Times New Roman"/>
          <w:sz w:val="24"/>
        </w:rPr>
        <w:t>类标准限值（昼间≤6</w:t>
      </w:r>
      <w:r>
        <w:rPr>
          <w:rFonts w:hint="eastAsia" w:ascii="Times New Roman" w:hAnsi="Times New Roman" w:eastAsia="宋体" w:cs="Times New Roman"/>
          <w:sz w:val="24"/>
        </w:rPr>
        <w:t>0</w:t>
      </w:r>
      <w:r>
        <w:rPr>
          <w:rFonts w:ascii="Times New Roman" w:hAnsi="Times New Roman" w:eastAsia="宋体" w:cs="Times New Roman"/>
          <w:sz w:val="24"/>
        </w:rPr>
        <w:t>dB(A)、夜间≤5</w:t>
      </w:r>
      <w:r>
        <w:rPr>
          <w:rFonts w:hint="eastAsia" w:ascii="Times New Roman" w:hAnsi="Times New Roman" w:eastAsia="宋体" w:cs="Times New Roman"/>
          <w:sz w:val="24"/>
        </w:rPr>
        <w:t>0</w:t>
      </w:r>
      <w:r>
        <w:rPr>
          <w:rFonts w:ascii="Times New Roman" w:hAnsi="Times New Roman" w:eastAsia="宋体" w:cs="Times New Roman"/>
          <w:sz w:val="24"/>
        </w:rPr>
        <w:t>dB(A)）要求。</w:t>
      </w:r>
    </w:p>
    <w:p w14:paraId="737329E8">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（2）评价方法</w:t>
      </w:r>
    </w:p>
    <w:p w14:paraId="30A9F370">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根据现状监测结果，采用等效声级法，即用各监测点等效声级值与评价标准相比较，得出声环境质量现状评价结果。</w:t>
      </w:r>
    </w:p>
    <w:p w14:paraId="7CC71C84">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声环境质量现状监测结果统计见</w:t>
      </w:r>
      <w:r>
        <w:rPr>
          <w:rFonts w:hint="eastAsia" w:ascii="Times New Roman" w:hAnsi="Times New Roman" w:eastAsia="宋体" w:cs="Times New Roman"/>
          <w:sz w:val="24"/>
        </w:rPr>
        <w:t>下表</w:t>
      </w:r>
      <w:r>
        <w:rPr>
          <w:rFonts w:ascii="Times New Roman" w:hAnsi="Times New Roman" w:eastAsia="宋体" w:cs="Times New Roman"/>
          <w:sz w:val="24"/>
        </w:rPr>
        <w:t>。</w:t>
      </w:r>
    </w:p>
    <w:p w14:paraId="7FDBD18B">
      <w:pPr>
        <w:spacing w:before="156" w:beforeLines="50"/>
        <w:contextualSpacing/>
        <w:jc w:val="center"/>
        <w:rPr>
          <w:rFonts w:ascii="Times New Roman" w:hAnsi="Times New Roman" w:eastAsia="宋体" w:cs="Times New Roman"/>
          <w:szCs w:val="21"/>
        </w:rPr>
      </w:pPr>
      <w:r>
        <w:rPr>
          <w:rFonts w:hint="eastAsia" w:ascii="Times New Roman" w:hAnsi="Times New Roman" w:eastAsia="宋体" w:cs="Times New Roman"/>
          <w:b/>
          <w:bCs/>
          <w:szCs w:val="21"/>
        </w:rPr>
        <w:t>表4</w:t>
      </w:r>
      <w:r>
        <w:rPr>
          <w:rFonts w:hint="eastAsia" w:ascii="Times New Roman" w:hAnsi="Times New Roman" w:eastAsia="宋体" w:cs="Times New Roman"/>
          <w:b/>
          <w:bCs/>
          <w:szCs w:val="21"/>
          <w:lang w:val="en-US" w:eastAsia="zh-CN"/>
        </w:rPr>
        <w:t>5</w:t>
      </w:r>
      <w:r>
        <w:rPr>
          <w:rFonts w:hint="eastAsia" w:ascii="Times New Roman" w:hAnsi="Times New Roman" w:eastAsia="宋体" w:cs="Times New Roman"/>
          <w:b/>
          <w:bCs/>
          <w:szCs w:val="21"/>
        </w:rPr>
        <w:t>-1</w:t>
      </w:r>
      <w:r>
        <w:rPr>
          <w:rFonts w:ascii="Times New Roman" w:hAnsi="Times New Roman" w:eastAsia="宋体" w:cs="Times New Roman"/>
          <w:b/>
          <w:bCs/>
          <w:szCs w:val="21"/>
        </w:rPr>
        <w:t xml:space="preserve">  声环境质量现状监测</w:t>
      </w:r>
      <w:r>
        <w:rPr>
          <w:rFonts w:hint="eastAsia" w:ascii="Times New Roman" w:hAnsi="Times New Roman" w:eastAsia="宋体" w:cs="Times New Roman"/>
          <w:b/>
          <w:bCs/>
          <w:szCs w:val="21"/>
        </w:rPr>
        <w:t>结果</w:t>
      </w:r>
      <w:r>
        <w:rPr>
          <w:rFonts w:ascii="Times New Roman" w:hAnsi="Times New Roman" w:eastAsia="宋体" w:cs="Times New Roman"/>
          <w:b/>
          <w:bCs/>
          <w:szCs w:val="21"/>
        </w:rPr>
        <w:t>一览表</w:t>
      </w:r>
    </w:p>
    <w:tbl>
      <w:tblPr>
        <w:tblStyle w:val="31"/>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48"/>
        <w:gridCol w:w="1034"/>
        <w:gridCol w:w="1357"/>
        <w:gridCol w:w="1357"/>
        <w:gridCol w:w="1357"/>
        <w:gridCol w:w="1370"/>
      </w:tblGrid>
      <w:tr w14:paraId="62EB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48" w:type="dxa"/>
            <w:vMerge w:val="restart"/>
            <w:tcBorders>
              <w:tl2br w:val="nil"/>
              <w:tr2bl w:val="nil"/>
            </w:tcBorders>
            <w:vAlign w:val="center"/>
          </w:tcPr>
          <w:p w14:paraId="0915E2AF">
            <w:pPr>
              <w:snapToGrid w:val="0"/>
              <w:jc w:val="center"/>
              <w:rPr>
                <w:rFonts w:ascii="Times New Roman" w:hAnsi="Times New Roman" w:cs="Times New Roman"/>
                <w:szCs w:val="21"/>
              </w:rPr>
            </w:pPr>
            <w:r>
              <w:rPr>
                <w:rFonts w:ascii="Times New Roman" w:hAnsi="Times New Roman" w:eastAsia="宋体" w:cs="Times New Roman"/>
                <w:szCs w:val="21"/>
              </w:rPr>
              <w:t>检测日期</w:t>
            </w:r>
          </w:p>
        </w:tc>
        <w:tc>
          <w:tcPr>
            <w:tcW w:w="6475" w:type="dxa"/>
            <w:gridSpan w:val="5"/>
            <w:tcBorders>
              <w:tl2br w:val="nil"/>
              <w:tr2bl w:val="nil"/>
            </w:tcBorders>
            <w:vAlign w:val="center"/>
          </w:tcPr>
          <w:p w14:paraId="6C58EB67">
            <w:pPr>
              <w:snapToGrid w:val="0"/>
              <w:jc w:val="center"/>
              <w:rPr>
                <w:rFonts w:ascii="Times New Roman" w:hAnsi="Times New Roman" w:eastAsia="宋体" w:cs="Times New Roman"/>
                <w:szCs w:val="21"/>
              </w:rPr>
            </w:pPr>
            <w:r>
              <w:rPr>
                <w:rFonts w:ascii="Times New Roman" w:hAnsi="Times New Roman" w:eastAsia="宋体" w:cs="Times New Roman"/>
                <w:szCs w:val="21"/>
              </w:rPr>
              <w:t>检测点位</w:t>
            </w:r>
          </w:p>
        </w:tc>
      </w:tr>
      <w:tr w14:paraId="231C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48" w:type="dxa"/>
            <w:vMerge w:val="continue"/>
            <w:tcBorders>
              <w:tl2br w:val="nil"/>
              <w:tr2bl w:val="nil"/>
            </w:tcBorders>
            <w:vAlign w:val="center"/>
          </w:tcPr>
          <w:p w14:paraId="24EB78A4">
            <w:pPr>
              <w:jc w:val="center"/>
              <w:rPr>
                <w:rFonts w:ascii="Times New Roman" w:hAnsi="Times New Roman" w:cs="Times New Roman"/>
                <w:szCs w:val="21"/>
              </w:rPr>
            </w:pPr>
          </w:p>
        </w:tc>
        <w:tc>
          <w:tcPr>
            <w:tcW w:w="1034" w:type="dxa"/>
            <w:tcBorders>
              <w:tl2br w:val="nil"/>
              <w:tr2bl w:val="nil"/>
            </w:tcBorders>
            <w:vAlign w:val="center"/>
          </w:tcPr>
          <w:p w14:paraId="38FC0D66">
            <w:pPr>
              <w:snapToGrid w:val="0"/>
              <w:jc w:val="center"/>
              <w:rPr>
                <w:rFonts w:ascii="Times New Roman" w:hAnsi="Times New Roman" w:cs="Times New Roman"/>
                <w:szCs w:val="21"/>
              </w:rPr>
            </w:pPr>
            <w:r>
              <w:rPr>
                <w:rFonts w:ascii="Times New Roman" w:hAnsi="Times New Roman" w:eastAsia="宋体" w:cs="Times New Roman"/>
                <w:szCs w:val="21"/>
              </w:rPr>
              <w:t>厂界东</w:t>
            </w:r>
          </w:p>
        </w:tc>
        <w:tc>
          <w:tcPr>
            <w:tcW w:w="1357" w:type="dxa"/>
            <w:tcBorders>
              <w:tl2br w:val="nil"/>
              <w:tr2bl w:val="nil"/>
            </w:tcBorders>
            <w:vAlign w:val="center"/>
          </w:tcPr>
          <w:p w14:paraId="08F282EA">
            <w:pPr>
              <w:snapToGrid w:val="0"/>
              <w:jc w:val="center"/>
              <w:rPr>
                <w:rFonts w:ascii="Times New Roman" w:hAnsi="Times New Roman" w:cs="Times New Roman"/>
                <w:szCs w:val="21"/>
              </w:rPr>
            </w:pPr>
            <w:r>
              <w:rPr>
                <w:rFonts w:ascii="Times New Roman" w:hAnsi="Times New Roman" w:eastAsia="宋体" w:cs="Times New Roman"/>
                <w:szCs w:val="21"/>
              </w:rPr>
              <w:t>厂界南</w:t>
            </w:r>
          </w:p>
        </w:tc>
        <w:tc>
          <w:tcPr>
            <w:tcW w:w="1357" w:type="dxa"/>
            <w:tcBorders>
              <w:tl2br w:val="nil"/>
              <w:tr2bl w:val="nil"/>
            </w:tcBorders>
            <w:vAlign w:val="center"/>
          </w:tcPr>
          <w:p w14:paraId="3310352D">
            <w:pPr>
              <w:snapToGrid w:val="0"/>
              <w:jc w:val="center"/>
              <w:rPr>
                <w:rFonts w:ascii="Times New Roman" w:hAnsi="Times New Roman" w:cs="Times New Roman"/>
                <w:szCs w:val="21"/>
              </w:rPr>
            </w:pPr>
            <w:r>
              <w:rPr>
                <w:rFonts w:ascii="Times New Roman" w:hAnsi="Times New Roman" w:eastAsia="宋体" w:cs="Times New Roman"/>
                <w:szCs w:val="21"/>
              </w:rPr>
              <w:t>厂界西</w:t>
            </w:r>
          </w:p>
        </w:tc>
        <w:tc>
          <w:tcPr>
            <w:tcW w:w="1357" w:type="dxa"/>
            <w:tcBorders>
              <w:tl2br w:val="nil"/>
              <w:tr2bl w:val="nil"/>
            </w:tcBorders>
            <w:vAlign w:val="center"/>
          </w:tcPr>
          <w:p w14:paraId="11316433">
            <w:pPr>
              <w:snapToGrid w:val="0"/>
              <w:jc w:val="center"/>
              <w:rPr>
                <w:rFonts w:ascii="Times New Roman" w:hAnsi="Times New Roman" w:eastAsia="宋体" w:cs="Times New Roman"/>
                <w:szCs w:val="21"/>
              </w:rPr>
            </w:pPr>
            <w:r>
              <w:rPr>
                <w:rFonts w:ascii="Times New Roman" w:hAnsi="Times New Roman" w:eastAsia="宋体" w:cs="Times New Roman"/>
                <w:szCs w:val="21"/>
              </w:rPr>
              <w:t>厂界北</w:t>
            </w:r>
          </w:p>
        </w:tc>
        <w:tc>
          <w:tcPr>
            <w:tcW w:w="1370" w:type="dxa"/>
            <w:tcBorders>
              <w:tl2br w:val="nil"/>
              <w:tr2bl w:val="nil"/>
            </w:tcBorders>
            <w:vAlign w:val="center"/>
          </w:tcPr>
          <w:p w14:paraId="56F02C7A">
            <w:pPr>
              <w:snapToGrid w:val="0"/>
              <w:jc w:val="center"/>
              <w:rPr>
                <w:rFonts w:ascii="Times New Roman" w:hAnsi="Times New Roman" w:eastAsia="宋体" w:cs="Times New Roman"/>
                <w:szCs w:val="21"/>
              </w:rPr>
            </w:pPr>
            <w:r>
              <w:rPr>
                <w:rFonts w:hint="eastAsia" w:ascii="Times New Roman" w:hAnsi="Times New Roman" w:eastAsia="宋体" w:cs="Times New Roman"/>
                <w:kern w:val="0"/>
                <w:szCs w:val="21"/>
                <w:lang w:bidi="ar"/>
              </w:rPr>
              <w:t>骆家村</w:t>
            </w:r>
          </w:p>
        </w:tc>
      </w:tr>
      <w:tr w14:paraId="200D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48" w:type="dxa"/>
            <w:tcBorders>
              <w:tl2br w:val="nil"/>
              <w:tr2bl w:val="nil"/>
            </w:tcBorders>
            <w:vAlign w:val="center"/>
          </w:tcPr>
          <w:p w14:paraId="5D304220">
            <w:pPr>
              <w:widowControl/>
              <w:jc w:val="center"/>
              <w:textAlignment w:val="center"/>
              <w:rPr>
                <w:rFonts w:ascii="Times New Roman" w:hAnsi="Times New Roman" w:cs="Times New Roman"/>
                <w:szCs w:val="21"/>
              </w:rPr>
            </w:pPr>
            <w:r>
              <w:rPr>
                <w:rFonts w:ascii="Times New Roman" w:hAnsi="Times New Roman" w:cs="Times New Roman"/>
                <w:kern w:val="0"/>
                <w:szCs w:val="21"/>
                <w:lang w:bidi="ar"/>
              </w:rPr>
              <w:t>03月23日</w:t>
            </w:r>
            <w:r>
              <w:rPr>
                <w:rFonts w:hint="eastAsia" w:ascii="Times New Roman" w:hAnsi="Times New Roman" w:eastAsia="宋体" w:cs="Times New Roman"/>
                <w:kern w:val="0"/>
                <w:szCs w:val="21"/>
              </w:rPr>
              <w:t>（</w:t>
            </w:r>
            <w:r>
              <w:rPr>
                <w:rFonts w:ascii="Times New Roman" w:hAnsi="Times New Roman" w:cs="Times New Roman"/>
                <w:szCs w:val="21"/>
              </w:rPr>
              <w:t>昼</w:t>
            </w:r>
            <w:r>
              <w:rPr>
                <w:rFonts w:ascii="Times New Roman" w:hAnsi="Times New Roman" w:eastAsia="宋体" w:cs="Times New Roman"/>
                <w:kern w:val="0"/>
                <w:szCs w:val="21"/>
              </w:rPr>
              <w:t>间</w:t>
            </w:r>
            <w:r>
              <w:rPr>
                <w:rFonts w:hint="eastAsia" w:ascii="Times New Roman" w:hAnsi="Times New Roman" w:eastAsia="宋体" w:cs="Times New Roman"/>
                <w:kern w:val="0"/>
                <w:szCs w:val="21"/>
              </w:rPr>
              <w:t>）</w:t>
            </w:r>
          </w:p>
        </w:tc>
        <w:tc>
          <w:tcPr>
            <w:tcW w:w="1034" w:type="dxa"/>
            <w:tcBorders>
              <w:tl2br w:val="nil"/>
              <w:tr2bl w:val="nil"/>
            </w:tcBorders>
            <w:vAlign w:val="center"/>
          </w:tcPr>
          <w:p w14:paraId="7BDC9395">
            <w:pPr>
              <w:jc w:val="center"/>
              <w:rPr>
                <w:rFonts w:ascii="Times New Roman" w:hAnsi="Times New Roman" w:eastAsia="宋体" w:cs="Times New Roman"/>
                <w:kern w:val="0"/>
                <w:szCs w:val="21"/>
              </w:rPr>
            </w:pPr>
            <w:r>
              <w:rPr>
                <w:rFonts w:ascii="Times New Roman" w:hAnsi="Times New Roman" w:cs="Times New Roman"/>
                <w:kern w:val="0"/>
                <w:szCs w:val="21"/>
              </w:rPr>
              <w:t>53</w:t>
            </w:r>
          </w:p>
        </w:tc>
        <w:tc>
          <w:tcPr>
            <w:tcW w:w="1357" w:type="dxa"/>
            <w:tcBorders>
              <w:tl2br w:val="nil"/>
              <w:tr2bl w:val="nil"/>
            </w:tcBorders>
            <w:vAlign w:val="center"/>
          </w:tcPr>
          <w:p w14:paraId="3B234E29">
            <w:pPr>
              <w:jc w:val="center"/>
              <w:rPr>
                <w:rFonts w:ascii="Times New Roman" w:hAnsi="Times New Roman" w:cs="Times New Roman"/>
                <w:szCs w:val="21"/>
              </w:rPr>
            </w:pPr>
            <w:r>
              <w:rPr>
                <w:rFonts w:ascii="Times New Roman" w:hAnsi="Times New Roman" w:cs="Times New Roman"/>
                <w:szCs w:val="21"/>
              </w:rPr>
              <w:t>54</w:t>
            </w:r>
          </w:p>
        </w:tc>
        <w:tc>
          <w:tcPr>
            <w:tcW w:w="1357" w:type="dxa"/>
            <w:tcBorders>
              <w:tl2br w:val="nil"/>
              <w:tr2bl w:val="nil"/>
            </w:tcBorders>
            <w:vAlign w:val="center"/>
          </w:tcPr>
          <w:p w14:paraId="63BD3DF5">
            <w:pPr>
              <w:jc w:val="center"/>
              <w:rPr>
                <w:rFonts w:ascii="Times New Roman" w:hAnsi="Times New Roman" w:cs="Times New Roman"/>
                <w:szCs w:val="21"/>
              </w:rPr>
            </w:pPr>
            <w:r>
              <w:rPr>
                <w:rFonts w:ascii="Times New Roman" w:hAnsi="Times New Roman" w:cs="Times New Roman"/>
                <w:szCs w:val="21"/>
              </w:rPr>
              <w:t>51</w:t>
            </w:r>
          </w:p>
        </w:tc>
        <w:tc>
          <w:tcPr>
            <w:tcW w:w="1357" w:type="dxa"/>
            <w:tcBorders>
              <w:tl2br w:val="nil"/>
              <w:tr2bl w:val="nil"/>
            </w:tcBorders>
            <w:vAlign w:val="center"/>
          </w:tcPr>
          <w:p w14:paraId="665CBD6C">
            <w:pPr>
              <w:jc w:val="center"/>
              <w:rPr>
                <w:rFonts w:ascii="Times New Roman" w:hAnsi="Times New Roman" w:cs="Times New Roman"/>
                <w:szCs w:val="21"/>
              </w:rPr>
            </w:pPr>
            <w:r>
              <w:rPr>
                <w:rFonts w:ascii="Times New Roman" w:hAnsi="Times New Roman" w:cs="Times New Roman"/>
                <w:szCs w:val="21"/>
              </w:rPr>
              <w:t>52</w:t>
            </w:r>
          </w:p>
        </w:tc>
        <w:tc>
          <w:tcPr>
            <w:tcW w:w="1370" w:type="dxa"/>
            <w:tcBorders>
              <w:tl2br w:val="nil"/>
              <w:tr2bl w:val="nil"/>
            </w:tcBorders>
            <w:vAlign w:val="center"/>
          </w:tcPr>
          <w:p w14:paraId="4E6C1822">
            <w:pPr>
              <w:widowControl/>
              <w:jc w:val="center"/>
              <w:textAlignment w:val="center"/>
              <w:rPr>
                <w:rFonts w:ascii="Times New Roman" w:hAnsi="Times New Roman" w:eastAsia="宋体" w:cs="Times New Roman"/>
                <w:kern w:val="0"/>
                <w:szCs w:val="21"/>
                <w:lang w:bidi="ar"/>
              </w:rPr>
            </w:pPr>
            <w:r>
              <w:rPr>
                <w:rFonts w:ascii="Times New Roman" w:hAnsi="Times New Roman" w:cs="Times New Roman"/>
                <w:kern w:val="0"/>
                <w:szCs w:val="21"/>
                <w:lang w:bidi="ar"/>
              </w:rPr>
              <w:t>50</w:t>
            </w:r>
          </w:p>
        </w:tc>
      </w:tr>
      <w:tr w14:paraId="7D4C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48" w:type="dxa"/>
            <w:tcBorders>
              <w:tl2br w:val="nil"/>
              <w:tr2bl w:val="nil"/>
            </w:tcBorders>
            <w:vAlign w:val="center"/>
          </w:tcPr>
          <w:p w14:paraId="4E84234E">
            <w:pPr>
              <w:widowControl/>
              <w:jc w:val="center"/>
              <w:textAlignment w:val="center"/>
              <w:rPr>
                <w:rFonts w:ascii="Times New Roman" w:hAnsi="Times New Roman" w:eastAsia="宋体" w:cs="Times New Roman"/>
                <w:kern w:val="0"/>
                <w:szCs w:val="21"/>
              </w:rPr>
            </w:pPr>
            <w:r>
              <w:rPr>
                <w:rFonts w:ascii="Times New Roman" w:hAnsi="Times New Roman" w:cs="Times New Roman"/>
                <w:kern w:val="0"/>
                <w:szCs w:val="21"/>
                <w:lang w:bidi="ar"/>
              </w:rPr>
              <w:t>03月23日</w:t>
            </w:r>
            <w:r>
              <w:rPr>
                <w:rFonts w:hint="eastAsia" w:ascii="Times New Roman" w:hAnsi="Times New Roman" w:cs="Times New Roman"/>
                <w:kern w:val="0"/>
                <w:szCs w:val="21"/>
                <w:lang w:bidi="ar"/>
              </w:rPr>
              <w:t>（</w:t>
            </w:r>
            <w:r>
              <w:rPr>
                <w:rFonts w:ascii="Times New Roman" w:hAnsi="Times New Roman" w:eastAsia="宋体" w:cs="Times New Roman"/>
                <w:kern w:val="0"/>
                <w:szCs w:val="21"/>
              </w:rPr>
              <w:t>夜间</w:t>
            </w:r>
            <w:r>
              <w:rPr>
                <w:rFonts w:hint="eastAsia" w:ascii="Times New Roman" w:hAnsi="Times New Roman" w:cs="Times New Roman"/>
                <w:kern w:val="0"/>
                <w:szCs w:val="21"/>
                <w:lang w:bidi="ar"/>
              </w:rPr>
              <w:t>）</w:t>
            </w:r>
          </w:p>
        </w:tc>
        <w:tc>
          <w:tcPr>
            <w:tcW w:w="1034" w:type="dxa"/>
            <w:tcBorders>
              <w:tl2br w:val="nil"/>
              <w:tr2bl w:val="nil"/>
            </w:tcBorders>
            <w:vAlign w:val="center"/>
          </w:tcPr>
          <w:p w14:paraId="78118B7B">
            <w:pPr>
              <w:jc w:val="center"/>
              <w:rPr>
                <w:rFonts w:ascii="Times New Roman" w:hAnsi="Times New Roman" w:eastAsia="宋体" w:cs="Times New Roman"/>
                <w:kern w:val="0"/>
                <w:szCs w:val="21"/>
              </w:rPr>
            </w:pPr>
            <w:r>
              <w:rPr>
                <w:rFonts w:ascii="Times New Roman" w:hAnsi="Times New Roman" w:cs="Times New Roman"/>
                <w:kern w:val="0"/>
                <w:szCs w:val="21"/>
              </w:rPr>
              <w:t>43</w:t>
            </w:r>
          </w:p>
        </w:tc>
        <w:tc>
          <w:tcPr>
            <w:tcW w:w="1357" w:type="dxa"/>
            <w:tcBorders>
              <w:tl2br w:val="nil"/>
              <w:tr2bl w:val="nil"/>
            </w:tcBorders>
            <w:vAlign w:val="center"/>
          </w:tcPr>
          <w:p w14:paraId="54A735B9">
            <w:pPr>
              <w:jc w:val="center"/>
              <w:rPr>
                <w:rFonts w:ascii="Times New Roman" w:hAnsi="Times New Roman" w:cs="Times New Roman"/>
                <w:szCs w:val="21"/>
              </w:rPr>
            </w:pPr>
            <w:r>
              <w:rPr>
                <w:rFonts w:ascii="Times New Roman" w:hAnsi="Times New Roman" w:cs="Times New Roman"/>
                <w:szCs w:val="21"/>
              </w:rPr>
              <w:t>44</w:t>
            </w:r>
          </w:p>
        </w:tc>
        <w:tc>
          <w:tcPr>
            <w:tcW w:w="1357" w:type="dxa"/>
            <w:tcBorders>
              <w:tl2br w:val="nil"/>
              <w:tr2bl w:val="nil"/>
            </w:tcBorders>
            <w:vAlign w:val="center"/>
          </w:tcPr>
          <w:p w14:paraId="5AB798F7">
            <w:pPr>
              <w:jc w:val="center"/>
              <w:rPr>
                <w:rFonts w:ascii="Times New Roman" w:hAnsi="Times New Roman" w:cs="Times New Roman"/>
                <w:szCs w:val="21"/>
              </w:rPr>
            </w:pPr>
            <w:r>
              <w:rPr>
                <w:rFonts w:ascii="Times New Roman" w:hAnsi="Times New Roman" w:cs="Times New Roman"/>
                <w:szCs w:val="21"/>
              </w:rPr>
              <w:t>41</w:t>
            </w:r>
          </w:p>
        </w:tc>
        <w:tc>
          <w:tcPr>
            <w:tcW w:w="1357" w:type="dxa"/>
            <w:tcBorders>
              <w:tl2br w:val="nil"/>
              <w:tr2bl w:val="nil"/>
            </w:tcBorders>
            <w:vAlign w:val="center"/>
          </w:tcPr>
          <w:p w14:paraId="2DD85C0B">
            <w:pPr>
              <w:jc w:val="center"/>
              <w:rPr>
                <w:rFonts w:ascii="Times New Roman" w:hAnsi="Times New Roman" w:cs="Times New Roman"/>
                <w:szCs w:val="21"/>
              </w:rPr>
            </w:pPr>
            <w:r>
              <w:rPr>
                <w:rFonts w:ascii="Times New Roman" w:hAnsi="Times New Roman" w:cs="Times New Roman"/>
                <w:szCs w:val="21"/>
              </w:rPr>
              <w:t>42</w:t>
            </w:r>
          </w:p>
        </w:tc>
        <w:tc>
          <w:tcPr>
            <w:tcW w:w="1370" w:type="dxa"/>
            <w:tcBorders>
              <w:tl2br w:val="nil"/>
              <w:tr2bl w:val="nil"/>
            </w:tcBorders>
            <w:vAlign w:val="center"/>
          </w:tcPr>
          <w:p w14:paraId="6235EE19">
            <w:pPr>
              <w:widowControl/>
              <w:jc w:val="center"/>
              <w:textAlignment w:val="center"/>
              <w:rPr>
                <w:rFonts w:ascii="Times New Roman" w:hAnsi="Times New Roman" w:eastAsia="宋体" w:cs="Times New Roman"/>
                <w:kern w:val="0"/>
                <w:szCs w:val="21"/>
                <w:lang w:bidi="ar"/>
              </w:rPr>
            </w:pPr>
            <w:r>
              <w:rPr>
                <w:rFonts w:ascii="Times New Roman" w:hAnsi="Times New Roman" w:cs="Times New Roman"/>
                <w:kern w:val="0"/>
                <w:szCs w:val="21"/>
                <w:lang w:bidi="ar"/>
              </w:rPr>
              <w:t>40</w:t>
            </w:r>
          </w:p>
        </w:tc>
      </w:tr>
      <w:tr w14:paraId="0891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48" w:type="dxa"/>
            <w:tcBorders>
              <w:tl2br w:val="nil"/>
              <w:tr2bl w:val="nil"/>
            </w:tcBorders>
            <w:vAlign w:val="center"/>
          </w:tcPr>
          <w:p w14:paraId="6BFA19B3">
            <w:pPr>
              <w:widowControl/>
              <w:jc w:val="center"/>
              <w:textAlignment w:val="center"/>
              <w:rPr>
                <w:rFonts w:ascii="Times New Roman" w:hAnsi="Times New Roman" w:eastAsia="宋体" w:cs="Times New Roman"/>
                <w:kern w:val="0"/>
                <w:szCs w:val="21"/>
              </w:rPr>
            </w:pPr>
            <w:r>
              <w:rPr>
                <w:rFonts w:ascii="Times New Roman" w:hAnsi="Times New Roman" w:cs="Times New Roman"/>
                <w:kern w:val="0"/>
                <w:szCs w:val="21"/>
                <w:lang w:bidi="ar"/>
              </w:rPr>
              <w:t>03月24日</w:t>
            </w:r>
            <w:r>
              <w:rPr>
                <w:rFonts w:hint="eastAsia" w:ascii="Times New Roman" w:hAnsi="Times New Roman" w:eastAsia="宋体" w:cs="Times New Roman"/>
                <w:kern w:val="0"/>
                <w:szCs w:val="21"/>
              </w:rPr>
              <w:t>（</w:t>
            </w:r>
            <w:r>
              <w:rPr>
                <w:rFonts w:ascii="Times New Roman" w:hAnsi="Times New Roman" w:cs="Times New Roman"/>
                <w:szCs w:val="21"/>
              </w:rPr>
              <w:t>昼</w:t>
            </w:r>
            <w:r>
              <w:rPr>
                <w:rFonts w:ascii="Times New Roman" w:hAnsi="Times New Roman" w:eastAsia="宋体" w:cs="Times New Roman"/>
                <w:kern w:val="0"/>
                <w:szCs w:val="21"/>
              </w:rPr>
              <w:t>间</w:t>
            </w:r>
            <w:r>
              <w:rPr>
                <w:rFonts w:hint="eastAsia" w:ascii="Times New Roman" w:hAnsi="Times New Roman" w:eastAsia="宋体" w:cs="Times New Roman"/>
                <w:kern w:val="0"/>
                <w:szCs w:val="21"/>
              </w:rPr>
              <w:t>）</w:t>
            </w:r>
          </w:p>
        </w:tc>
        <w:tc>
          <w:tcPr>
            <w:tcW w:w="1034" w:type="dxa"/>
            <w:tcBorders>
              <w:tl2br w:val="nil"/>
              <w:tr2bl w:val="nil"/>
            </w:tcBorders>
            <w:vAlign w:val="center"/>
          </w:tcPr>
          <w:p w14:paraId="27655741">
            <w:pPr>
              <w:widowControl/>
              <w:jc w:val="center"/>
              <w:textAlignment w:val="center"/>
              <w:rPr>
                <w:rFonts w:ascii="Times New Roman" w:hAnsi="Times New Roman" w:eastAsia="宋体" w:cs="Times New Roman"/>
                <w:kern w:val="0"/>
                <w:szCs w:val="21"/>
              </w:rPr>
            </w:pPr>
            <w:r>
              <w:rPr>
                <w:rFonts w:ascii="Times New Roman" w:hAnsi="Times New Roman" w:cs="Times New Roman"/>
                <w:kern w:val="0"/>
                <w:szCs w:val="21"/>
              </w:rPr>
              <w:t>52</w:t>
            </w:r>
          </w:p>
        </w:tc>
        <w:tc>
          <w:tcPr>
            <w:tcW w:w="1357" w:type="dxa"/>
            <w:tcBorders>
              <w:tl2br w:val="nil"/>
              <w:tr2bl w:val="nil"/>
            </w:tcBorders>
            <w:vAlign w:val="center"/>
          </w:tcPr>
          <w:p w14:paraId="6D3ED02B">
            <w:pPr>
              <w:jc w:val="center"/>
              <w:rPr>
                <w:rFonts w:ascii="Times New Roman" w:hAnsi="Times New Roman" w:cs="Times New Roman"/>
                <w:szCs w:val="21"/>
              </w:rPr>
            </w:pPr>
            <w:r>
              <w:rPr>
                <w:rFonts w:ascii="Times New Roman" w:hAnsi="Times New Roman" w:cs="Times New Roman"/>
                <w:szCs w:val="21"/>
              </w:rPr>
              <w:t>53</w:t>
            </w:r>
          </w:p>
        </w:tc>
        <w:tc>
          <w:tcPr>
            <w:tcW w:w="1357" w:type="dxa"/>
            <w:tcBorders>
              <w:tl2br w:val="nil"/>
              <w:tr2bl w:val="nil"/>
            </w:tcBorders>
            <w:vAlign w:val="center"/>
          </w:tcPr>
          <w:p w14:paraId="7EC143E2">
            <w:pPr>
              <w:jc w:val="center"/>
              <w:rPr>
                <w:rFonts w:ascii="Times New Roman" w:hAnsi="Times New Roman" w:cs="Times New Roman"/>
                <w:szCs w:val="21"/>
              </w:rPr>
            </w:pPr>
            <w:r>
              <w:rPr>
                <w:rFonts w:ascii="Times New Roman" w:hAnsi="Times New Roman" w:cs="Times New Roman"/>
                <w:szCs w:val="21"/>
              </w:rPr>
              <w:t>50</w:t>
            </w:r>
          </w:p>
        </w:tc>
        <w:tc>
          <w:tcPr>
            <w:tcW w:w="1357" w:type="dxa"/>
            <w:tcBorders>
              <w:tl2br w:val="nil"/>
              <w:tr2bl w:val="nil"/>
            </w:tcBorders>
            <w:vAlign w:val="center"/>
          </w:tcPr>
          <w:p w14:paraId="5B9AFAA4">
            <w:pPr>
              <w:jc w:val="center"/>
              <w:rPr>
                <w:rFonts w:ascii="Times New Roman" w:hAnsi="Times New Roman" w:cs="Times New Roman"/>
                <w:szCs w:val="21"/>
              </w:rPr>
            </w:pPr>
            <w:r>
              <w:rPr>
                <w:rFonts w:ascii="Times New Roman" w:hAnsi="Times New Roman" w:cs="Times New Roman"/>
                <w:szCs w:val="21"/>
              </w:rPr>
              <w:t>51</w:t>
            </w:r>
          </w:p>
        </w:tc>
        <w:tc>
          <w:tcPr>
            <w:tcW w:w="1370" w:type="dxa"/>
            <w:tcBorders>
              <w:tl2br w:val="nil"/>
              <w:tr2bl w:val="nil"/>
            </w:tcBorders>
            <w:vAlign w:val="center"/>
          </w:tcPr>
          <w:p w14:paraId="06F6F422">
            <w:pPr>
              <w:jc w:val="center"/>
              <w:rPr>
                <w:rFonts w:ascii="Times New Roman" w:hAnsi="Times New Roman" w:cs="Times New Roman"/>
                <w:szCs w:val="21"/>
              </w:rPr>
            </w:pPr>
            <w:r>
              <w:rPr>
                <w:rFonts w:ascii="Times New Roman" w:hAnsi="Times New Roman" w:cs="Times New Roman"/>
                <w:szCs w:val="21"/>
              </w:rPr>
              <w:t>49</w:t>
            </w:r>
          </w:p>
        </w:tc>
      </w:tr>
      <w:tr w14:paraId="0092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48" w:type="dxa"/>
            <w:tcBorders>
              <w:tl2br w:val="nil"/>
              <w:tr2bl w:val="nil"/>
            </w:tcBorders>
            <w:vAlign w:val="center"/>
          </w:tcPr>
          <w:p w14:paraId="21DE507F">
            <w:pPr>
              <w:widowControl/>
              <w:jc w:val="center"/>
              <w:textAlignment w:val="center"/>
              <w:rPr>
                <w:rFonts w:ascii="Times New Roman" w:hAnsi="Times New Roman" w:eastAsia="宋体" w:cs="Times New Roman"/>
                <w:kern w:val="0"/>
                <w:szCs w:val="21"/>
              </w:rPr>
            </w:pPr>
            <w:r>
              <w:rPr>
                <w:rFonts w:ascii="Times New Roman" w:hAnsi="Times New Roman" w:cs="Times New Roman"/>
                <w:kern w:val="0"/>
                <w:szCs w:val="21"/>
                <w:lang w:bidi="ar"/>
              </w:rPr>
              <w:t>03月24日</w:t>
            </w:r>
            <w:r>
              <w:rPr>
                <w:rFonts w:hint="eastAsia" w:ascii="Times New Roman" w:hAnsi="Times New Roman" w:cs="Times New Roman"/>
                <w:kern w:val="0"/>
                <w:szCs w:val="21"/>
                <w:lang w:bidi="ar"/>
              </w:rPr>
              <w:t>（</w:t>
            </w:r>
            <w:r>
              <w:rPr>
                <w:rFonts w:ascii="Times New Roman" w:hAnsi="Times New Roman" w:eastAsia="宋体" w:cs="Times New Roman"/>
                <w:kern w:val="0"/>
                <w:szCs w:val="21"/>
              </w:rPr>
              <w:t>夜间</w:t>
            </w:r>
            <w:r>
              <w:rPr>
                <w:rFonts w:hint="eastAsia" w:ascii="Times New Roman" w:hAnsi="Times New Roman" w:cs="Times New Roman"/>
                <w:kern w:val="0"/>
                <w:szCs w:val="21"/>
                <w:lang w:bidi="ar"/>
              </w:rPr>
              <w:t>）</w:t>
            </w:r>
          </w:p>
        </w:tc>
        <w:tc>
          <w:tcPr>
            <w:tcW w:w="1034" w:type="dxa"/>
            <w:tcBorders>
              <w:tl2br w:val="nil"/>
              <w:tr2bl w:val="nil"/>
            </w:tcBorders>
            <w:vAlign w:val="center"/>
          </w:tcPr>
          <w:p w14:paraId="1A22019D">
            <w:pPr>
              <w:widowControl/>
              <w:jc w:val="center"/>
              <w:textAlignment w:val="center"/>
              <w:rPr>
                <w:rFonts w:ascii="Times New Roman" w:hAnsi="Times New Roman" w:eastAsia="宋体" w:cs="Times New Roman"/>
                <w:kern w:val="0"/>
                <w:szCs w:val="21"/>
              </w:rPr>
            </w:pPr>
            <w:r>
              <w:rPr>
                <w:rFonts w:ascii="Times New Roman" w:hAnsi="Times New Roman" w:cs="Times New Roman"/>
                <w:kern w:val="0"/>
                <w:szCs w:val="21"/>
              </w:rPr>
              <w:t>42</w:t>
            </w:r>
          </w:p>
        </w:tc>
        <w:tc>
          <w:tcPr>
            <w:tcW w:w="1357" w:type="dxa"/>
            <w:tcBorders>
              <w:tl2br w:val="nil"/>
              <w:tr2bl w:val="nil"/>
            </w:tcBorders>
            <w:vAlign w:val="center"/>
          </w:tcPr>
          <w:p w14:paraId="496A4512">
            <w:pPr>
              <w:jc w:val="center"/>
              <w:rPr>
                <w:rFonts w:ascii="Times New Roman" w:hAnsi="Times New Roman" w:cs="Times New Roman"/>
                <w:szCs w:val="21"/>
              </w:rPr>
            </w:pPr>
            <w:r>
              <w:rPr>
                <w:rFonts w:ascii="Times New Roman" w:hAnsi="Times New Roman" w:cs="Times New Roman"/>
                <w:szCs w:val="21"/>
              </w:rPr>
              <w:t>43</w:t>
            </w:r>
          </w:p>
        </w:tc>
        <w:tc>
          <w:tcPr>
            <w:tcW w:w="1357" w:type="dxa"/>
            <w:tcBorders>
              <w:tl2br w:val="nil"/>
              <w:tr2bl w:val="nil"/>
            </w:tcBorders>
            <w:vAlign w:val="center"/>
          </w:tcPr>
          <w:p w14:paraId="4FF823FB">
            <w:pPr>
              <w:jc w:val="center"/>
              <w:rPr>
                <w:rFonts w:ascii="Times New Roman" w:hAnsi="Times New Roman" w:cs="Times New Roman"/>
                <w:szCs w:val="21"/>
              </w:rPr>
            </w:pPr>
            <w:r>
              <w:rPr>
                <w:rFonts w:ascii="Times New Roman" w:hAnsi="Times New Roman" w:cs="Times New Roman"/>
                <w:szCs w:val="21"/>
              </w:rPr>
              <w:t>40</w:t>
            </w:r>
          </w:p>
        </w:tc>
        <w:tc>
          <w:tcPr>
            <w:tcW w:w="1357" w:type="dxa"/>
            <w:tcBorders>
              <w:tl2br w:val="nil"/>
              <w:tr2bl w:val="nil"/>
            </w:tcBorders>
            <w:vAlign w:val="center"/>
          </w:tcPr>
          <w:p w14:paraId="5AA5EF81">
            <w:pPr>
              <w:jc w:val="center"/>
              <w:rPr>
                <w:rFonts w:ascii="Times New Roman" w:hAnsi="Times New Roman" w:cs="Times New Roman"/>
                <w:szCs w:val="21"/>
              </w:rPr>
            </w:pPr>
            <w:r>
              <w:rPr>
                <w:rFonts w:ascii="Times New Roman" w:hAnsi="Times New Roman" w:cs="Times New Roman"/>
                <w:szCs w:val="21"/>
              </w:rPr>
              <w:t>41</w:t>
            </w:r>
          </w:p>
        </w:tc>
        <w:tc>
          <w:tcPr>
            <w:tcW w:w="1370" w:type="dxa"/>
            <w:tcBorders>
              <w:tl2br w:val="nil"/>
              <w:tr2bl w:val="nil"/>
            </w:tcBorders>
            <w:vAlign w:val="center"/>
          </w:tcPr>
          <w:p w14:paraId="3927A394">
            <w:pPr>
              <w:jc w:val="center"/>
              <w:rPr>
                <w:rFonts w:ascii="Times New Roman" w:hAnsi="Times New Roman" w:cs="Times New Roman"/>
                <w:szCs w:val="21"/>
              </w:rPr>
            </w:pPr>
            <w:r>
              <w:rPr>
                <w:rFonts w:ascii="Times New Roman" w:hAnsi="Times New Roman" w:cs="Times New Roman"/>
                <w:szCs w:val="21"/>
              </w:rPr>
              <w:t>40</w:t>
            </w:r>
          </w:p>
        </w:tc>
      </w:tr>
    </w:tbl>
    <w:p w14:paraId="03F51C48">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由监测数据可知，厂界</w:t>
      </w:r>
      <w:r>
        <w:rPr>
          <w:rFonts w:hint="eastAsia" w:ascii="Times New Roman" w:hAnsi="Times New Roman" w:eastAsia="宋体" w:cs="Times New Roman"/>
          <w:sz w:val="24"/>
        </w:rPr>
        <w:t>声环境现状</w:t>
      </w:r>
      <w:r>
        <w:rPr>
          <w:rFonts w:ascii="Times New Roman" w:hAnsi="Times New Roman" w:eastAsia="宋体" w:cs="Times New Roman"/>
          <w:sz w:val="24"/>
        </w:rPr>
        <w:t>可以满足《声环境质量标准》（GB3096-2008）3类标准限值要求</w:t>
      </w:r>
      <w:r>
        <w:rPr>
          <w:rFonts w:hint="eastAsia" w:ascii="Times New Roman" w:hAnsi="Times New Roman" w:eastAsia="宋体" w:cs="Times New Roman"/>
          <w:sz w:val="24"/>
        </w:rPr>
        <w:t>，骆家村声环境现状</w:t>
      </w:r>
      <w:r>
        <w:rPr>
          <w:rFonts w:ascii="Times New Roman" w:hAnsi="Times New Roman" w:eastAsia="宋体" w:cs="Times New Roman"/>
          <w:sz w:val="24"/>
        </w:rPr>
        <w:t>可以满足《声环境质量标准》（GB3096-2008）</w:t>
      </w:r>
      <w:r>
        <w:rPr>
          <w:rFonts w:hint="eastAsia" w:ascii="Times New Roman" w:hAnsi="Times New Roman" w:eastAsia="宋体" w:cs="Times New Roman"/>
          <w:sz w:val="24"/>
        </w:rPr>
        <w:t>2</w:t>
      </w:r>
      <w:r>
        <w:rPr>
          <w:rFonts w:ascii="Times New Roman" w:hAnsi="Times New Roman" w:eastAsia="宋体" w:cs="Times New Roman"/>
          <w:sz w:val="24"/>
        </w:rPr>
        <w:t>类标准限值要求。</w:t>
      </w:r>
    </w:p>
    <w:p w14:paraId="597C0C3A">
      <w:pPr>
        <w:pStyle w:val="3"/>
        <w:numPr>
          <w:ilvl w:val="1"/>
          <w:numId w:val="43"/>
        </w:numPr>
      </w:pPr>
      <w:bookmarkStart w:id="185" w:name="_Toc27966"/>
      <w:bookmarkStart w:id="186" w:name="_Toc2894"/>
      <w:r>
        <w:t>土壤环境质量现状监测与评价</w:t>
      </w:r>
      <w:bookmarkEnd w:id="185"/>
      <w:bookmarkEnd w:id="186"/>
    </w:p>
    <w:p w14:paraId="502CAFD8">
      <w:pPr>
        <w:pStyle w:val="4"/>
        <w:numPr>
          <w:ilvl w:val="2"/>
          <w:numId w:val="52"/>
        </w:numPr>
        <w:tabs>
          <w:tab w:val="clear" w:pos="0"/>
        </w:tabs>
      </w:pPr>
      <w:r>
        <w:t>土壤环境质量现状监测</w:t>
      </w:r>
    </w:p>
    <w:p w14:paraId="31AAEDE0">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（1）监测点位布设</w:t>
      </w:r>
    </w:p>
    <w:p w14:paraId="0447E705">
      <w:pPr>
        <w:spacing w:line="360" w:lineRule="auto"/>
        <w:ind w:firstLine="480" w:firstLineChars="200"/>
        <w:contextualSpacing/>
        <w:rPr>
          <w:rFonts w:ascii="Times New Roman" w:hAnsi="Times New Roman" w:eastAsia="宋体" w:cs="Times New Roman"/>
          <w:sz w:val="24"/>
        </w:rPr>
      </w:pPr>
      <w:r>
        <w:rPr>
          <w:rFonts w:hint="eastAsia" w:ascii="Times New Roman" w:hAnsi="Times New Roman" w:eastAsia="宋体" w:cs="Times New Roman"/>
          <w:sz w:val="24"/>
        </w:rPr>
        <w:t>根据国家生态环境部《关于土壤现状监测点位如何选择的回复》（2020.8.10）“根据建设项目实际情况，如果项目场地已经做了防腐防渗（包括硬化）处理无法取样，可不取样监测，但需要详细说明无法取样原因。”</w:t>
      </w:r>
    </w:p>
    <w:p w14:paraId="6A0B3E0D">
      <w:pPr>
        <w:spacing w:line="360" w:lineRule="auto"/>
        <w:ind w:firstLine="480" w:firstLineChars="200"/>
        <w:contextualSpacing/>
        <w:rPr>
          <w:rFonts w:ascii="Times New Roman" w:hAnsi="Times New Roman" w:eastAsia="宋体" w:cs="Times New Roman"/>
          <w:sz w:val="24"/>
        </w:rPr>
      </w:pPr>
      <w:r>
        <w:rPr>
          <w:rFonts w:hint="eastAsia" w:ascii="Times New Roman" w:hAnsi="Times New Roman" w:eastAsia="宋体" w:cs="Times New Roman"/>
          <w:sz w:val="24"/>
        </w:rPr>
        <w:t>根据现场踏勘，本项目为租赁的厂房，地面已全部硬化，无法进行土壤环境质量现状采样。故本项目占地范围内不再进行土壤环境质量现状采样。</w:t>
      </w:r>
    </w:p>
    <w:p w14:paraId="09A0DC2D">
      <w:pPr>
        <w:spacing w:line="360" w:lineRule="auto"/>
        <w:contextualSpacing/>
        <w:jc w:val="center"/>
        <w:rPr>
          <w:rFonts w:ascii="Times New Roman" w:hAnsi="Times New Roman" w:eastAsia="宋体" w:cs="Times New Roman"/>
          <w:sz w:val="24"/>
        </w:rPr>
      </w:pPr>
      <w:r>
        <w:drawing>
          <wp:inline distT="0" distB="0" distL="114300" distR="114300">
            <wp:extent cx="3248025" cy="1895475"/>
            <wp:effectExtent l="0" t="0" r="9525" b="9525"/>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51"/>
                    <a:stretch>
                      <a:fillRect/>
                    </a:stretch>
                  </pic:blipFill>
                  <pic:spPr>
                    <a:xfrm>
                      <a:off x="0" y="0"/>
                      <a:ext cx="3248025" cy="1895475"/>
                    </a:xfrm>
                    <a:prstGeom prst="rect">
                      <a:avLst/>
                    </a:prstGeom>
                    <a:noFill/>
                    <a:ln>
                      <a:noFill/>
                    </a:ln>
                  </pic:spPr>
                </pic:pic>
              </a:graphicData>
            </a:graphic>
          </wp:inline>
        </w:drawing>
      </w:r>
    </w:p>
    <w:p w14:paraId="4896D440">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各监测点位位置详见</w:t>
      </w:r>
      <w:r>
        <w:rPr>
          <w:rFonts w:hint="eastAsia" w:ascii="Times New Roman" w:hAnsi="Times New Roman" w:eastAsia="宋体" w:cs="Times New Roman"/>
          <w:sz w:val="24"/>
        </w:rPr>
        <w:t>下表</w:t>
      </w:r>
      <w:r>
        <w:rPr>
          <w:rFonts w:ascii="Times New Roman" w:hAnsi="Times New Roman" w:eastAsia="宋体" w:cs="Times New Roman"/>
          <w:sz w:val="24"/>
        </w:rPr>
        <w:t>。</w:t>
      </w:r>
    </w:p>
    <w:p w14:paraId="54DC0046">
      <w:pPr>
        <w:spacing w:line="520" w:lineRule="exact"/>
        <w:contextualSpacing/>
        <w:jc w:val="center"/>
        <w:rPr>
          <w:rFonts w:ascii="Times New Roman" w:hAnsi="Times New Roman" w:eastAsia="宋体" w:cs="Times New Roman"/>
          <w:b/>
          <w:bCs/>
          <w:sz w:val="24"/>
        </w:rPr>
      </w:pPr>
      <w:r>
        <w:rPr>
          <w:rFonts w:hint="eastAsia" w:ascii="Times New Roman" w:hAnsi="Times New Roman" w:eastAsia="宋体" w:cs="Times New Roman"/>
          <w:b/>
          <w:bCs/>
          <w:sz w:val="21"/>
          <w:szCs w:val="21"/>
        </w:rPr>
        <w:t>表4.</w:t>
      </w:r>
      <w:r>
        <w:rPr>
          <w:rFonts w:hint="eastAsia" w:ascii="Times New Roman" w:hAnsi="Times New Roman" w:eastAsia="宋体" w:cs="Times New Roman"/>
          <w:b/>
          <w:bCs/>
          <w:sz w:val="21"/>
          <w:szCs w:val="21"/>
          <w:lang w:val="en-US" w:eastAsia="zh-CN"/>
        </w:rPr>
        <w:t>6</w:t>
      </w:r>
      <w:r>
        <w:rPr>
          <w:rFonts w:hint="eastAsia" w:ascii="Times New Roman" w:hAnsi="Times New Roman" w:eastAsia="宋体" w:cs="Times New Roman"/>
          <w:b/>
          <w:bCs/>
          <w:sz w:val="21"/>
          <w:szCs w:val="21"/>
        </w:rPr>
        <w:t>-1</w:t>
      </w:r>
      <w:r>
        <w:rPr>
          <w:rFonts w:ascii="Times New Roman" w:hAnsi="Times New Roman" w:eastAsia="宋体" w:cs="Times New Roman"/>
          <w:b/>
          <w:bCs/>
          <w:sz w:val="21"/>
          <w:szCs w:val="21"/>
        </w:rPr>
        <w:t xml:space="preserve">  土壤环境监测点布设情况一览表</w:t>
      </w:r>
    </w:p>
    <w:tbl>
      <w:tblPr>
        <w:tblStyle w:val="30"/>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944"/>
        <w:gridCol w:w="1466"/>
        <w:gridCol w:w="1729"/>
        <w:gridCol w:w="1178"/>
        <w:gridCol w:w="1380"/>
        <w:gridCol w:w="966"/>
      </w:tblGrid>
      <w:tr w14:paraId="3277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tcBorders>
              <w:top w:val="single" w:color="auto" w:sz="4" w:space="0"/>
              <w:left w:val="single" w:color="auto" w:sz="4" w:space="0"/>
              <w:bottom w:val="single" w:color="auto" w:sz="4" w:space="0"/>
              <w:right w:val="single" w:color="auto" w:sz="4" w:space="0"/>
            </w:tcBorders>
            <w:vAlign w:val="center"/>
          </w:tcPr>
          <w:p w14:paraId="60BB2B37">
            <w:pPr>
              <w:snapToGrid w:val="0"/>
              <w:jc w:val="center"/>
              <w:rPr>
                <w:rFonts w:ascii="Times New Roman" w:hAnsi="Times New Roman" w:cs="Times New Roman"/>
                <w:szCs w:val="21"/>
              </w:rPr>
            </w:pPr>
            <w:r>
              <w:rPr>
                <w:rFonts w:ascii="Times New Roman" w:hAnsi="Times New Roman" w:cs="Times New Roman"/>
                <w:szCs w:val="21"/>
              </w:rPr>
              <w:t>编号</w:t>
            </w:r>
          </w:p>
        </w:tc>
        <w:tc>
          <w:tcPr>
            <w:tcW w:w="426" w:type="dxa"/>
            <w:tcBorders>
              <w:top w:val="single" w:color="auto" w:sz="4" w:space="0"/>
              <w:left w:val="single" w:color="auto" w:sz="4" w:space="0"/>
              <w:bottom w:val="single" w:color="auto" w:sz="4" w:space="0"/>
              <w:right w:val="single" w:color="auto" w:sz="4" w:space="0"/>
            </w:tcBorders>
            <w:vAlign w:val="center"/>
          </w:tcPr>
          <w:p w14:paraId="2071A085">
            <w:pPr>
              <w:snapToGrid w:val="0"/>
              <w:jc w:val="center"/>
              <w:rPr>
                <w:rFonts w:ascii="Times New Roman" w:hAnsi="Times New Roman" w:cs="Times New Roman"/>
                <w:szCs w:val="21"/>
              </w:rPr>
            </w:pPr>
            <w:r>
              <w:rPr>
                <w:rFonts w:ascii="Times New Roman" w:hAnsi="Times New Roman" w:cs="Times New Roman"/>
                <w:szCs w:val="21"/>
              </w:rPr>
              <w:t>位置</w:t>
            </w:r>
          </w:p>
        </w:tc>
        <w:tc>
          <w:tcPr>
            <w:tcW w:w="944" w:type="dxa"/>
            <w:tcBorders>
              <w:top w:val="single" w:color="auto" w:sz="4" w:space="0"/>
              <w:left w:val="single" w:color="auto" w:sz="4" w:space="0"/>
              <w:bottom w:val="single" w:color="auto" w:sz="4" w:space="0"/>
              <w:right w:val="single" w:color="auto" w:sz="4" w:space="0"/>
            </w:tcBorders>
            <w:vAlign w:val="center"/>
          </w:tcPr>
          <w:p w14:paraId="7FF376E5">
            <w:pPr>
              <w:snapToGrid w:val="0"/>
              <w:jc w:val="center"/>
              <w:rPr>
                <w:rFonts w:ascii="Times New Roman" w:hAnsi="Times New Roman" w:cs="Times New Roman"/>
                <w:szCs w:val="21"/>
              </w:rPr>
            </w:pPr>
            <w:r>
              <w:rPr>
                <w:rFonts w:ascii="Times New Roman" w:hAnsi="Times New Roman" w:cs="Times New Roman"/>
                <w:szCs w:val="21"/>
              </w:rPr>
              <w:t>类型</w:t>
            </w:r>
          </w:p>
        </w:tc>
        <w:tc>
          <w:tcPr>
            <w:tcW w:w="1466" w:type="dxa"/>
            <w:tcBorders>
              <w:top w:val="single" w:color="auto" w:sz="4" w:space="0"/>
              <w:left w:val="single" w:color="auto" w:sz="4" w:space="0"/>
              <w:bottom w:val="single" w:color="auto" w:sz="4" w:space="0"/>
              <w:right w:val="single" w:color="auto" w:sz="4" w:space="0"/>
            </w:tcBorders>
            <w:vAlign w:val="center"/>
          </w:tcPr>
          <w:p w14:paraId="2F209FC9">
            <w:pPr>
              <w:snapToGrid w:val="0"/>
              <w:jc w:val="center"/>
              <w:rPr>
                <w:rFonts w:ascii="Times New Roman" w:hAnsi="Times New Roman" w:eastAsia="宋体" w:cs="Times New Roman"/>
                <w:szCs w:val="21"/>
              </w:rPr>
            </w:pPr>
            <w:r>
              <w:rPr>
                <w:rFonts w:ascii="Times New Roman" w:hAnsi="Times New Roman" w:cs="Times New Roman"/>
                <w:szCs w:val="21"/>
              </w:rPr>
              <w:t>点位</w:t>
            </w:r>
          </w:p>
        </w:tc>
        <w:tc>
          <w:tcPr>
            <w:tcW w:w="1729" w:type="dxa"/>
            <w:tcBorders>
              <w:top w:val="single" w:color="auto" w:sz="4" w:space="0"/>
              <w:left w:val="single" w:color="auto" w:sz="4" w:space="0"/>
              <w:bottom w:val="single" w:color="auto" w:sz="4" w:space="0"/>
              <w:right w:val="single" w:color="auto" w:sz="4" w:space="0"/>
            </w:tcBorders>
            <w:vAlign w:val="center"/>
          </w:tcPr>
          <w:p w14:paraId="2C0630D9">
            <w:pPr>
              <w:snapToGrid w:val="0"/>
              <w:jc w:val="center"/>
              <w:rPr>
                <w:rFonts w:ascii="Times New Roman" w:hAnsi="Times New Roman" w:cs="Times New Roman"/>
                <w:szCs w:val="21"/>
              </w:rPr>
            </w:pPr>
            <w:r>
              <w:rPr>
                <w:rFonts w:ascii="Times New Roman" w:hAnsi="Times New Roman" w:cs="Times New Roman"/>
                <w:szCs w:val="21"/>
              </w:rPr>
              <w:t>监测因子</w:t>
            </w:r>
          </w:p>
        </w:tc>
        <w:tc>
          <w:tcPr>
            <w:tcW w:w="1178" w:type="dxa"/>
            <w:tcBorders>
              <w:top w:val="single" w:color="auto" w:sz="4" w:space="0"/>
              <w:left w:val="single" w:color="auto" w:sz="4" w:space="0"/>
              <w:bottom w:val="single" w:color="auto" w:sz="4" w:space="0"/>
              <w:right w:val="single" w:color="auto" w:sz="4" w:space="0"/>
            </w:tcBorders>
            <w:vAlign w:val="center"/>
          </w:tcPr>
          <w:p w14:paraId="14FA46FA">
            <w:pPr>
              <w:snapToGrid w:val="0"/>
              <w:jc w:val="center"/>
              <w:rPr>
                <w:rFonts w:ascii="Times New Roman" w:hAnsi="Times New Roman" w:cs="Times New Roman"/>
                <w:szCs w:val="21"/>
              </w:rPr>
            </w:pPr>
            <w:r>
              <w:rPr>
                <w:rFonts w:ascii="Times New Roman" w:hAnsi="Times New Roman" w:cs="Times New Roman"/>
                <w:szCs w:val="21"/>
              </w:rPr>
              <w:t>采样方法</w:t>
            </w:r>
          </w:p>
        </w:tc>
        <w:tc>
          <w:tcPr>
            <w:tcW w:w="1380" w:type="dxa"/>
            <w:tcBorders>
              <w:top w:val="single" w:color="auto" w:sz="4" w:space="0"/>
              <w:left w:val="single" w:color="auto" w:sz="4" w:space="0"/>
              <w:bottom w:val="single" w:color="auto" w:sz="4" w:space="0"/>
              <w:right w:val="single" w:color="auto" w:sz="4" w:space="0"/>
            </w:tcBorders>
            <w:vAlign w:val="center"/>
          </w:tcPr>
          <w:p w14:paraId="310ADDF7">
            <w:pPr>
              <w:snapToGrid w:val="0"/>
              <w:jc w:val="center"/>
              <w:rPr>
                <w:rFonts w:ascii="Times New Roman" w:hAnsi="Times New Roman" w:cs="Times New Roman"/>
                <w:szCs w:val="21"/>
              </w:rPr>
            </w:pPr>
            <w:r>
              <w:rPr>
                <w:rFonts w:ascii="Times New Roman" w:hAnsi="Times New Roman" w:cs="Times New Roman"/>
                <w:szCs w:val="21"/>
              </w:rPr>
              <w:t>监测时间频率</w:t>
            </w:r>
          </w:p>
        </w:tc>
        <w:tc>
          <w:tcPr>
            <w:tcW w:w="966" w:type="dxa"/>
            <w:tcBorders>
              <w:top w:val="single" w:color="auto" w:sz="4" w:space="0"/>
              <w:left w:val="single" w:color="auto" w:sz="4" w:space="0"/>
              <w:bottom w:val="single" w:color="auto" w:sz="4" w:space="0"/>
              <w:right w:val="single" w:color="auto" w:sz="4" w:space="0"/>
            </w:tcBorders>
            <w:vAlign w:val="center"/>
          </w:tcPr>
          <w:p w14:paraId="26A2176A">
            <w:pPr>
              <w:snapToGrid w:val="0"/>
              <w:jc w:val="center"/>
              <w:rPr>
                <w:rFonts w:ascii="Times New Roman" w:hAnsi="Times New Roman" w:eastAsia="宋体" w:cs="Times New Roman"/>
                <w:szCs w:val="21"/>
              </w:rPr>
            </w:pPr>
            <w:r>
              <w:rPr>
                <w:rFonts w:ascii="Times New Roman" w:hAnsi="Times New Roman" w:cs="Times New Roman"/>
                <w:szCs w:val="21"/>
              </w:rPr>
              <w:t>用地类型</w:t>
            </w:r>
          </w:p>
        </w:tc>
      </w:tr>
      <w:tr w14:paraId="021D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tcBorders>
              <w:top w:val="single" w:color="auto" w:sz="4" w:space="0"/>
              <w:left w:val="single" w:color="auto" w:sz="4" w:space="0"/>
              <w:bottom w:val="single" w:color="auto" w:sz="4" w:space="0"/>
              <w:right w:val="single" w:color="auto" w:sz="4" w:space="0"/>
            </w:tcBorders>
            <w:vAlign w:val="center"/>
          </w:tcPr>
          <w:p w14:paraId="52CA98DE">
            <w:pPr>
              <w:snapToGrid w:val="0"/>
              <w:jc w:val="center"/>
              <w:rPr>
                <w:rFonts w:ascii="Times New Roman" w:hAnsi="Times New Roman" w:cs="Times New Roman"/>
                <w:szCs w:val="21"/>
              </w:rPr>
            </w:pPr>
            <w:r>
              <w:rPr>
                <w:rFonts w:ascii="Times New Roman" w:hAnsi="Times New Roman" w:cs="Times New Roman"/>
                <w:szCs w:val="21"/>
              </w:rPr>
              <w:t>1#</w:t>
            </w:r>
          </w:p>
        </w:tc>
        <w:tc>
          <w:tcPr>
            <w:tcW w:w="426" w:type="dxa"/>
            <w:vMerge w:val="restart"/>
            <w:tcBorders>
              <w:left w:val="single" w:color="auto" w:sz="4" w:space="0"/>
              <w:right w:val="single" w:color="auto" w:sz="4" w:space="0"/>
            </w:tcBorders>
            <w:vAlign w:val="center"/>
          </w:tcPr>
          <w:p w14:paraId="1145FD49">
            <w:pPr>
              <w:snapToGrid w:val="0"/>
              <w:jc w:val="center"/>
              <w:rPr>
                <w:rFonts w:ascii="Times New Roman" w:hAnsi="Times New Roman" w:eastAsia="宋体" w:cs="Times New Roman"/>
                <w:szCs w:val="21"/>
              </w:rPr>
            </w:pPr>
            <w:r>
              <w:rPr>
                <w:rFonts w:ascii="Times New Roman" w:hAnsi="Times New Roman" w:cs="Times New Roman"/>
                <w:szCs w:val="21"/>
              </w:rPr>
              <w:t>占地范围外</w:t>
            </w:r>
          </w:p>
        </w:tc>
        <w:tc>
          <w:tcPr>
            <w:tcW w:w="944" w:type="dxa"/>
            <w:tcBorders>
              <w:left w:val="single" w:color="auto" w:sz="4" w:space="0"/>
              <w:right w:val="single" w:color="auto" w:sz="4" w:space="0"/>
            </w:tcBorders>
            <w:vAlign w:val="center"/>
          </w:tcPr>
          <w:p w14:paraId="66708B2E">
            <w:pPr>
              <w:snapToGrid w:val="0"/>
              <w:jc w:val="center"/>
              <w:rPr>
                <w:rFonts w:ascii="Times New Roman" w:hAnsi="Times New Roman" w:cs="Times New Roman"/>
                <w:szCs w:val="21"/>
              </w:rPr>
            </w:pPr>
            <w:r>
              <w:rPr>
                <w:rFonts w:ascii="Times New Roman" w:hAnsi="Times New Roman" w:cs="Times New Roman"/>
                <w:szCs w:val="21"/>
              </w:rPr>
              <w:t>表层样</w:t>
            </w:r>
          </w:p>
        </w:tc>
        <w:tc>
          <w:tcPr>
            <w:tcW w:w="1466" w:type="dxa"/>
            <w:tcBorders>
              <w:left w:val="single" w:color="auto" w:sz="4" w:space="0"/>
              <w:right w:val="single" w:color="auto" w:sz="4" w:space="0"/>
            </w:tcBorders>
            <w:vAlign w:val="center"/>
          </w:tcPr>
          <w:p w14:paraId="7FE5102B">
            <w:pPr>
              <w:snapToGrid w:val="0"/>
              <w:rPr>
                <w:rFonts w:ascii="Times New Roman" w:hAnsi="Times New Roman" w:eastAsia="宋体" w:cs="Times New Roman"/>
                <w:szCs w:val="21"/>
              </w:rPr>
            </w:pPr>
            <w:r>
              <w:rPr>
                <w:rFonts w:ascii="Times New Roman" w:hAnsi="Times New Roman" w:cs="Times New Roman"/>
                <w:szCs w:val="21"/>
              </w:rPr>
              <w:t>厂区南侧空地</w:t>
            </w:r>
          </w:p>
        </w:tc>
        <w:tc>
          <w:tcPr>
            <w:tcW w:w="1729" w:type="dxa"/>
            <w:tcBorders>
              <w:left w:val="single" w:color="auto" w:sz="4" w:space="0"/>
              <w:right w:val="single" w:color="auto" w:sz="4" w:space="0"/>
            </w:tcBorders>
            <w:vAlign w:val="center"/>
          </w:tcPr>
          <w:p w14:paraId="36841F42">
            <w:pPr>
              <w:snapToGrid w:val="0"/>
              <w:rPr>
                <w:rFonts w:ascii="Times New Roman" w:hAnsi="Times New Roman" w:eastAsia="宋体" w:cs="Times New Roman"/>
                <w:szCs w:val="21"/>
              </w:rPr>
            </w:pPr>
            <w:r>
              <w:rPr>
                <w:rFonts w:ascii="Times New Roman" w:hAnsi="Times New Roman" w:cs="Times New Roman"/>
                <w:szCs w:val="21"/>
              </w:rPr>
              <w:t>pH+45项目因子</w:t>
            </w:r>
            <w:r>
              <w:rPr>
                <w:rFonts w:ascii="Times New Roman" w:hAnsi="Times New Roman" w:cs="Times New Roman"/>
                <w:szCs w:val="21"/>
                <w:vertAlign w:val="superscript"/>
              </w:rPr>
              <w:t>a</w:t>
            </w:r>
            <w:r>
              <w:rPr>
                <w:rFonts w:ascii="Times New Roman" w:hAnsi="Times New Roman" w:cs="Times New Roman"/>
                <w:szCs w:val="21"/>
              </w:rPr>
              <w:t>、石油烃</w:t>
            </w:r>
          </w:p>
        </w:tc>
        <w:tc>
          <w:tcPr>
            <w:tcW w:w="1178" w:type="dxa"/>
            <w:vMerge w:val="restart"/>
            <w:tcBorders>
              <w:left w:val="single" w:color="auto" w:sz="4" w:space="0"/>
              <w:right w:val="single" w:color="auto" w:sz="4" w:space="0"/>
            </w:tcBorders>
            <w:vAlign w:val="center"/>
          </w:tcPr>
          <w:p w14:paraId="6EEAE8A5">
            <w:pPr>
              <w:snapToGrid w:val="0"/>
              <w:jc w:val="center"/>
              <w:rPr>
                <w:rFonts w:ascii="Times New Roman" w:hAnsi="Times New Roman" w:cs="Times New Roman"/>
                <w:szCs w:val="21"/>
              </w:rPr>
            </w:pPr>
            <w:r>
              <w:rPr>
                <w:rFonts w:ascii="Times New Roman" w:hAnsi="Times New Roman" w:cs="Times New Roman"/>
                <w:szCs w:val="21"/>
              </w:rPr>
              <w:t>0~0.2m</w:t>
            </w:r>
          </w:p>
        </w:tc>
        <w:tc>
          <w:tcPr>
            <w:tcW w:w="1380" w:type="dxa"/>
            <w:vMerge w:val="restart"/>
            <w:tcBorders>
              <w:left w:val="single" w:color="auto" w:sz="4" w:space="0"/>
              <w:right w:val="single" w:color="auto" w:sz="4" w:space="0"/>
            </w:tcBorders>
            <w:vAlign w:val="center"/>
          </w:tcPr>
          <w:p w14:paraId="0A2B8C47">
            <w:pPr>
              <w:snapToGrid w:val="0"/>
              <w:jc w:val="center"/>
              <w:rPr>
                <w:rFonts w:ascii="Times New Roman" w:hAnsi="Times New Roman" w:cs="Times New Roman"/>
                <w:szCs w:val="21"/>
              </w:rPr>
            </w:pPr>
            <w:r>
              <w:rPr>
                <w:rFonts w:ascii="Times New Roman" w:hAnsi="Times New Roman" w:cs="Times New Roman"/>
                <w:szCs w:val="21"/>
              </w:rPr>
              <w:t>每个样监测1次，每个点位报一组有效数据</w:t>
            </w:r>
          </w:p>
          <w:p w14:paraId="745BC675">
            <w:pPr>
              <w:snapToGrid w:val="0"/>
              <w:jc w:val="center"/>
              <w:rPr>
                <w:rFonts w:ascii="Times New Roman" w:hAnsi="Times New Roman" w:cs="Times New Roman"/>
                <w:szCs w:val="21"/>
              </w:rPr>
            </w:pPr>
            <w:r>
              <w:rPr>
                <w:rFonts w:ascii="Times New Roman" w:hAnsi="Times New Roman" w:cs="Times New Roman"/>
                <w:szCs w:val="21"/>
              </w:rPr>
              <w:t>（每层土样单独监测）</w:t>
            </w:r>
          </w:p>
        </w:tc>
        <w:tc>
          <w:tcPr>
            <w:tcW w:w="966" w:type="dxa"/>
            <w:vMerge w:val="restart"/>
            <w:tcBorders>
              <w:left w:val="single" w:color="auto" w:sz="4" w:space="0"/>
              <w:right w:val="single" w:color="auto" w:sz="4" w:space="0"/>
            </w:tcBorders>
            <w:vAlign w:val="center"/>
          </w:tcPr>
          <w:p w14:paraId="7FC98FAB">
            <w:pPr>
              <w:snapToGrid w:val="0"/>
              <w:jc w:val="center"/>
              <w:rPr>
                <w:rFonts w:ascii="Times New Roman" w:hAnsi="Times New Roman" w:cs="Times New Roman"/>
                <w:szCs w:val="21"/>
              </w:rPr>
            </w:pPr>
            <w:r>
              <w:rPr>
                <w:rFonts w:ascii="Times New Roman" w:hAnsi="Times New Roman" w:cs="Times New Roman"/>
                <w:szCs w:val="21"/>
              </w:rPr>
              <w:t>建设用地</w:t>
            </w:r>
          </w:p>
        </w:tc>
      </w:tr>
      <w:tr w14:paraId="6959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26" w:type="dxa"/>
            <w:tcBorders>
              <w:top w:val="single" w:color="auto" w:sz="4" w:space="0"/>
              <w:left w:val="single" w:color="auto" w:sz="4" w:space="0"/>
              <w:bottom w:val="single" w:color="auto" w:sz="4" w:space="0"/>
              <w:right w:val="single" w:color="auto" w:sz="4" w:space="0"/>
            </w:tcBorders>
            <w:vAlign w:val="center"/>
          </w:tcPr>
          <w:p w14:paraId="2B1E7E65">
            <w:pPr>
              <w:snapToGrid w:val="0"/>
              <w:jc w:val="center"/>
              <w:rPr>
                <w:rFonts w:ascii="Times New Roman" w:hAnsi="Times New Roman" w:cs="Times New Roman"/>
                <w:szCs w:val="21"/>
              </w:rPr>
            </w:pPr>
            <w:r>
              <w:rPr>
                <w:rFonts w:ascii="Times New Roman" w:hAnsi="Times New Roman" w:cs="Times New Roman"/>
                <w:szCs w:val="21"/>
              </w:rPr>
              <w:t>2#</w:t>
            </w:r>
          </w:p>
        </w:tc>
        <w:tc>
          <w:tcPr>
            <w:tcW w:w="426" w:type="dxa"/>
            <w:vMerge w:val="continue"/>
            <w:tcBorders>
              <w:left w:val="single" w:color="auto" w:sz="4" w:space="0"/>
              <w:right w:val="single" w:color="auto" w:sz="4" w:space="0"/>
            </w:tcBorders>
            <w:vAlign w:val="center"/>
          </w:tcPr>
          <w:p w14:paraId="6323D4A2">
            <w:pPr>
              <w:spacing w:line="240" w:lineRule="exact"/>
              <w:jc w:val="center"/>
              <w:rPr>
                <w:rFonts w:ascii="Times New Roman" w:hAnsi="Times New Roman" w:cs="Times New Roman"/>
                <w:szCs w:val="21"/>
                <w:highlight w:val="yellow"/>
              </w:rPr>
            </w:pPr>
          </w:p>
        </w:tc>
        <w:tc>
          <w:tcPr>
            <w:tcW w:w="944" w:type="dxa"/>
            <w:tcBorders>
              <w:left w:val="single" w:color="auto" w:sz="4" w:space="0"/>
              <w:right w:val="single" w:color="auto" w:sz="4" w:space="0"/>
            </w:tcBorders>
            <w:vAlign w:val="center"/>
          </w:tcPr>
          <w:p w14:paraId="5B1A190F">
            <w:pPr>
              <w:snapToGrid w:val="0"/>
              <w:jc w:val="center"/>
              <w:rPr>
                <w:rFonts w:ascii="Times New Roman" w:hAnsi="Times New Roman" w:eastAsia="宋体" w:cs="Times New Roman"/>
                <w:szCs w:val="21"/>
              </w:rPr>
            </w:pPr>
            <w:r>
              <w:rPr>
                <w:rFonts w:ascii="Times New Roman" w:hAnsi="Times New Roman" w:cs="Times New Roman"/>
                <w:szCs w:val="21"/>
              </w:rPr>
              <w:t>表层样</w:t>
            </w:r>
          </w:p>
        </w:tc>
        <w:tc>
          <w:tcPr>
            <w:tcW w:w="1466" w:type="dxa"/>
            <w:tcBorders>
              <w:left w:val="single" w:color="auto" w:sz="4" w:space="0"/>
              <w:right w:val="single" w:color="auto" w:sz="4" w:space="0"/>
            </w:tcBorders>
            <w:vAlign w:val="center"/>
          </w:tcPr>
          <w:p w14:paraId="5AFE345C">
            <w:pPr>
              <w:snapToGrid w:val="0"/>
              <w:jc w:val="center"/>
              <w:rPr>
                <w:rFonts w:ascii="Times New Roman" w:hAnsi="Times New Roman" w:cs="Times New Roman"/>
                <w:szCs w:val="21"/>
              </w:rPr>
            </w:pPr>
            <w:r>
              <w:rPr>
                <w:rFonts w:ascii="Times New Roman" w:hAnsi="Times New Roman" w:cs="Times New Roman"/>
                <w:szCs w:val="21"/>
              </w:rPr>
              <w:t>厂区北侧绿地</w:t>
            </w:r>
          </w:p>
        </w:tc>
        <w:tc>
          <w:tcPr>
            <w:tcW w:w="1729" w:type="dxa"/>
            <w:tcBorders>
              <w:left w:val="single" w:color="auto" w:sz="4" w:space="0"/>
              <w:right w:val="single" w:color="auto" w:sz="4" w:space="0"/>
            </w:tcBorders>
            <w:vAlign w:val="center"/>
          </w:tcPr>
          <w:p w14:paraId="73DD528D">
            <w:pPr>
              <w:snapToGrid w:val="0"/>
              <w:jc w:val="center"/>
              <w:rPr>
                <w:rFonts w:ascii="Times New Roman" w:hAnsi="Times New Roman" w:eastAsia="宋体" w:cs="Times New Roman"/>
                <w:szCs w:val="21"/>
              </w:rPr>
            </w:pPr>
            <w:r>
              <w:rPr>
                <w:rFonts w:hint="eastAsia" w:ascii="Times New Roman" w:hAnsi="Times New Roman" w:cs="Times New Roman"/>
                <w:szCs w:val="21"/>
                <w:lang w:val="en-US" w:eastAsia="zh-CN"/>
              </w:rPr>
              <w:t>苯、</w:t>
            </w:r>
            <w:r>
              <w:rPr>
                <w:rFonts w:ascii="Times New Roman" w:hAnsi="Times New Roman" w:cs="Times New Roman"/>
                <w:szCs w:val="21"/>
              </w:rPr>
              <w:t>甲苯、二甲苯、石油烃</w:t>
            </w:r>
          </w:p>
        </w:tc>
        <w:tc>
          <w:tcPr>
            <w:tcW w:w="1178" w:type="dxa"/>
            <w:vMerge w:val="continue"/>
            <w:tcBorders>
              <w:left w:val="single" w:color="auto" w:sz="4" w:space="0"/>
              <w:right w:val="single" w:color="auto" w:sz="4" w:space="0"/>
            </w:tcBorders>
            <w:vAlign w:val="center"/>
          </w:tcPr>
          <w:p w14:paraId="197028C7">
            <w:pPr>
              <w:snapToGrid w:val="0"/>
              <w:jc w:val="center"/>
              <w:rPr>
                <w:rFonts w:ascii="Times New Roman" w:hAnsi="Times New Roman" w:cs="Times New Roman"/>
                <w:szCs w:val="21"/>
              </w:rPr>
            </w:pPr>
          </w:p>
        </w:tc>
        <w:tc>
          <w:tcPr>
            <w:tcW w:w="1380" w:type="dxa"/>
            <w:vMerge w:val="continue"/>
            <w:tcBorders>
              <w:left w:val="single" w:color="auto" w:sz="4" w:space="0"/>
              <w:right w:val="single" w:color="auto" w:sz="4" w:space="0"/>
            </w:tcBorders>
            <w:vAlign w:val="center"/>
          </w:tcPr>
          <w:p w14:paraId="241D7DD0">
            <w:pPr>
              <w:snapToGrid w:val="0"/>
              <w:jc w:val="center"/>
              <w:rPr>
                <w:rFonts w:ascii="Times New Roman" w:hAnsi="Times New Roman" w:cs="Times New Roman"/>
                <w:szCs w:val="21"/>
              </w:rPr>
            </w:pPr>
          </w:p>
        </w:tc>
        <w:tc>
          <w:tcPr>
            <w:tcW w:w="966" w:type="dxa"/>
            <w:vMerge w:val="continue"/>
            <w:tcBorders>
              <w:left w:val="single" w:color="auto" w:sz="4" w:space="0"/>
              <w:right w:val="single" w:color="auto" w:sz="4" w:space="0"/>
            </w:tcBorders>
            <w:vAlign w:val="center"/>
          </w:tcPr>
          <w:p w14:paraId="09331F09">
            <w:pPr>
              <w:snapToGrid w:val="0"/>
              <w:jc w:val="center"/>
              <w:rPr>
                <w:rFonts w:ascii="Times New Roman" w:hAnsi="Times New Roman" w:cs="Times New Roman"/>
                <w:szCs w:val="21"/>
              </w:rPr>
            </w:pPr>
          </w:p>
        </w:tc>
      </w:tr>
      <w:tr w14:paraId="6E0F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5" w:type="dxa"/>
            <w:gridSpan w:val="8"/>
            <w:tcBorders>
              <w:top w:val="single" w:color="auto" w:sz="4" w:space="0"/>
              <w:left w:val="single" w:color="auto" w:sz="4" w:space="0"/>
              <w:bottom w:val="single" w:color="auto" w:sz="4" w:space="0"/>
            </w:tcBorders>
            <w:vAlign w:val="center"/>
          </w:tcPr>
          <w:p w14:paraId="2B7EEC20">
            <w:pPr>
              <w:snapToGrid w:val="0"/>
              <w:rPr>
                <w:rFonts w:ascii="Times New Roman" w:hAnsi="Times New Roman" w:cs="Times New Roman"/>
                <w:szCs w:val="21"/>
              </w:rPr>
            </w:pPr>
            <w:r>
              <w:rPr>
                <w:rFonts w:ascii="Times New Roman" w:hAnsi="Times New Roman" w:cs="Times New Roman"/>
                <w:szCs w:val="21"/>
              </w:rPr>
              <w:t>备注：a：45项因子：Cr</w:t>
            </w:r>
            <w:r>
              <w:rPr>
                <w:rFonts w:ascii="Times New Roman" w:hAnsi="Times New Roman" w:cs="Times New Roman"/>
                <w:szCs w:val="21"/>
                <w:vertAlign w:val="superscript"/>
              </w:rPr>
              <w:t>6+</w:t>
            </w:r>
            <w:r>
              <w:rPr>
                <w:rFonts w:ascii="Times New Roman" w:hAnsi="Times New Roman" w:cs="Times New Roman"/>
                <w:szCs w:val="21"/>
              </w:rPr>
              <w:t>、Hg、As、Pb、Cu、Cd、Ni、四氯化碳、氯仿、氯甲烷、1-1二氯乙烷、1-2二氯乙烷、1-1二氯乙烯、顺-1,2-二氯乙烯、反-1,2-二氯乙烯、二氯甲烷、1,1,1,2-四氯乙烷、四氯乙烯、1,1,1-三氯乙烷、1,1,2-三氯乙烷、三氯乙烯、1,2,3-三氯乙烯、氯乙烯、苯、氯苯、1,2-二氯苯、1,4-二氯苯、乙苯、苯乙烯、甲苯、间二甲苯+对二甲苯、邻二甲苯、硝基苯、苯胺、2-氯酚、苯并蒽、苯并芘、苯并[b]荧蒽、苯并[k]荧蒽、䓛、二苯并[a,h]蒽，茚并[1,2,3-cd]芘、萘</w:t>
            </w:r>
          </w:p>
        </w:tc>
      </w:tr>
    </w:tbl>
    <w:p w14:paraId="6B644DCF">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（2）监测因子与监测分析方法</w:t>
      </w:r>
    </w:p>
    <w:p w14:paraId="1203D401">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土壤监测因子具体监测方法见</w:t>
      </w:r>
      <w:r>
        <w:rPr>
          <w:rFonts w:hint="eastAsia" w:ascii="Times New Roman" w:hAnsi="Times New Roman" w:eastAsia="宋体" w:cs="Times New Roman"/>
          <w:sz w:val="24"/>
        </w:rPr>
        <w:t>下表</w:t>
      </w:r>
      <w:r>
        <w:rPr>
          <w:rFonts w:ascii="Times New Roman" w:hAnsi="Times New Roman" w:eastAsia="宋体" w:cs="Times New Roman"/>
          <w:sz w:val="24"/>
        </w:rPr>
        <w:t>。</w:t>
      </w:r>
    </w:p>
    <w:p w14:paraId="6DC6F661">
      <w:pPr>
        <w:spacing w:before="156" w:beforeLines="50" w:line="360" w:lineRule="auto"/>
        <w:contextualSpacing/>
        <w:jc w:val="center"/>
        <w:rPr>
          <w:rFonts w:ascii="Times New Roman" w:hAnsi="Times New Roman" w:eastAsia="宋体" w:cs="Times New Roman"/>
          <w:szCs w:val="21"/>
        </w:rPr>
      </w:pPr>
      <w:r>
        <w:rPr>
          <w:rFonts w:hint="eastAsia" w:ascii="Times New Roman" w:hAnsi="Times New Roman" w:eastAsia="宋体" w:cs="Times New Roman"/>
          <w:b/>
          <w:bCs/>
          <w:szCs w:val="21"/>
        </w:rPr>
        <w:t>表4.</w:t>
      </w:r>
      <w:r>
        <w:rPr>
          <w:rFonts w:hint="eastAsia" w:ascii="Times New Roman" w:hAnsi="Times New Roman" w:eastAsia="宋体" w:cs="Times New Roman"/>
          <w:b/>
          <w:bCs/>
          <w:szCs w:val="21"/>
          <w:lang w:val="en-US" w:eastAsia="zh-CN"/>
        </w:rPr>
        <w:t>6</w:t>
      </w:r>
      <w:r>
        <w:rPr>
          <w:rFonts w:hint="eastAsia" w:ascii="Times New Roman" w:hAnsi="Times New Roman" w:eastAsia="宋体" w:cs="Times New Roman"/>
          <w:b/>
          <w:bCs/>
          <w:szCs w:val="21"/>
        </w:rPr>
        <w:t>-2</w:t>
      </w:r>
      <w:r>
        <w:rPr>
          <w:rFonts w:ascii="Times New Roman" w:hAnsi="Times New Roman" w:eastAsia="宋体" w:cs="Times New Roman"/>
          <w:b/>
          <w:bCs/>
          <w:szCs w:val="21"/>
        </w:rPr>
        <w:t xml:space="preserve">  土壤监测因子与分析方法</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2063"/>
        <w:gridCol w:w="2401"/>
        <w:gridCol w:w="1326"/>
        <w:gridCol w:w="939"/>
        <w:gridCol w:w="1332"/>
      </w:tblGrid>
      <w:tr w14:paraId="28D7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3788C7E5">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2063" w:type="dxa"/>
            <w:tcBorders>
              <w:tl2br w:val="nil"/>
              <w:tr2bl w:val="nil"/>
            </w:tcBorders>
            <w:shd w:val="clear" w:color="auto" w:fill="auto"/>
            <w:vAlign w:val="center"/>
          </w:tcPr>
          <w:p w14:paraId="0835EC9F">
            <w:pPr>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监测因子</w:t>
            </w:r>
          </w:p>
        </w:tc>
        <w:tc>
          <w:tcPr>
            <w:tcW w:w="2401" w:type="dxa"/>
            <w:tcBorders>
              <w:tl2br w:val="nil"/>
              <w:tr2bl w:val="nil"/>
            </w:tcBorders>
            <w:shd w:val="clear" w:color="auto" w:fill="auto"/>
            <w:vAlign w:val="center"/>
          </w:tcPr>
          <w:p w14:paraId="4F2B5B82">
            <w:pPr>
              <w:jc w:val="center"/>
              <w:rPr>
                <w:rFonts w:ascii="Times New Roman" w:hAnsi="Times New Roman" w:cs="Times New Roman"/>
                <w:szCs w:val="21"/>
              </w:rPr>
            </w:pPr>
            <w:r>
              <w:rPr>
                <w:rFonts w:ascii="Times New Roman" w:hAnsi="Times New Roman" w:cs="Times New Roman"/>
                <w:szCs w:val="21"/>
              </w:rPr>
              <w:t>检测方法</w:t>
            </w:r>
          </w:p>
        </w:tc>
        <w:tc>
          <w:tcPr>
            <w:tcW w:w="1326" w:type="dxa"/>
            <w:tcBorders>
              <w:tl2br w:val="nil"/>
              <w:tr2bl w:val="nil"/>
            </w:tcBorders>
            <w:shd w:val="clear" w:color="auto" w:fill="auto"/>
            <w:vAlign w:val="center"/>
          </w:tcPr>
          <w:p w14:paraId="3E9165BB">
            <w:pPr>
              <w:jc w:val="center"/>
              <w:rPr>
                <w:rFonts w:ascii="Times New Roman" w:hAnsi="Times New Roman" w:cs="Times New Roman"/>
                <w:szCs w:val="21"/>
              </w:rPr>
            </w:pPr>
            <w:r>
              <w:rPr>
                <w:rFonts w:ascii="Times New Roman" w:hAnsi="Times New Roman" w:cs="Times New Roman"/>
                <w:szCs w:val="21"/>
              </w:rPr>
              <w:t>检测依据</w:t>
            </w:r>
          </w:p>
        </w:tc>
        <w:tc>
          <w:tcPr>
            <w:tcW w:w="939" w:type="dxa"/>
            <w:tcBorders>
              <w:tl2br w:val="nil"/>
              <w:tr2bl w:val="nil"/>
            </w:tcBorders>
            <w:shd w:val="clear" w:color="auto" w:fill="auto"/>
            <w:vAlign w:val="center"/>
          </w:tcPr>
          <w:p w14:paraId="7C467A0D">
            <w:pPr>
              <w:jc w:val="center"/>
              <w:rPr>
                <w:rFonts w:ascii="Times New Roman" w:hAnsi="Times New Roman" w:cs="Times New Roman"/>
                <w:szCs w:val="21"/>
              </w:rPr>
            </w:pPr>
            <w:r>
              <w:rPr>
                <w:rFonts w:ascii="Times New Roman" w:hAnsi="Times New Roman" w:cs="Times New Roman"/>
                <w:szCs w:val="21"/>
              </w:rPr>
              <w:t>分析仪器</w:t>
            </w:r>
          </w:p>
        </w:tc>
        <w:tc>
          <w:tcPr>
            <w:tcW w:w="1332" w:type="dxa"/>
            <w:tcBorders>
              <w:tl2br w:val="nil"/>
              <w:tr2bl w:val="nil"/>
            </w:tcBorders>
            <w:shd w:val="clear" w:color="auto" w:fill="auto"/>
            <w:vAlign w:val="center"/>
          </w:tcPr>
          <w:p w14:paraId="69918460">
            <w:pPr>
              <w:jc w:val="center"/>
              <w:rPr>
                <w:rFonts w:ascii="Times New Roman" w:hAnsi="Times New Roman" w:cs="Times New Roman"/>
                <w:szCs w:val="21"/>
              </w:rPr>
            </w:pPr>
            <w:r>
              <w:rPr>
                <w:rFonts w:ascii="Times New Roman" w:hAnsi="Times New Roman" w:cs="Times New Roman"/>
                <w:szCs w:val="21"/>
              </w:rPr>
              <w:t>检出限</w:t>
            </w:r>
          </w:p>
        </w:tc>
      </w:tr>
      <w:tr w14:paraId="4F43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7D864411">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2063" w:type="dxa"/>
            <w:tcBorders>
              <w:tl2br w:val="nil"/>
              <w:tr2bl w:val="nil"/>
            </w:tcBorders>
            <w:shd w:val="clear" w:color="auto" w:fill="auto"/>
            <w:vAlign w:val="center"/>
          </w:tcPr>
          <w:p w14:paraId="49645340">
            <w:pPr>
              <w:jc w:val="center"/>
              <w:rPr>
                <w:rFonts w:ascii="Times New Roman" w:hAnsi="Times New Roman" w:cs="Times New Roman"/>
                <w:szCs w:val="21"/>
              </w:rPr>
            </w:pPr>
            <w:r>
              <w:rPr>
                <w:rFonts w:ascii="Times New Roman" w:hAnsi="Times New Roman" w:cs="Times New Roman"/>
                <w:szCs w:val="21"/>
              </w:rPr>
              <w:t>砷</w:t>
            </w:r>
          </w:p>
        </w:tc>
        <w:tc>
          <w:tcPr>
            <w:tcW w:w="2401" w:type="dxa"/>
            <w:tcBorders>
              <w:tl2br w:val="nil"/>
              <w:tr2bl w:val="nil"/>
            </w:tcBorders>
            <w:shd w:val="clear" w:color="auto" w:fill="auto"/>
            <w:vAlign w:val="center"/>
          </w:tcPr>
          <w:p w14:paraId="4AA2A1EA">
            <w:pPr>
              <w:jc w:val="center"/>
              <w:rPr>
                <w:rFonts w:ascii="Times New Roman" w:hAnsi="Times New Roman" w:cs="Times New Roman"/>
                <w:szCs w:val="21"/>
              </w:rPr>
            </w:pPr>
            <w:r>
              <w:rPr>
                <w:rFonts w:ascii="Times New Roman" w:hAnsi="Times New Roman" w:cs="Times New Roman"/>
                <w:szCs w:val="21"/>
              </w:rPr>
              <w:t>土壤质量 总汞、总砷、总铅的测定  原子荧光法 第2部分 土壤中总砷的测定</w:t>
            </w:r>
          </w:p>
        </w:tc>
        <w:tc>
          <w:tcPr>
            <w:tcW w:w="1326" w:type="dxa"/>
            <w:tcBorders>
              <w:tl2br w:val="nil"/>
              <w:tr2bl w:val="nil"/>
            </w:tcBorders>
            <w:shd w:val="clear" w:color="auto" w:fill="auto"/>
            <w:vAlign w:val="center"/>
          </w:tcPr>
          <w:p w14:paraId="6725313E">
            <w:pPr>
              <w:jc w:val="center"/>
              <w:rPr>
                <w:rFonts w:ascii="Times New Roman" w:hAnsi="Times New Roman" w:cs="Times New Roman"/>
                <w:szCs w:val="21"/>
              </w:rPr>
            </w:pPr>
            <w:r>
              <w:rPr>
                <w:rFonts w:ascii="Times New Roman" w:hAnsi="Times New Roman" w:cs="Times New Roman"/>
                <w:szCs w:val="21"/>
              </w:rPr>
              <w:t>GB/T 22105.2-2008</w:t>
            </w:r>
          </w:p>
        </w:tc>
        <w:tc>
          <w:tcPr>
            <w:tcW w:w="939" w:type="dxa"/>
            <w:tcBorders>
              <w:tl2br w:val="nil"/>
              <w:tr2bl w:val="nil"/>
            </w:tcBorders>
            <w:shd w:val="clear" w:color="auto" w:fill="auto"/>
            <w:vAlign w:val="center"/>
          </w:tcPr>
          <w:p w14:paraId="7D2F067F">
            <w:pPr>
              <w:jc w:val="center"/>
              <w:rPr>
                <w:rFonts w:ascii="Times New Roman" w:hAnsi="Times New Roman" w:cs="Times New Roman"/>
                <w:szCs w:val="21"/>
              </w:rPr>
            </w:pPr>
            <w:r>
              <w:rPr>
                <w:rFonts w:ascii="Times New Roman" w:hAnsi="Times New Roman" w:cs="Times New Roman"/>
                <w:szCs w:val="21"/>
              </w:rPr>
              <w:t>原子荧光光度计PF3</w:t>
            </w:r>
          </w:p>
        </w:tc>
        <w:tc>
          <w:tcPr>
            <w:tcW w:w="1332" w:type="dxa"/>
            <w:tcBorders>
              <w:tl2br w:val="nil"/>
              <w:tr2bl w:val="nil"/>
            </w:tcBorders>
            <w:shd w:val="clear" w:color="auto" w:fill="auto"/>
            <w:vAlign w:val="center"/>
          </w:tcPr>
          <w:p w14:paraId="376442EE">
            <w:pPr>
              <w:jc w:val="center"/>
              <w:rPr>
                <w:rFonts w:ascii="Times New Roman" w:hAnsi="Times New Roman" w:cs="Times New Roman"/>
                <w:szCs w:val="21"/>
              </w:rPr>
            </w:pPr>
            <w:r>
              <w:rPr>
                <w:rFonts w:ascii="Times New Roman" w:hAnsi="Times New Roman" w:cs="Times New Roman"/>
                <w:szCs w:val="21"/>
              </w:rPr>
              <w:t>0.01 mg/kg</w:t>
            </w:r>
          </w:p>
        </w:tc>
      </w:tr>
      <w:tr w14:paraId="145D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54D8AEAE">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2063" w:type="dxa"/>
            <w:tcBorders>
              <w:tl2br w:val="nil"/>
              <w:tr2bl w:val="nil"/>
            </w:tcBorders>
            <w:shd w:val="clear" w:color="auto" w:fill="auto"/>
            <w:vAlign w:val="center"/>
          </w:tcPr>
          <w:p w14:paraId="488C981A">
            <w:pPr>
              <w:jc w:val="center"/>
              <w:rPr>
                <w:rFonts w:ascii="Times New Roman" w:hAnsi="Times New Roman" w:cs="Times New Roman"/>
                <w:szCs w:val="21"/>
              </w:rPr>
            </w:pPr>
            <w:r>
              <w:rPr>
                <w:rFonts w:ascii="Times New Roman" w:hAnsi="Times New Roman" w:cs="Times New Roman"/>
                <w:szCs w:val="21"/>
              </w:rPr>
              <w:t>镉</w:t>
            </w:r>
          </w:p>
        </w:tc>
        <w:tc>
          <w:tcPr>
            <w:tcW w:w="2401" w:type="dxa"/>
            <w:tcBorders>
              <w:tl2br w:val="nil"/>
              <w:tr2bl w:val="nil"/>
            </w:tcBorders>
            <w:shd w:val="clear" w:color="auto" w:fill="auto"/>
            <w:vAlign w:val="center"/>
          </w:tcPr>
          <w:p w14:paraId="412A16EF">
            <w:pPr>
              <w:jc w:val="center"/>
              <w:rPr>
                <w:rFonts w:ascii="Times New Roman" w:hAnsi="Times New Roman" w:cs="Times New Roman"/>
                <w:szCs w:val="21"/>
              </w:rPr>
            </w:pPr>
            <w:r>
              <w:rPr>
                <w:rFonts w:ascii="Times New Roman" w:hAnsi="Times New Roman" w:cs="Times New Roman"/>
                <w:szCs w:val="21"/>
              </w:rPr>
              <w:t>土壤质量 铅、镉的测定石墨炉原子吸收分光光度法</w:t>
            </w:r>
          </w:p>
          <w:p w14:paraId="38C2A89A">
            <w:pPr>
              <w:jc w:val="center"/>
              <w:rPr>
                <w:rFonts w:ascii="Times New Roman" w:hAnsi="Times New Roman" w:cs="Times New Roman"/>
                <w:szCs w:val="21"/>
              </w:rPr>
            </w:pPr>
            <w:r>
              <w:rPr>
                <w:rFonts w:ascii="Times New Roman" w:hAnsi="Times New Roman" w:cs="Times New Roman"/>
                <w:szCs w:val="21"/>
              </w:rPr>
              <w:t>(石墨炉法）</w:t>
            </w:r>
          </w:p>
        </w:tc>
        <w:tc>
          <w:tcPr>
            <w:tcW w:w="1326" w:type="dxa"/>
            <w:tcBorders>
              <w:tl2br w:val="nil"/>
              <w:tr2bl w:val="nil"/>
            </w:tcBorders>
            <w:shd w:val="clear" w:color="auto" w:fill="auto"/>
            <w:vAlign w:val="center"/>
          </w:tcPr>
          <w:p w14:paraId="36206EAB">
            <w:pPr>
              <w:jc w:val="center"/>
              <w:rPr>
                <w:rFonts w:ascii="Times New Roman" w:hAnsi="Times New Roman" w:cs="Times New Roman"/>
                <w:szCs w:val="21"/>
              </w:rPr>
            </w:pPr>
            <w:r>
              <w:rPr>
                <w:rFonts w:ascii="Times New Roman" w:hAnsi="Times New Roman" w:cs="Times New Roman"/>
                <w:szCs w:val="21"/>
              </w:rPr>
              <w:t>GB/T 17141-1997</w:t>
            </w:r>
          </w:p>
        </w:tc>
        <w:tc>
          <w:tcPr>
            <w:tcW w:w="939" w:type="dxa"/>
            <w:vMerge w:val="restart"/>
            <w:tcBorders>
              <w:tl2br w:val="nil"/>
              <w:tr2bl w:val="nil"/>
            </w:tcBorders>
            <w:shd w:val="clear" w:color="auto" w:fill="auto"/>
            <w:vAlign w:val="center"/>
          </w:tcPr>
          <w:p w14:paraId="1DEE4211">
            <w:pPr>
              <w:jc w:val="center"/>
              <w:rPr>
                <w:rFonts w:ascii="Times New Roman" w:hAnsi="Times New Roman" w:cs="Times New Roman"/>
                <w:szCs w:val="21"/>
              </w:rPr>
            </w:pPr>
            <w:r>
              <w:rPr>
                <w:rFonts w:ascii="Times New Roman" w:hAnsi="Times New Roman" w:cs="Times New Roman"/>
                <w:szCs w:val="21"/>
              </w:rPr>
              <w:t>原子吸收分光光度计</w:t>
            </w:r>
          </w:p>
          <w:p w14:paraId="166C67BE">
            <w:pPr>
              <w:jc w:val="center"/>
              <w:rPr>
                <w:rFonts w:ascii="Times New Roman" w:hAnsi="Times New Roman" w:cs="Times New Roman"/>
                <w:szCs w:val="21"/>
              </w:rPr>
            </w:pPr>
            <w:r>
              <w:rPr>
                <w:rFonts w:ascii="Times New Roman" w:hAnsi="Times New Roman" w:cs="Times New Roman"/>
                <w:szCs w:val="21"/>
              </w:rPr>
              <w:t>AA-7020型</w:t>
            </w:r>
          </w:p>
        </w:tc>
        <w:tc>
          <w:tcPr>
            <w:tcW w:w="1332" w:type="dxa"/>
            <w:tcBorders>
              <w:tl2br w:val="nil"/>
              <w:tr2bl w:val="nil"/>
            </w:tcBorders>
            <w:shd w:val="clear" w:color="auto" w:fill="auto"/>
            <w:vAlign w:val="center"/>
          </w:tcPr>
          <w:p w14:paraId="3BBCEBCA">
            <w:pPr>
              <w:jc w:val="center"/>
              <w:rPr>
                <w:rFonts w:ascii="Times New Roman" w:hAnsi="Times New Roman" w:cs="Times New Roman"/>
                <w:szCs w:val="21"/>
              </w:rPr>
            </w:pPr>
            <w:r>
              <w:rPr>
                <w:rFonts w:ascii="Times New Roman" w:hAnsi="Times New Roman" w:cs="Times New Roman"/>
                <w:szCs w:val="21"/>
              </w:rPr>
              <w:t>0.01 mg/kg</w:t>
            </w:r>
          </w:p>
        </w:tc>
      </w:tr>
      <w:tr w14:paraId="7E23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20E34FC3">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2063" w:type="dxa"/>
            <w:tcBorders>
              <w:tl2br w:val="nil"/>
              <w:tr2bl w:val="nil"/>
            </w:tcBorders>
            <w:shd w:val="clear" w:color="auto" w:fill="auto"/>
            <w:vAlign w:val="center"/>
          </w:tcPr>
          <w:p w14:paraId="3533AE32">
            <w:pPr>
              <w:jc w:val="center"/>
              <w:rPr>
                <w:rFonts w:ascii="Times New Roman" w:hAnsi="Times New Roman" w:cs="Times New Roman"/>
                <w:szCs w:val="21"/>
              </w:rPr>
            </w:pPr>
            <w:r>
              <w:rPr>
                <w:rFonts w:ascii="Times New Roman" w:hAnsi="Times New Roman" w:cs="Times New Roman"/>
                <w:szCs w:val="21"/>
              </w:rPr>
              <w:t>六价铬</w:t>
            </w:r>
          </w:p>
        </w:tc>
        <w:tc>
          <w:tcPr>
            <w:tcW w:w="2401" w:type="dxa"/>
            <w:tcBorders>
              <w:tl2br w:val="nil"/>
              <w:tr2bl w:val="nil"/>
            </w:tcBorders>
            <w:shd w:val="clear" w:color="auto" w:fill="auto"/>
            <w:vAlign w:val="center"/>
          </w:tcPr>
          <w:p w14:paraId="36BAB373">
            <w:pPr>
              <w:jc w:val="center"/>
              <w:rPr>
                <w:rFonts w:ascii="Times New Roman" w:hAnsi="Times New Roman" w:cs="Times New Roman"/>
                <w:szCs w:val="21"/>
              </w:rPr>
            </w:pPr>
            <w:r>
              <w:rPr>
                <w:rFonts w:ascii="Times New Roman" w:hAnsi="Times New Roman" w:cs="Times New Roman"/>
                <w:szCs w:val="21"/>
              </w:rPr>
              <w:t xml:space="preserve">固体废物 六价铬的测定 碱消解/火焰原子吸收分光光度法 </w:t>
            </w:r>
          </w:p>
        </w:tc>
        <w:tc>
          <w:tcPr>
            <w:tcW w:w="1326" w:type="dxa"/>
            <w:tcBorders>
              <w:tl2br w:val="nil"/>
              <w:tr2bl w:val="nil"/>
            </w:tcBorders>
            <w:shd w:val="clear" w:color="auto" w:fill="auto"/>
            <w:vAlign w:val="center"/>
          </w:tcPr>
          <w:p w14:paraId="6EFCCA01">
            <w:pPr>
              <w:jc w:val="center"/>
              <w:rPr>
                <w:rFonts w:ascii="Times New Roman" w:hAnsi="Times New Roman" w:cs="Times New Roman"/>
                <w:szCs w:val="21"/>
              </w:rPr>
            </w:pPr>
            <w:r>
              <w:rPr>
                <w:rFonts w:ascii="Times New Roman" w:hAnsi="Times New Roman" w:cs="Times New Roman"/>
                <w:szCs w:val="21"/>
              </w:rPr>
              <w:t>HJ 687-2014</w:t>
            </w:r>
          </w:p>
        </w:tc>
        <w:tc>
          <w:tcPr>
            <w:tcW w:w="939" w:type="dxa"/>
            <w:vMerge w:val="continue"/>
            <w:tcBorders>
              <w:tl2br w:val="nil"/>
              <w:tr2bl w:val="nil"/>
            </w:tcBorders>
            <w:shd w:val="clear" w:color="auto" w:fill="auto"/>
            <w:vAlign w:val="center"/>
          </w:tcPr>
          <w:p w14:paraId="4FF5C917">
            <w:pPr>
              <w:jc w:val="center"/>
              <w:rPr>
                <w:rFonts w:ascii="Times New Roman" w:hAnsi="Times New Roman" w:cs="Times New Roman"/>
                <w:szCs w:val="21"/>
              </w:rPr>
            </w:pPr>
          </w:p>
        </w:tc>
        <w:tc>
          <w:tcPr>
            <w:tcW w:w="1332" w:type="dxa"/>
            <w:tcBorders>
              <w:tl2br w:val="nil"/>
              <w:tr2bl w:val="nil"/>
            </w:tcBorders>
            <w:shd w:val="clear" w:color="auto" w:fill="auto"/>
            <w:vAlign w:val="center"/>
          </w:tcPr>
          <w:p w14:paraId="0BED1D82">
            <w:pPr>
              <w:jc w:val="center"/>
              <w:rPr>
                <w:rFonts w:ascii="Times New Roman" w:hAnsi="Times New Roman" w:cs="Times New Roman"/>
                <w:szCs w:val="21"/>
              </w:rPr>
            </w:pPr>
            <w:r>
              <w:rPr>
                <w:rFonts w:ascii="Times New Roman" w:hAnsi="Times New Roman" w:cs="Times New Roman"/>
                <w:szCs w:val="21"/>
              </w:rPr>
              <w:t>2 mg/kg</w:t>
            </w:r>
          </w:p>
        </w:tc>
      </w:tr>
      <w:tr w14:paraId="71A9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28EEB157">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2063" w:type="dxa"/>
            <w:tcBorders>
              <w:tl2br w:val="nil"/>
              <w:tr2bl w:val="nil"/>
            </w:tcBorders>
            <w:shd w:val="clear" w:color="auto" w:fill="auto"/>
            <w:vAlign w:val="center"/>
          </w:tcPr>
          <w:p w14:paraId="5DE7B8AB">
            <w:pPr>
              <w:adjustRightInd w:val="0"/>
              <w:snapToGrid w:val="0"/>
              <w:jc w:val="center"/>
              <w:rPr>
                <w:rFonts w:ascii="Times New Roman" w:hAnsi="Times New Roman" w:cs="Times New Roman"/>
                <w:szCs w:val="21"/>
              </w:rPr>
            </w:pPr>
            <w:r>
              <w:rPr>
                <w:rFonts w:ascii="Times New Roman" w:hAnsi="Times New Roman" w:cs="Times New Roman"/>
                <w:szCs w:val="21"/>
              </w:rPr>
              <w:t>铜</w:t>
            </w:r>
          </w:p>
        </w:tc>
        <w:tc>
          <w:tcPr>
            <w:tcW w:w="2401" w:type="dxa"/>
            <w:tcBorders>
              <w:tl2br w:val="nil"/>
              <w:tr2bl w:val="nil"/>
            </w:tcBorders>
            <w:shd w:val="clear" w:color="auto" w:fill="auto"/>
            <w:vAlign w:val="center"/>
          </w:tcPr>
          <w:p w14:paraId="54B8B022">
            <w:pPr>
              <w:jc w:val="center"/>
              <w:rPr>
                <w:rFonts w:ascii="Times New Roman" w:hAnsi="Times New Roman" w:cs="Times New Roman"/>
                <w:szCs w:val="21"/>
              </w:rPr>
            </w:pPr>
            <w:r>
              <w:rPr>
                <w:rFonts w:ascii="Times New Roman" w:hAnsi="Times New Roman" w:cs="Times New Roman"/>
                <w:szCs w:val="21"/>
              </w:rPr>
              <w:t>土壤和沉积物 铜、锌、铅、镍、铬的测定 火焰原子吸收分光光度法</w:t>
            </w:r>
          </w:p>
        </w:tc>
        <w:tc>
          <w:tcPr>
            <w:tcW w:w="1326" w:type="dxa"/>
            <w:tcBorders>
              <w:tl2br w:val="nil"/>
              <w:tr2bl w:val="nil"/>
            </w:tcBorders>
            <w:shd w:val="clear" w:color="auto" w:fill="auto"/>
            <w:vAlign w:val="center"/>
          </w:tcPr>
          <w:p w14:paraId="283D7DAE">
            <w:pPr>
              <w:jc w:val="center"/>
              <w:rPr>
                <w:rFonts w:ascii="Times New Roman" w:hAnsi="Times New Roman" w:cs="Times New Roman"/>
                <w:szCs w:val="21"/>
              </w:rPr>
            </w:pPr>
            <w:r>
              <w:rPr>
                <w:rFonts w:ascii="Times New Roman" w:hAnsi="Times New Roman" w:cs="Times New Roman"/>
                <w:szCs w:val="21"/>
              </w:rPr>
              <w:t>HJ 491-2019</w:t>
            </w:r>
          </w:p>
        </w:tc>
        <w:tc>
          <w:tcPr>
            <w:tcW w:w="939" w:type="dxa"/>
            <w:vMerge w:val="continue"/>
            <w:tcBorders>
              <w:tl2br w:val="nil"/>
              <w:tr2bl w:val="nil"/>
            </w:tcBorders>
            <w:shd w:val="clear" w:color="auto" w:fill="auto"/>
            <w:vAlign w:val="center"/>
          </w:tcPr>
          <w:p w14:paraId="65574AE8">
            <w:pPr>
              <w:jc w:val="center"/>
              <w:rPr>
                <w:rFonts w:ascii="Times New Roman" w:hAnsi="Times New Roman" w:cs="Times New Roman"/>
                <w:szCs w:val="21"/>
              </w:rPr>
            </w:pPr>
          </w:p>
        </w:tc>
        <w:tc>
          <w:tcPr>
            <w:tcW w:w="1332" w:type="dxa"/>
            <w:tcBorders>
              <w:tl2br w:val="nil"/>
              <w:tr2bl w:val="nil"/>
            </w:tcBorders>
            <w:shd w:val="clear" w:color="auto" w:fill="auto"/>
            <w:vAlign w:val="center"/>
          </w:tcPr>
          <w:p w14:paraId="276A3C86">
            <w:pPr>
              <w:jc w:val="center"/>
              <w:rPr>
                <w:rFonts w:ascii="Times New Roman" w:hAnsi="Times New Roman" w:cs="Times New Roman"/>
                <w:szCs w:val="21"/>
              </w:rPr>
            </w:pPr>
            <w:r>
              <w:rPr>
                <w:rFonts w:ascii="Times New Roman" w:hAnsi="Times New Roman" w:cs="Times New Roman"/>
                <w:szCs w:val="21"/>
              </w:rPr>
              <w:t>1 mg/kg</w:t>
            </w:r>
          </w:p>
        </w:tc>
      </w:tr>
      <w:tr w14:paraId="6D69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03062336">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2063" w:type="dxa"/>
            <w:tcBorders>
              <w:tl2br w:val="nil"/>
              <w:tr2bl w:val="nil"/>
            </w:tcBorders>
            <w:shd w:val="clear" w:color="auto" w:fill="auto"/>
            <w:vAlign w:val="center"/>
          </w:tcPr>
          <w:p w14:paraId="296548AC">
            <w:pPr>
              <w:jc w:val="center"/>
              <w:rPr>
                <w:rFonts w:ascii="Times New Roman" w:hAnsi="Times New Roman" w:cs="Times New Roman"/>
                <w:szCs w:val="21"/>
              </w:rPr>
            </w:pPr>
            <w:r>
              <w:rPr>
                <w:rFonts w:ascii="Times New Roman" w:hAnsi="Times New Roman" w:cs="Times New Roman"/>
                <w:szCs w:val="21"/>
              </w:rPr>
              <w:t>铅</w:t>
            </w:r>
          </w:p>
        </w:tc>
        <w:tc>
          <w:tcPr>
            <w:tcW w:w="2401" w:type="dxa"/>
            <w:tcBorders>
              <w:tl2br w:val="nil"/>
              <w:tr2bl w:val="nil"/>
            </w:tcBorders>
            <w:shd w:val="clear" w:color="auto" w:fill="auto"/>
            <w:vAlign w:val="center"/>
          </w:tcPr>
          <w:p w14:paraId="7BE90CA6">
            <w:pPr>
              <w:jc w:val="center"/>
              <w:rPr>
                <w:rFonts w:ascii="Times New Roman" w:hAnsi="Times New Roman" w:cs="Times New Roman"/>
                <w:szCs w:val="21"/>
              </w:rPr>
            </w:pPr>
            <w:r>
              <w:rPr>
                <w:rFonts w:ascii="Times New Roman" w:hAnsi="Times New Roman" w:cs="Times New Roman"/>
                <w:szCs w:val="21"/>
              </w:rPr>
              <w:t>土壤质量 铅、镉的测定</w:t>
            </w:r>
          </w:p>
          <w:p w14:paraId="490D5B96">
            <w:pPr>
              <w:jc w:val="center"/>
              <w:rPr>
                <w:rFonts w:ascii="Times New Roman" w:hAnsi="Times New Roman" w:cs="Times New Roman"/>
                <w:szCs w:val="21"/>
              </w:rPr>
            </w:pPr>
            <w:r>
              <w:rPr>
                <w:rFonts w:ascii="Times New Roman" w:hAnsi="Times New Roman" w:cs="Times New Roman"/>
                <w:szCs w:val="21"/>
              </w:rPr>
              <w:t>石墨炉原子吸收分光光度法</w:t>
            </w:r>
          </w:p>
        </w:tc>
        <w:tc>
          <w:tcPr>
            <w:tcW w:w="1326" w:type="dxa"/>
            <w:tcBorders>
              <w:tl2br w:val="nil"/>
              <w:tr2bl w:val="nil"/>
            </w:tcBorders>
            <w:shd w:val="clear" w:color="auto" w:fill="auto"/>
            <w:vAlign w:val="center"/>
          </w:tcPr>
          <w:p w14:paraId="7BD1F2A7">
            <w:pPr>
              <w:jc w:val="center"/>
              <w:rPr>
                <w:rFonts w:ascii="Times New Roman" w:hAnsi="Times New Roman" w:cs="Times New Roman"/>
                <w:szCs w:val="21"/>
              </w:rPr>
            </w:pPr>
            <w:r>
              <w:rPr>
                <w:rFonts w:ascii="Times New Roman" w:hAnsi="Times New Roman" w:cs="Times New Roman"/>
                <w:szCs w:val="21"/>
              </w:rPr>
              <w:t>GB/T 17141-1997</w:t>
            </w:r>
          </w:p>
        </w:tc>
        <w:tc>
          <w:tcPr>
            <w:tcW w:w="939" w:type="dxa"/>
            <w:vMerge w:val="continue"/>
            <w:tcBorders>
              <w:tl2br w:val="nil"/>
              <w:tr2bl w:val="nil"/>
            </w:tcBorders>
            <w:shd w:val="clear" w:color="auto" w:fill="auto"/>
            <w:vAlign w:val="center"/>
          </w:tcPr>
          <w:p w14:paraId="7A017057">
            <w:pPr>
              <w:jc w:val="center"/>
              <w:rPr>
                <w:rFonts w:ascii="Times New Roman" w:hAnsi="Times New Roman" w:cs="Times New Roman"/>
                <w:szCs w:val="21"/>
              </w:rPr>
            </w:pPr>
          </w:p>
        </w:tc>
        <w:tc>
          <w:tcPr>
            <w:tcW w:w="1332" w:type="dxa"/>
            <w:tcBorders>
              <w:tl2br w:val="nil"/>
              <w:tr2bl w:val="nil"/>
            </w:tcBorders>
            <w:shd w:val="clear" w:color="auto" w:fill="auto"/>
            <w:vAlign w:val="center"/>
          </w:tcPr>
          <w:p w14:paraId="4C7152E1">
            <w:pPr>
              <w:jc w:val="center"/>
              <w:rPr>
                <w:rFonts w:ascii="Times New Roman" w:hAnsi="Times New Roman" w:cs="Times New Roman"/>
                <w:szCs w:val="21"/>
              </w:rPr>
            </w:pPr>
            <w:r>
              <w:rPr>
                <w:rFonts w:ascii="Times New Roman" w:hAnsi="Times New Roman" w:cs="Times New Roman"/>
                <w:szCs w:val="21"/>
              </w:rPr>
              <w:t>0.1 mg/kg</w:t>
            </w:r>
          </w:p>
        </w:tc>
      </w:tr>
      <w:tr w14:paraId="1C0B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5499634F">
            <w:pPr>
              <w:adjustRightInd w:val="0"/>
              <w:snapToGrid w:val="0"/>
              <w:jc w:val="center"/>
              <w:rPr>
                <w:rFonts w:ascii="Times New Roman" w:hAnsi="Times New Roman" w:cs="Times New Roman"/>
                <w:szCs w:val="21"/>
              </w:rPr>
            </w:pPr>
            <w:r>
              <w:rPr>
                <w:rFonts w:ascii="Times New Roman" w:hAnsi="Times New Roman" w:cs="Times New Roman"/>
                <w:szCs w:val="21"/>
              </w:rPr>
              <w:t>6</w:t>
            </w:r>
          </w:p>
        </w:tc>
        <w:tc>
          <w:tcPr>
            <w:tcW w:w="2063" w:type="dxa"/>
            <w:tcBorders>
              <w:tl2br w:val="nil"/>
              <w:tr2bl w:val="nil"/>
            </w:tcBorders>
            <w:shd w:val="clear" w:color="auto" w:fill="auto"/>
            <w:vAlign w:val="center"/>
          </w:tcPr>
          <w:p w14:paraId="0A297679">
            <w:pPr>
              <w:adjustRightInd w:val="0"/>
              <w:snapToGrid w:val="0"/>
              <w:jc w:val="center"/>
              <w:rPr>
                <w:rFonts w:ascii="Times New Roman" w:hAnsi="Times New Roman" w:cs="Times New Roman"/>
                <w:szCs w:val="21"/>
              </w:rPr>
            </w:pPr>
            <w:r>
              <w:rPr>
                <w:rFonts w:ascii="Times New Roman" w:hAnsi="Times New Roman" w:cs="Times New Roman"/>
                <w:szCs w:val="21"/>
              </w:rPr>
              <w:t>汞</w:t>
            </w:r>
          </w:p>
        </w:tc>
        <w:tc>
          <w:tcPr>
            <w:tcW w:w="2401" w:type="dxa"/>
            <w:tcBorders>
              <w:tl2br w:val="nil"/>
              <w:tr2bl w:val="nil"/>
            </w:tcBorders>
            <w:shd w:val="clear" w:color="auto" w:fill="auto"/>
            <w:vAlign w:val="center"/>
          </w:tcPr>
          <w:p w14:paraId="5D6DEE34">
            <w:pPr>
              <w:jc w:val="center"/>
              <w:rPr>
                <w:rFonts w:ascii="Times New Roman" w:hAnsi="Times New Roman" w:cs="Times New Roman"/>
                <w:szCs w:val="21"/>
              </w:rPr>
            </w:pPr>
            <w:r>
              <w:rPr>
                <w:rFonts w:ascii="Times New Roman" w:hAnsi="Times New Roman" w:cs="Times New Roman"/>
                <w:szCs w:val="21"/>
              </w:rPr>
              <w:t>土壤质量 总汞、总砷、总铅的测定   原子荧光法 第1部分 土壤中总汞的测定</w:t>
            </w:r>
          </w:p>
        </w:tc>
        <w:tc>
          <w:tcPr>
            <w:tcW w:w="1326" w:type="dxa"/>
            <w:tcBorders>
              <w:tl2br w:val="nil"/>
              <w:tr2bl w:val="nil"/>
            </w:tcBorders>
            <w:shd w:val="clear" w:color="auto" w:fill="auto"/>
            <w:vAlign w:val="center"/>
          </w:tcPr>
          <w:p w14:paraId="4A413105">
            <w:pPr>
              <w:jc w:val="center"/>
              <w:rPr>
                <w:rFonts w:ascii="Times New Roman" w:hAnsi="Times New Roman" w:cs="Times New Roman"/>
                <w:szCs w:val="21"/>
              </w:rPr>
            </w:pPr>
            <w:r>
              <w:rPr>
                <w:rFonts w:ascii="Times New Roman" w:hAnsi="Times New Roman" w:cs="Times New Roman"/>
                <w:szCs w:val="21"/>
              </w:rPr>
              <w:t>GB/T 22105.1-2008</w:t>
            </w:r>
          </w:p>
        </w:tc>
        <w:tc>
          <w:tcPr>
            <w:tcW w:w="939" w:type="dxa"/>
            <w:tcBorders>
              <w:tl2br w:val="nil"/>
              <w:tr2bl w:val="nil"/>
            </w:tcBorders>
            <w:shd w:val="clear" w:color="auto" w:fill="auto"/>
            <w:vAlign w:val="center"/>
          </w:tcPr>
          <w:p w14:paraId="13FBD96F">
            <w:pPr>
              <w:jc w:val="center"/>
              <w:rPr>
                <w:rFonts w:ascii="Times New Roman" w:hAnsi="Times New Roman" w:cs="Times New Roman"/>
                <w:szCs w:val="21"/>
              </w:rPr>
            </w:pPr>
            <w:r>
              <w:rPr>
                <w:rFonts w:ascii="Times New Roman" w:hAnsi="Times New Roman" w:cs="Times New Roman"/>
                <w:szCs w:val="21"/>
              </w:rPr>
              <w:t>原子荧光光度计PF3</w:t>
            </w:r>
          </w:p>
        </w:tc>
        <w:tc>
          <w:tcPr>
            <w:tcW w:w="1332" w:type="dxa"/>
            <w:tcBorders>
              <w:tl2br w:val="nil"/>
              <w:tr2bl w:val="nil"/>
            </w:tcBorders>
            <w:shd w:val="clear" w:color="auto" w:fill="auto"/>
            <w:vAlign w:val="center"/>
          </w:tcPr>
          <w:p w14:paraId="335E23E0">
            <w:pPr>
              <w:jc w:val="center"/>
              <w:rPr>
                <w:rFonts w:ascii="Times New Roman" w:hAnsi="Times New Roman" w:cs="Times New Roman"/>
                <w:szCs w:val="21"/>
              </w:rPr>
            </w:pPr>
            <w:r>
              <w:rPr>
                <w:rFonts w:ascii="Times New Roman" w:hAnsi="Times New Roman" w:cs="Times New Roman"/>
                <w:szCs w:val="21"/>
              </w:rPr>
              <w:t>0.002 mg/kg</w:t>
            </w:r>
          </w:p>
        </w:tc>
      </w:tr>
      <w:tr w14:paraId="0BBF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7294B54B">
            <w:pPr>
              <w:adjustRightInd w:val="0"/>
              <w:snapToGrid w:val="0"/>
              <w:jc w:val="center"/>
              <w:rPr>
                <w:rFonts w:ascii="Times New Roman" w:hAnsi="Times New Roman" w:cs="Times New Roman"/>
                <w:szCs w:val="21"/>
              </w:rPr>
            </w:pPr>
            <w:r>
              <w:rPr>
                <w:rFonts w:ascii="Times New Roman" w:hAnsi="Times New Roman" w:cs="Times New Roman"/>
                <w:szCs w:val="21"/>
              </w:rPr>
              <w:t>7</w:t>
            </w:r>
          </w:p>
        </w:tc>
        <w:tc>
          <w:tcPr>
            <w:tcW w:w="2063" w:type="dxa"/>
            <w:tcBorders>
              <w:tl2br w:val="nil"/>
              <w:tr2bl w:val="nil"/>
            </w:tcBorders>
            <w:shd w:val="clear" w:color="auto" w:fill="auto"/>
            <w:vAlign w:val="center"/>
          </w:tcPr>
          <w:p w14:paraId="12805BB4">
            <w:pPr>
              <w:adjustRightInd w:val="0"/>
              <w:snapToGrid w:val="0"/>
              <w:jc w:val="center"/>
              <w:rPr>
                <w:rFonts w:ascii="Times New Roman" w:hAnsi="Times New Roman" w:cs="Times New Roman"/>
                <w:szCs w:val="21"/>
              </w:rPr>
            </w:pPr>
            <w:r>
              <w:rPr>
                <w:rFonts w:ascii="Times New Roman" w:hAnsi="Times New Roman" w:cs="Times New Roman"/>
                <w:szCs w:val="21"/>
              </w:rPr>
              <w:t>镍</w:t>
            </w:r>
          </w:p>
        </w:tc>
        <w:tc>
          <w:tcPr>
            <w:tcW w:w="2401" w:type="dxa"/>
            <w:tcBorders>
              <w:tl2br w:val="nil"/>
              <w:tr2bl w:val="nil"/>
            </w:tcBorders>
            <w:shd w:val="clear" w:color="auto" w:fill="auto"/>
            <w:vAlign w:val="center"/>
          </w:tcPr>
          <w:p w14:paraId="1A7631DD">
            <w:pPr>
              <w:jc w:val="center"/>
              <w:rPr>
                <w:rFonts w:ascii="Times New Roman" w:hAnsi="Times New Roman" w:cs="Times New Roman"/>
                <w:szCs w:val="21"/>
              </w:rPr>
            </w:pPr>
            <w:r>
              <w:rPr>
                <w:rFonts w:ascii="Times New Roman" w:hAnsi="Times New Roman" w:cs="Times New Roman"/>
                <w:szCs w:val="21"/>
              </w:rPr>
              <w:t>土壤和沉积物 铜、锌、铅、镍、铬的测定 火焰原子吸收分光光度法</w:t>
            </w:r>
          </w:p>
        </w:tc>
        <w:tc>
          <w:tcPr>
            <w:tcW w:w="1326" w:type="dxa"/>
            <w:tcBorders>
              <w:tl2br w:val="nil"/>
              <w:tr2bl w:val="nil"/>
            </w:tcBorders>
            <w:shd w:val="clear" w:color="auto" w:fill="auto"/>
            <w:vAlign w:val="center"/>
          </w:tcPr>
          <w:p w14:paraId="32C8ABEA">
            <w:pPr>
              <w:jc w:val="center"/>
              <w:rPr>
                <w:rFonts w:ascii="Times New Roman" w:hAnsi="Times New Roman" w:cs="Times New Roman"/>
                <w:szCs w:val="21"/>
              </w:rPr>
            </w:pPr>
            <w:r>
              <w:rPr>
                <w:rFonts w:ascii="Times New Roman" w:hAnsi="Times New Roman" w:cs="Times New Roman"/>
                <w:szCs w:val="21"/>
              </w:rPr>
              <w:t>HJ 491-2019</w:t>
            </w:r>
          </w:p>
        </w:tc>
        <w:tc>
          <w:tcPr>
            <w:tcW w:w="939" w:type="dxa"/>
            <w:tcBorders>
              <w:tl2br w:val="nil"/>
              <w:tr2bl w:val="nil"/>
            </w:tcBorders>
            <w:shd w:val="clear" w:color="auto" w:fill="auto"/>
            <w:vAlign w:val="center"/>
          </w:tcPr>
          <w:p w14:paraId="0671711D">
            <w:pPr>
              <w:jc w:val="center"/>
              <w:rPr>
                <w:rFonts w:ascii="Times New Roman" w:hAnsi="Times New Roman" w:cs="Times New Roman"/>
                <w:szCs w:val="21"/>
              </w:rPr>
            </w:pPr>
            <w:r>
              <w:rPr>
                <w:rFonts w:ascii="Times New Roman" w:hAnsi="Times New Roman" w:cs="Times New Roman"/>
                <w:szCs w:val="21"/>
              </w:rPr>
              <w:t>原子吸收分光光度计</w:t>
            </w:r>
          </w:p>
          <w:p w14:paraId="1A8D2A7B">
            <w:pPr>
              <w:jc w:val="center"/>
              <w:rPr>
                <w:rFonts w:ascii="Times New Roman" w:hAnsi="Times New Roman" w:cs="Times New Roman"/>
                <w:szCs w:val="21"/>
              </w:rPr>
            </w:pPr>
            <w:r>
              <w:rPr>
                <w:rFonts w:ascii="Times New Roman" w:hAnsi="Times New Roman" w:cs="Times New Roman"/>
                <w:szCs w:val="21"/>
              </w:rPr>
              <w:t>AA-7020型</w:t>
            </w:r>
          </w:p>
        </w:tc>
        <w:tc>
          <w:tcPr>
            <w:tcW w:w="1332" w:type="dxa"/>
            <w:tcBorders>
              <w:tl2br w:val="nil"/>
              <w:tr2bl w:val="nil"/>
            </w:tcBorders>
            <w:shd w:val="clear" w:color="auto" w:fill="auto"/>
            <w:vAlign w:val="center"/>
          </w:tcPr>
          <w:p w14:paraId="21436900">
            <w:pPr>
              <w:jc w:val="center"/>
              <w:rPr>
                <w:rFonts w:ascii="Times New Roman" w:hAnsi="Times New Roman" w:cs="Times New Roman"/>
                <w:szCs w:val="21"/>
              </w:rPr>
            </w:pPr>
            <w:r>
              <w:rPr>
                <w:rFonts w:ascii="Times New Roman" w:hAnsi="Times New Roman" w:cs="Times New Roman"/>
                <w:szCs w:val="21"/>
              </w:rPr>
              <w:t>3 mg/kg</w:t>
            </w:r>
          </w:p>
        </w:tc>
      </w:tr>
      <w:tr w14:paraId="558E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7BC6E437">
            <w:pPr>
              <w:adjustRightInd w:val="0"/>
              <w:snapToGrid w:val="0"/>
              <w:jc w:val="center"/>
              <w:rPr>
                <w:rFonts w:ascii="Times New Roman" w:hAnsi="Times New Roman" w:cs="Times New Roman"/>
                <w:szCs w:val="21"/>
              </w:rPr>
            </w:pPr>
            <w:r>
              <w:rPr>
                <w:rFonts w:ascii="Times New Roman" w:hAnsi="Times New Roman" w:cs="Times New Roman"/>
                <w:szCs w:val="21"/>
              </w:rPr>
              <w:t>8</w:t>
            </w:r>
          </w:p>
        </w:tc>
        <w:tc>
          <w:tcPr>
            <w:tcW w:w="2063" w:type="dxa"/>
            <w:tcBorders>
              <w:tl2br w:val="nil"/>
              <w:tr2bl w:val="nil"/>
            </w:tcBorders>
            <w:shd w:val="clear" w:color="auto" w:fill="auto"/>
            <w:vAlign w:val="center"/>
          </w:tcPr>
          <w:p w14:paraId="0DAD76B8">
            <w:pPr>
              <w:adjustRightInd w:val="0"/>
              <w:snapToGrid w:val="0"/>
              <w:jc w:val="center"/>
              <w:rPr>
                <w:rFonts w:ascii="Times New Roman" w:hAnsi="Times New Roman" w:cs="Times New Roman"/>
                <w:szCs w:val="21"/>
              </w:rPr>
            </w:pPr>
            <w:r>
              <w:rPr>
                <w:rFonts w:ascii="Times New Roman" w:hAnsi="Times New Roman" w:cs="Times New Roman"/>
                <w:szCs w:val="21"/>
              </w:rPr>
              <w:t>四氯化碳</w:t>
            </w:r>
          </w:p>
        </w:tc>
        <w:tc>
          <w:tcPr>
            <w:tcW w:w="2401" w:type="dxa"/>
            <w:vMerge w:val="restart"/>
            <w:tcBorders>
              <w:tl2br w:val="nil"/>
              <w:tr2bl w:val="nil"/>
            </w:tcBorders>
            <w:shd w:val="clear" w:color="auto" w:fill="auto"/>
            <w:vAlign w:val="center"/>
          </w:tcPr>
          <w:p w14:paraId="3C906323">
            <w:pPr>
              <w:adjustRightInd w:val="0"/>
              <w:snapToGrid w:val="0"/>
              <w:jc w:val="center"/>
              <w:rPr>
                <w:rFonts w:ascii="Times New Roman" w:hAnsi="Times New Roman" w:cs="Times New Roman"/>
                <w:szCs w:val="21"/>
              </w:rPr>
            </w:pPr>
            <w:r>
              <w:rPr>
                <w:rFonts w:ascii="Times New Roman" w:hAnsi="Times New Roman" w:cs="Times New Roman"/>
                <w:szCs w:val="21"/>
              </w:rPr>
              <w:t xml:space="preserve">土壤和沉积物 挥发性有机物的测定 吹扫捕集/气相色谱-质谱法 </w:t>
            </w:r>
          </w:p>
        </w:tc>
        <w:tc>
          <w:tcPr>
            <w:tcW w:w="1326" w:type="dxa"/>
            <w:vMerge w:val="restart"/>
            <w:tcBorders>
              <w:tl2br w:val="nil"/>
              <w:tr2bl w:val="nil"/>
            </w:tcBorders>
            <w:shd w:val="clear" w:color="auto" w:fill="auto"/>
            <w:vAlign w:val="center"/>
          </w:tcPr>
          <w:p w14:paraId="75CA85D8">
            <w:pPr>
              <w:adjustRightInd w:val="0"/>
              <w:snapToGrid w:val="0"/>
              <w:jc w:val="center"/>
              <w:rPr>
                <w:rFonts w:ascii="Times New Roman" w:hAnsi="Times New Roman" w:cs="Times New Roman"/>
                <w:szCs w:val="21"/>
              </w:rPr>
            </w:pPr>
            <w:r>
              <w:rPr>
                <w:rFonts w:ascii="Times New Roman" w:hAnsi="Times New Roman" w:cs="Times New Roman"/>
                <w:szCs w:val="21"/>
              </w:rPr>
              <w:t>HJ 605-2011</w:t>
            </w:r>
          </w:p>
        </w:tc>
        <w:tc>
          <w:tcPr>
            <w:tcW w:w="939" w:type="dxa"/>
            <w:vMerge w:val="restart"/>
            <w:tcBorders>
              <w:tl2br w:val="nil"/>
              <w:tr2bl w:val="nil"/>
            </w:tcBorders>
            <w:shd w:val="clear" w:color="auto" w:fill="auto"/>
            <w:vAlign w:val="center"/>
          </w:tcPr>
          <w:p w14:paraId="23B1E059">
            <w:pPr>
              <w:adjustRightInd w:val="0"/>
              <w:snapToGrid w:val="0"/>
              <w:jc w:val="center"/>
              <w:rPr>
                <w:rFonts w:ascii="Times New Roman" w:hAnsi="Times New Roman" w:cs="Times New Roman"/>
                <w:szCs w:val="21"/>
              </w:rPr>
            </w:pPr>
            <w:r>
              <w:rPr>
                <w:rFonts w:ascii="Times New Roman" w:hAnsi="Times New Roman" w:cs="Times New Roman"/>
                <w:szCs w:val="21"/>
              </w:rPr>
              <w:t>气相色谱-质谱联用仪Trace 1300/ISQ QD</w:t>
            </w:r>
          </w:p>
        </w:tc>
        <w:tc>
          <w:tcPr>
            <w:tcW w:w="1332" w:type="dxa"/>
            <w:tcBorders>
              <w:tl2br w:val="nil"/>
              <w:tr2bl w:val="nil"/>
            </w:tcBorders>
            <w:shd w:val="clear" w:color="auto" w:fill="auto"/>
            <w:vAlign w:val="center"/>
          </w:tcPr>
          <w:p w14:paraId="450E8215">
            <w:pPr>
              <w:adjustRightInd w:val="0"/>
              <w:snapToGrid w:val="0"/>
              <w:jc w:val="center"/>
              <w:rPr>
                <w:rFonts w:ascii="Times New Roman" w:hAnsi="Times New Roman" w:cs="Times New Roman"/>
                <w:szCs w:val="21"/>
              </w:rPr>
            </w:pPr>
            <w:r>
              <w:rPr>
                <w:rFonts w:ascii="Times New Roman" w:hAnsi="Times New Roman" w:cs="Times New Roman"/>
                <w:kern w:val="0"/>
                <w:szCs w:val="21"/>
              </w:rPr>
              <w:t>1.3μ</w:t>
            </w:r>
            <w:r>
              <w:rPr>
                <w:rFonts w:ascii="Times New Roman" w:hAnsi="Times New Roman" w:cs="Times New Roman"/>
                <w:szCs w:val="21"/>
              </w:rPr>
              <w:t>g/kg</w:t>
            </w:r>
          </w:p>
        </w:tc>
      </w:tr>
      <w:tr w14:paraId="7330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032496D6">
            <w:pPr>
              <w:adjustRightInd w:val="0"/>
              <w:snapToGrid w:val="0"/>
              <w:jc w:val="center"/>
              <w:rPr>
                <w:rFonts w:ascii="Times New Roman" w:hAnsi="Times New Roman" w:cs="Times New Roman"/>
                <w:szCs w:val="21"/>
              </w:rPr>
            </w:pPr>
            <w:r>
              <w:rPr>
                <w:rFonts w:ascii="Times New Roman" w:hAnsi="Times New Roman" w:cs="Times New Roman"/>
                <w:szCs w:val="21"/>
              </w:rPr>
              <w:t>9</w:t>
            </w:r>
          </w:p>
        </w:tc>
        <w:tc>
          <w:tcPr>
            <w:tcW w:w="2063" w:type="dxa"/>
            <w:tcBorders>
              <w:tl2br w:val="nil"/>
              <w:tr2bl w:val="nil"/>
            </w:tcBorders>
            <w:shd w:val="clear" w:color="auto" w:fill="auto"/>
            <w:vAlign w:val="center"/>
          </w:tcPr>
          <w:p w14:paraId="6E242508">
            <w:pPr>
              <w:adjustRightInd w:val="0"/>
              <w:snapToGrid w:val="0"/>
              <w:jc w:val="center"/>
              <w:rPr>
                <w:rFonts w:ascii="Times New Roman" w:hAnsi="Times New Roman" w:cs="Times New Roman"/>
                <w:szCs w:val="21"/>
              </w:rPr>
            </w:pPr>
            <w:r>
              <w:rPr>
                <w:rFonts w:ascii="Times New Roman" w:hAnsi="Times New Roman" w:cs="Times New Roman"/>
                <w:szCs w:val="21"/>
              </w:rPr>
              <w:t>氯仿</w:t>
            </w:r>
          </w:p>
        </w:tc>
        <w:tc>
          <w:tcPr>
            <w:tcW w:w="2401" w:type="dxa"/>
            <w:vMerge w:val="continue"/>
            <w:tcBorders>
              <w:tl2br w:val="nil"/>
              <w:tr2bl w:val="nil"/>
            </w:tcBorders>
            <w:shd w:val="clear" w:color="auto" w:fill="auto"/>
            <w:vAlign w:val="center"/>
          </w:tcPr>
          <w:p w14:paraId="2DEA28FC">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02BDE352">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0AEA0B48">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58D1664C">
            <w:pPr>
              <w:adjustRightInd w:val="0"/>
              <w:snapToGrid w:val="0"/>
              <w:jc w:val="center"/>
              <w:rPr>
                <w:rFonts w:ascii="Times New Roman" w:hAnsi="Times New Roman" w:cs="Times New Roman"/>
                <w:szCs w:val="21"/>
              </w:rPr>
            </w:pPr>
            <w:r>
              <w:rPr>
                <w:rFonts w:ascii="Times New Roman" w:hAnsi="Times New Roman" w:cs="Times New Roman"/>
                <w:kern w:val="0"/>
                <w:szCs w:val="21"/>
              </w:rPr>
              <w:t>1.1 μ</w:t>
            </w:r>
            <w:r>
              <w:rPr>
                <w:rFonts w:ascii="Times New Roman" w:hAnsi="Times New Roman" w:cs="Times New Roman"/>
                <w:szCs w:val="21"/>
              </w:rPr>
              <w:t>g/kg</w:t>
            </w:r>
          </w:p>
        </w:tc>
      </w:tr>
      <w:tr w14:paraId="5518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73BB69EA">
            <w:pPr>
              <w:adjustRightInd w:val="0"/>
              <w:snapToGrid w:val="0"/>
              <w:jc w:val="center"/>
              <w:rPr>
                <w:rFonts w:ascii="Times New Roman" w:hAnsi="Times New Roman" w:cs="Times New Roman"/>
                <w:szCs w:val="21"/>
              </w:rPr>
            </w:pPr>
            <w:r>
              <w:rPr>
                <w:rFonts w:ascii="Times New Roman" w:hAnsi="Times New Roman" w:cs="Times New Roman"/>
                <w:szCs w:val="21"/>
              </w:rPr>
              <w:t>10</w:t>
            </w:r>
          </w:p>
        </w:tc>
        <w:tc>
          <w:tcPr>
            <w:tcW w:w="2063" w:type="dxa"/>
            <w:tcBorders>
              <w:tl2br w:val="nil"/>
              <w:tr2bl w:val="nil"/>
            </w:tcBorders>
            <w:shd w:val="clear" w:color="auto" w:fill="auto"/>
            <w:vAlign w:val="center"/>
          </w:tcPr>
          <w:p w14:paraId="64887607">
            <w:pPr>
              <w:adjustRightInd w:val="0"/>
              <w:snapToGrid w:val="0"/>
              <w:jc w:val="center"/>
              <w:rPr>
                <w:rFonts w:ascii="Times New Roman" w:hAnsi="Times New Roman" w:cs="Times New Roman"/>
                <w:szCs w:val="21"/>
              </w:rPr>
            </w:pPr>
            <w:r>
              <w:rPr>
                <w:rFonts w:ascii="Times New Roman" w:hAnsi="Times New Roman" w:cs="Times New Roman"/>
                <w:szCs w:val="21"/>
              </w:rPr>
              <w:t>氯甲烷</w:t>
            </w:r>
          </w:p>
        </w:tc>
        <w:tc>
          <w:tcPr>
            <w:tcW w:w="2401" w:type="dxa"/>
            <w:vMerge w:val="continue"/>
            <w:tcBorders>
              <w:tl2br w:val="nil"/>
              <w:tr2bl w:val="nil"/>
            </w:tcBorders>
            <w:shd w:val="clear" w:color="auto" w:fill="auto"/>
            <w:vAlign w:val="center"/>
          </w:tcPr>
          <w:p w14:paraId="2B6DA932">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69B417E5">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1A0F0E9C">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3D192A84">
            <w:pPr>
              <w:adjustRightInd w:val="0"/>
              <w:snapToGrid w:val="0"/>
              <w:jc w:val="center"/>
              <w:rPr>
                <w:rFonts w:ascii="Times New Roman" w:hAnsi="Times New Roman" w:cs="Times New Roman"/>
                <w:szCs w:val="21"/>
              </w:rPr>
            </w:pPr>
            <w:r>
              <w:rPr>
                <w:rFonts w:ascii="Times New Roman" w:hAnsi="Times New Roman" w:cs="Times New Roman"/>
                <w:kern w:val="0"/>
                <w:szCs w:val="21"/>
              </w:rPr>
              <w:t>1.0μ</w:t>
            </w:r>
            <w:r>
              <w:rPr>
                <w:rFonts w:ascii="Times New Roman" w:hAnsi="Times New Roman" w:cs="Times New Roman"/>
                <w:szCs w:val="21"/>
              </w:rPr>
              <w:t>g/kg</w:t>
            </w:r>
          </w:p>
        </w:tc>
      </w:tr>
      <w:tr w14:paraId="7939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08B02655">
            <w:pPr>
              <w:adjustRightInd w:val="0"/>
              <w:snapToGrid w:val="0"/>
              <w:jc w:val="center"/>
              <w:rPr>
                <w:rFonts w:ascii="Times New Roman" w:hAnsi="Times New Roman" w:cs="Times New Roman"/>
                <w:szCs w:val="21"/>
              </w:rPr>
            </w:pPr>
            <w:r>
              <w:rPr>
                <w:rFonts w:ascii="Times New Roman" w:hAnsi="Times New Roman" w:cs="Times New Roman"/>
                <w:szCs w:val="21"/>
              </w:rPr>
              <w:t>11</w:t>
            </w:r>
          </w:p>
        </w:tc>
        <w:tc>
          <w:tcPr>
            <w:tcW w:w="2063" w:type="dxa"/>
            <w:tcBorders>
              <w:tl2br w:val="nil"/>
              <w:tr2bl w:val="nil"/>
            </w:tcBorders>
            <w:shd w:val="clear" w:color="auto" w:fill="auto"/>
            <w:vAlign w:val="center"/>
          </w:tcPr>
          <w:p w14:paraId="408255F4">
            <w:pPr>
              <w:adjustRightInd w:val="0"/>
              <w:snapToGrid w:val="0"/>
              <w:jc w:val="center"/>
              <w:rPr>
                <w:rFonts w:ascii="Times New Roman" w:hAnsi="Times New Roman" w:cs="Times New Roman"/>
                <w:szCs w:val="21"/>
              </w:rPr>
            </w:pPr>
            <w:r>
              <w:rPr>
                <w:rFonts w:ascii="Times New Roman" w:hAnsi="Times New Roman" w:cs="Times New Roman"/>
                <w:szCs w:val="21"/>
              </w:rPr>
              <w:t>1,1-二氯乙烷</w:t>
            </w:r>
          </w:p>
        </w:tc>
        <w:tc>
          <w:tcPr>
            <w:tcW w:w="2401" w:type="dxa"/>
            <w:vMerge w:val="continue"/>
            <w:tcBorders>
              <w:tl2br w:val="nil"/>
              <w:tr2bl w:val="nil"/>
            </w:tcBorders>
            <w:shd w:val="clear" w:color="auto" w:fill="auto"/>
            <w:vAlign w:val="center"/>
          </w:tcPr>
          <w:p w14:paraId="3DDA9169">
            <w:pPr>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74D4579F">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4FAD5382">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017FE9E8">
            <w:pPr>
              <w:adjustRightInd w:val="0"/>
              <w:snapToGrid w:val="0"/>
              <w:jc w:val="center"/>
              <w:rPr>
                <w:rFonts w:ascii="Times New Roman" w:hAnsi="Times New Roman" w:cs="Times New Roman"/>
                <w:szCs w:val="21"/>
              </w:rPr>
            </w:pPr>
            <w:r>
              <w:rPr>
                <w:rFonts w:ascii="Times New Roman" w:hAnsi="Times New Roman" w:cs="Times New Roman"/>
                <w:kern w:val="0"/>
                <w:szCs w:val="21"/>
              </w:rPr>
              <w:t>1.2μ</w:t>
            </w:r>
            <w:r>
              <w:rPr>
                <w:rFonts w:ascii="Times New Roman" w:hAnsi="Times New Roman" w:cs="Times New Roman"/>
                <w:szCs w:val="21"/>
              </w:rPr>
              <w:t>g/kg</w:t>
            </w:r>
          </w:p>
        </w:tc>
      </w:tr>
      <w:tr w14:paraId="76DE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244145CB">
            <w:pPr>
              <w:adjustRightInd w:val="0"/>
              <w:snapToGrid w:val="0"/>
              <w:jc w:val="center"/>
              <w:rPr>
                <w:rFonts w:ascii="Times New Roman" w:hAnsi="Times New Roman" w:cs="Times New Roman"/>
                <w:szCs w:val="21"/>
              </w:rPr>
            </w:pPr>
            <w:r>
              <w:rPr>
                <w:rFonts w:ascii="Times New Roman" w:hAnsi="Times New Roman" w:cs="Times New Roman"/>
                <w:szCs w:val="21"/>
              </w:rPr>
              <w:t>12</w:t>
            </w:r>
          </w:p>
        </w:tc>
        <w:tc>
          <w:tcPr>
            <w:tcW w:w="2063" w:type="dxa"/>
            <w:tcBorders>
              <w:tl2br w:val="nil"/>
              <w:tr2bl w:val="nil"/>
            </w:tcBorders>
            <w:shd w:val="clear" w:color="auto" w:fill="auto"/>
            <w:vAlign w:val="center"/>
          </w:tcPr>
          <w:p w14:paraId="4CAB7A75">
            <w:pPr>
              <w:adjustRightInd w:val="0"/>
              <w:snapToGrid w:val="0"/>
              <w:jc w:val="center"/>
              <w:rPr>
                <w:rFonts w:ascii="Times New Roman" w:hAnsi="Times New Roman" w:cs="Times New Roman"/>
                <w:szCs w:val="21"/>
              </w:rPr>
            </w:pPr>
            <w:r>
              <w:rPr>
                <w:rFonts w:ascii="Times New Roman" w:hAnsi="Times New Roman" w:cs="Times New Roman"/>
                <w:szCs w:val="21"/>
              </w:rPr>
              <w:t>1,2-二氯乙烷</w:t>
            </w:r>
          </w:p>
        </w:tc>
        <w:tc>
          <w:tcPr>
            <w:tcW w:w="2401" w:type="dxa"/>
            <w:vMerge w:val="continue"/>
            <w:tcBorders>
              <w:tl2br w:val="nil"/>
              <w:tr2bl w:val="nil"/>
            </w:tcBorders>
            <w:shd w:val="clear" w:color="auto" w:fill="auto"/>
            <w:vAlign w:val="center"/>
          </w:tcPr>
          <w:p w14:paraId="5EA940D1">
            <w:pPr>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3A305C6B">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06B83C73">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7CB68EBE">
            <w:pPr>
              <w:adjustRightInd w:val="0"/>
              <w:snapToGrid w:val="0"/>
              <w:jc w:val="center"/>
              <w:rPr>
                <w:rFonts w:ascii="Times New Roman" w:hAnsi="Times New Roman" w:cs="Times New Roman"/>
                <w:szCs w:val="21"/>
              </w:rPr>
            </w:pPr>
            <w:r>
              <w:rPr>
                <w:rFonts w:ascii="Times New Roman" w:hAnsi="Times New Roman" w:cs="Times New Roman"/>
                <w:kern w:val="0"/>
                <w:szCs w:val="21"/>
              </w:rPr>
              <w:t>1.3μ</w:t>
            </w:r>
            <w:r>
              <w:rPr>
                <w:rFonts w:ascii="Times New Roman" w:hAnsi="Times New Roman" w:cs="Times New Roman"/>
                <w:szCs w:val="21"/>
              </w:rPr>
              <w:t>g/kg</w:t>
            </w:r>
          </w:p>
        </w:tc>
      </w:tr>
      <w:tr w14:paraId="2909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5C1DAF96">
            <w:pPr>
              <w:adjustRightInd w:val="0"/>
              <w:snapToGrid w:val="0"/>
              <w:jc w:val="center"/>
              <w:rPr>
                <w:rFonts w:ascii="Times New Roman" w:hAnsi="Times New Roman" w:cs="Times New Roman"/>
                <w:szCs w:val="21"/>
              </w:rPr>
            </w:pPr>
            <w:r>
              <w:rPr>
                <w:rFonts w:ascii="Times New Roman" w:hAnsi="Times New Roman" w:cs="Times New Roman"/>
                <w:szCs w:val="21"/>
              </w:rPr>
              <w:t>13</w:t>
            </w:r>
          </w:p>
        </w:tc>
        <w:tc>
          <w:tcPr>
            <w:tcW w:w="2063" w:type="dxa"/>
            <w:tcBorders>
              <w:tl2br w:val="nil"/>
              <w:tr2bl w:val="nil"/>
            </w:tcBorders>
            <w:shd w:val="clear" w:color="auto" w:fill="auto"/>
            <w:vAlign w:val="center"/>
          </w:tcPr>
          <w:p w14:paraId="4B637814">
            <w:pPr>
              <w:adjustRightInd w:val="0"/>
              <w:snapToGrid w:val="0"/>
              <w:jc w:val="center"/>
              <w:rPr>
                <w:rFonts w:ascii="Times New Roman" w:hAnsi="Times New Roman" w:cs="Times New Roman"/>
                <w:szCs w:val="21"/>
              </w:rPr>
            </w:pPr>
            <w:r>
              <w:rPr>
                <w:rFonts w:ascii="Times New Roman" w:hAnsi="Times New Roman" w:cs="Times New Roman"/>
                <w:szCs w:val="21"/>
              </w:rPr>
              <w:t>1,1-二氯乙烯</w:t>
            </w:r>
          </w:p>
        </w:tc>
        <w:tc>
          <w:tcPr>
            <w:tcW w:w="2401" w:type="dxa"/>
            <w:vMerge w:val="continue"/>
            <w:tcBorders>
              <w:tl2br w:val="nil"/>
              <w:tr2bl w:val="nil"/>
            </w:tcBorders>
            <w:shd w:val="clear" w:color="auto" w:fill="auto"/>
            <w:vAlign w:val="center"/>
          </w:tcPr>
          <w:p w14:paraId="69FB7D60">
            <w:pPr>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247E347B">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27934596">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547E5B77">
            <w:pPr>
              <w:adjustRightInd w:val="0"/>
              <w:snapToGrid w:val="0"/>
              <w:jc w:val="center"/>
              <w:rPr>
                <w:rFonts w:ascii="Times New Roman" w:hAnsi="Times New Roman" w:cs="Times New Roman"/>
                <w:szCs w:val="21"/>
              </w:rPr>
            </w:pPr>
            <w:r>
              <w:rPr>
                <w:rFonts w:ascii="Times New Roman" w:hAnsi="Times New Roman" w:cs="Times New Roman"/>
                <w:kern w:val="0"/>
                <w:szCs w:val="21"/>
              </w:rPr>
              <w:t>1.0μ</w:t>
            </w:r>
            <w:r>
              <w:rPr>
                <w:rFonts w:ascii="Times New Roman" w:hAnsi="Times New Roman" w:cs="Times New Roman"/>
                <w:szCs w:val="21"/>
              </w:rPr>
              <w:t>g/kg</w:t>
            </w:r>
          </w:p>
        </w:tc>
      </w:tr>
      <w:tr w14:paraId="7613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51457F20">
            <w:pPr>
              <w:adjustRightInd w:val="0"/>
              <w:snapToGrid w:val="0"/>
              <w:jc w:val="center"/>
              <w:rPr>
                <w:rFonts w:ascii="Times New Roman" w:hAnsi="Times New Roman" w:cs="Times New Roman"/>
                <w:szCs w:val="21"/>
              </w:rPr>
            </w:pPr>
            <w:r>
              <w:rPr>
                <w:rFonts w:ascii="Times New Roman" w:hAnsi="Times New Roman" w:cs="Times New Roman"/>
                <w:szCs w:val="21"/>
              </w:rPr>
              <w:t>14</w:t>
            </w:r>
          </w:p>
        </w:tc>
        <w:tc>
          <w:tcPr>
            <w:tcW w:w="2063" w:type="dxa"/>
            <w:tcBorders>
              <w:tl2br w:val="nil"/>
              <w:tr2bl w:val="nil"/>
            </w:tcBorders>
            <w:shd w:val="clear" w:color="auto" w:fill="auto"/>
            <w:vAlign w:val="center"/>
          </w:tcPr>
          <w:p w14:paraId="0F94B58D">
            <w:pPr>
              <w:adjustRightInd w:val="0"/>
              <w:snapToGrid w:val="0"/>
              <w:jc w:val="center"/>
              <w:rPr>
                <w:rFonts w:ascii="Times New Roman" w:hAnsi="Times New Roman" w:cs="Times New Roman"/>
                <w:szCs w:val="21"/>
              </w:rPr>
            </w:pPr>
            <w:r>
              <w:rPr>
                <w:rFonts w:ascii="Times New Roman" w:hAnsi="Times New Roman" w:cs="Times New Roman"/>
                <w:szCs w:val="21"/>
              </w:rPr>
              <w:t>顺-1,2-二氯乙烯</w:t>
            </w:r>
          </w:p>
        </w:tc>
        <w:tc>
          <w:tcPr>
            <w:tcW w:w="2401" w:type="dxa"/>
            <w:vMerge w:val="continue"/>
            <w:tcBorders>
              <w:tl2br w:val="nil"/>
              <w:tr2bl w:val="nil"/>
            </w:tcBorders>
            <w:shd w:val="clear" w:color="auto" w:fill="auto"/>
            <w:vAlign w:val="center"/>
          </w:tcPr>
          <w:p w14:paraId="6B371A9D">
            <w:pPr>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55568F3B">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51DA8CE8">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56979AB7">
            <w:pPr>
              <w:adjustRightInd w:val="0"/>
              <w:snapToGrid w:val="0"/>
              <w:jc w:val="center"/>
              <w:rPr>
                <w:rFonts w:ascii="Times New Roman" w:hAnsi="Times New Roman" w:cs="Times New Roman"/>
                <w:szCs w:val="21"/>
              </w:rPr>
            </w:pPr>
            <w:r>
              <w:rPr>
                <w:rFonts w:ascii="Times New Roman" w:hAnsi="Times New Roman" w:cs="Times New Roman"/>
                <w:kern w:val="0"/>
                <w:szCs w:val="21"/>
              </w:rPr>
              <w:t>1.3μ</w:t>
            </w:r>
            <w:r>
              <w:rPr>
                <w:rFonts w:ascii="Times New Roman" w:hAnsi="Times New Roman" w:cs="Times New Roman"/>
                <w:szCs w:val="21"/>
              </w:rPr>
              <w:t>g/kg</w:t>
            </w:r>
          </w:p>
        </w:tc>
      </w:tr>
      <w:tr w14:paraId="11AE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14E96320">
            <w:pPr>
              <w:adjustRightInd w:val="0"/>
              <w:snapToGrid w:val="0"/>
              <w:jc w:val="center"/>
              <w:rPr>
                <w:rFonts w:ascii="Times New Roman" w:hAnsi="Times New Roman" w:cs="Times New Roman"/>
                <w:szCs w:val="21"/>
              </w:rPr>
            </w:pPr>
            <w:r>
              <w:rPr>
                <w:rFonts w:ascii="Times New Roman" w:hAnsi="Times New Roman" w:cs="Times New Roman"/>
                <w:szCs w:val="21"/>
              </w:rPr>
              <w:t>15</w:t>
            </w:r>
          </w:p>
        </w:tc>
        <w:tc>
          <w:tcPr>
            <w:tcW w:w="2063" w:type="dxa"/>
            <w:tcBorders>
              <w:tl2br w:val="nil"/>
              <w:tr2bl w:val="nil"/>
            </w:tcBorders>
            <w:shd w:val="clear" w:color="auto" w:fill="auto"/>
            <w:vAlign w:val="center"/>
          </w:tcPr>
          <w:p w14:paraId="18BFBC3F">
            <w:pPr>
              <w:adjustRightInd w:val="0"/>
              <w:snapToGrid w:val="0"/>
              <w:jc w:val="center"/>
              <w:rPr>
                <w:rFonts w:ascii="Times New Roman" w:hAnsi="Times New Roman" w:cs="Times New Roman"/>
                <w:szCs w:val="21"/>
              </w:rPr>
            </w:pPr>
            <w:r>
              <w:rPr>
                <w:rFonts w:ascii="Times New Roman" w:hAnsi="Times New Roman" w:cs="Times New Roman"/>
                <w:szCs w:val="21"/>
              </w:rPr>
              <w:t>反-1,2二氯乙烯</w:t>
            </w:r>
          </w:p>
        </w:tc>
        <w:tc>
          <w:tcPr>
            <w:tcW w:w="2401" w:type="dxa"/>
            <w:vMerge w:val="continue"/>
            <w:tcBorders>
              <w:tl2br w:val="nil"/>
              <w:tr2bl w:val="nil"/>
            </w:tcBorders>
            <w:shd w:val="clear" w:color="auto" w:fill="auto"/>
            <w:vAlign w:val="center"/>
          </w:tcPr>
          <w:p w14:paraId="3D0C2BF9">
            <w:pPr>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032C7C05">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34788E30">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326E93D8">
            <w:pPr>
              <w:adjustRightInd w:val="0"/>
              <w:snapToGrid w:val="0"/>
              <w:jc w:val="center"/>
              <w:rPr>
                <w:rFonts w:ascii="Times New Roman" w:hAnsi="Times New Roman" w:cs="Times New Roman"/>
                <w:szCs w:val="21"/>
              </w:rPr>
            </w:pPr>
            <w:r>
              <w:rPr>
                <w:rFonts w:ascii="Times New Roman" w:hAnsi="Times New Roman" w:cs="Times New Roman"/>
                <w:kern w:val="0"/>
                <w:szCs w:val="21"/>
              </w:rPr>
              <w:t>1.4μ</w:t>
            </w:r>
            <w:r>
              <w:rPr>
                <w:rFonts w:ascii="Times New Roman" w:hAnsi="Times New Roman" w:cs="Times New Roman"/>
                <w:szCs w:val="21"/>
              </w:rPr>
              <w:t>g/kg</w:t>
            </w:r>
          </w:p>
        </w:tc>
      </w:tr>
      <w:tr w14:paraId="08D7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794DEE5A">
            <w:pPr>
              <w:adjustRightInd w:val="0"/>
              <w:snapToGrid w:val="0"/>
              <w:jc w:val="center"/>
              <w:rPr>
                <w:rFonts w:ascii="Times New Roman" w:hAnsi="Times New Roman" w:cs="Times New Roman"/>
                <w:szCs w:val="21"/>
              </w:rPr>
            </w:pPr>
            <w:r>
              <w:rPr>
                <w:rFonts w:ascii="Times New Roman" w:hAnsi="Times New Roman" w:cs="Times New Roman"/>
                <w:szCs w:val="21"/>
              </w:rPr>
              <w:t>16</w:t>
            </w:r>
          </w:p>
        </w:tc>
        <w:tc>
          <w:tcPr>
            <w:tcW w:w="2063" w:type="dxa"/>
            <w:tcBorders>
              <w:tl2br w:val="nil"/>
              <w:tr2bl w:val="nil"/>
            </w:tcBorders>
            <w:shd w:val="clear" w:color="auto" w:fill="auto"/>
            <w:vAlign w:val="center"/>
          </w:tcPr>
          <w:p w14:paraId="1D3E6AA4">
            <w:pPr>
              <w:adjustRightInd w:val="0"/>
              <w:snapToGrid w:val="0"/>
              <w:jc w:val="center"/>
              <w:rPr>
                <w:rFonts w:ascii="Times New Roman" w:hAnsi="Times New Roman" w:cs="Times New Roman"/>
                <w:szCs w:val="21"/>
              </w:rPr>
            </w:pPr>
            <w:r>
              <w:rPr>
                <w:rFonts w:ascii="Times New Roman" w:hAnsi="Times New Roman" w:cs="Times New Roman"/>
                <w:szCs w:val="21"/>
              </w:rPr>
              <w:t>二氯甲烷</w:t>
            </w:r>
          </w:p>
        </w:tc>
        <w:tc>
          <w:tcPr>
            <w:tcW w:w="2401" w:type="dxa"/>
            <w:vMerge w:val="continue"/>
            <w:tcBorders>
              <w:tl2br w:val="nil"/>
              <w:tr2bl w:val="nil"/>
            </w:tcBorders>
            <w:shd w:val="clear" w:color="auto" w:fill="auto"/>
            <w:vAlign w:val="center"/>
          </w:tcPr>
          <w:p w14:paraId="46F6512A">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5AD5D918">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22403D62">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12240E79">
            <w:pPr>
              <w:adjustRightInd w:val="0"/>
              <w:snapToGrid w:val="0"/>
              <w:jc w:val="center"/>
              <w:rPr>
                <w:rFonts w:ascii="Times New Roman" w:hAnsi="Times New Roman" w:cs="Times New Roman"/>
                <w:szCs w:val="21"/>
              </w:rPr>
            </w:pPr>
            <w:r>
              <w:rPr>
                <w:rFonts w:ascii="Times New Roman" w:hAnsi="Times New Roman" w:cs="Times New Roman"/>
                <w:kern w:val="0"/>
                <w:szCs w:val="21"/>
              </w:rPr>
              <w:t>1.5μ</w:t>
            </w:r>
            <w:r>
              <w:rPr>
                <w:rFonts w:ascii="Times New Roman" w:hAnsi="Times New Roman" w:cs="Times New Roman"/>
                <w:szCs w:val="21"/>
              </w:rPr>
              <w:t>g/kg</w:t>
            </w:r>
          </w:p>
        </w:tc>
      </w:tr>
      <w:tr w14:paraId="5EEF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57418851">
            <w:pPr>
              <w:adjustRightInd w:val="0"/>
              <w:snapToGrid w:val="0"/>
              <w:jc w:val="center"/>
              <w:rPr>
                <w:rFonts w:ascii="Times New Roman" w:hAnsi="Times New Roman" w:cs="Times New Roman"/>
                <w:szCs w:val="21"/>
              </w:rPr>
            </w:pPr>
            <w:r>
              <w:rPr>
                <w:rFonts w:ascii="Times New Roman" w:hAnsi="Times New Roman" w:cs="Times New Roman"/>
                <w:szCs w:val="21"/>
              </w:rPr>
              <w:t>17</w:t>
            </w:r>
          </w:p>
        </w:tc>
        <w:tc>
          <w:tcPr>
            <w:tcW w:w="2063" w:type="dxa"/>
            <w:tcBorders>
              <w:tl2br w:val="nil"/>
              <w:tr2bl w:val="nil"/>
            </w:tcBorders>
            <w:shd w:val="clear" w:color="auto" w:fill="auto"/>
            <w:vAlign w:val="center"/>
          </w:tcPr>
          <w:p w14:paraId="3516E276">
            <w:pPr>
              <w:adjustRightInd w:val="0"/>
              <w:snapToGrid w:val="0"/>
              <w:jc w:val="center"/>
              <w:rPr>
                <w:rFonts w:ascii="Times New Roman" w:hAnsi="Times New Roman" w:cs="Times New Roman"/>
                <w:szCs w:val="21"/>
              </w:rPr>
            </w:pPr>
            <w:r>
              <w:rPr>
                <w:rFonts w:ascii="Times New Roman" w:hAnsi="Times New Roman" w:cs="Times New Roman"/>
                <w:szCs w:val="21"/>
              </w:rPr>
              <w:t>1,2-二氯丙烷</w:t>
            </w:r>
          </w:p>
        </w:tc>
        <w:tc>
          <w:tcPr>
            <w:tcW w:w="2401" w:type="dxa"/>
            <w:vMerge w:val="continue"/>
            <w:tcBorders>
              <w:tl2br w:val="nil"/>
              <w:tr2bl w:val="nil"/>
            </w:tcBorders>
            <w:shd w:val="clear" w:color="auto" w:fill="auto"/>
            <w:vAlign w:val="center"/>
          </w:tcPr>
          <w:p w14:paraId="5EDEE0E6">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07B61BD5">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4A6ADAFD">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2B5D7FEF">
            <w:pPr>
              <w:adjustRightInd w:val="0"/>
              <w:snapToGrid w:val="0"/>
              <w:jc w:val="center"/>
              <w:rPr>
                <w:rFonts w:ascii="Times New Roman" w:hAnsi="Times New Roman" w:cs="Times New Roman"/>
                <w:szCs w:val="21"/>
              </w:rPr>
            </w:pPr>
            <w:r>
              <w:rPr>
                <w:rFonts w:ascii="Times New Roman" w:hAnsi="Times New Roman" w:cs="Times New Roman"/>
                <w:kern w:val="0"/>
                <w:szCs w:val="21"/>
              </w:rPr>
              <w:t>1.1μ</w:t>
            </w:r>
            <w:r>
              <w:rPr>
                <w:rFonts w:ascii="Times New Roman" w:hAnsi="Times New Roman" w:cs="Times New Roman"/>
                <w:szCs w:val="21"/>
              </w:rPr>
              <w:t>g/kg</w:t>
            </w:r>
          </w:p>
        </w:tc>
      </w:tr>
      <w:tr w14:paraId="66E5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456CCCAC">
            <w:pPr>
              <w:adjustRightInd w:val="0"/>
              <w:snapToGrid w:val="0"/>
              <w:jc w:val="center"/>
              <w:rPr>
                <w:rFonts w:ascii="Times New Roman" w:hAnsi="Times New Roman" w:cs="Times New Roman"/>
                <w:szCs w:val="21"/>
              </w:rPr>
            </w:pPr>
            <w:r>
              <w:rPr>
                <w:rFonts w:ascii="Times New Roman" w:hAnsi="Times New Roman" w:cs="Times New Roman"/>
                <w:szCs w:val="21"/>
              </w:rPr>
              <w:t>18</w:t>
            </w:r>
          </w:p>
        </w:tc>
        <w:tc>
          <w:tcPr>
            <w:tcW w:w="2063" w:type="dxa"/>
            <w:tcBorders>
              <w:tl2br w:val="nil"/>
              <w:tr2bl w:val="nil"/>
            </w:tcBorders>
            <w:shd w:val="clear" w:color="auto" w:fill="auto"/>
            <w:vAlign w:val="center"/>
          </w:tcPr>
          <w:p w14:paraId="2AC928C9">
            <w:pPr>
              <w:adjustRightInd w:val="0"/>
              <w:snapToGrid w:val="0"/>
              <w:jc w:val="center"/>
              <w:rPr>
                <w:rFonts w:ascii="Times New Roman" w:hAnsi="Times New Roman" w:cs="Times New Roman"/>
                <w:szCs w:val="21"/>
              </w:rPr>
            </w:pPr>
            <w:r>
              <w:rPr>
                <w:rFonts w:ascii="Times New Roman" w:hAnsi="Times New Roman" w:cs="Times New Roman"/>
                <w:szCs w:val="21"/>
              </w:rPr>
              <w:t>1,1,1,2-四氯乙烷</w:t>
            </w:r>
          </w:p>
        </w:tc>
        <w:tc>
          <w:tcPr>
            <w:tcW w:w="2401" w:type="dxa"/>
            <w:vMerge w:val="continue"/>
            <w:tcBorders>
              <w:tl2br w:val="nil"/>
              <w:tr2bl w:val="nil"/>
            </w:tcBorders>
            <w:shd w:val="clear" w:color="auto" w:fill="auto"/>
            <w:vAlign w:val="center"/>
          </w:tcPr>
          <w:p w14:paraId="291EF78A">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3B3738DF">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151FA697">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76CD8100">
            <w:pPr>
              <w:adjustRightInd w:val="0"/>
              <w:snapToGrid w:val="0"/>
              <w:jc w:val="center"/>
              <w:rPr>
                <w:rFonts w:ascii="Times New Roman" w:hAnsi="Times New Roman" w:cs="Times New Roman"/>
                <w:szCs w:val="21"/>
              </w:rPr>
            </w:pPr>
            <w:r>
              <w:rPr>
                <w:rFonts w:ascii="Times New Roman" w:hAnsi="Times New Roman" w:cs="Times New Roman"/>
                <w:kern w:val="0"/>
                <w:szCs w:val="21"/>
              </w:rPr>
              <w:t>1.2μ</w:t>
            </w:r>
            <w:r>
              <w:rPr>
                <w:rFonts w:ascii="Times New Roman" w:hAnsi="Times New Roman" w:cs="Times New Roman"/>
                <w:szCs w:val="21"/>
              </w:rPr>
              <w:t>g/kg</w:t>
            </w:r>
          </w:p>
        </w:tc>
      </w:tr>
      <w:tr w14:paraId="2194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7BF0B0E0">
            <w:pPr>
              <w:adjustRightInd w:val="0"/>
              <w:snapToGrid w:val="0"/>
              <w:jc w:val="center"/>
              <w:rPr>
                <w:rFonts w:ascii="Times New Roman" w:hAnsi="Times New Roman" w:cs="Times New Roman"/>
                <w:szCs w:val="21"/>
              </w:rPr>
            </w:pPr>
            <w:r>
              <w:rPr>
                <w:rFonts w:ascii="Times New Roman" w:hAnsi="Times New Roman" w:cs="Times New Roman"/>
                <w:szCs w:val="21"/>
              </w:rPr>
              <w:t>19</w:t>
            </w:r>
          </w:p>
        </w:tc>
        <w:tc>
          <w:tcPr>
            <w:tcW w:w="2063" w:type="dxa"/>
            <w:tcBorders>
              <w:tl2br w:val="nil"/>
              <w:tr2bl w:val="nil"/>
            </w:tcBorders>
            <w:shd w:val="clear" w:color="auto" w:fill="auto"/>
            <w:vAlign w:val="center"/>
          </w:tcPr>
          <w:p w14:paraId="6B547E07">
            <w:pPr>
              <w:adjustRightInd w:val="0"/>
              <w:snapToGrid w:val="0"/>
              <w:jc w:val="center"/>
              <w:rPr>
                <w:rFonts w:ascii="Times New Roman" w:hAnsi="Times New Roman" w:cs="Times New Roman"/>
                <w:szCs w:val="21"/>
              </w:rPr>
            </w:pPr>
            <w:r>
              <w:rPr>
                <w:rFonts w:ascii="Times New Roman" w:hAnsi="Times New Roman" w:cs="Times New Roman"/>
                <w:szCs w:val="21"/>
              </w:rPr>
              <w:t>1,1,2,2-四氯乙烷</w:t>
            </w:r>
          </w:p>
        </w:tc>
        <w:tc>
          <w:tcPr>
            <w:tcW w:w="2401" w:type="dxa"/>
            <w:vMerge w:val="continue"/>
            <w:tcBorders>
              <w:tl2br w:val="nil"/>
              <w:tr2bl w:val="nil"/>
            </w:tcBorders>
            <w:shd w:val="clear" w:color="auto" w:fill="auto"/>
            <w:vAlign w:val="center"/>
          </w:tcPr>
          <w:p w14:paraId="3E90A4CA">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791038FA">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29E3C2BE">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2BCD5056">
            <w:pPr>
              <w:adjustRightInd w:val="0"/>
              <w:snapToGrid w:val="0"/>
              <w:jc w:val="center"/>
              <w:rPr>
                <w:rFonts w:ascii="Times New Roman" w:hAnsi="Times New Roman" w:cs="Times New Roman"/>
                <w:szCs w:val="21"/>
              </w:rPr>
            </w:pPr>
            <w:r>
              <w:rPr>
                <w:rFonts w:ascii="Times New Roman" w:hAnsi="Times New Roman" w:cs="Times New Roman"/>
                <w:kern w:val="0"/>
                <w:szCs w:val="21"/>
              </w:rPr>
              <w:t>1.2μ</w:t>
            </w:r>
            <w:r>
              <w:rPr>
                <w:rFonts w:ascii="Times New Roman" w:hAnsi="Times New Roman" w:cs="Times New Roman"/>
                <w:szCs w:val="21"/>
              </w:rPr>
              <w:t>g/kg</w:t>
            </w:r>
          </w:p>
        </w:tc>
      </w:tr>
      <w:tr w14:paraId="3806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624DE230">
            <w:pPr>
              <w:adjustRightInd w:val="0"/>
              <w:snapToGrid w:val="0"/>
              <w:jc w:val="center"/>
              <w:rPr>
                <w:rFonts w:ascii="Times New Roman" w:hAnsi="Times New Roman" w:cs="Times New Roman"/>
                <w:szCs w:val="21"/>
              </w:rPr>
            </w:pPr>
            <w:r>
              <w:rPr>
                <w:rFonts w:ascii="Times New Roman" w:hAnsi="Times New Roman" w:cs="Times New Roman"/>
                <w:szCs w:val="21"/>
              </w:rPr>
              <w:t>20</w:t>
            </w:r>
          </w:p>
        </w:tc>
        <w:tc>
          <w:tcPr>
            <w:tcW w:w="2063" w:type="dxa"/>
            <w:tcBorders>
              <w:tl2br w:val="nil"/>
              <w:tr2bl w:val="nil"/>
            </w:tcBorders>
            <w:shd w:val="clear" w:color="auto" w:fill="auto"/>
            <w:vAlign w:val="center"/>
          </w:tcPr>
          <w:p w14:paraId="1A739A44">
            <w:pPr>
              <w:adjustRightInd w:val="0"/>
              <w:snapToGrid w:val="0"/>
              <w:jc w:val="center"/>
              <w:rPr>
                <w:rFonts w:ascii="Times New Roman" w:hAnsi="Times New Roman" w:cs="Times New Roman"/>
                <w:szCs w:val="21"/>
              </w:rPr>
            </w:pPr>
            <w:r>
              <w:rPr>
                <w:rFonts w:ascii="Times New Roman" w:hAnsi="Times New Roman" w:cs="Times New Roman"/>
                <w:szCs w:val="21"/>
              </w:rPr>
              <w:t>四氯乙烯</w:t>
            </w:r>
          </w:p>
        </w:tc>
        <w:tc>
          <w:tcPr>
            <w:tcW w:w="2401" w:type="dxa"/>
            <w:vMerge w:val="continue"/>
            <w:tcBorders>
              <w:tl2br w:val="nil"/>
              <w:tr2bl w:val="nil"/>
            </w:tcBorders>
            <w:shd w:val="clear" w:color="auto" w:fill="auto"/>
            <w:vAlign w:val="center"/>
          </w:tcPr>
          <w:p w14:paraId="6CCEBD94">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460E4FFC">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6A300C04">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5565BE4C">
            <w:pPr>
              <w:adjustRightInd w:val="0"/>
              <w:snapToGrid w:val="0"/>
              <w:jc w:val="center"/>
              <w:rPr>
                <w:rFonts w:ascii="Times New Roman" w:hAnsi="Times New Roman" w:cs="Times New Roman"/>
                <w:szCs w:val="21"/>
              </w:rPr>
            </w:pPr>
            <w:r>
              <w:rPr>
                <w:rFonts w:ascii="Times New Roman" w:hAnsi="Times New Roman" w:cs="Times New Roman"/>
                <w:kern w:val="0"/>
                <w:szCs w:val="21"/>
              </w:rPr>
              <w:t>1.4μ</w:t>
            </w:r>
            <w:r>
              <w:rPr>
                <w:rFonts w:ascii="Times New Roman" w:hAnsi="Times New Roman" w:cs="Times New Roman"/>
                <w:szCs w:val="21"/>
              </w:rPr>
              <w:t>g/kg</w:t>
            </w:r>
          </w:p>
        </w:tc>
      </w:tr>
      <w:tr w14:paraId="70B0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4BC46A96">
            <w:pPr>
              <w:adjustRightInd w:val="0"/>
              <w:snapToGrid w:val="0"/>
              <w:jc w:val="center"/>
              <w:rPr>
                <w:rFonts w:ascii="Times New Roman" w:hAnsi="Times New Roman" w:cs="Times New Roman"/>
                <w:szCs w:val="21"/>
              </w:rPr>
            </w:pPr>
            <w:r>
              <w:rPr>
                <w:rFonts w:ascii="Times New Roman" w:hAnsi="Times New Roman" w:cs="Times New Roman"/>
                <w:szCs w:val="21"/>
              </w:rPr>
              <w:t>21</w:t>
            </w:r>
          </w:p>
        </w:tc>
        <w:tc>
          <w:tcPr>
            <w:tcW w:w="2063" w:type="dxa"/>
            <w:tcBorders>
              <w:tl2br w:val="nil"/>
              <w:tr2bl w:val="nil"/>
            </w:tcBorders>
            <w:shd w:val="clear" w:color="auto" w:fill="auto"/>
            <w:vAlign w:val="center"/>
          </w:tcPr>
          <w:p w14:paraId="35D74D79">
            <w:pPr>
              <w:adjustRightInd w:val="0"/>
              <w:snapToGrid w:val="0"/>
              <w:jc w:val="center"/>
              <w:rPr>
                <w:rFonts w:ascii="Times New Roman" w:hAnsi="Times New Roman" w:cs="Times New Roman"/>
                <w:szCs w:val="21"/>
              </w:rPr>
            </w:pPr>
            <w:r>
              <w:rPr>
                <w:rFonts w:ascii="Times New Roman" w:hAnsi="Times New Roman" w:cs="Times New Roman"/>
                <w:szCs w:val="21"/>
              </w:rPr>
              <w:t>1,1,1-三氯乙烷</w:t>
            </w:r>
          </w:p>
        </w:tc>
        <w:tc>
          <w:tcPr>
            <w:tcW w:w="2401" w:type="dxa"/>
            <w:vMerge w:val="continue"/>
            <w:tcBorders>
              <w:tl2br w:val="nil"/>
              <w:tr2bl w:val="nil"/>
            </w:tcBorders>
            <w:shd w:val="clear" w:color="auto" w:fill="auto"/>
            <w:vAlign w:val="center"/>
          </w:tcPr>
          <w:p w14:paraId="4F132D28">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6EC756A1">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6BE11E6B">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01BB26B8">
            <w:pPr>
              <w:adjustRightInd w:val="0"/>
              <w:snapToGrid w:val="0"/>
              <w:jc w:val="center"/>
              <w:rPr>
                <w:rFonts w:ascii="Times New Roman" w:hAnsi="Times New Roman" w:cs="Times New Roman"/>
                <w:szCs w:val="21"/>
              </w:rPr>
            </w:pPr>
            <w:r>
              <w:rPr>
                <w:rFonts w:ascii="Times New Roman" w:hAnsi="Times New Roman" w:cs="Times New Roman"/>
                <w:szCs w:val="21"/>
              </w:rPr>
              <w:t>1.3</w:t>
            </w:r>
            <w:r>
              <w:rPr>
                <w:rFonts w:ascii="Times New Roman" w:hAnsi="Times New Roman" w:cs="Times New Roman"/>
                <w:kern w:val="0"/>
                <w:szCs w:val="21"/>
              </w:rPr>
              <w:t>μ</w:t>
            </w:r>
            <w:r>
              <w:rPr>
                <w:rFonts w:ascii="Times New Roman" w:hAnsi="Times New Roman" w:cs="Times New Roman"/>
                <w:szCs w:val="21"/>
              </w:rPr>
              <w:t>g/kg</w:t>
            </w:r>
          </w:p>
        </w:tc>
      </w:tr>
      <w:tr w14:paraId="7F59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6F74DEB6">
            <w:pPr>
              <w:adjustRightInd w:val="0"/>
              <w:snapToGrid w:val="0"/>
              <w:jc w:val="center"/>
              <w:rPr>
                <w:rFonts w:ascii="Times New Roman" w:hAnsi="Times New Roman" w:cs="Times New Roman"/>
                <w:szCs w:val="21"/>
              </w:rPr>
            </w:pPr>
            <w:r>
              <w:rPr>
                <w:rFonts w:ascii="Times New Roman" w:hAnsi="Times New Roman" w:cs="Times New Roman"/>
                <w:szCs w:val="21"/>
              </w:rPr>
              <w:t>22</w:t>
            </w:r>
          </w:p>
        </w:tc>
        <w:tc>
          <w:tcPr>
            <w:tcW w:w="2063" w:type="dxa"/>
            <w:tcBorders>
              <w:tl2br w:val="nil"/>
              <w:tr2bl w:val="nil"/>
            </w:tcBorders>
            <w:shd w:val="clear" w:color="auto" w:fill="auto"/>
            <w:vAlign w:val="center"/>
          </w:tcPr>
          <w:p w14:paraId="25E143D5">
            <w:pPr>
              <w:adjustRightInd w:val="0"/>
              <w:snapToGrid w:val="0"/>
              <w:jc w:val="center"/>
              <w:rPr>
                <w:rFonts w:ascii="Times New Roman" w:hAnsi="Times New Roman" w:cs="Times New Roman"/>
                <w:szCs w:val="21"/>
              </w:rPr>
            </w:pPr>
            <w:r>
              <w:rPr>
                <w:rFonts w:ascii="Times New Roman" w:hAnsi="Times New Roman" w:cs="Times New Roman"/>
                <w:szCs w:val="21"/>
              </w:rPr>
              <w:t>1,1,2-三氯乙烷</w:t>
            </w:r>
          </w:p>
        </w:tc>
        <w:tc>
          <w:tcPr>
            <w:tcW w:w="2401" w:type="dxa"/>
            <w:vMerge w:val="continue"/>
            <w:tcBorders>
              <w:tl2br w:val="nil"/>
              <w:tr2bl w:val="nil"/>
            </w:tcBorders>
            <w:shd w:val="clear" w:color="auto" w:fill="auto"/>
            <w:vAlign w:val="center"/>
          </w:tcPr>
          <w:p w14:paraId="1014C071">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3D9C77B4">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188D9E6F">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3706B837">
            <w:pPr>
              <w:adjustRightInd w:val="0"/>
              <w:snapToGrid w:val="0"/>
              <w:jc w:val="center"/>
              <w:rPr>
                <w:rFonts w:ascii="Times New Roman" w:hAnsi="Times New Roman" w:cs="Times New Roman"/>
                <w:szCs w:val="21"/>
              </w:rPr>
            </w:pPr>
            <w:r>
              <w:rPr>
                <w:rFonts w:ascii="Times New Roman" w:hAnsi="Times New Roman" w:cs="Times New Roman"/>
                <w:kern w:val="0"/>
                <w:szCs w:val="21"/>
              </w:rPr>
              <w:t>1.2μ</w:t>
            </w:r>
            <w:r>
              <w:rPr>
                <w:rFonts w:ascii="Times New Roman" w:hAnsi="Times New Roman" w:cs="Times New Roman"/>
                <w:szCs w:val="21"/>
              </w:rPr>
              <w:t>g/kg</w:t>
            </w:r>
          </w:p>
        </w:tc>
      </w:tr>
      <w:tr w14:paraId="3AD8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6327A8A8">
            <w:pPr>
              <w:adjustRightInd w:val="0"/>
              <w:snapToGrid w:val="0"/>
              <w:jc w:val="center"/>
              <w:rPr>
                <w:rFonts w:ascii="Times New Roman" w:hAnsi="Times New Roman" w:cs="Times New Roman"/>
                <w:szCs w:val="21"/>
              </w:rPr>
            </w:pPr>
            <w:r>
              <w:rPr>
                <w:rFonts w:ascii="Times New Roman" w:hAnsi="Times New Roman" w:cs="Times New Roman"/>
                <w:szCs w:val="21"/>
              </w:rPr>
              <w:t>23</w:t>
            </w:r>
          </w:p>
        </w:tc>
        <w:tc>
          <w:tcPr>
            <w:tcW w:w="2063" w:type="dxa"/>
            <w:tcBorders>
              <w:tl2br w:val="nil"/>
              <w:tr2bl w:val="nil"/>
            </w:tcBorders>
            <w:shd w:val="clear" w:color="auto" w:fill="auto"/>
            <w:vAlign w:val="center"/>
          </w:tcPr>
          <w:p w14:paraId="6494E00D">
            <w:pPr>
              <w:adjustRightInd w:val="0"/>
              <w:snapToGrid w:val="0"/>
              <w:jc w:val="center"/>
              <w:rPr>
                <w:rFonts w:ascii="Times New Roman" w:hAnsi="Times New Roman" w:cs="Times New Roman"/>
                <w:szCs w:val="21"/>
              </w:rPr>
            </w:pPr>
            <w:r>
              <w:rPr>
                <w:rFonts w:ascii="Times New Roman" w:hAnsi="Times New Roman" w:cs="Times New Roman"/>
                <w:szCs w:val="21"/>
              </w:rPr>
              <w:t>三氯乙烯</w:t>
            </w:r>
          </w:p>
        </w:tc>
        <w:tc>
          <w:tcPr>
            <w:tcW w:w="2401" w:type="dxa"/>
            <w:vMerge w:val="continue"/>
            <w:tcBorders>
              <w:tl2br w:val="nil"/>
              <w:tr2bl w:val="nil"/>
            </w:tcBorders>
            <w:shd w:val="clear" w:color="auto" w:fill="auto"/>
            <w:vAlign w:val="center"/>
          </w:tcPr>
          <w:p w14:paraId="27B24AFB">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330C2A2C">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7732563A">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0549751B">
            <w:pPr>
              <w:adjustRightInd w:val="0"/>
              <w:snapToGrid w:val="0"/>
              <w:jc w:val="center"/>
              <w:rPr>
                <w:rFonts w:ascii="Times New Roman" w:hAnsi="Times New Roman" w:cs="Times New Roman"/>
                <w:szCs w:val="21"/>
              </w:rPr>
            </w:pPr>
            <w:r>
              <w:rPr>
                <w:rFonts w:ascii="Times New Roman" w:hAnsi="Times New Roman" w:cs="Times New Roman"/>
                <w:kern w:val="0"/>
                <w:szCs w:val="21"/>
              </w:rPr>
              <w:t>1.2μ</w:t>
            </w:r>
            <w:r>
              <w:rPr>
                <w:rFonts w:ascii="Times New Roman" w:hAnsi="Times New Roman" w:cs="Times New Roman"/>
                <w:szCs w:val="21"/>
              </w:rPr>
              <w:t>g/kg</w:t>
            </w:r>
          </w:p>
        </w:tc>
      </w:tr>
      <w:tr w14:paraId="1286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4F477819">
            <w:pPr>
              <w:adjustRightInd w:val="0"/>
              <w:snapToGrid w:val="0"/>
              <w:jc w:val="center"/>
              <w:rPr>
                <w:rFonts w:ascii="Times New Roman" w:hAnsi="Times New Roman" w:cs="Times New Roman"/>
                <w:szCs w:val="21"/>
              </w:rPr>
            </w:pPr>
            <w:r>
              <w:rPr>
                <w:rFonts w:ascii="Times New Roman" w:hAnsi="Times New Roman" w:cs="Times New Roman"/>
                <w:szCs w:val="21"/>
              </w:rPr>
              <w:t>24</w:t>
            </w:r>
          </w:p>
        </w:tc>
        <w:tc>
          <w:tcPr>
            <w:tcW w:w="2063" w:type="dxa"/>
            <w:tcBorders>
              <w:tl2br w:val="nil"/>
              <w:tr2bl w:val="nil"/>
            </w:tcBorders>
            <w:shd w:val="clear" w:color="auto" w:fill="auto"/>
            <w:vAlign w:val="center"/>
          </w:tcPr>
          <w:p w14:paraId="09DD7A80">
            <w:pPr>
              <w:adjustRightInd w:val="0"/>
              <w:snapToGrid w:val="0"/>
              <w:jc w:val="center"/>
              <w:rPr>
                <w:rFonts w:ascii="Times New Roman" w:hAnsi="Times New Roman" w:cs="Times New Roman"/>
                <w:szCs w:val="21"/>
              </w:rPr>
            </w:pPr>
            <w:r>
              <w:rPr>
                <w:rFonts w:ascii="Times New Roman" w:hAnsi="Times New Roman" w:cs="Times New Roman"/>
                <w:szCs w:val="21"/>
              </w:rPr>
              <w:t>1,2,3-三氯丙烷</w:t>
            </w:r>
          </w:p>
        </w:tc>
        <w:tc>
          <w:tcPr>
            <w:tcW w:w="2401" w:type="dxa"/>
            <w:vMerge w:val="continue"/>
            <w:tcBorders>
              <w:tl2br w:val="nil"/>
              <w:tr2bl w:val="nil"/>
            </w:tcBorders>
            <w:shd w:val="clear" w:color="auto" w:fill="auto"/>
            <w:vAlign w:val="center"/>
          </w:tcPr>
          <w:p w14:paraId="3452CF87">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49A7742A">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0A0ED3EA">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57BB0A67">
            <w:pPr>
              <w:adjustRightInd w:val="0"/>
              <w:snapToGrid w:val="0"/>
              <w:jc w:val="center"/>
              <w:rPr>
                <w:rFonts w:ascii="Times New Roman" w:hAnsi="Times New Roman" w:cs="Times New Roman"/>
                <w:szCs w:val="21"/>
              </w:rPr>
            </w:pPr>
            <w:r>
              <w:rPr>
                <w:rFonts w:ascii="Times New Roman" w:hAnsi="Times New Roman" w:cs="Times New Roman"/>
                <w:kern w:val="0"/>
                <w:szCs w:val="21"/>
              </w:rPr>
              <w:t>1.2μ</w:t>
            </w:r>
            <w:r>
              <w:rPr>
                <w:rFonts w:ascii="Times New Roman" w:hAnsi="Times New Roman" w:cs="Times New Roman"/>
                <w:szCs w:val="21"/>
              </w:rPr>
              <w:t>g/kg</w:t>
            </w:r>
          </w:p>
        </w:tc>
      </w:tr>
      <w:tr w14:paraId="1DF5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59F5ED29">
            <w:pPr>
              <w:adjustRightInd w:val="0"/>
              <w:snapToGrid w:val="0"/>
              <w:jc w:val="center"/>
              <w:rPr>
                <w:rFonts w:ascii="Times New Roman" w:hAnsi="Times New Roman" w:cs="Times New Roman"/>
                <w:szCs w:val="21"/>
              </w:rPr>
            </w:pPr>
            <w:r>
              <w:rPr>
                <w:rFonts w:ascii="Times New Roman" w:hAnsi="Times New Roman" w:cs="Times New Roman"/>
                <w:szCs w:val="21"/>
              </w:rPr>
              <w:t>25</w:t>
            </w:r>
          </w:p>
        </w:tc>
        <w:tc>
          <w:tcPr>
            <w:tcW w:w="2063" w:type="dxa"/>
            <w:tcBorders>
              <w:tl2br w:val="nil"/>
              <w:tr2bl w:val="nil"/>
            </w:tcBorders>
            <w:shd w:val="clear" w:color="auto" w:fill="auto"/>
            <w:vAlign w:val="center"/>
          </w:tcPr>
          <w:p w14:paraId="71D21554">
            <w:pPr>
              <w:adjustRightInd w:val="0"/>
              <w:snapToGrid w:val="0"/>
              <w:jc w:val="center"/>
              <w:rPr>
                <w:rFonts w:ascii="Times New Roman" w:hAnsi="Times New Roman" w:cs="Times New Roman"/>
                <w:szCs w:val="21"/>
              </w:rPr>
            </w:pPr>
            <w:r>
              <w:rPr>
                <w:rFonts w:ascii="Times New Roman" w:hAnsi="Times New Roman" w:cs="Times New Roman"/>
                <w:szCs w:val="21"/>
              </w:rPr>
              <w:t>氯乙烯</w:t>
            </w:r>
          </w:p>
        </w:tc>
        <w:tc>
          <w:tcPr>
            <w:tcW w:w="2401" w:type="dxa"/>
            <w:vMerge w:val="continue"/>
            <w:tcBorders>
              <w:tl2br w:val="nil"/>
              <w:tr2bl w:val="nil"/>
            </w:tcBorders>
            <w:shd w:val="clear" w:color="auto" w:fill="auto"/>
            <w:vAlign w:val="center"/>
          </w:tcPr>
          <w:p w14:paraId="4FE6DE60">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16718CC9">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3DE8B85D">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7710E7A5">
            <w:pPr>
              <w:adjustRightInd w:val="0"/>
              <w:snapToGrid w:val="0"/>
              <w:jc w:val="center"/>
              <w:rPr>
                <w:rFonts w:ascii="Times New Roman" w:hAnsi="Times New Roman" w:cs="Times New Roman"/>
                <w:szCs w:val="21"/>
              </w:rPr>
            </w:pPr>
            <w:r>
              <w:rPr>
                <w:rFonts w:ascii="Times New Roman" w:hAnsi="Times New Roman" w:cs="Times New Roman"/>
                <w:kern w:val="0"/>
                <w:szCs w:val="21"/>
              </w:rPr>
              <w:t>1.0μ</w:t>
            </w:r>
            <w:r>
              <w:rPr>
                <w:rFonts w:ascii="Times New Roman" w:hAnsi="Times New Roman" w:cs="Times New Roman"/>
                <w:szCs w:val="21"/>
              </w:rPr>
              <w:t>g/kg</w:t>
            </w:r>
          </w:p>
        </w:tc>
      </w:tr>
      <w:tr w14:paraId="0D69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190A40F4">
            <w:pPr>
              <w:adjustRightInd w:val="0"/>
              <w:snapToGrid w:val="0"/>
              <w:jc w:val="center"/>
              <w:rPr>
                <w:rFonts w:ascii="Times New Roman" w:hAnsi="Times New Roman" w:cs="Times New Roman"/>
                <w:szCs w:val="21"/>
              </w:rPr>
            </w:pPr>
            <w:r>
              <w:rPr>
                <w:rFonts w:ascii="Times New Roman" w:hAnsi="Times New Roman" w:cs="Times New Roman"/>
                <w:szCs w:val="21"/>
              </w:rPr>
              <w:t>26</w:t>
            </w:r>
          </w:p>
        </w:tc>
        <w:tc>
          <w:tcPr>
            <w:tcW w:w="2063" w:type="dxa"/>
            <w:tcBorders>
              <w:tl2br w:val="nil"/>
              <w:tr2bl w:val="nil"/>
            </w:tcBorders>
            <w:shd w:val="clear" w:color="auto" w:fill="auto"/>
            <w:vAlign w:val="center"/>
          </w:tcPr>
          <w:p w14:paraId="7E238EBD">
            <w:pPr>
              <w:adjustRightInd w:val="0"/>
              <w:snapToGrid w:val="0"/>
              <w:jc w:val="center"/>
              <w:rPr>
                <w:rFonts w:ascii="Times New Roman" w:hAnsi="Times New Roman" w:cs="Times New Roman"/>
                <w:szCs w:val="21"/>
              </w:rPr>
            </w:pPr>
            <w:r>
              <w:rPr>
                <w:rFonts w:ascii="Times New Roman" w:hAnsi="Times New Roman" w:cs="Times New Roman"/>
                <w:szCs w:val="21"/>
              </w:rPr>
              <w:t>苯</w:t>
            </w:r>
          </w:p>
        </w:tc>
        <w:tc>
          <w:tcPr>
            <w:tcW w:w="2401" w:type="dxa"/>
            <w:vMerge w:val="continue"/>
            <w:tcBorders>
              <w:tl2br w:val="nil"/>
              <w:tr2bl w:val="nil"/>
            </w:tcBorders>
            <w:shd w:val="clear" w:color="auto" w:fill="auto"/>
            <w:vAlign w:val="center"/>
          </w:tcPr>
          <w:p w14:paraId="0A5533E0">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523DD8F7">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45753DA2">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21D90584">
            <w:pPr>
              <w:adjustRightInd w:val="0"/>
              <w:snapToGrid w:val="0"/>
              <w:jc w:val="center"/>
              <w:rPr>
                <w:rFonts w:ascii="Times New Roman" w:hAnsi="Times New Roman" w:cs="Times New Roman"/>
                <w:szCs w:val="21"/>
              </w:rPr>
            </w:pPr>
            <w:r>
              <w:rPr>
                <w:rFonts w:ascii="Times New Roman" w:hAnsi="Times New Roman" w:cs="Times New Roman"/>
                <w:kern w:val="0"/>
                <w:szCs w:val="21"/>
              </w:rPr>
              <w:t>1.9μ</w:t>
            </w:r>
            <w:r>
              <w:rPr>
                <w:rFonts w:ascii="Times New Roman" w:hAnsi="Times New Roman" w:cs="Times New Roman"/>
                <w:szCs w:val="21"/>
              </w:rPr>
              <w:t>g/kg</w:t>
            </w:r>
          </w:p>
        </w:tc>
      </w:tr>
      <w:tr w14:paraId="22D7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044B4B6C">
            <w:pPr>
              <w:adjustRightInd w:val="0"/>
              <w:snapToGrid w:val="0"/>
              <w:jc w:val="center"/>
              <w:rPr>
                <w:rFonts w:ascii="Times New Roman" w:hAnsi="Times New Roman" w:cs="Times New Roman"/>
                <w:szCs w:val="21"/>
              </w:rPr>
            </w:pPr>
            <w:r>
              <w:rPr>
                <w:rFonts w:ascii="Times New Roman" w:hAnsi="Times New Roman" w:cs="Times New Roman"/>
                <w:szCs w:val="21"/>
              </w:rPr>
              <w:t>27</w:t>
            </w:r>
          </w:p>
        </w:tc>
        <w:tc>
          <w:tcPr>
            <w:tcW w:w="2063" w:type="dxa"/>
            <w:tcBorders>
              <w:tl2br w:val="nil"/>
              <w:tr2bl w:val="nil"/>
            </w:tcBorders>
            <w:shd w:val="clear" w:color="auto" w:fill="auto"/>
            <w:vAlign w:val="center"/>
          </w:tcPr>
          <w:p w14:paraId="2DA2B70D">
            <w:pPr>
              <w:adjustRightInd w:val="0"/>
              <w:snapToGrid w:val="0"/>
              <w:jc w:val="center"/>
              <w:rPr>
                <w:rFonts w:ascii="Times New Roman" w:hAnsi="Times New Roman" w:cs="Times New Roman"/>
                <w:szCs w:val="21"/>
              </w:rPr>
            </w:pPr>
            <w:r>
              <w:rPr>
                <w:rFonts w:ascii="Times New Roman" w:hAnsi="Times New Roman" w:cs="Times New Roman"/>
                <w:szCs w:val="21"/>
              </w:rPr>
              <w:t>氯苯</w:t>
            </w:r>
          </w:p>
        </w:tc>
        <w:tc>
          <w:tcPr>
            <w:tcW w:w="2401" w:type="dxa"/>
            <w:vMerge w:val="continue"/>
            <w:tcBorders>
              <w:tl2br w:val="nil"/>
              <w:tr2bl w:val="nil"/>
            </w:tcBorders>
            <w:shd w:val="clear" w:color="auto" w:fill="auto"/>
            <w:vAlign w:val="center"/>
          </w:tcPr>
          <w:p w14:paraId="6442AC1B">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4496CBBA">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5B60CBA6">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5581AD6D">
            <w:pPr>
              <w:adjustRightInd w:val="0"/>
              <w:snapToGrid w:val="0"/>
              <w:jc w:val="center"/>
              <w:rPr>
                <w:rFonts w:ascii="Times New Roman" w:hAnsi="Times New Roman" w:cs="Times New Roman"/>
                <w:szCs w:val="21"/>
              </w:rPr>
            </w:pPr>
            <w:r>
              <w:rPr>
                <w:rFonts w:ascii="Times New Roman" w:hAnsi="Times New Roman" w:cs="Times New Roman"/>
                <w:kern w:val="0"/>
                <w:szCs w:val="21"/>
              </w:rPr>
              <w:t>1.2μ</w:t>
            </w:r>
            <w:r>
              <w:rPr>
                <w:rFonts w:ascii="Times New Roman" w:hAnsi="Times New Roman" w:cs="Times New Roman"/>
                <w:szCs w:val="21"/>
              </w:rPr>
              <w:t>g/kg</w:t>
            </w:r>
          </w:p>
        </w:tc>
      </w:tr>
      <w:tr w14:paraId="3C5D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49E8E973">
            <w:pPr>
              <w:adjustRightInd w:val="0"/>
              <w:snapToGrid w:val="0"/>
              <w:jc w:val="center"/>
              <w:rPr>
                <w:rFonts w:ascii="Times New Roman" w:hAnsi="Times New Roman" w:cs="Times New Roman"/>
                <w:szCs w:val="21"/>
              </w:rPr>
            </w:pPr>
            <w:r>
              <w:rPr>
                <w:rFonts w:ascii="Times New Roman" w:hAnsi="Times New Roman" w:cs="Times New Roman"/>
                <w:szCs w:val="21"/>
              </w:rPr>
              <w:t>28</w:t>
            </w:r>
          </w:p>
        </w:tc>
        <w:tc>
          <w:tcPr>
            <w:tcW w:w="2063" w:type="dxa"/>
            <w:tcBorders>
              <w:tl2br w:val="nil"/>
              <w:tr2bl w:val="nil"/>
            </w:tcBorders>
            <w:shd w:val="clear" w:color="auto" w:fill="auto"/>
            <w:vAlign w:val="center"/>
          </w:tcPr>
          <w:p w14:paraId="359D23D5">
            <w:pPr>
              <w:adjustRightInd w:val="0"/>
              <w:snapToGrid w:val="0"/>
              <w:jc w:val="center"/>
              <w:rPr>
                <w:rFonts w:ascii="Times New Roman" w:hAnsi="Times New Roman" w:cs="Times New Roman"/>
                <w:szCs w:val="21"/>
              </w:rPr>
            </w:pPr>
            <w:r>
              <w:rPr>
                <w:rFonts w:ascii="Times New Roman" w:hAnsi="Times New Roman" w:cs="Times New Roman"/>
                <w:szCs w:val="21"/>
              </w:rPr>
              <w:t>1,2-二氯苯</w:t>
            </w:r>
          </w:p>
        </w:tc>
        <w:tc>
          <w:tcPr>
            <w:tcW w:w="2401" w:type="dxa"/>
            <w:vMerge w:val="continue"/>
            <w:tcBorders>
              <w:tl2br w:val="nil"/>
              <w:tr2bl w:val="nil"/>
            </w:tcBorders>
            <w:shd w:val="clear" w:color="auto" w:fill="auto"/>
            <w:vAlign w:val="center"/>
          </w:tcPr>
          <w:p w14:paraId="204528AC">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1D5A6829">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26E07BDE">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11F7C71F">
            <w:pPr>
              <w:adjustRightInd w:val="0"/>
              <w:snapToGrid w:val="0"/>
              <w:jc w:val="center"/>
              <w:rPr>
                <w:rFonts w:ascii="Times New Roman" w:hAnsi="Times New Roman" w:cs="Times New Roman"/>
                <w:szCs w:val="21"/>
              </w:rPr>
            </w:pPr>
            <w:r>
              <w:rPr>
                <w:rFonts w:ascii="Times New Roman" w:hAnsi="Times New Roman" w:cs="Times New Roman"/>
                <w:kern w:val="0"/>
                <w:szCs w:val="21"/>
              </w:rPr>
              <w:t>1.5μ</w:t>
            </w:r>
            <w:r>
              <w:rPr>
                <w:rFonts w:ascii="Times New Roman" w:hAnsi="Times New Roman" w:cs="Times New Roman"/>
                <w:szCs w:val="21"/>
              </w:rPr>
              <w:t>g/kg</w:t>
            </w:r>
          </w:p>
        </w:tc>
      </w:tr>
      <w:tr w14:paraId="00E0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57A700F2">
            <w:pPr>
              <w:adjustRightInd w:val="0"/>
              <w:snapToGrid w:val="0"/>
              <w:jc w:val="center"/>
              <w:rPr>
                <w:rFonts w:ascii="Times New Roman" w:hAnsi="Times New Roman" w:cs="Times New Roman"/>
                <w:szCs w:val="21"/>
              </w:rPr>
            </w:pPr>
            <w:r>
              <w:rPr>
                <w:rFonts w:ascii="Times New Roman" w:hAnsi="Times New Roman" w:cs="Times New Roman"/>
                <w:szCs w:val="21"/>
              </w:rPr>
              <w:t>29</w:t>
            </w:r>
          </w:p>
        </w:tc>
        <w:tc>
          <w:tcPr>
            <w:tcW w:w="2063" w:type="dxa"/>
            <w:tcBorders>
              <w:tl2br w:val="nil"/>
              <w:tr2bl w:val="nil"/>
            </w:tcBorders>
            <w:shd w:val="clear" w:color="auto" w:fill="auto"/>
            <w:vAlign w:val="center"/>
          </w:tcPr>
          <w:p w14:paraId="7234EE2D">
            <w:pPr>
              <w:adjustRightInd w:val="0"/>
              <w:snapToGrid w:val="0"/>
              <w:jc w:val="center"/>
              <w:rPr>
                <w:rFonts w:ascii="Times New Roman" w:hAnsi="Times New Roman" w:cs="Times New Roman"/>
                <w:szCs w:val="21"/>
              </w:rPr>
            </w:pPr>
            <w:r>
              <w:rPr>
                <w:rFonts w:ascii="Times New Roman" w:hAnsi="Times New Roman" w:cs="Times New Roman"/>
                <w:szCs w:val="21"/>
              </w:rPr>
              <w:t>1,4-二氯苯</w:t>
            </w:r>
          </w:p>
        </w:tc>
        <w:tc>
          <w:tcPr>
            <w:tcW w:w="2401" w:type="dxa"/>
            <w:vMerge w:val="continue"/>
            <w:tcBorders>
              <w:tl2br w:val="nil"/>
              <w:tr2bl w:val="nil"/>
            </w:tcBorders>
            <w:shd w:val="clear" w:color="auto" w:fill="auto"/>
            <w:vAlign w:val="center"/>
          </w:tcPr>
          <w:p w14:paraId="6DFB297C">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584CC132">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558BF3FF">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49175895">
            <w:pPr>
              <w:adjustRightInd w:val="0"/>
              <w:snapToGrid w:val="0"/>
              <w:jc w:val="center"/>
              <w:rPr>
                <w:rFonts w:ascii="Times New Roman" w:hAnsi="Times New Roman" w:cs="Times New Roman"/>
                <w:szCs w:val="21"/>
              </w:rPr>
            </w:pPr>
            <w:r>
              <w:rPr>
                <w:rFonts w:ascii="Times New Roman" w:hAnsi="Times New Roman" w:cs="Times New Roman"/>
                <w:kern w:val="0"/>
                <w:szCs w:val="21"/>
              </w:rPr>
              <w:t>1.5μ</w:t>
            </w:r>
            <w:r>
              <w:rPr>
                <w:rFonts w:ascii="Times New Roman" w:hAnsi="Times New Roman" w:cs="Times New Roman"/>
                <w:szCs w:val="21"/>
              </w:rPr>
              <w:t>g/kg</w:t>
            </w:r>
          </w:p>
        </w:tc>
      </w:tr>
      <w:tr w14:paraId="7EA6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690B4569">
            <w:pPr>
              <w:adjustRightInd w:val="0"/>
              <w:snapToGrid w:val="0"/>
              <w:jc w:val="center"/>
              <w:rPr>
                <w:rFonts w:ascii="Times New Roman" w:hAnsi="Times New Roman" w:cs="Times New Roman"/>
                <w:szCs w:val="21"/>
              </w:rPr>
            </w:pPr>
            <w:r>
              <w:rPr>
                <w:rFonts w:ascii="Times New Roman" w:hAnsi="Times New Roman" w:cs="Times New Roman"/>
                <w:szCs w:val="21"/>
              </w:rPr>
              <w:t>30</w:t>
            </w:r>
          </w:p>
        </w:tc>
        <w:tc>
          <w:tcPr>
            <w:tcW w:w="2063" w:type="dxa"/>
            <w:tcBorders>
              <w:tl2br w:val="nil"/>
              <w:tr2bl w:val="nil"/>
            </w:tcBorders>
            <w:shd w:val="clear" w:color="auto" w:fill="auto"/>
            <w:vAlign w:val="center"/>
          </w:tcPr>
          <w:p w14:paraId="237F046B">
            <w:pPr>
              <w:adjustRightInd w:val="0"/>
              <w:snapToGrid w:val="0"/>
              <w:jc w:val="center"/>
              <w:rPr>
                <w:rFonts w:ascii="Times New Roman" w:hAnsi="Times New Roman" w:cs="Times New Roman"/>
                <w:szCs w:val="21"/>
              </w:rPr>
            </w:pPr>
            <w:r>
              <w:rPr>
                <w:rFonts w:ascii="Times New Roman" w:hAnsi="Times New Roman" w:cs="Times New Roman"/>
                <w:szCs w:val="21"/>
              </w:rPr>
              <w:t>乙苯</w:t>
            </w:r>
          </w:p>
        </w:tc>
        <w:tc>
          <w:tcPr>
            <w:tcW w:w="2401" w:type="dxa"/>
            <w:vMerge w:val="continue"/>
            <w:tcBorders>
              <w:tl2br w:val="nil"/>
              <w:tr2bl w:val="nil"/>
            </w:tcBorders>
            <w:shd w:val="clear" w:color="auto" w:fill="auto"/>
            <w:vAlign w:val="center"/>
          </w:tcPr>
          <w:p w14:paraId="35D17528">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3BFBFA71">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2BB28C8D">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3ADB8908">
            <w:pPr>
              <w:adjustRightInd w:val="0"/>
              <w:snapToGrid w:val="0"/>
              <w:jc w:val="center"/>
              <w:rPr>
                <w:rFonts w:ascii="Times New Roman" w:hAnsi="Times New Roman" w:cs="Times New Roman"/>
                <w:szCs w:val="21"/>
              </w:rPr>
            </w:pPr>
            <w:r>
              <w:rPr>
                <w:rFonts w:ascii="Times New Roman" w:hAnsi="Times New Roman" w:cs="Times New Roman"/>
                <w:kern w:val="0"/>
                <w:szCs w:val="21"/>
              </w:rPr>
              <w:t>1.2μ</w:t>
            </w:r>
            <w:r>
              <w:rPr>
                <w:rFonts w:ascii="Times New Roman" w:hAnsi="Times New Roman" w:cs="Times New Roman"/>
                <w:szCs w:val="21"/>
              </w:rPr>
              <w:t>g/kg</w:t>
            </w:r>
          </w:p>
        </w:tc>
      </w:tr>
      <w:tr w14:paraId="76C9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7D0E2975">
            <w:pPr>
              <w:adjustRightInd w:val="0"/>
              <w:snapToGrid w:val="0"/>
              <w:jc w:val="center"/>
              <w:rPr>
                <w:rFonts w:ascii="Times New Roman" w:hAnsi="Times New Roman" w:cs="Times New Roman"/>
                <w:szCs w:val="21"/>
              </w:rPr>
            </w:pPr>
            <w:r>
              <w:rPr>
                <w:rFonts w:ascii="Times New Roman" w:hAnsi="Times New Roman" w:cs="Times New Roman"/>
                <w:szCs w:val="21"/>
              </w:rPr>
              <w:t>31</w:t>
            </w:r>
          </w:p>
        </w:tc>
        <w:tc>
          <w:tcPr>
            <w:tcW w:w="2063" w:type="dxa"/>
            <w:tcBorders>
              <w:tl2br w:val="nil"/>
              <w:tr2bl w:val="nil"/>
            </w:tcBorders>
            <w:shd w:val="clear" w:color="auto" w:fill="auto"/>
            <w:vAlign w:val="center"/>
          </w:tcPr>
          <w:p w14:paraId="4938C1C1">
            <w:pPr>
              <w:adjustRightInd w:val="0"/>
              <w:snapToGrid w:val="0"/>
              <w:jc w:val="center"/>
              <w:rPr>
                <w:rFonts w:ascii="Times New Roman" w:hAnsi="Times New Roman" w:cs="Times New Roman"/>
                <w:szCs w:val="21"/>
              </w:rPr>
            </w:pPr>
            <w:r>
              <w:rPr>
                <w:rFonts w:ascii="Times New Roman" w:hAnsi="Times New Roman" w:cs="Times New Roman"/>
                <w:szCs w:val="21"/>
              </w:rPr>
              <w:t>苯乙烯</w:t>
            </w:r>
          </w:p>
        </w:tc>
        <w:tc>
          <w:tcPr>
            <w:tcW w:w="2401" w:type="dxa"/>
            <w:vMerge w:val="continue"/>
            <w:tcBorders>
              <w:tl2br w:val="nil"/>
              <w:tr2bl w:val="nil"/>
            </w:tcBorders>
            <w:shd w:val="clear" w:color="auto" w:fill="auto"/>
            <w:vAlign w:val="center"/>
          </w:tcPr>
          <w:p w14:paraId="39074CA6">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36A81160">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2D59357E">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2312742A">
            <w:pPr>
              <w:adjustRightInd w:val="0"/>
              <w:snapToGrid w:val="0"/>
              <w:jc w:val="center"/>
              <w:rPr>
                <w:rFonts w:ascii="Times New Roman" w:hAnsi="Times New Roman" w:cs="Times New Roman"/>
                <w:szCs w:val="21"/>
              </w:rPr>
            </w:pPr>
            <w:r>
              <w:rPr>
                <w:rFonts w:ascii="Times New Roman" w:hAnsi="Times New Roman" w:cs="Times New Roman"/>
                <w:kern w:val="0"/>
                <w:szCs w:val="21"/>
              </w:rPr>
              <w:t>1.1μ</w:t>
            </w:r>
            <w:r>
              <w:rPr>
                <w:rFonts w:ascii="Times New Roman" w:hAnsi="Times New Roman" w:cs="Times New Roman"/>
                <w:szCs w:val="21"/>
              </w:rPr>
              <w:t>g/kg</w:t>
            </w:r>
          </w:p>
        </w:tc>
      </w:tr>
      <w:tr w14:paraId="0875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6DD01DC9">
            <w:pPr>
              <w:adjustRightInd w:val="0"/>
              <w:snapToGrid w:val="0"/>
              <w:jc w:val="center"/>
              <w:rPr>
                <w:rFonts w:ascii="Times New Roman" w:hAnsi="Times New Roman" w:cs="Times New Roman"/>
                <w:szCs w:val="21"/>
              </w:rPr>
            </w:pPr>
            <w:r>
              <w:rPr>
                <w:rFonts w:ascii="Times New Roman" w:hAnsi="Times New Roman" w:cs="Times New Roman"/>
                <w:szCs w:val="21"/>
              </w:rPr>
              <w:t>32</w:t>
            </w:r>
          </w:p>
        </w:tc>
        <w:tc>
          <w:tcPr>
            <w:tcW w:w="2063" w:type="dxa"/>
            <w:tcBorders>
              <w:tl2br w:val="nil"/>
              <w:tr2bl w:val="nil"/>
            </w:tcBorders>
            <w:shd w:val="clear" w:color="auto" w:fill="auto"/>
            <w:vAlign w:val="center"/>
          </w:tcPr>
          <w:p w14:paraId="206700DB">
            <w:pPr>
              <w:adjustRightInd w:val="0"/>
              <w:snapToGrid w:val="0"/>
              <w:jc w:val="center"/>
              <w:rPr>
                <w:rFonts w:ascii="Times New Roman" w:hAnsi="Times New Roman" w:cs="Times New Roman"/>
                <w:szCs w:val="21"/>
              </w:rPr>
            </w:pPr>
            <w:r>
              <w:rPr>
                <w:rFonts w:ascii="Times New Roman" w:hAnsi="Times New Roman" w:cs="Times New Roman"/>
                <w:szCs w:val="21"/>
              </w:rPr>
              <w:t>甲苯</w:t>
            </w:r>
          </w:p>
        </w:tc>
        <w:tc>
          <w:tcPr>
            <w:tcW w:w="2401" w:type="dxa"/>
            <w:vMerge w:val="continue"/>
            <w:tcBorders>
              <w:tl2br w:val="nil"/>
              <w:tr2bl w:val="nil"/>
            </w:tcBorders>
            <w:shd w:val="clear" w:color="auto" w:fill="auto"/>
            <w:vAlign w:val="center"/>
          </w:tcPr>
          <w:p w14:paraId="2EB97C5D">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6D33115E">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2B929B24">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5588DE4B">
            <w:pPr>
              <w:adjustRightInd w:val="0"/>
              <w:snapToGrid w:val="0"/>
              <w:jc w:val="center"/>
              <w:rPr>
                <w:rFonts w:ascii="Times New Roman" w:hAnsi="Times New Roman" w:cs="Times New Roman"/>
                <w:szCs w:val="21"/>
              </w:rPr>
            </w:pPr>
            <w:r>
              <w:rPr>
                <w:rFonts w:ascii="Times New Roman" w:hAnsi="Times New Roman" w:cs="Times New Roman"/>
                <w:kern w:val="0"/>
                <w:szCs w:val="21"/>
              </w:rPr>
              <w:t>1.3μ</w:t>
            </w:r>
            <w:r>
              <w:rPr>
                <w:rFonts w:ascii="Times New Roman" w:hAnsi="Times New Roman" w:cs="Times New Roman"/>
                <w:szCs w:val="21"/>
              </w:rPr>
              <w:t>g/kg</w:t>
            </w:r>
          </w:p>
        </w:tc>
      </w:tr>
      <w:tr w14:paraId="02BE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6327CC6F">
            <w:pPr>
              <w:adjustRightInd w:val="0"/>
              <w:snapToGrid w:val="0"/>
              <w:jc w:val="center"/>
              <w:rPr>
                <w:rFonts w:ascii="Times New Roman" w:hAnsi="Times New Roman" w:cs="Times New Roman"/>
                <w:szCs w:val="21"/>
              </w:rPr>
            </w:pPr>
            <w:r>
              <w:rPr>
                <w:rFonts w:ascii="Times New Roman" w:hAnsi="Times New Roman" w:cs="Times New Roman"/>
                <w:szCs w:val="21"/>
              </w:rPr>
              <w:t>33</w:t>
            </w:r>
          </w:p>
        </w:tc>
        <w:tc>
          <w:tcPr>
            <w:tcW w:w="2063" w:type="dxa"/>
            <w:tcBorders>
              <w:tl2br w:val="nil"/>
              <w:tr2bl w:val="nil"/>
            </w:tcBorders>
            <w:shd w:val="clear" w:color="auto" w:fill="auto"/>
            <w:vAlign w:val="center"/>
          </w:tcPr>
          <w:p w14:paraId="6F7DFEA0">
            <w:pPr>
              <w:adjustRightInd w:val="0"/>
              <w:snapToGrid w:val="0"/>
              <w:jc w:val="center"/>
              <w:rPr>
                <w:rFonts w:ascii="Times New Roman" w:hAnsi="Times New Roman" w:cs="Times New Roman"/>
                <w:szCs w:val="21"/>
              </w:rPr>
            </w:pPr>
            <w:r>
              <w:rPr>
                <w:rFonts w:ascii="Times New Roman" w:hAnsi="Times New Roman" w:cs="Times New Roman"/>
                <w:szCs w:val="21"/>
              </w:rPr>
              <w:t>间,对-二甲苯</w:t>
            </w:r>
          </w:p>
        </w:tc>
        <w:tc>
          <w:tcPr>
            <w:tcW w:w="2401" w:type="dxa"/>
            <w:vMerge w:val="continue"/>
            <w:tcBorders>
              <w:tl2br w:val="nil"/>
              <w:tr2bl w:val="nil"/>
            </w:tcBorders>
            <w:shd w:val="clear" w:color="auto" w:fill="auto"/>
            <w:vAlign w:val="center"/>
          </w:tcPr>
          <w:p w14:paraId="2292AF2A">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431F3033">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6C16319C">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449C5F93">
            <w:pPr>
              <w:adjustRightInd w:val="0"/>
              <w:snapToGrid w:val="0"/>
              <w:jc w:val="center"/>
              <w:rPr>
                <w:rFonts w:ascii="Times New Roman" w:hAnsi="Times New Roman" w:cs="Times New Roman"/>
                <w:szCs w:val="21"/>
              </w:rPr>
            </w:pPr>
            <w:r>
              <w:rPr>
                <w:rFonts w:ascii="Times New Roman" w:hAnsi="Times New Roman" w:cs="Times New Roman"/>
                <w:kern w:val="0"/>
                <w:szCs w:val="21"/>
              </w:rPr>
              <w:t>1.2μ</w:t>
            </w:r>
            <w:r>
              <w:rPr>
                <w:rFonts w:ascii="Times New Roman" w:hAnsi="Times New Roman" w:cs="Times New Roman"/>
                <w:szCs w:val="21"/>
              </w:rPr>
              <w:t>g/kg</w:t>
            </w:r>
          </w:p>
        </w:tc>
      </w:tr>
      <w:tr w14:paraId="484A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0158161E">
            <w:pPr>
              <w:adjustRightInd w:val="0"/>
              <w:snapToGrid w:val="0"/>
              <w:jc w:val="center"/>
              <w:rPr>
                <w:rFonts w:ascii="Times New Roman" w:hAnsi="Times New Roman" w:cs="Times New Roman"/>
                <w:szCs w:val="21"/>
              </w:rPr>
            </w:pPr>
            <w:r>
              <w:rPr>
                <w:rFonts w:ascii="Times New Roman" w:hAnsi="Times New Roman" w:cs="Times New Roman"/>
                <w:szCs w:val="21"/>
              </w:rPr>
              <w:t>34</w:t>
            </w:r>
          </w:p>
        </w:tc>
        <w:tc>
          <w:tcPr>
            <w:tcW w:w="2063" w:type="dxa"/>
            <w:tcBorders>
              <w:tl2br w:val="nil"/>
              <w:tr2bl w:val="nil"/>
            </w:tcBorders>
            <w:shd w:val="clear" w:color="auto" w:fill="auto"/>
            <w:vAlign w:val="center"/>
          </w:tcPr>
          <w:p w14:paraId="0830D318">
            <w:pPr>
              <w:adjustRightInd w:val="0"/>
              <w:snapToGrid w:val="0"/>
              <w:jc w:val="center"/>
              <w:rPr>
                <w:rFonts w:ascii="Times New Roman" w:hAnsi="Times New Roman" w:cs="Times New Roman"/>
                <w:szCs w:val="21"/>
              </w:rPr>
            </w:pPr>
            <w:r>
              <w:rPr>
                <w:rFonts w:ascii="Times New Roman" w:hAnsi="Times New Roman" w:cs="Times New Roman"/>
                <w:szCs w:val="21"/>
              </w:rPr>
              <w:t>邻-二甲苯</w:t>
            </w:r>
          </w:p>
        </w:tc>
        <w:tc>
          <w:tcPr>
            <w:tcW w:w="2401" w:type="dxa"/>
            <w:vMerge w:val="continue"/>
            <w:tcBorders>
              <w:tl2br w:val="nil"/>
              <w:tr2bl w:val="nil"/>
            </w:tcBorders>
            <w:shd w:val="clear" w:color="auto" w:fill="auto"/>
            <w:vAlign w:val="center"/>
          </w:tcPr>
          <w:p w14:paraId="3B07B34D">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23F6D85F">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4D8488E9">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7BAB3D3E">
            <w:pPr>
              <w:adjustRightInd w:val="0"/>
              <w:snapToGrid w:val="0"/>
              <w:jc w:val="center"/>
              <w:rPr>
                <w:rFonts w:ascii="Times New Roman" w:hAnsi="Times New Roman" w:cs="Times New Roman"/>
                <w:szCs w:val="21"/>
              </w:rPr>
            </w:pPr>
            <w:r>
              <w:rPr>
                <w:rFonts w:ascii="Times New Roman" w:hAnsi="Times New Roman" w:cs="Times New Roman"/>
                <w:kern w:val="0"/>
                <w:szCs w:val="21"/>
              </w:rPr>
              <w:t>1.2μ</w:t>
            </w:r>
            <w:r>
              <w:rPr>
                <w:rFonts w:ascii="Times New Roman" w:hAnsi="Times New Roman" w:cs="Times New Roman"/>
                <w:szCs w:val="21"/>
              </w:rPr>
              <w:t>g/kg</w:t>
            </w:r>
          </w:p>
        </w:tc>
      </w:tr>
      <w:tr w14:paraId="3BC6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3A6FBB97">
            <w:pPr>
              <w:adjustRightInd w:val="0"/>
              <w:snapToGrid w:val="0"/>
              <w:jc w:val="center"/>
              <w:rPr>
                <w:rFonts w:ascii="Times New Roman" w:hAnsi="Times New Roman" w:cs="Times New Roman"/>
                <w:szCs w:val="21"/>
              </w:rPr>
            </w:pPr>
            <w:r>
              <w:rPr>
                <w:rFonts w:ascii="Times New Roman" w:hAnsi="Times New Roman" w:cs="Times New Roman"/>
                <w:szCs w:val="21"/>
              </w:rPr>
              <w:t>35</w:t>
            </w:r>
          </w:p>
        </w:tc>
        <w:tc>
          <w:tcPr>
            <w:tcW w:w="2063" w:type="dxa"/>
            <w:tcBorders>
              <w:tl2br w:val="nil"/>
              <w:tr2bl w:val="nil"/>
            </w:tcBorders>
            <w:shd w:val="clear" w:color="auto" w:fill="auto"/>
            <w:vAlign w:val="center"/>
          </w:tcPr>
          <w:p w14:paraId="7F1EE0E0">
            <w:pPr>
              <w:adjustRightInd w:val="0"/>
              <w:snapToGrid w:val="0"/>
              <w:jc w:val="center"/>
              <w:rPr>
                <w:rFonts w:ascii="Times New Roman" w:hAnsi="Times New Roman" w:cs="Times New Roman"/>
                <w:szCs w:val="21"/>
              </w:rPr>
            </w:pPr>
            <w:r>
              <w:rPr>
                <w:rFonts w:ascii="Times New Roman" w:hAnsi="Times New Roman" w:cs="Times New Roman"/>
                <w:szCs w:val="21"/>
              </w:rPr>
              <w:t>硝基苯</w:t>
            </w:r>
          </w:p>
        </w:tc>
        <w:tc>
          <w:tcPr>
            <w:tcW w:w="2401" w:type="dxa"/>
            <w:vMerge w:val="restart"/>
            <w:tcBorders>
              <w:tl2br w:val="nil"/>
              <w:tr2bl w:val="nil"/>
            </w:tcBorders>
            <w:shd w:val="clear" w:color="auto" w:fill="auto"/>
            <w:vAlign w:val="center"/>
          </w:tcPr>
          <w:p w14:paraId="337E9B14">
            <w:pPr>
              <w:jc w:val="center"/>
              <w:rPr>
                <w:rFonts w:ascii="Times New Roman" w:hAnsi="Times New Roman" w:cs="Times New Roman"/>
                <w:szCs w:val="21"/>
              </w:rPr>
            </w:pPr>
            <w:r>
              <w:rPr>
                <w:rFonts w:ascii="Times New Roman" w:hAnsi="Times New Roman" w:cs="Times New Roman"/>
                <w:szCs w:val="21"/>
              </w:rPr>
              <w:t>土壤和沉积物 半挥发性有机物的测定 气相色谱-质谱法</w:t>
            </w:r>
          </w:p>
        </w:tc>
        <w:tc>
          <w:tcPr>
            <w:tcW w:w="1326" w:type="dxa"/>
            <w:vMerge w:val="restart"/>
            <w:tcBorders>
              <w:tl2br w:val="nil"/>
              <w:tr2bl w:val="nil"/>
            </w:tcBorders>
            <w:shd w:val="clear" w:color="auto" w:fill="auto"/>
            <w:vAlign w:val="center"/>
          </w:tcPr>
          <w:p w14:paraId="27278B81">
            <w:pPr>
              <w:adjustRightInd w:val="0"/>
              <w:snapToGrid w:val="0"/>
              <w:jc w:val="center"/>
              <w:rPr>
                <w:rFonts w:ascii="Times New Roman" w:hAnsi="Times New Roman" w:cs="Times New Roman"/>
                <w:szCs w:val="21"/>
              </w:rPr>
            </w:pPr>
            <w:r>
              <w:rPr>
                <w:rFonts w:ascii="Times New Roman" w:hAnsi="Times New Roman" w:cs="Times New Roman"/>
                <w:szCs w:val="21"/>
              </w:rPr>
              <w:t>HJ 834-2017</w:t>
            </w:r>
          </w:p>
        </w:tc>
        <w:tc>
          <w:tcPr>
            <w:tcW w:w="939" w:type="dxa"/>
            <w:vMerge w:val="restart"/>
            <w:tcBorders>
              <w:tl2br w:val="nil"/>
              <w:tr2bl w:val="nil"/>
            </w:tcBorders>
            <w:shd w:val="clear" w:color="auto" w:fill="auto"/>
            <w:vAlign w:val="center"/>
          </w:tcPr>
          <w:p w14:paraId="56AAA566">
            <w:pPr>
              <w:adjustRightInd w:val="0"/>
              <w:snapToGrid w:val="0"/>
              <w:jc w:val="center"/>
              <w:rPr>
                <w:rFonts w:ascii="Times New Roman" w:hAnsi="Times New Roman" w:cs="Times New Roman"/>
                <w:szCs w:val="21"/>
              </w:rPr>
            </w:pPr>
            <w:r>
              <w:rPr>
                <w:rFonts w:ascii="Times New Roman" w:hAnsi="Times New Roman" w:cs="Times New Roman"/>
                <w:szCs w:val="21"/>
              </w:rPr>
              <w:t>气相色谱-质谱联用仪Trace 1300/ISQ QD</w:t>
            </w:r>
          </w:p>
        </w:tc>
        <w:tc>
          <w:tcPr>
            <w:tcW w:w="1332" w:type="dxa"/>
            <w:tcBorders>
              <w:tl2br w:val="nil"/>
              <w:tr2bl w:val="nil"/>
            </w:tcBorders>
            <w:shd w:val="clear" w:color="auto" w:fill="auto"/>
            <w:vAlign w:val="center"/>
          </w:tcPr>
          <w:p w14:paraId="3453111A">
            <w:pPr>
              <w:adjustRightInd w:val="0"/>
              <w:snapToGrid w:val="0"/>
              <w:jc w:val="center"/>
              <w:rPr>
                <w:rFonts w:ascii="Times New Roman" w:hAnsi="Times New Roman" w:cs="Times New Roman"/>
                <w:szCs w:val="21"/>
              </w:rPr>
            </w:pPr>
            <w:r>
              <w:rPr>
                <w:rFonts w:ascii="Times New Roman" w:hAnsi="Times New Roman" w:cs="Times New Roman"/>
                <w:szCs w:val="21"/>
              </w:rPr>
              <w:t>0.09mg/kg</w:t>
            </w:r>
          </w:p>
        </w:tc>
      </w:tr>
      <w:tr w14:paraId="7E09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382142BC">
            <w:pPr>
              <w:adjustRightInd w:val="0"/>
              <w:snapToGrid w:val="0"/>
              <w:jc w:val="center"/>
              <w:rPr>
                <w:rFonts w:ascii="Times New Roman" w:hAnsi="Times New Roman" w:cs="Times New Roman"/>
                <w:szCs w:val="21"/>
              </w:rPr>
            </w:pPr>
            <w:r>
              <w:rPr>
                <w:rFonts w:ascii="Times New Roman" w:hAnsi="Times New Roman" w:cs="Times New Roman"/>
                <w:szCs w:val="21"/>
              </w:rPr>
              <w:t>36</w:t>
            </w:r>
          </w:p>
        </w:tc>
        <w:tc>
          <w:tcPr>
            <w:tcW w:w="2063" w:type="dxa"/>
            <w:tcBorders>
              <w:tl2br w:val="nil"/>
              <w:tr2bl w:val="nil"/>
            </w:tcBorders>
            <w:shd w:val="clear" w:color="auto" w:fill="auto"/>
            <w:vAlign w:val="center"/>
          </w:tcPr>
          <w:p w14:paraId="6081991A">
            <w:pPr>
              <w:adjustRightInd w:val="0"/>
              <w:snapToGrid w:val="0"/>
              <w:jc w:val="center"/>
              <w:rPr>
                <w:rFonts w:ascii="Times New Roman" w:hAnsi="Times New Roman" w:cs="Times New Roman"/>
                <w:szCs w:val="21"/>
              </w:rPr>
            </w:pPr>
            <w:r>
              <w:rPr>
                <w:rFonts w:ascii="Times New Roman" w:hAnsi="Times New Roman" w:cs="Times New Roman"/>
                <w:szCs w:val="21"/>
              </w:rPr>
              <w:t>苯胺</w:t>
            </w:r>
          </w:p>
        </w:tc>
        <w:tc>
          <w:tcPr>
            <w:tcW w:w="2401" w:type="dxa"/>
            <w:vMerge w:val="continue"/>
            <w:tcBorders>
              <w:tl2br w:val="nil"/>
              <w:tr2bl w:val="nil"/>
            </w:tcBorders>
            <w:shd w:val="clear" w:color="auto" w:fill="auto"/>
            <w:vAlign w:val="center"/>
          </w:tcPr>
          <w:p w14:paraId="338B1BD0">
            <w:pPr>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05D17E88">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3D4F51B9">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23CEC75C">
            <w:pPr>
              <w:adjustRightInd w:val="0"/>
              <w:snapToGrid w:val="0"/>
              <w:jc w:val="center"/>
              <w:rPr>
                <w:rFonts w:ascii="Times New Roman" w:hAnsi="Times New Roman" w:cs="Times New Roman"/>
                <w:szCs w:val="21"/>
              </w:rPr>
            </w:pPr>
            <w:r>
              <w:rPr>
                <w:rFonts w:ascii="Times New Roman" w:hAnsi="Times New Roman" w:cs="Times New Roman"/>
                <w:szCs w:val="21"/>
              </w:rPr>
              <w:t>/</w:t>
            </w:r>
          </w:p>
        </w:tc>
      </w:tr>
      <w:tr w14:paraId="3B7C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37C5420F">
            <w:pPr>
              <w:adjustRightInd w:val="0"/>
              <w:snapToGrid w:val="0"/>
              <w:jc w:val="center"/>
              <w:rPr>
                <w:rFonts w:ascii="Times New Roman" w:hAnsi="Times New Roman" w:cs="Times New Roman"/>
                <w:szCs w:val="21"/>
              </w:rPr>
            </w:pPr>
            <w:r>
              <w:rPr>
                <w:rFonts w:ascii="Times New Roman" w:hAnsi="Times New Roman" w:cs="Times New Roman"/>
                <w:szCs w:val="21"/>
              </w:rPr>
              <w:t>37</w:t>
            </w:r>
          </w:p>
        </w:tc>
        <w:tc>
          <w:tcPr>
            <w:tcW w:w="2063" w:type="dxa"/>
            <w:tcBorders>
              <w:tl2br w:val="nil"/>
              <w:tr2bl w:val="nil"/>
            </w:tcBorders>
            <w:shd w:val="clear" w:color="auto" w:fill="auto"/>
            <w:vAlign w:val="center"/>
          </w:tcPr>
          <w:p w14:paraId="1B829701">
            <w:pPr>
              <w:adjustRightInd w:val="0"/>
              <w:snapToGrid w:val="0"/>
              <w:jc w:val="center"/>
              <w:rPr>
                <w:rFonts w:ascii="Times New Roman" w:hAnsi="Times New Roman" w:cs="Times New Roman"/>
                <w:szCs w:val="21"/>
              </w:rPr>
            </w:pPr>
            <w:r>
              <w:rPr>
                <w:rFonts w:ascii="Times New Roman" w:hAnsi="Times New Roman" w:cs="Times New Roman"/>
                <w:szCs w:val="21"/>
              </w:rPr>
              <w:t>2-氯酚</w:t>
            </w:r>
          </w:p>
        </w:tc>
        <w:tc>
          <w:tcPr>
            <w:tcW w:w="2401" w:type="dxa"/>
            <w:vMerge w:val="continue"/>
            <w:tcBorders>
              <w:tl2br w:val="nil"/>
              <w:tr2bl w:val="nil"/>
            </w:tcBorders>
            <w:shd w:val="clear" w:color="auto" w:fill="auto"/>
            <w:vAlign w:val="center"/>
          </w:tcPr>
          <w:p w14:paraId="11BF0A30">
            <w:pPr>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71F1ED1F">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58A37F0F">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79F0BB98">
            <w:pPr>
              <w:adjustRightInd w:val="0"/>
              <w:snapToGrid w:val="0"/>
              <w:jc w:val="center"/>
              <w:rPr>
                <w:rFonts w:ascii="Times New Roman" w:hAnsi="Times New Roman" w:cs="Times New Roman"/>
                <w:szCs w:val="21"/>
              </w:rPr>
            </w:pPr>
            <w:r>
              <w:rPr>
                <w:rFonts w:ascii="Times New Roman" w:hAnsi="Times New Roman" w:cs="Times New Roman"/>
                <w:szCs w:val="21"/>
              </w:rPr>
              <w:t>0.06 mg/kg</w:t>
            </w:r>
          </w:p>
        </w:tc>
      </w:tr>
      <w:tr w14:paraId="7E59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24C47C1C">
            <w:pPr>
              <w:adjustRightInd w:val="0"/>
              <w:snapToGrid w:val="0"/>
              <w:jc w:val="center"/>
              <w:rPr>
                <w:rFonts w:ascii="Times New Roman" w:hAnsi="Times New Roman" w:cs="Times New Roman"/>
                <w:szCs w:val="21"/>
              </w:rPr>
            </w:pPr>
            <w:r>
              <w:rPr>
                <w:rFonts w:ascii="Times New Roman" w:hAnsi="Times New Roman" w:cs="Times New Roman"/>
                <w:szCs w:val="21"/>
              </w:rPr>
              <w:t>38</w:t>
            </w:r>
          </w:p>
        </w:tc>
        <w:tc>
          <w:tcPr>
            <w:tcW w:w="2063" w:type="dxa"/>
            <w:tcBorders>
              <w:tl2br w:val="nil"/>
              <w:tr2bl w:val="nil"/>
            </w:tcBorders>
            <w:shd w:val="clear" w:color="auto" w:fill="auto"/>
            <w:vAlign w:val="center"/>
          </w:tcPr>
          <w:p w14:paraId="26B5B4D9">
            <w:pPr>
              <w:adjustRightInd w:val="0"/>
              <w:snapToGrid w:val="0"/>
              <w:jc w:val="center"/>
              <w:rPr>
                <w:rFonts w:ascii="Times New Roman" w:hAnsi="Times New Roman" w:cs="Times New Roman"/>
                <w:szCs w:val="21"/>
              </w:rPr>
            </w:pPr>
            <w:r>
              <w:rPr>
                <w:rFonts w:ascii="Times New Roman" w:hAnsi="Times New Roman" w:cs="Times New Roman"/>
                <w:szCs w:val="21"/>
              </w:rPr>
              <w:t>苯并[a]蒽</w:t>
            </w:r>
          </w:p>
        </w:tc>
        <w:tc>
          <w:tcPr>
            <w:tcW w:w="2401" w:type="dxa"/>
            <w:vMerge w:val="continue"/>
            <w:tcBorders>
              <w:tl2br w:val="nil"/>
              <w:tr2bl w:val="nil"/>
            </w:tcBorders>
            <w:shd w:val="clear" w:color="auto" w:fill="auto"/>
            <w:vAlign w:val="center"/>
          </w:tcPr>
          <w:p w14:paraId="66D6A070">
            <w:pPr>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19B7AFA6">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2691E9C3">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1FB08253">
            <w:pPr>
              <w:adjustRightInd w:val="0"/>
              <w:snapToGrid w:val="0"/>
              <w:jc w:val="center"/>
              <w:rPr>
                <w:rFonts w:ascii="Times New Roman" w:hAnsi="Times New Roman" w:cs="Times New Roman"/>
                <w:szCs w:val="21"/>
              </w:rPr>
            </w:pPr>
            <w:r>
              <w:rPr>
                <w:rFonts w:ascii="Times New Roman" w:hAnsi="Times New Roman" w:cs="Times New Roman"/>
                <w:szCs w:val="21"/>
              </w:rPr>
              <w:t>0.1mg/kg</w:t>
            </w:r>
          </w:p>
        </w:tc>
      </w:tr>
      <w:tr w14:paraId="56AE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7C5AD2A8">
            <w:pPr>
              <w:adjustRightInd w:val="0"/>
              <w:snapToGrid w:val="0"/>
              <w:jc w:val="center"/>
              <w:rPr>
                <w:rFonts w:ascii="Times New Roman" w:hAnsi="Times New Roman" w:cs="Times New Roman"/>
                <w:szCs w:val="21"/>
              </w:rPr>
            </w:pPr>
            <w:r>
              <w:rPr>
                <w:rFonts w:ascii="Times New Roman" w:hAnsi="Times New Roman" w:cs="Times New Roman"/>
                <w:szCs w:val="21"/>
              </w:rPr>
              <w:t>39</w:t>
            </w:r>
          </w:p>
        </w:tc>
        <w:tc>
          <w:tcPr>
            <w:tcW w:w="2063" w:type="dxa"/>
            <w:tcBorders>
              <w:tl2br w:val="nil"/>
              <w:tr2bl w:val="nil"/>
            </w:tcBorders>
            <w:shd w:val="clear" w:color="auto" w:fill="auto"/>
            <w:vAlign w:val="center"/>
          </w:tcPr>
          <w:p w14:paraId="58E4D3D2">
            <w:pPr>
              <w:adjustRightInd w:val="0"/>
              <w:snapToGrid w:val="0"/>
              <w:jc w:val="center"/>
              <w:rPr>
                <w:rFonts w:ascii="Times New Roman" w:hAnsi="Times New Roman" w:cs="Times New Roman"/>
                <w:szCs w:val="21"/>
              </w:rPr>
            </w:pPr>
            <w:r>
              <w:rPr>
                <w:rFonts w:ascii="Times New Roman" w:hAnsi="Times New Roman" w:cs="Times New Roman"/>
                <w:szCs w:val="21"/>
              </w:rPr>
              <w:t>苯并[a]芘</w:t>
            </w:r>
          </w:p>
        </w:tc>
        <w:tc>
          <w:tcPr>
            <w:tcW w:w="2401" w:type="dxa"/>
            <w:vMerge w:val="continue"/>
            <w:tcBorders>
              <w:tl2br w:val="nil"/>
              <w:tr2bl w:val="nil"/>
            </w:tcBorders>
            <w:shd w:val="clear" w:color="auto" w:fill="auto"/>
            <w:vAlign w:val="center"/>
          </w:tcPr>
          <w:p w14:paraId="275434D6">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4B4CC4C3">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7C39906A">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6920A775">
            <w:pPr>
              <w:adjustRightInd w:val="0"/>
              <w:snapToGrid w:val="0"/>
              <w:jc w:val="center"/>
              <w:rPr>
                <w:rFonts w:ascii="Times New Roman" w:hAnsi="Times New Roman" w:cs="Times New Roman"/>
                <w:szCs w:val="21"/>
              </w:rPr>
            </w:pPr>
            <w:r>
              <w:rPr>
                <w:rFonts w:ascii="Times New Roman" w:hAnsi="Times New Roman" w:cs="Times New Roman"/>
                <w:szCs w:val="21"/>
              </w:rPr>
              <w:t>0.1 mg/kg</w:t>
            </w:r>
          </w:p>
        </w:tc>
      </w:tr>
      <w:tr w14:paraId="3668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1333F2D3">
            <w:pPr>
              <w:adjustRightInd w:val="0"/>
              <w:snapToGrid w:val="0"/>
              <w:jc w:val="center"/>
              <w:rPr>
                <w:rFonts w:ascii="Times New Roman" w:hAnsi="Times New Roman" w:cs="Times New Roman"/>
                <w:szCs w:val="21"/>
              </w:rPr>
            </w:pPr>
            <w:r>
              <w:rPr>
                <w:rFonts w:ascii="Times New Roman" w:hAnsi="Times New Roman" w:cs="Times New Roman"/>
                <w:szCs w:val="21"/>
              </w:rPr>
              <w:t>40</w:t>
            </w:r>
          </w:p>
        </w:tc>
        <w:tc>
          <w:tcPr>
            <w:tcW w:w="2063" w:type="dxa"/>
            <w:tcBorders>
              <w:tl2br w:val="nil"/>
              <w:tr2bl w:val="nil"/>
            </w:tcBorders>
            <w:shd w:val="clear" w:color="auto" w:fill="auto"/>
            <w:vAlign w:val="center"/>
          </w:tcPr>
          <w:p w14:paraId="15937352">
            <w:pPr>
              <w:adjustRightInd w:val="0"/>
              <w:snapToGrid w:val="0"/>
              <w:jc w:val="center"/>
              <w:rPr>
                <w:rFonts w:ascii="Times New Roman" w:hAnsi="Times New Roman" w:cs="Times New Roman"/>
                <w:szCs w:val="21"/>
              </w:rPr>
            </w:pPr>
            <w:r>
              <w:rPr>
                <w:rFonts w:ascii="Times New Roman" w:hAnsi="Times New Roman" w:cs="Times New Roman"/>
                <w:szCs w:val="21"/>
              </w:rPr>
              <w:t>苯并[b]荧蒽</w:t>
            </w:r>
          </w:p>
        </w:tc>
        <w:tc>
          <w:tcPr>
            <w:tcW w:w="2401" w:type="dxa"/>
            <w:vMerge w:val="continue"/>
            <w:tcBorders>
              <w:tl2br w:val="nil"/>
              <w:tr2bl w:val="nil"/>
            </w:tcBorders>
            <w:shd w:val="clear" w:color="auto" w:fill="auto"/>
            <w:vAlign w:val="center"/>
          </w:tcPr>
          <w:p w14:paraId="74A7930A">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11D85132">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3B7F54E4">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709504A6">
            <w:pPr>
              <w:adjustRightInd w:val="0"/>
              <w:snapToGrid w:val="0"/>
              <w:jc w:val="center"/>
              <w:rPr>
                <w:rFonts w:ascii="Times New Roman" w:hAnsi="Times New Roman" w:cs="Times New Roman"/>
                <w:szCs w:val="21"/>
              </w:rPr>
            </w:pPr>
            <w:r>
              <w:rPr>
                <w:rFonts w:ascii="Times New Roman" w:hAnsi="Times New Roman" w:cs="Times New Roman"/>
                <w:szCs w:val="21"/>
              </w:rPr>
              <w:t>0.2 mg/kg</w:t>
            </w:r>
          </w:p>
        </w:tc>
      </w:tr>
      <w:tr w14:paraId="4840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1D29B794">
            <w:pPr>
              <w:adjustRightInd w:val="0"/>
              <w:snapToGrid w:val="0"/>
              <w:jc w:val="center"/>
              <w:rPr>
                <w:rFonts w:ascii="Times New Roman" w:hAnsi="Times New Roman" w:cs="Times New Roman"/>
                <w:szCs w:val="21"/>
              </w:rPr>
            </w:pPr>
            <w:r>
              <w:rPr>
                <w:rFonts w:ascii="Times New Roman" w:hAnsi="Times New Roman" w:cs="Times New Roman"/>
                <w:szCs w:val="21"/>
              </w:rPr>
              <w:t>41</w:t>
            </w:r>
          </w:p>
        </w:tc>
        <w:tc>
          <w:tcPr>
            <w:tcW w:w="2063" w:type="dxa"/>
            <w:tcBorders>
              <w:tl2br w:val="nil"/>
              <w:tr2bl w:val="nil"/>
            </w:tcBorders>
            <w:shd w:val="clear" w:color="auto" w:fill="auto"/>
            <w:vAlign w:val="center"/>
          </w:tcPr>
          <w:p w14:paraId="6AC7BE33">
            <w:pPr>
              <w:adjustRightInd w:val="0"/>
              <w:snapToGrid w:val="0"/>
              <w:jc w:val="center"/>
              <w:rPr>
                <w:rFonts w:ascii="Times New Roman" w:hAnsi="Times New Roman" w:cs="Times New Roman"/>
                <w:szCs w:val="21"/>
              </w:rPr>
            </w:pPr>
            <w:r>
              <w:rPr>
                <w:rFonts w:ascii="Times New Roman" w:hAnsi="Times New Roman" w:cs="Times New Roman"/>
                <w:szCs w:val="21"/>
              </w:rPr>
              <w:t>苯并[k]荧蒽</w:t>
            </w:r>
          </w:p>
        </w:tc>
        <w:tc>
          <w:tcPr>
            <w:tcW w:w="2401" w:type="dxa"/>
            <w:vMerge w:val="continue"/>
            <w:tcBorders>
              <w:tl2br w:val="nil"/>
              <w:tr2bl w:val="nil"/>
            </w:tcBorders>
            <w:shd w:val="clear" w:color="auto" w:fill="auto"/>
            <w:vAlign w:val="center"/>
          </w:tcPr>
          <w:p w14:paraId="43D8E217">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0BFAB5DD">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60962863">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423C1A1A">
            <w:pPr>
              <w:adjustRightInd w:val="0"/>
              <w:snapToGrid w:val="0"/>
              <w:jc w:val="center"/>
              <w:rPr>
                <w:rFonts w:ascii="Times New Roman" w:hAnsi="Times New Roman" w:cs="Times New Roman"/>
                <w:szCs w:val="21"/>
              </w:rPr>
            </w:pPr>
            <w:r>
              <w:rPr>
                <w:rFonts w:ascii="Times New Roman" w:hAnsi="Times New Roman" w:cs="Times New Roman"/>
                <w:szCs w:val="21"/>
              </w:rPr>
              <w:t>0.1 mg/kg</w:t>
            </w:r>
          </w:p>
        </w:tc>
      </w:tr>
      <w:tr w14:paraId="0DFD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5CB3AA77">
            <w:pPr>
              <w:adjustRightInd w:val="0"/>
              <w:snapToGrid w:val="0"/>
              <w:jc w:val="center"/>
              <w:rPr>
                <w:rFonts w:ascii="Times New Roman" w:hAnsi="Times New Roman" w:cs="Times New Roman"/>
                <w:szCs w:val="21"/>
              </w:rPr>
            </w:pPr>
            <w:r>
              <w:rPr>
                <w:rFonts w:ascii="Times New Roman" w:hAnsi="Times New Roman" w:cs="Times New Roman"/>
                <w:szCs w:val="21"/>
              </w:rPr>
              <w:t>42</w:t>
            </w:r>
          </w:p>
        </w:tc>
        <w:tc>
          <w:tcPr>
            <w:tcW w:w="2063" w:type="dxa"/>
            <w:tcBorders>
              <w:tl2br w:val="nil"/>
              <w:tr2bl w:val="nil"/>
            </w:tcBorders>
            <w:shd w:val="clear" w:color="auto" w:fill="auto"/>
            <w:vAlign w:val="center"/>
          </w:tcPr>
          <w:p w14:paraId="170C6FCA">
            <w:pPr>
              <w:adjustRightInd w:val="0"/>
              <w:snapToGrid w:val="0"/>
              <w:jc w:val="center"/>
              <w:rPr>
                <w:rFonts w:ascii="Times New Roman" w:hAnsi="Times New Roman" w:cs="Times New Roman"/>
                <w:szCs w:val="21"/>
              </w:rPr>
            </w:pPr>
            <w:r>
              <w:rPr>
                <w:rFonts w:ascii="Times New Roman" w:hAnsi="Times New Roman" w:cs="Times New Roman"/>
                <w:szCs w:val="21"/>
              </w:rPr>
              <w:t>䓛</w:t>
            </w:r>
          </w:p>
        </w:tc>
        <w:tc>
          <w:tcPr>
            <w:tcW w:w="2401" w:type="dxa"/>
            <w:vMerge w:val="continue"/>
            <w:tcBorders>
              <w:tl2br w:val="nil"/>
              <w:tr2bl w:val="nil"/>
            </w:tcBorders>
            <w:shd w:val="clear" w:color="auto" w:fill="auto"/>
            <w:vAlign w:val="center"/>
          </w:tcPr>
          <w:p w14:paraId="323E64FB">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223A8C77">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5EBF0667">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00CF6321">
            <w:pPr>
              <w:adjustRightInd w:val="0"/>
              <w:snapToGrid w:val="0"/>
              <w:jc w:val="center"/>
              <w:rPr>
                <w:rFonts w:ascii="Times New Roman" w:hAnsi="Times New Roman" w:cs="Times New Roman"/>
                <w:szCs w:val="21"/>
              </w:rPr>
            </w:pPr>
            <w:r>
              <w:rPr>
                <w:rFonts w:ascii="Times New Roman" w:hAnsi="Times New Roman" w:cs="Times New Roman"/>
                <w:szCs w:val="21"/>
              </w:rPr>
              <w:t>0.1 mg/kg</w:t>
            </w:r>
          </w:p>
        </w:tc>
      </w:tr>
      <w:tr w14:paraId="2F51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3D377A68">
            <w:pPr>
              <w:adjustRightInd w:val="0"/>
              <w:snapToGrid w:val="0"/>
              <w:jc w:val="center"/>
              <w:rPr>
                <w:rFonts w:ascii="Times New Roman" w:hAnsi="Times New Roman" w:cs="Times New Roman"/>
                <w:szCs w:val="21"/>
              </w:rPr>
            </w:pPr>
            <w:r>
              <w:rPr>
                <w:rFonts w:ascii="Times New Roman" w:hAnsi="Times New Roman" w:cs="Times New Roman"/>
                <w:szCs w:val="21"/>
              </w:rPr>
              <w:t>43</w:t>
            </w:r>
          </w:p>
        </w:tc>
        <w:tc>
          <w:tcPr>
            <w:tcW w:w="2063" w:type="dxa"/>
            <w:tcBorders>
              <w:tl2br w:val="nil"/>
              <w:tr2bl w:val="nil"/>
            </w:tcBorders>
            <w:shd w:val="clear" w:color="auto" w:fill="auto"/>
            <w:vAlign w:val="center"/>
          </w:tcPr>
          <w:p w14:paraId="5813B999">
            <w:pPr>
              <w:adjustRightInd w:val="0"/>
              <w:snapToGrid w:val="0"/>
              <w:jc w:val="center"/>
              <w:rPr>
                <w:rFonts w:ascii="Times New Roman" w:hAnsi="Times New Roman" w:cs="Times New Roman"/>
                <w:szCs w:val="21"/>
              </w:rPr>
            </w:pPr>
            <w:r>
              <w:rPr>
                <w:rFonts w:ascii="Times New Roman" w:hAnsi="Times New Roman" w:cs="Times New Roman"/>
                <w:szCs w:val="21"/>
              </w:rPr>
              <w:t>二苯并[a,h]蒽</w:t>
            </w:r>
          </w:p>
        </w:tc>
        <w:tc>
          <w:tcPr>
            <w:tcW w:w="2401" w:type="dxa"/>
            <w:vMerge w:val="continue"/>
            <w:tcBorders>
              <w:tl2br w:val="nil"/>
              <w:tr2bl w:val="nil"/>
            </w:tcBorders>
            <w:shd w:val="clear" w:color="auto" w:fill="auto"/>
            <w:vAlign w:val="center"/>
          </w:tcPr>
          <w:p w14:paraId="6E1C99FE">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302AFD1F">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7B8C0B77">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1F29CE58">
            <w:pPr>
              <w:adjustRightInd w:val="0"/>
              <w:snapToGrid w:val="0"/>
              <w:jc w:val="center"/>
              <w:rPr>
                <w:rFonts w:ascii="Times New Roman" w:hAnsi="Times New Roman" w:cs="Times New Roman"/>
                <w:szCs w:val="21"/>
              </w:rPr>
            </w:pPr>
            <w:r>
              <w:rPr>
                <w:rFonts w:ascii="Times New Roman" w:hAnsi="Times New Roman" w:cs="Times New Roman"/>
                <w:szCs w:val="21"/>
              </w:rPr>
              <w:t>0.1 mg/kg</w:t>
            </w:r>
          </w:p>
        </w:tc>
      </w:tr>
      <w:tr w14:paraId="6928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1B362577">
            <w:pPr>
              <w:adjustRightInd w:val="0"/>
              <w:snapToGrid w:val="0"/>
              <w:jc w:val="center"/>
              <w:rPr>
                <w:rFonts w:ascii="Times New Roman" w:hAnsi="Times New Roman" w:cs="Times New Roman"/>
                <w:szCs w:val="21"/>
              </w:rPr>
            </w:pPr>
            <w:r>
              <w:rPr>
                <w:rFonts w:ascii="Times New Roman" w:hAnsi="Times New Roman" w:cs="Times New Roman"/>
                <w:szCs w:val="21"/>
              </w:rPr>
              <w:t>44</w:t>
            </w:r>
          </w:p>
        </w:tc>
        <w:tc>
          <w:tcPr>
            <w:tcW w:w="2063" w:type="dxa"/>
            <w:tcBorders>
              <w:tl2br w:val="nil"/>
              <w:tr2bl w:val="nil"/>
            </w:tcBorders>
            <w:shd w:val="clear" w:color="auto" w:fill="auto"/>
            <w:vAlign w:val="center"/>
          </w:tcPr>
          <w:p w14:paraId="03887D41">
            <w:pPr>
              <w:adjustRightInd w:val="0"/>
              <w:snapToGrid w:val="0"/>
              <w:jc w:val="center"/>
              <w:rPr>
                <w:rFonts w:ascii="Times New Roman" w:hAnsi="Times New Roman" w:cs="Times New Roman"/>
                <w:szCs w:val="21"/>
              </w:rPr>
            </w:pPr>
            <w:r>
              <w:rPr>
                <w:rFonts w:ascii="Times New Roman" w:hAnsi="Times New Roman" w:cs="Times New Roman"/>
                <w:szCs w:val="21"/>
              </w:rPr>
              <w:t>茚并[1,2,3-cd]芘</w:t>
            </w:r>
          </w:p>
        </w:tc>
        <w:tc>
          <w:tcPr>
            <w:tcW w:w="2401" w:type="dxa"/>
            <w:vMerge w:val="continue"/>
            <w:tcBorders>
              <w:tl2br w:val="nil"/>
              <w:tr2bl w:val="nil"/>
            </w:tcBorders>
            <w:shd w:val="clear" w:color="auto" w:fill="auto"/>
            <w:vAlign w:val="center"/>
          </w:tcPr>
          <w:p w14:paraId="5F81F247">
            <w:pPr>
              <w:adjustRightInd w:val="0"/>
              <w:snapToGrid w:val="0"/>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45265E79">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32F74E68">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5883CB45">
            <w:pPr>
              <w:adjustRightInd w:val="0"/>
              <w:snapToGrid w:val="0"/>
              <w:jc w:val="center"/>
              <w:rPr>
                <w:rFonts w:ascii="Times New Roman" w:hAnsi="Times New Roman" w:cs="Times New Roman"/>
                <w:szCs w:val="21"/>
              </w:rPr>
            </w:pPr>
            <w:r>
              <w:rPr>
                <w:rFonts w:ascii="Times New Roman" w:hAnsi="Times New Roman" w:cs="Times New Roman"/>
                <w:szCs w:val="21"/>
              </w:rPr>
              <w:t>0.1 mg/kg</w:t>
            </w:r>
          </w:p>
        </w:tc>
      </w:tr>
      <w:tr w14:paraId="565A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769DDEB0">
            <w:pPr>
              <w:adjustRightInd w:val="0"/>
              <w:snapToGrid w:val="0"/>
              <w:jc w:val="center"/>
              <w:rPr>
                <w:rFonts w:ascii="Times New Roman" w:hAnsi="Times New Roman" w:cs="Times New Roman"/>
                <w:szCs w:val="21"/>
              </w:rPr>
            </w:pPr>
            <w:r>
              <w:rPr>
                <w:rFonts w:ascii="Times New Roman" w:hAnsi="Times New Roman" w:cs="Times New Roman"/>
                <w:szCs w:val="21"/>
              </w:rPr>
              <w:t>45</w:t>
            </w:r>
          </w:p>
        </w:tc>
        <w:tc>
          <w:tcPr>
            <w:tcW w:w="2063" w:type="dxa"/>
            <w:tcBorders>
              <w:tl2br w:val="nil"/>
              <w:tr2bl w:val="nil"/>
            </w:tcBorders>
            <w:shd w:val="clear" w:color="auto" w:fill="auto"/>
            <w:vAlign w:val="center"/>
          </w:tcPr>
          <w:p w14:paraId="6D946DA7">
            <w:pPr>
              <w:adjustRightInd w:val="0"/>
              <w:snapToGrid w:val="0"/>
              <w:jc w:val="center"/>
              <w:rPr>
                <w:rFonts w:ascii="Times New Roman" w:hAnsi="Times New Roman" w:cs="Times New Roman"/>
                <w:szCs w:val="21"/>
              </w:rPr>
            </w:pPr>
            <w:r>
              <w:rPr>
                <w:rFonts w:ascii="Times New Roman" w:hAnsi="Times New Roman" w:cs="Times New Roman"/>
                <w:szCs w:val="21"/>
              </w:rPr>
              <w:t>萘</w:t>
            </w:r>
          </w:p>
        </w:tc>
        <w:tc>
          <w:tcPr>
            <w:tcW w:w="2401" w:type="dxa"/>
            <w:vMerge w:val="continue"/>
            <w:tcBorders>
              <w:tl2br w:val="nil"/>
              <w:tr2bl w:val="nil"/>
            </w:tcBorders>
            <w:shd w:val="clear" w:color="auto" w:fill="auto"/>
            <w:vAlign w:val="center"/>
          </w:tcPr>
          <w:p w14:paraId="7AD642E6">
            <w:pPr>
              <w:jc w:val="center"/>
              <w:rPr>
                <w:rFonts w:ascii="Times New Roman" w:hAnsi="Times New Roman" w:cs="Times New Roman"/>
                <w:szCs w:val="21"/>
              </w:rPr>
            </w:pPr>
          </w:p>
        </w:tc>
        <w:tc>
          <w:tcPr>
            <w:tcW w:w="1326" w:type="dxa"/>
            <w:vMerge w:val="continue"/>
            <w:tcBorders>
              <w:tl2br w:val="nil"/>
              <w:tr2bl w:val="nil"/>
            </w:tcBorders>
            <w:shd w:val="clear" w:color="auto" w:fill="auto"/>
            <w:vAlign w:val="center"/>
          </w:tcPr>
          <w:p w14:paraId="0B4F6BA0">
            <w:pPr>
              <w:adjustRightInd w:val="0"/>
              <w:snapToGrid w:val="0"/>
              <w:jc w:val="center"/>
              <w:rPr>
                <w:rFonts w:ascii="Times New Roman" w:hAnsi="Times New Roman" w:cs="Times New Roman"/>
                <w:szCs w:val="21"/>
              </w:rPr>
            </w:pPr>
          </w:p>
        </w:tc>
        <w:tc>
          <w:tcPr>
            <w:tcW w:w="939" w:type="dxa"/>
            <w:vMerge w:val="continue"/>
            <w:tcBorders>
              <w:tl2br w:val="nil"/>
              <w:tr2bl w:val="nil"/>
            </w:tcBorders>
            <w:shd w:val="clear" w:color="auto" w:fill="auto"/>
            <w:vAlign w:val="center"/>
          </w:tcPr>
          <w:p w14:paraId="2F3CD10A">
            <w:pPr>
              <w:adjustRightInd w:val="0"/>
              <w:snapToGrid w:val="0"/>
              <w:jc w:val="center"/>
              <w:rPr>
                <w:rFonts w:ascii="Times New Roman" w:hAnsi="Times New Roman" w:cs="Times New Roman"/>
                <w:szCs w:val="21"/>
              </w:rPr>
            </w:pPr>
          </w:p>
        </w:tc>
        <w:tc>
          <w:tcPr>
            <w:tcW w:w="1332" w:type="dxa"/>
            <w:tcBorders>
              <w:tl2br w:val="nil"/>
              <w:tr2bl w:val="nil"/>
            </w:tcBorders>
            <w:shd w:val="clear" w:color="auto" w:fill="auto"/>
            <w:vAlign w:val="center"/>
          </w:tcPr>
          <w:p w14:paraId="15AC2FF1">
            <w:pPr>
              <w:adjustRightInd w:val="0"/>
              <w:snapToGrid w:val="0"/>
              <w:jc w:val="center"/>
              <w:rPr>
                <w:rFonts w:ascii="Times New Roman" w:hAnsi="Times New Roman" w:cs="Times New Roman"/>
                <w:szCs w:val="21"/>
              </w:rPr>
            </w:pPr>
            <w:r>
              <w:rPr>
                <w:rFonts w:ascii="Times New Roman" w:hAnsi="Times New Roman" w:cs="Times New Roman"/>
                <w:szCs w:val="21"/>
              </w:rPr>
              <w:t>0.09 mg/kg</w:t>
            </w:r>
          </w:p>
        </w:tc>
      </w:tr>
      <w:tr w14:paraId="4734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dxa"/>
            <w:tcBorders>
              <w:tl2br w:val="nil"/>
              <w:tr2bl w:val="nil"/>
            </w:tcBorders>
            <w:shd w:val="clear" w:color="auto" w:fill="auto"/>
            <w:vAlign w:val="center"/>
          </w:tcPr>
          <w:p w14:paraId="63303F04">
            <w:pPr>
              <w:adjustRightInd w:val="0"/>
              <w:snapToGrid w:val="0"/>
              <w:jc w:val="center"/>
              <w:rPr>
                <w:rFonts w:ascii="Times New Roman" w:hAnsi="Times New Roman" w:cs="Times New Roman"/>
                <w:szCs w:val="21"/>
              </w:rPr>
            </w:pPr>
            <w:r>
              <w:rPr>
                <w:rFonts w:ascii="Times New Roman" w:hAnsi="Times New Roman" w:cs="Times New Roman"/>
                <w:szCs w:val="21"/>
              </w:rPr>
              <w:t>46</w:t>
            </w:r>
          </w:p>
        </w:tc>
        <w:tc>
          <w:tcPr>
            <w:tcW w:w="2063" w:type="dxa"/>
            <w:tcBorders>
              <w:tl2br w:val="nil"/>
              <w:tr2bl w:val="nil"/>
            </w:tcBorders>
            <w:shd w:val="clear" w:color="auto" w:fill="auto"/>
            <w:vAlign w:val="center"/>
          </w:tcPr>
          <w:p w14:paraId="4FE36738">
            <w:pPr>
              <w:spacing w:line="280" w:lineRule="exact"/>
              <w:jc w:val="center"/>
              <w:rPr>
                <w:rFonts w:ascii="Times New Roman" w:hAnsi="Times New Roman" w:cs="Times New Roman"/>
                <w:szCs w:val="21"/>
              </w:rPr>
            </w:pPr>
            <w:r>
              <w:rPr>
                <w:rFonts w:ascii="Times New Roman" w:hAnsi="Times New Roman" w:cs="Times New Roman"/>
                <w:szCs w:val="21"/>
              </w:rPr>
              <w:t>石油烃（C</w:t>
            </w:r>
            <w:r>
              <w:rPr>
                <w:rFonts w:ascii="Times New Roman" w:hAnsi="Times New Roman" w:cs="Times New Roman"/>
                <w:szCs w:val="21"/>
                <w:vertAlign w:val="subscript"/>
              </w:rPr>
              <w:t>10</w:t>
            </w:r>
            <w:r>
              <w:rPr>
                <w:rFonts w:ascii="Times New Roman" w:hAnsi="Times New Roman" w:cs="Times New Roman"/>
                <w:szCs w:val="21"/>
              </w:rPr>
              <w:t>-C</w:t>
            </w:r>
            <w:r>
              <w:rPr>
                <w:rFonts w:ascii="Times New Roman" w:hAnsi="Times New Roman" w:cs="Times New Roman"/>
                <w:szCs w:val="21"/>
                <w:vertAlign w:val="subscript"/>
              </w:rPr>
              <w:t>40</w:t>
            </w:r>
            <w:r>
              <w:rPr>
                <w:rFonts w:ascii="Times New Roman" w:hAnsi="Times New Roman" w:cs="Times New Roman"/>
                <w:szCs w:val="21"/>
              </w:rPr>
              <w:t>）</w:t>
            </w:r>
          </w:p>
        </w:tc>
        <w:tc>
          <w:tcPr>
            <w:tcW w:w="2401" w:type="dxa"/>
            <w:tcBorders>
              <w:tl2br w:val="nil"/>
              <w:tr2bl w:val="nil"/>
            </w:tcBorders>
            <w:shd w:val="clear" w:color="auto" w:fill="auto"/>
            <w:vAlign w:val="center"/>
          </w:tcPr>
          <w:p w14:paraId="0073E01F">
            <w:pPr>
              <w:jc w:val="center"/>
              <w:rPr>
                <w:rFonts w:ascii="Times New Roman" w:hAnsi="Times New Roman" w:cs="Times New Roman"/>
                <w:szCs w:val="21"/>
              </w:rPr>
            </w:pPr>
            <w:r>
              <w:rPr>
                <w:rFonts w:ascii="Times New Roman" w:hAnsi="Times New Roman" w:cs="Times New Roman"/>
                <w:szCs w:val="21"/>
              </w:rPr>
              <w:t>土壤和沉积物 石油烃（C</w:t>
            </w:r>
            <w:r>
              <w:rPr>
                <w:rFonts w:ascii="Times New Roman" w:hAnsi="Times New Roman" w:cs="Times New Roman"/>
                <w:szCs w:val="21"/>
                <w:vertAlign w:val="subscript"/>
              </w:rPr>
              <w:t>10</w:t>
            </w:r>
            <w:r>
              <w:rPr>
                <w:rFonts w:ascii="Times New Roman" w:hAnsi="Times New Roman" w:cs="Times New Roman"/>
                <w:szCs w:val="21"/>
              </w:rPr>
              <w:t>-C</w:t>
            </w:r>
            <w:r>
              <w:rPr>
                <w:rFonts w:ascii="Times New Roman" w:hAnsi="Times New Roman" w:cs="Times New Roman"/>
                <w:szCs w:val="21"/>
                <w:vertAlign w:val="subscript"/>
              </w:rPr>
              <w:t>40</w:t>
            </w:r>
            <w:r>
              <w:rPr>
                <w:rFonts w:ascii="Times New Roman" w:hAnsi="Times New Roman" w:cs="Times New Roman"/>
                <w:szCs w:val="21"/>
              </w:rPr>
              <w:t>）的测定 气相色谱法</w:t>
            </w:r>
          </w:p>
        </w:tc>
        <w:tc>
          <w:tcPr>
            <w:tcW w:w="1326" w:type="dxa"/>
            <w:tcBorders>
              <w:tl2br w:val="nil"/>
              <w:tr2bl w:val="nil"/>
            </w:tcBorders>
            <w:shd w:val="clear" w:color="auto" w:fill="auto"/>
            <w:vAlign w:val="center"/>
          </w:tcPr>
          <w:p w14:paraId="2E98467E">
            <w:pPr>
              <w:jc w:val="center"/>
              <w:rPr>
                <w:rFonts w:ascii="Times New Roman" w:hAnsi="Times New Roman" w:cs="Times New Roman"/>
                <w:szCs w:val="21"/>
              </w:rPr>
            </w:pPr>
            <w:r>
              <w:rPr>
                <w:rFonts w:ascii="Times New Roman" w:hAnsi="Times New Roman" w:cs="Times New Roman"/>
                <w:szCs w:val="21"/>
              </w:rPr>
              <w:t>HJ 1021-2019</w:t>
            </w:r>
          </w:p>
        </w:tc>
        <w:tc>
          <w:tcPr>
            <w:tcW w:w="939" w:type="dxa"/>
            <w:tcBorders>
              <w:tl2br w:val="nil"/>
              <w:tr2bl w:val="nil"/>
            </w:tcBorders>
            <w:shd w:val="clear" w:color="auto" w:fill="auto"/>
            <w:vAlign w:val="center"/>
          </w:tcPr>
          <w:p w14:paraId="51BF4D38">
            <w:pPr>
              <w:spacing w:line="360" w:lineRule="exact"/>
              <w:jc w:val="center"/>
              <w:rPr>
                <w:rFonts w:ascii="Times New Roman" w:hAnsi="Times New Roman" w:eastAsia="宋体" w:cs="Times New Roman"/>
                <w:szCs w:val="21"/>
              </w:rPr>
            </w:pPr>
            <w:r>
              <w:rPr>
                <w:rFonts w:ascii="Times New Roman" w:hAnsi="Times New Roman" w:cs="Times New Roman"/>
                <w:szCs w:val="21"/>
              </w:rPr>
              <w:t>7</w:t>
            </w:r>
            <w:r>
              <w:rPr>
                <w:rFonts w:ascii="Times New Roman" w:hAnsi="Times New Roman" w:eastAsia="宋体" w:cs="Times New Roman"/>
                <w:szCs w:val="21"/>
              </w:rPr>
              <w:t>890B</w:t>
            </w:r>
          </w:p>
          <w:p w14:paraId="300B152C">
            <w:pPr>
              <w:spacing w:line="360" w:lineRule="exact"/>
              <w:jc w:val="center"/>
              <w:rPr>
                <w:rFonts w:ascii="Times New Roman" w:hAnsi="Times New Roman" w:cs="Times New Roman"/>
                <w:szCs w:val="21"/>
              </w:rPr>
            </w:pPr>
            <w:r>
              <w:rPr>
                <w:rFonts w:ascii="Times New Roman" w:hAnsi="Times New Roman" w:eastAsia="宋体" w:cs="Times New Roman"/>
                <w:szCs w:val="21"/>
              </w:rPr>
              <w:t>气相色谱仪</w:t>
            </w:r>
          </w:p>
        </w:tc>
        <w:tc>
          <w:tcPr>
            <w:tcW w:w="1332" w:type="dxa"/>
            <w:tcBorders>
              <w:tl2br w:val="nil"/>
              <w:tr2bl w:val="nil"/>
            </w:tcBorders>
            <w:shd w:val="clear" w:color="auto" w:fill="auto"/>
            <w:vAlign w:val="center"/>
          </w:tcPr>
          <w:p w14:paraId="5334D3BE">
            <w:pPr>
              <w:spacing w:line="360" w:lineRule="exact"/>
              <w:jc w:val="center"/>
              <w:rPr>
                <w:rFonts w:ascii="Times New Roman" w:hAnsi="Times New Roman" w:cs="Times New Roman"/>
                <w:szCs w:val="21"/>
              </w:rPr>
            </w:pPr>
            <w:r>
              <w:rPr>
                <w:rFonts w:ascii="Times New Roman" w:hAnsi="Times New Roman" w:cs="Times New Roman"/>
                <w:szCs w:val="21"/>
              </w:rPr>
              <w:t>6 mg/kg</w:t>
            </w:r>
          </w:p>
        </w:tc>
      </w:tr>
    </w:tbl>
    <w:p w14:paraId="24910D26">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采样</w:t>
      </w:r>
      <w:r>
        <w:rPr>
          <w:rFonts w:ascii="Times New Roman" w:hAnsi="Times New Roman" w:eastAsia="宋体" w:cs="Times New Roman"/>
          <w:sz w:val="24"/>
        </w:rPr>
        <w:t>时间</w:t>
      </w:r>
    </w:p>
    <w:p w14:paraId="7ECDE643">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本次土壤环境质量现状监测由光远检测有限公司于202</w:t>
      </w:r>
      <w:r>
        <w:rPr>
          <w:rFonts w:hint="eastAsia" w:ascii="Times New Roman" w:hAnsi="Times New Roman" w:eastAsia="宋体" w:cs="Times New Roman"/>
          <w:sz w:val="24"/>
        </w:rPr>
        <w:t>3</w:t>
      </w:r>
      <w:r>
        <w:rPr>
          <w:rFonts w:ascii="Times New Roman" w:hAnsi="Times New Roman" w:eastAsia="宋体" w:cs="Times New Roman"/>
          <w:sz w:val="24"/>
        </w:rPr>
        <w:t>年</w:t>
      </w:r>
      <w:r>
        <w:rPr>
          <w:rFonts w:hint="eastAsia" w:ascii="Times New Roman" w:hAnsi="Times New Roman" w:eastAsia="宋体" w:cs="Times New Roman"/>
          <w:sz w:val="24"/>
        </w:rPr>
        <w:t>3</w:t>
      </w:r>
      <w:r>
        <w:rPr>
          <w:rFonts w:ascii="Times New Roman" w:hAnsi="Times New Roman" w:eastAsia="宋体" w:cs="Times New Roman"/>
          <w:sz w:val="24"/>
        </w:rPr>
        <w:t>月</w:t>
      </w:r>
      <w:r>
        <w:rPr>
          <w:rFonts w:hint="eastAsia" w:ascii="Times New Roman" w:hAnsi="Times New Roman" w:eastAsia="宋体" w:cs="Times New Roman"/>
          <w:sz w:val="24"/>
        </w:rPr>
        <w:t>23</w:t>
      </w:r>
      <w:r>
        <w:rPr>
          <w:rFonts w:ascii="Times New Roman" w:hAnsi="Times New Roman" w:eastAsia="宋体" w:cs="Times New Roman"/>
          <w:sz w:val="24"/>
        </w:rPr>
        <w:t>日进行</w:t>
      </w:r>
      <w:r>
        <w:rPr>
          <w:rFonts w:hint="eastAsia" w:ascii="Times New Roman" w:hAnsi="Times New Roman" w:eastAsia="宋体" w:cs="Times New Roman"/>
          <w:sz w:val="24"/>
        </w:rPr>
        <w:t>采样</w:t>
      </w:r>
      <w:r>
        <w:rPr>
          <w:rFonts w:ascii="Times New Roman" w:hAnsi="Times New Roman" w:eastAsia="宋体" w:cs="Times New Roman"/>
          <w:sz w:val="24"/>
        </w:rPr>
        <w:t>。</w:t>
      </w:r>
    </w:p>
    <w:p w14:paraId="150843F6">
      <w:pPr>
        <w:pStyle w:val="4"/>
        <w:numPr>
          <w:ilvl w:val="2"/>
          <w:numId w:val="52"/>
        </w:numPr>
        <w:tabs>
          <w:tab w:val="clear" w:pos="0"/>
        </w:tabs>
      </w:pPr>
      <w:r>
        <w:t>土壤环境质量现状评价</w:t>
      </w:r>
    </w:p>
    <w:p w14:paraId="2E475A1B">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（1）评价标准</w:t>
      </w:r>
    </w:p>
    <w:p w14:paraId="6CF3FEFF">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本次土壤评价标准执行《土壤环境质量建设用地土壤污染风险管控标准》（试行）（GB36600-2018）表1</w:t>
      </w:r>
      <w:r>
        <w:rPr>
          <w:rFonts w:hint="eastAsia" w:ascii="Times New Roman" w:hAnsi="Times New Roman" w:eastAsia="宋体" w:cs="Times New Roman"/>
          <w:sz w:val="24"/>
        </w:rPr>
        <w:t>、表2</w:t>
      </w:r>
      <w:r>
        <w:rPr>
          <w:rFonts w:ascii="Times New Roman" w:hAnsi="Times New Roman" w:eastAsia="宋体" w:cs="Times New Roman"/>
          <w:sz w:val="24"/>
        </w:rPr>
        <w:t>标准，其标准限值见</w:t>
      </w:r>
      <w:r>
        <w:rPr>
          <w:rFonts w:hint="eastAsia" w:ascii="Times New Roman" w:hAnsi="Times New Roman" w:eastAsia="宋体" w:cs="Times New Roman"/>
          <w:sz w:val="24"/>
        </w:rPr>
        <w:t>表2.4-1</w:t>
      </w:r>
      <w:r>
        <w:rPr>
          <w:rFonts w:ascii="Times New Roman" w:hAnsi="Times New Roman" w:eastAsia="宋体" w:cs="Times New Roman"/>
          <w:sz w:val="24"/>
        </w:rPr>
        <w:t>。</w:t>
      </w:r>
    </w:p>
    <w:p w14:paraId="5AE40DB9">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（2）评价结果</w:t>
      </w:r>
    </w:p>
    <w:p w14:paraId="459A9FB4">
      <w:pPr>
        <w:spacing w:before="156" w:beforeLines="50"/>
        <w:contextualSpacing/>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w:t>
      </w:r>
      <w:r>
        <w:rPr>
          <w:rFonts w:ascii="Times New Roman" w:hAnsi="Times New Roman" w:eastAsia="宋体" w:cs="Times New Roman"/>
          <w:b/>
          <w:bCs/>
          <w:szCs w:val="21"/>
        </w:rPr>
        <w:t>.</w:t>
      </w:r>
      <w:r>
        <w:rPr>
          <w:rFonts w:hint="eastAsia" w:ascii="Times New Roman" w:hAnsi="Times New Roman" w:eastAsia="宋体" w:cs="Times New Roman"/>
          <w:b/>
          <w:bCs/>
          <w:szCs w:val="21"/>
          <w:lang w:val="en-US" w:eastAsia="zh-CN"/>
        </w:rPr>
        <w:t>6</w:t>
      </w:r>
      <w:r>
        <w:rPr>
          <w:rFonts w:ascii="Times New Roman" w:hAnsi="Times New Roman" w:eastAsia="宋体" w:cs="Times New Roman"/>
          <w:b/>
          <w:bCs/>
          <w:szCs w:val="21"/>
        </w:rPr>
        <w:t>-</w:t>
      </w:r>
      <w:r>
        <w:rPr>
          <w:rFonts w:hint="eastAsia" w:ascii="Times New Roman" w:hAnsi="Times New Roman" w:eastAsia="宋体" w:cs="Times New Roman"/>
          <w:b/>
          <w:bCs/>
          <w:szCs w:val="21"/>
        </w:rPr>
        <w:t>3</w:t>
      </w:r>
      <w:r>
        <w:rPr>
          <w:rFonts w:ascii="Times New Roman" w:hAnsi="Times New Roman" w:eastAsia="宋体" w:cs="Times New Roman"/>
          <w:b/>
          <w:bCs/>
          <w:szCs w:val="21"/>
        </w:rPr>
        <w:t xml:space="preserve">  土壤质量现状监测统计结果一览表</w:t>
      </w:r>
      <w:r>
        <w:rPr>
          <w:rFonts w:hint="eastAsia" w:ascii="Times New Roman" w:hAnsi="Times New Roman" w:eastAsia="宋体" w:cs="Times New Roman"/>
          <w:b/>
          <w:bCs/>
          <w:szCs w:val="21"/>
        </w:rPr>
        <w:t>（</w:t>
      </w:r>
      <w:r>
        <w:rPr>
          <w:rFonts w:ascii="Times New Roman" w:hAnsi="Times New Roman" w:eastAsia="宋体" w:cs="Times New Roman"/>
          <w:b/>
          <w:bCs/>
          <w:szCs w:val="21"/>
        </w:rPr>
        <w:t>单位：mg/kg</w:t>
      </w:r>
      <w:r>
        <w:rPr>
          <w:rFonts w:hint="eastAsia" w:ascii="Times New Roman" w:hAnsi="Times New Roman" w:eastAsia="宋体" w:cs="Times New Roman"/>
          <w:b/>
          <w:bCs/>
          <w:szCs w:val="21"/>
        </w:rPr>
        <w:t>）</w:t>
      </w:r>
    </w:p>
    <w:tbl>
      <w:tblPr>
        <w:tblStyle w:val="31"/>
        <w:tblW w:w="8519"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984"/>
        <w:gridCol w:w="1382"/>
        <w:gridCol w:w="2591"/>
        <w:gridCol w:w="881"/>
        <w:gridCol w:w="987"/>
      </w:tblGrid>
      <w:tr w14:paraId="5009782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94" w:type="dxa"/>
            <w:vMerge w:val="restart"/>
            <w:tcBorders>
              <w:tl2br w:val="nil"/>
              <w:tr2bl w:val="nil"/>
            </w:tcBorders>
            <w:vAlign w:val="center"/>
          </w:tcPr>
          <w:p w14:paraId="4286ABC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984" w:type="dxa"/>
            <w:vMerge w:val="restart"/>
            <w:tcBorders>
              <w:tl2br w:val="nil"/>
              <w:tr2bl w:val="nil"/>
            </w:tcBorders>
            <w:vAlign w:val="center"/>
          </w:tcPr>
          <w:p w14:paraId="319DF511">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检测因子</w:t>
            </w:r>
          </w:p>
        </w:tc>
        <w:tc>
          <w:tcPr>
            <w:tcW w:w="1382" w:type="dxa"/>
            <w:vMerge w:val="restart"/>
            <w:tcBorders>
              <w:left w:val="single" w:color="000000" w:sz="6" w:space="0"/>
              <w:tl2br w:val="nil"/>
              <w:tr2bl w:val="nil"/>
            </w:tcBorders>
            <w:vAlign w:val="center"/>
          </w:tcPr>
          <w:p w14:paraId="55083FA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采样时间</w:t>
            </w:r>
          </w:p>
        </w:tc>
        <w:tc>
          <w:tcPr>
            <w:tcW w:w="2591" w:type="dxa"/>
            <w:tcBorders>
              <w:left w:val="single" w:color="000000" w:sz="6" w:space="0"/>
              <w:tl2br w:val="nil"/>
              <w:tr2bl w:val="nil"/>
            </w:tcBorders>
            <w:vAlign w:val="center"/>
          </w:tcPr>
          <w:p w14:paraId="054AD9E7">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检测结果</w:t>
            </w:r>
          </w:p>
        </w:tc>
        <w:tc>
          <w:tcPr>
            <w:tcW w:w="881" w:type="dxa"/>
            <w:vMerge w:val="restart"/>
            <w:tcBorders>
              <w:tl2br w:val="nil"/>
              <w:tr2bl w:val="nil"/>
            </w:tcBorders>
            <w:vAlign w:val="center"/>
          </w:tcPr>
          <w:p w14:paraId="12EE9EF3">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筛选值</w:t>
            </w:r>
          </w:p>
        </w:tc>
        <w:tc>
          <w:tcPr>
            <w:tcW w:w="987" w:type="dxa"/>
            <w:vMerge w:val="restart"/>
            <w:tcBorders>
              <w:tl2br w:val="nil"/>
              <w:tr2bl w:val="nil"/>
            </w:tcBorders>
            <w:vAlign w:val="center"/>
          </w:tcPr>
          <w:p w14:paraId="21F0031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达标</w:t>
            </w:r>
          </w:p>
          <w:p w14:paraId="511A2A6E">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情况</w:t>
            </w:r>
          </w:p>
        </w:tc>
      </w:tr>
      <w:tr w14:paraId="7A2A8F2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94" w:type="dxa"/>
            <w:vMerge w:val="continue"/>
            <w:tcBorders>
              <w:tl2br w:val="nil"/>
              <w:tr2bl w:val="nil"/>
            </w:tcBorders>
          </w:tcPr>
          <w:p w14:paraId="6FFEE01A">
            <w:pPr>
              <w:widowControl/>
              <w:jc w:val="center"/>
              <w:rPr>
                <w:rFonts w:ascii="Times New Roman" w:hAnsi="Times New Roman" w:eastAsia="宋体" w:cs="Times New Roman"/>
                <w:b/>
                <w:bCs/>
                <w:szCs w:val="21"/>
              </w:rPr>
            </w:pPr>
          </w:p>
        </w:tc>
        <w:tc>
          <w:tcPr>
            <w:tcW w:w="1984" w:type="dxa"/>
            <w:vMerge w:val="continue"/>
            <w:tcBorders>
              <w:tl2br w:val="nil"/>
              <w:tr2bl w:val="nil"/>
            </w:tcBorders>
          </w:tcPr>
          <w:p w14:paraId="4E56A03D">
            <w:pPr>
              <w:widowControl/>
              <w:jc w:val="center"/>
              <w:rPr>
                <w:rFonts w:ascii="Times New Roman" w:hAnsi="Times New Roman" w:eastAsia="宋体" w:cs="Times New Roman"/>
                <w:b/>
                <w:bCs/>
                <w:szCs w:val="21"/>
              </w:rPr>
            </w:pPr>
          </w:p>
        </w:tc>
        <w:tc>
          <w:tcPr>
            <w:tcW w:w="1382" w:type="dxa"/>
            <w:vMerge w:val="continue"/>
            <w:tcBorders>
              <w:left w:val="single" w:color="000000" w:sz="6" w:space="0"/>
              <w:tl2br w:val="nil"/>
              <w:tr2bl w:val="nil"/>
            </w:tcBorders>
            <w:tcMar>
              <w:top w:w="0" w:type="dxa"/>
              <w:left w:w="6" w:type="dxa"/>
              <w:bottom w:w="0" w:type="dxa"/>
              <w:right w:w="6" w:type="dxa"/>
            </w:tcMar>
            <w:vAlign w:val="center"/>
          </w:tcPr>
          <w:p w14:paraId="6253F953">
            <w:pPr>
              <w:widowControl/>
              <w:jc w:val="center"/>
              <w:rPr>
                <w:rFonts w:ascii="Times New Roman" w:hAnsi="Times New Roman" w:eastAsia="宋体" w:cs="Times New Roman"/>
                <w:b/>
                <w:bCs/>
                <w:szCs w:val="21"/>
              </w:rPr>
            </w:pPr>
          </w:p>
        </w:tc>
        <w:tc>
          <w:tcPr>
            <w:tcW w:w="2591" w:type="dxa"/>
            <w:tcBorders>
              <w:left w:val="single" w:color="000000" w:sz="6" w:space="0"/>
              <w:tl2br w:val="nil"/>
              <w:tr2bl w:val="nil"/>
            </w:tcBorders>
            <w:tcMar>
              <w:top w:w="0" w:type="dxa"/>
              <w:left w:w="6" w:type="dxa"/>
              <w:bottom w:w="0" w:type="dxa"/>
              <w:right w:w="6" w:type="dxa"/>
            </w:tcMar>
            <w:vAlign w:val="center"/>
          </w:tcPr>
          <w:p w14:paraId="63BC2DD1">
            <w:pPr>
              <w:widowControl/>
              <w:jc w:val="center"/>
              <w:rPr>
                <w:rFonts w:ascii="Times New Roman" w:hAnsi="Times New Roman" w:eastAsia="宋体" w:cs="Times New Roman"/>
                <w:b/>
                <w:bCs/>
                <w:szCs w:val="21"/>
              </w:rPr>
            </w:pPr>
            <w:r>
              <w:rPr>
                <w:rFonts w:ascii="Times New Roman" w:hAnsi="Times New Roman" w:eastAsia="宋体" w:cs="Times New Roman"/>
                <w:kern w:val="0"/>
                <w:szCs w:val="21"/>
              </w:rPr>
              <w:t>1#占地范围外厂区南侧空地（0-0.2m）</w:t>
            </w:r>
          </w:p>
        </w:tc>
        <w:tc>
          <w:tcPr>
            <w:tcW w:w="881" w:type="dxa"/>
            <w:vMerge w:val="continue"/>
            <w:tcBorders>
              <w:tl2br w:val="nil"/>
              <w:tr2bl w:val="nil"/>
            </w:tcBorders>
            <w:tcMar>
              <w:top w:w="0" w:type="dxa"/>
              <w:left w:w="6" w:type="dxa"/>
              <w:bottom w:w="0" w:type="dxa"/>
              <w:right w:w="6" w:type="dxa"/>
            </w:tcMar>
            <w:vAlign w:val="center"/>
          </w:tcPr>
          <w:p w14:paraId="21D4A323">
            <w:pPr>
              <w:widowControl/>
              <w:jc w:val="center"/>
              <w:rPr>
                <w:rFonts w:ascii="Times New Roman" w:hAnsi="Times New Roman" w:eastAsia="宋体" w:cs="Times New Roman"/>
                <w:b/>
                <w:bCs/>
                <w:szCs w:val="21"/>
              </w:rPr>
            </w:pPr>
          </w:p>
        </w:tc>
        <w:tc>
          <w:tcPr>
            <w:tcW w:w="987" w:type="dxa"/>
            <w:vMerge w:val="continue"/>
            <w:tcBorders>
              <w:tl2br w:val="nil"/>
              <w:tr2bl w:val="nil"/>
            </w:tcBorders>
            <w:tcMar>
              <w:top w:w="0" w:type="dxa"/>
              <w:left w:w="6" w:type="dxa"/>
              <w:bottom w:w="0" w:type="dxa"/>
              <w:right w:w="6" w:type="dxa"/>
            </w:tcMar>
            <w:vAlign w:val="center"/>
          </w:tcPr>
          <w:p w14:paraId="774598EF">
            <w:pPr>
              <w:widowControl/>
              <w:jc w:val="center"/>
              <w:rPr>
                <w:rFonts w:ascii="Times New Roman" w:hAnsi="Times New Roman" w:eastAsia="宋体" w:cs="Times New Roman"/>
                <w:b/>
                <w:bCs/>
                <w:szCs w:val="21"/>
              </w:rPr>
            </w:pPr>
          </w:p>
        </w:tc>
      </w:tr>
      <w:tr w14:paraId="485CE28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0408F99A">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984" w:type="dxa"/>
            <w:tcBorders>
              <w:tl2br w:val="nil"/>
              <w:tr2bl w:val="nil"/>
            </w:tcBorders>
            <w:vAlign w:val="center"/>
          </w:tcPr>
          <w:p w14:paraId="113AA6F4">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镉</w:t>
            </w:r>
          </w:p>
        </w:tc>
        <w:tc>
          <w:tcPr>
            <w:tcW w:w="1382" w:type="dxa"/>
            <w:vMerge w:val="restart"/>
            <w:tcBorders>
              <w:tl2br w:val="nil"/>
              <w:tr2bl w:val="nil"/>
            </w:tcBorders>
            <w:vAlign w:val="center"/>
          </w:tcPr>
          <w:p w14:paraId="32FEE3A1">
            <w:pPr>
              <w:widowControl/>
              <w:jc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2591" w:type="dxa"/>
            <w:tcBorders>
              <w:tl2br w:val="nil"/>
              <w:tr2bl w:val="nil"/>
            </w:tcBorders>
            <w:vAlign w:val="center"/>
          </w:tcPr>
          <w:p w14:paraId="00E1078F">
            <w:pPr>
              <w:widowControl/>
              <w:jc w:val="center"/>
              <w:rPr>
                <w:rFonts w:ascii="Times New Roman" w:hAnsi="Times New Roman" w:eastAsia="宋体" w:cs="Times New Roman"/>
                <w:szCs w:val="21"/>
              </w:rPr>
            </w:pPr>
            <w:r>
              <w:rPr>
                <w:rFonts w:ascii="Times New Roman" w:hAnsi="Times New Roman" w:eastAsia="Tahoma" w:cs="Times New Roman"/>
                <w:color w:val="000000"/>
                <w:kern w:val="0"/>
                <w:sz w:val="24"/>
                <w:lang w:bidi="ar"/>
              </w:rPr>
              <w:t>0.11</w:t>
            </w:r>
          </w:p>
        </w:tc>
        <w:tc>
          <w:tcPr>
            <w:tcW w:w="881" w:type="dxa"/>
            <w:tcBorders>
              <w:tl2br w:val="nil"/>
              <w:tr2bl w:val="nil"/>
            </w:tcBorders>
            <w:vAlign w:val="center"/>
          </w:tcPr>
          <w:p w14:paraId="1E5850A8">
            <w:pPr>
              <w:jc w:val="center"/>
              <w:rPr>
                <w:rFonts w:ascii="Times New Roman" w:hAnsi="Times New Roman" w:eastAsia="宋体" w:cs="Times New Roman"/>
                <w:szCs w:val="21"/>
              </w:rPr>
            </w:pPr>
            <w:r>
              <w:rPr>
                <w:rFonts w:ascii="Times New Roman" w:hAnsi="Times New Roman" w:eastAsia="宋体" w:cs="Times New Roman"/>
                <w:szCs w:val="21"/>
              </w:rPr>
              <w:t>65</w:t>
            </w:r>
          </w:p>
        </w:tc>
        <w:tc>
          <w:tcPr>
            <w:tcW w:w="987" w:type="dxa"/>
            <w:tcBorders>
              <w:tl2br w:val="nil"/>
              <w:tr2bl w:val="nil"/>
            </w:tcBorders>
            <w:vAlign w:val="center"/>
          </w:tcPr>
          <w:p w14:paraId="628D652D">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757C2D8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22B1337B">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984" w:type="dxa"/>
            <w:tcBorders>
              <w:tl2br w:val="nil"/>
              <w:tr2bl w:val="nil"/>
            </w:tcBorders>
            <w:vAlign w:val="center"/>
          </w:tcPr>
          <w:p w14:paraId="5373AFF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镍</w:t>
            </w:r>
          </w:p>
        </w:tc>
        <w:tc>
          <w:tcPr>
            <w:tcW w:w="1382" w:type="dxa"/>
            <w:vMerge w:val="continue"/>
            <w:tcBorders>
              <w:tl2br w:val="nil"/>
              <w:tr2bl w:val="nil"/>
            </w:tcBorders>
            <w:vAlign w:val="center"/>
          </w:tcPr>
          <w:p w14:paraId="060D065F">
            <w:pPr>
              <w:widowControl/>
              <w:jc w:val="center"/>
              <w:rPr>
                <w:rFonts w:ascii="Times New Roman" w:hAnsi="Times New Roman" w:eastAsia="宋体" w:cs="Times New Roman"/>
                <w:szCs w:val="21"/>
              </w:rPr>
            </w:pPr>
          </w:p>
        </w:tc>
        <w:tc>
          <w:tcPr>
            <w:tcW w:w="2591" w:type="dxa"/>
            <w:tcBorders>
              <w:tl2br w:val="nil"/>
              <w:tr2bl w:val="nil"/>
            </w:tcBorders>
            <w:vAlign w:val="center"/>
          </w:tcPr>
          <w:p w14:paraId="53C90598">
            <w:pPr>
              <w:widowControl/>
              <w:jc w:val="center"/>
              <w:rPr>
                <w:rFonts w:ascii="Times New Roman" w:hAnsi="Times New Roman" w:eastAsia="宋体" w:cs="Times New Roman"/>
                <w:szCs w:val="21"/>
              </w:rPr>
            </w:pPr>
            <w:r>
              <w:rPr>
                <w:rFonts w:ascii="Times New Roman" w:hAnsi="Times New Roman" w:eastAsia="宋体" w:cs="Times New Roman"/>
                <w:szCs w:val="21"/>
              </w:rPr>
              <w:t>42</w:t>
            </w:r>
          </w:p>
        </w:tc>
        <w:tc>
          <w:tcPr>
            <w:tcW w:w="881" w:type="dxa"/>
            <w:tcBorders>
              <w:tl2br w:val="nil"/>
              <w:tr2bl w:val="nil"/>
            </w:tcBorders>
            <w:vAlign w:val="center"/>
          </w:tcPr>
          <w:p w14:paraId="129C2430">
            <w:pPr>
              <w:jc w:val="center"/>
              <w:rPr>
                <w:rFonts w:ascii="Times New Roman" w:hAnsi="Times New Roman" w:eastAsia="宋体" w:cs="Times New Roman"/>
                <w:szCs w:val="21"/>
              </w:rPr>
            </w:pPr>
            <w:r>
              <w:rPr>
                <w:rFonts w:ascii="Times New Roman" w:hAnsi="Times New Roman" w:eastAsia="宋体" w:cs="Times New Roman"/>
                <w:szCs w:val="21"/>
              </w:rPr>
              <w:t>900</w:t>
            </w:r>
          </w:p>
        </w:tc>
        <w:tc>
          <w:tcPr>
            <w:tcW w:w="987" w:type="dxa"/>
            <w:tcBorders>
              <w:tl2br w:val="nil"/>
              <w:tr2bl w:val="nil"/>
            </w:tcBorders>
            <w:vAlign w:val="center"/>
          </w:tcPr>
          <w:p w14:paraId="34C41417">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685B197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4D40416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984" w:type="dxa"/>
            <w:tcBorders>
              <w:tl2br w:val="nil"/>
              <w:tr2bl w:val="nil"/>
            </w:tcBorders>
            <w:vAlign w:val="center"/>
          </w:tcPr>
          <w:p w14:paraId="58BD2FE0">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铅</w:t>
            </w:r>
          </w:p>
        </w:tc>
        <w:tc>
          <w:tcPr>
            <w:tcW w:w="1382" w:type="dxa"/>
            <w:vMerge w:val="continue"/>
            <w:tcBorders>
              <w:tl2br w:val="nil"/>
              <w:tr2bl w:val="nil"/>
            </w:tcBorders>
            <w:vAlign w:val="center"/>
          </w:tcPr>
          <w:p w14:paraId="48997001">
            <w:pPr>
              <w:widowControl/>
              <w:jc w:val="center"/>
              <w:rPr>
                <w:rFonts w:ascii="Times New Roman" w:hAnsi="Times New Roman" w:eastAsia="宋体" w:cs="Times New Roman"/>
                <w:szCs w:val="21"/>
              </w:rPr>
            </w:pPr>
          </w:p>
        </w:tc>
        <w:tc>
          <w:tcPr>
            <w:tcW w:w="2591" w:type="dxa"/>
            <w:tcBorders>
              <w:tl2br w:val="nil"/>
              <w:tr2bl w:val="nil"/>
            </w:tcBorders>
            <w:vAlign w:val="center"/>
          </w:tcPr>
          <w:p w14:paraId="0453A83A">
            <w:pPr>
              <w:widowControl/>
              <w:jc w:val="center"/>
              <w:rPr>
                <w:rFonts w:ascii="Times New Roman" w:hAnsi="Times New Roman" w:eastAsia="宋体" w:cs="Times New Roman"/>
                <w:szCs w:val="21"/>
              </w:rPr>
            </w:pPr>
            <w:r>
              <w:rPr>
                <w:rFonts w:ascii="Times New Roman" w:hAnsi="Times New Roman" w:eastAsia="宋体" w:cs="Times New Roman"/>
                <w:szCs w:val="21"/>
              </w:rPr>
              <w:t>12.6</w:t>
            </w:r>
          </w:p>
        </w:tc>
        <w:tc>
          <w:tcPr>
            <w:tcW w:w="881" w:type="dxa"/>
            <w:tcBorders>
              <w:tl2br w:val="nil"/>
              <w:tr2bl w:val="nil"/>
            </w:tcBorders>
            <w:vAlign w:val="center"/>
          </w:tcPr>
          <w:p w14:paraId="74F29CD5">
            <w:pPr>
              <w:jc w:val="center"/>
              <w:rPr>
                <w:rFonts w:ascii="Times New Roman" w:hAnsi="Times New Roman" w:eastAsia="宋体" w:cs="Times New Roman"/>
                <w:szCs w:val="21"/>
              </w:rPr>
            </w:pPr>
            <w:r>
              <w:rPr>
                <w:rFonts w:ascii="Times New Roman" w:hAnsi="Times New Roman" w:eastAsia="宋体" w:cs="Times New Roman"/>
                <w:szCs w:val="21"/>
              </w:rPr>
              <w:t>800</w:t>
            </w:r>
          </w:p>
        </w:tc>
        <w:tc>
          <w:tcPr>
            <w:tcW w:w="987" w:type="dxa"/>
            <w:tcBorders>
              <w:tl2br w:val="nil"/>
              <w:tr2bl w:val="nil"/>
            </w:tcBorders>
            <w:vAlign w:val="center"/>
          </w:tcPr>
          <w:p w14:paraId="51ACADA2">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0581F26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5DCC7692">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984" w:type="dxa"/>
            <w:tcBorders>
              <w:tl2br w:val="nil"/>
              <w:tr2bl w:val="nil"/>
            </w:tcBorders>
            <w:vAlign w:val="center"/>
          </w:tcPr>
          <w:p w14:paraId="7A8C49F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铜</w:t>
            </w:r>
          </w:p>
        </w:tc>
        <w:tc>
          <w:tcPr>
            <w:tcW w:w="1382" w:type="dxa"/>
            <w:vMerge w:val="continue"/>
            <w:tcBorders>
              <w:tl2br w:val="nil"/>
              <w:tr2bl w:val="nil"/>
            </w:tcBorders>
            <w:vAlign w:val="center"/>
          </w:tcPr>
          <w:p w14:paraId="09DD3945">
            <w:pPr>
              <w:widowControl/>
              <w:jc w:val="center"/>
              <w:rPr>
                <w:rFonts w:ascii="Times New Roman" w:hAnsi="Times New Roman" w:eastAsia="宋体" w:cs="Times New Roman"/>
                <w:szCs w:val="21"/>
              </w:rPr>
            </w:pPr>
          </w:p>
        </w:tc>
        <w:tc>
          <w:tcPr>
            <w:tcW w:w="2591" w:type="dxa"/>
            <w:tcBorders>
              <w:tl2br w:val="nil"/>
              <w:tr2bl w:val="nil"/>
            </w:tcBorders>
            <w:vAlign w:val="center"/>
          </w:tcPr>
          <w:p w14:paraId="44030FF6">
            <w:pPr>
              <w:widowControl/>
              <w:jc w:val="center"/>
              <w:rPr>
                <w:rFonts w:ascii="Times New Roman" w:hAnsi="Times New Roman" w:eastAsia="宋体" w:cs="Times New Roman"/>
                <w:szCs w:val="21"/>
              </w:rPr>
            </w:pPr>
            <w:r>
              <w:rPr>
                <w:rFonts w:ascii="Times New Roman" w:hAnsi="Times New Roman" w:eastAsia="宋体" w:cs="Times New Roman"/>
                <w:szCs w:val="21"/>
              </w:rPr>
              <w:t>44</w:t>
            </w:r>
          </w:p>
        </w:tc>
        <w:tc>
          <w:tcPr>
            <w:tcW w:w="881" w:type="dxa"/>
            <w:tcBorders>
              <w:tl2br w:val="nil"/>
              <w:tr2bl w:val="nil"/>
            </w:tcBorders>
            <w:vAlign w:val="center"/>
          </w:tcPr>
          <w:p w14:paraId="3F628442">
            <w:pPr>
              <w:jc w:val="center"/>
              <w:rPr>
                <w:rFonts w:ascii="Times New Roman" w:hAnsi="Times New Roman" w:eastAsia="宋体" w:cs="Times New Roman"/>
                <w:szCs w:val="21"/>
              </w:rPr>
            </w:pPr>
            <w:r>
              <w:rPr>
                <w:rFonts w:ascii="Times New Roman" w:hAnsi="Times New Roman" w:eastAsia="宋体" w:cs="Times New Roman"/>
                <w:kern w:val="0"/>
                <w:szCs w:val="21"/>
              </w:rPr>
              <w:t>18000</w:t>
            </w:r>
          </w:p>
        </w:tc>
        <w:tc>
          <w:tcPr>
            <w:tcW w:w="987" w:type="dxa"/>
            <w:tcBorders>
              <w:tl2br w:val="nil"/>
              <w:tr2bl w:val="nil"/>
            </w:tcBorders>
            <w:vAlign w:val="center"/>
          </w:tcPr>
          <w:p w14:paraId="4C62E767">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3060745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0010675F">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1984" w:type="dxa"/>
            <w:tcBorders>
              <w:tl2br w:val="nil"/>
              <w:tr2bl w:val="nil"/>
            </w:tcBorders>
            <w:vAlign w:val="center"/>
          </w:tcPr>
          <w:p w14:paraId="54BA404B">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砷</w:t>
            </w:r>
          </w:p>
        </w:tc>
        <w:tc>
          <w:tcPr>
            <w:tcW w:w="1382" w:type="dxa"/>
            <w:vMerge w:val="continue"/>
            <w:tcBorders>
              <w:tl2br w:val="nil"/>
              <w:tr2bl w:val="nil"/>
            </w:tcBorders>
            <w:vAlign w:val="center"/>
          </w:tcPr>
          <w:p w14:paraId="60AADFE5">
            <w:pPr>
              <w:widowControl/>
              <w:jc w:val="center"/>
              <w:rPr>
                <w:rFonts w:ascii="Times New Roman" w:hAnsi="Times New Roman" w:eastAsia="宋体" w:cs="Times New Roman"/>
                <w:szCs w:val="21"/>
              </w:rPr>
            </w:pPr>
          </w:p>
        </w:tc>
        <w:tc>
          <w:tcPr>
            <w:tcW w:w="2591" w:type="dxa"/>
            <w:tcBorders>
              <w:tl2br w:val="nil"/>
              <w:tr2bl w:val="nil"/>
            </w:tcBorders>
            <w:vAlign w:val="center"/>
          </w:tcPr>
          <w:p w14:paraId="383A82F8">
            <w:pPr>
              <w:widowControl/>
              <w:jc w:val="center"/>
              <w:rPr>
                <w:rFonts w:ascii="Times New Roman" w:hAnsi="Times New Roman" w:eastAsia="宋体" w:cs="Times New Roman"/>
                <w:szCs w:val="21"/>
              </w:rPr>
            </w:pPr>
            <w:r>
              <w:rPr>
                <w:rFonts w:ascii="Times New Roman" w:hAnsi="Times New Roman" w:eastAsia="宋体" w:cs="Times New Roman"/>
                <w:szCs w:val="21"/>
              </w:rPr>
              <w:t>8.56</w:t>
            </w:r>
          </w:p>
        </w:tc>
        <w:tc>
          <w:tcPr>
            <w:tcW w:w="881" w:type="dxa"/>
            <w:tcBorders>
              <w:tl2br w:val="nil"/>
              <w:tr2bl w:val="nil"/>
            </w:tcBorders>
            <w:vAlign w:val="center"/>
          </w:tcPr>
          <w:p w14:paraId="78F92B20">
            <w:pPr>
              <w:jc w:val="center"/>
              <w:rPr>
                <w:rFonts w:ascii="Times New Roman" w:hAnsi="Times New Roman" w:eastAsia="宋体" w:cs="Times New Roman"/>
                <w:szCs w:val="21"/>
              </w:rPr>
            </w:pPr>
            <w:r>
              <w:rPr>
                <w:rFonts w:ascii="Times New Roman" w:hAnsi="Times New Roman" w:eastAsia="宋体" w:cs="Times New Roman"/>
                <w:kern w:val="0"/>
                <w:szCs w:val="21"/>
              </w:rPr>
              <w:t>60</w:t>
            </w:r>
          </w:p>
        </w:tc>
        <w:tc>
          <w:tcPr>
            <w:tcW w:w="987" w:type="dxa"/>
            <w:tcBorders>
              <w:tl2br w:val="nil"/>
              <w:tr2bl w:val="nil"/>
            </w:tcBorders>
            <w:vAlign w:val="center"/>
          </w:tcPr>
          <w:p w14:paraId="3833E5FE">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54BE660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4D426F6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1984" w:type="dxa"/>
            <w:tcBorders>
              <w:tl2br w:val="nil"/>
              <w:tr2bl w:val="nil"/>
            </w:tcBorders>
            <w:vAlign w:val="center"/>
          </w:tcPr>
          <w:p w14:paraId="086F51A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汞</w:t>
            </w:r>
          </w:p>
        </w:tc>
        <w:tc>
          <w:tcPr>
            <w:tcW w:w="1382" w:type="dxa"/>
            <w:vMerge w:val="continue"/>
            <w:tcBorders>
              <w:tl2br w:val="nil"/>
              <w:tr2bl w:val="nil"/>
            </w:tcBorders>
            <w:vAlign w:val="center"/>
          </w:tcPr>
          <w:p w14:paraId="30B64115">
            <w:pPr>
              <w:widowControl/>
              <w:jc w:val="center"/>
              <w:rPr>
                <w:rFonts w:ascii="Times New Roman" w:hAnsi="Times New Roman" w:eastAsia="宋体" w:cs="Times New Roman"/>
                <w:szCs w:val="21"/>
              </w:rPr>
            </w:pPr>
          </w:p>
        </w:tc>
        <w:tc>
          <w:tcPr>
            <w:tcW w:w="2591" w:type="dxa"/>
            <w:tcBorders>
              <w:tl2br w:val="nil"/>
              <w:tr2bl w:val="nil"/>
            </w:tcBorders>
            <w:vAlign w:val="center"/>
          </w:tcPr>
          <w:p w14:paraId="5BA40ACC">
            <w:pPr>
              <w:widowControl/>
              <w:jc w:val="center"/>
              <w:rPr>
                <w:rFonts w:ascii="Times New Roman" w:hAnsi="Times New Roman" w:eastAsia="宋体" w:cs="Times New Roman"/>
                <w:szCs w:val="21"/>
              </w:rPr>
            </w:pPr>
            <w:r>
              <w:rPr>
                <w:rFonts w:ascii="Times New Roman" w:hAnsi="Times New Roman" w:eastAsia="宋体" w:cs="Times New Roman"/>
                <w:szCs w:val="21"/>
              </w:rPr>
              <w:t>0.051</w:t>
            </w:r>
          </w:p>
        </w:tc>
        <w:tc>
          <w:tcPr>
            <w:tcW w:w="881" w:type="dxa"/>
            <w:tcBorders>
              <w:tl2br w:val="nil"/>
              <w:tr2bl w:val="nil"/>
            </w:tcBorders>
            <w:vAlign w:val="center"/>
          </w:tcPr>
          <w:p w14:paraId="0557AEC5">
            <w:pPr>
              <w:jc w:val="center"/>
              <w:rPr>
                <w:rFonts w:ascii="Times New Roman" w:hAnsi="Times New Roman" w:eastAsia="宋体" w:cs="Times New Roman"/>
                <w:szCs w:val="21"/>
              </w:rPr>
            </w:pPr>
            <w:r>
              <w:rPr>
                <w:rFonts w:ascii="Times New Roman" w:hAnsi="Times New Roman" w:eastAsia="宋体" w:cs="Times New Roman"/>
                <w:szCs w:val="21"/>
              </w:rPr>
              <w:t>38</w:t>
            </w:r>
          </w:p>
        </w:tc>
        <w:tc>
          <w:tcPr>
            <w:tcW w:w="987" w:type="dxa"/>
            <w:tcBorders>
              <w:tl2br w:val="nil"/>
              <w:tr2bl w:val="nil"/>
            </w:tcBorders>
            <w:vAlign w:val="center"/>
          </w:tcPr>
          <w:p w14:paraId="556051DF">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0C22008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2D090010">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1984" w:type="dxa"/>
            <w:tcBorders>
              <w:tl2br w:val="nil"/>
              <w:tr2bl w:val="nil"/>
            </w:tcBorders>
            <w:vAlign w:val="center"/>
          </w:tcPr>
          <w:p w14:paraId="5C2097C6">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六价铬</w:t>
            </w:r>
          </w:p>
        </w:tc>
        <w:tc>
          <w:tcPr>
            <w:tcW w:w="1382" w:type="dxa"/>
            <w:vMerge w:val="continue"/>
            <w:tcBorders>
              <w:tl2br w:val="nil"/>
              <w:tr2bl w:val="nil"/>
            </w:tcBorders>
            <w:vAlign w:val="center"/>
          </w:tcPr>
          <w:p w14:paraId="7B4458F5">
            <w:pPr>
              <w:widowControl/>
              <w:jc w:val="center"/>
              <w:rPr>
                <w:rFonts w:ascii="Times New Roman" w:hAnsi="Times New Roman" w:eastAsia="宋体" w:cs="Times New Roman"/>
                <w:szCs w:val="21"/>
              </w:rPr>
            </w:pPr>
          </w:p>
        </w:tc>
        <w:tc>
          <w:tcPr>
            <w:tcW w:w="2591" w:type="dxa"/>
            <w:tcBorders>
              <w:tl2br w:val="nil"/>
              <w:tr2bl w:val="nil"/>
            </w:tcBorders>
            <w:vAlign w:val="center"/>
          </w:tcPr>
          <w:p w14:paraId="092646BB">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5939BC0F">
            <w:pPr>
              <w:jc w:val="center"/>
              <w:rPr>
                <w:rFonts w:ascii="Times New Roman" w:hAnsi="Times New Roman" w:eastAsia="宋体" w:cs="Times New Roman"/>
                <w:szCs w:val="21"/>
              </w:rPr>
            </w:pPr>
            <w:r>
              <w:rPr>
                <w:rFonts w:ascii="Times New Roman" w:hAnsi="Times New Roman" w:eastAsia="宋体" w:cs="Times New Roman"/>
                <w:szCs w:val="21"/>
              </w:rPr>
              <w:t>5.7</w:t>
            </w:r>
          </w:p>
        </w:tc>
        <w:tc>
          <w:tcPr>
            <w:tcW w:w="987" w:type="dxa"/>
            <w:tcBorders>
              <w:tl2br w:val="nil"/>
              <w:tr2bl w:val="nil"/>
            </w:tcBorders>
            <w:vAlign w:val="center"/>
          </w:tcPr>
          <w:p w14:paraId="6F9AFA82">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5969324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71B8AADC">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1984" w:type="dxa"/>
            <w:tcBorders>
              <w:tl2br w:val="nil"/>
              <w:tr2bl w:val="nil"/>
            </w:tcBorders>
            <w:vAlign w:val="center"/>
          </w:tcPr>
          <w:p w14:paraId="5181B792">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四氯化碳</w:t>
            </w:r>
          </w:p>
        </w:tc>
        <w:tc>
          <w:tcPr>
            <w:tcW w:w="1382" w:type="dxa"/>
            <w:vMerge w:val="continue"/>
            <w:tcBorders>
              <w:tl2br w:val="nil"/>
              <w:tr2bl w:val="nil"/>
            </w:tcBorders>
            <w:vAlign w:val="center"/>
          </w:tcPr>
          <w:p w14:paraId="2FE3230A">
            <w:pPr>
              <w:widowControl/>
              <w:jc w:val="center"/>
              <w:rPr>
                <w:rFonts w:ascii="Times New Roman" w:hAnsi="Times New Roman" w:eastAsia="宋体" w:cs="Times New Roman"/>
                <w:szCs w:val="21"/>
              </w:rPr>
            </w:pPr>
          </w:p>
        </w:tc>
        <w:tc>
          <w:tcPr>
            <w:tcW w:w="2591" w:type="dxa"/>
            <w:tcBorders>
              <w:tl2br w:val="nil"/>
              <w:tr2bl w:val="nil"/>
            </w:tcBorders>
            <w:vAlign w:val="center"/>
          </w:tcPr>
          <w:p w14:paraId="2B4DED9D">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48E41670">
            <w:pPr>
              <w:widowControl/>
              <w:jc w:val="center"/>
              <w:rPr>
                <w:rFonts w:ascii="Times New Roman" w:hAnsi="Times New Roman" w:eastAsia="宋体" w:cs="Times New Roman"/>
                <w:szCs w:val="21"/>
              </w:rPr>
            </w:pPr>
            <w:r>
              <w:rPr>
                <w:rFonts w:ascii="Times New Roman" w:hAnsi="Times New Roman" w:eastAsia="宋体" w:cs="Times New Roman"/>
                <w:kern w:val="0"/>
                <w:szCs w:val="21"/>
              </w:rPr>
              <w:t>2.8</w:t>
            </w:r>
          </w:p>
        </w:tc>
        <w:tc>
          <w:tcPr>
            <w:tcW w:w="987" w:type="dxa"/>
            <w:tcBorders>
              <w:tl2br w:val="nil"/>
              <w:tr2bl w:val="nil"/>
            </w:tcBorders>
            <w:vAlign w:val="center"/>
          </w:tcPr>
          <w:p w14:paraId="7F40C65A">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212C2E5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208F0C2A">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1984" w:type="dxa"/>
            <w:tcBorders>
              <w:tl2br w:val="nil"/>
              <w:tr2bl w:val="nil"/>
            </w:tcBorders>
            <w:vAlign w:val="center"/>
          </w:tcPr>
          <w:p w14:paraId="0945A55D">
            <w:pPr>
              <w:snapToGrid w:val="0"/>
              <w:jc w:val="center"/>
              <w:rPr>
                <w:rFonts w:ascii="Times New Roman" w:hAnsi="Times New Roman" w:eastAsia="宋体" w:cs="Times New Roman"/>
                <w:szCs w:val="21"/>
              </w:rPr>
            </w:pPr>
            <w:r>
              <w:rPr>
                <w:rFonts w:ascii="Times New Roman" w:hAnsi="Times New Roman" w:eastAsia="宋体" w:cs="Times New Roman"/>
                <w:szCs w:val="21"/>
              </w:rPr>
              <w:t>氯仿</w:t>
            </w:r>
          </w:p>
        </w:tc>
        <w:tc>
          <w:tcPr>
            <w:tcW w:w="1382" w:type="dxa"/>
            <w:vMerge w:val="continue"/>
            <w:tcBorders>
              <w:tl2br w:val="nil"/>
              <w:tr2bl w:val="nil"/>
            </w:tcBorders>
            <w:vAlign w:val="center"/>
          </w:tcPr>
          <w:p w14:paraId="6B89781E">
            <w:pPr>
              <w:widowControl/>
              <w:jc w:val="center"/>
              <w:rPr>
                <w:rFonts w:ascii="Times New Roman" w:hAnsi="Times New Roman" w:eastAsia="宋体" w:cs="Times New Roman"/>
                <w:szCs w:val="21"/>
              </w:rPr>
            </w:pPr>
          </w:p>
        </w:tc>
        <w:tc>
          <w:tcPr>
            <w:tcW w:w="2591" w:type="dxa"/>
            <w:tcBorders>
              <w:tl2br w:val="nil"/>
              <w:tr2bl w:val="nil"/>
            </w:tcBorders>
            <w:vAlign w:val="center"/>
          </w:tcPr>
          <w:p w14:paraId="44F8DFEF">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058D463C">
            <w:pPr>
              <w:widowControl/>
              <w:jc w:val="center"/>
              <w:rPr>
                <w:rFonts w:ascii="Times New Roman" w:hAnsi="Times New Roman" w:eastAsia="宋体" w:cs="Times New Roman"/>
                <w:szCs w:val="21"/>
              </w:rPr>
            </w:pPr>
            <w:r>
              <w:rPr>
                <w:rFonts w:ascii="Times New Roman" w:hAnsi="Times New Roman" w:eastAsia="宋体" w:cs="Times New Roman"/>
                <w:kern w:val="0"/>
                <w:szCs w:val="21"/>
              </w:rPr>
              <w:t>0.9</w:t>
            </w:r>
          </w:p>
        </w:tc>
        <w:tc>
          <w:tcPr>
            <w:tcW w:w="987" w:type="dxa"/>
            <w:tcBorders>
              <w:tl2br w:val="nil"/>
              <w:tr2bl w:val="nil"/>
            </w:tcBorders>
            <w:vAlign w:val="center"/>
          </w:tcPr>
          <w:p w14:paraId="29219EAF">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73EC47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4659272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1984" w:type="dxa"/>
            <w:tcBorders>
              <w:tl2br w:val="nil"/>
              <w:tr2bl w:val="nil"/>
            </w:tcBorders>
            <w:vAlign w:val="center"/>
          </w:tcPr>
          <w:p w14:paraId="48478CDC">
            <w:pPr>
              <w:snapToGrid w:val="0"/>
              <w:jc w:val="center"/>
              <w:rPr>
                <w:rFonts w:ascii="Times New Roman" w:hAnsi="Times New Roman" w:eastAsia="宋体" w:cs="Times New Roman"/>
                <w:szCs w:val="21"/>
              </w:rPr>
            </w:pPr>
            <w:r>
              <w:rPr>
                <w:rFonts w:ascii="Times New Roman" w:hAnsi="Times New Roman" w:eastAsia="宋体" w:cs="Times New Roman"/>
                <w:szCs w:val="21"/>
              </w:rPr>
              <w:t>1,1-二氯乙烷</w:t>
            </w:r>
          </w:p>
        </w:tc>
        <w:tc>
          <w:tcPr>
            <w:tcW w:w="1382" w:type="dxa"/>
            <w:vMerge w:val="continue"/>
            <w:tcBorders>
              <w:tl2br w:val="nil"/>
              <w:tr2bl w:val="nil"/>
            </w:tcBorders>
            <w:vAlign w:val="center"/>
          </w:tcPr>
          <w:p w14:paraId="795600FB">
            <w:pPr>
              <w:widowControl/>
              <w:jc w:val="center"/>
              <w:rPr>
                <w:rFonts w:ascii="Times New Roman" w:hAnsi="Times New Roman" w:eastAsia="宋体" w:cs="Times New Roman"/>
                <w:szCs w:val="21"/>
              </w:rPr>
            </w:pPr>
          </w:p>
        </w:tc>
        <w:tc>
          <w:tcPr>
            <w:tcW w:w="2591" w:type="dxa"/>
            <w:tcBorders>
              <w:tl2br w:val="nil"/>
              <w:tr2bl w:val="nil"/>
            </w:tcBorders>
            <w:vAlign w:val="center"/>
          </w:tcPr>
          <w:p w14:paraId="48943E7C">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756AD7BC">
            <w:pPr>
              <w:widowControl/>
              <w:jc w:val="center"/>
              <w:rPr>
                <w:rFonts w:ascii="Times New Roman" w:hAnsi="Times New Roman" w:eastAsia="宋体" w:cs="Times New Roman"/>
                <w:szCs w:val="21"/>
              </w:rPr>
            </w:pPr>
            <w:r>
              <w:rPr>
                <w:rFonts w:ascii="Times New Roman" w:hAnsi="Times New Roman" w:eastAsia="宋体" w:cs="Times New Roman"/>
                <w:kern w:val="0"/>
                <w:szCs w:val="21"/>
              </w:rPr>
              <w:t>9</w:t>
            </w:r>
          </w:p>
        </w:tc>
        <w:tc>
          <w:tcPr>
            <w:tcW w:w="987" w:type="dxa"/>
            <w:tcBorders>
              <w:tl2br w:val="nil"/>
              <w:tr2bl w:val="nil"/>
            </w:tcBorders>
            <w:vAlign w:val="center"/>
          </w:tcPr>
          <w:p w14:paraId="10689D03">
            <w:pPr>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79CD0E4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689C8A14">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11</w:t>
            </w:r>
          </w:p>
        </w:tc>
        <w:tc>
          <w:tcPr>
            <w:tcW w:w="1984" w:type="dxa"/>
            <w:tcBorders>
              <w:tl2br w:val="nil"/>
              <w:tr2bl w:val="nil"/>
            </w:tcBorders>
            <w:vAlign w:val="center"/>
          </w:tcPr>
          <w:p w14:paraId="2854C08F">
            <w:pPr>
              <w:snapToGrid w:val="0"/>
              <w:jc w:val="center"/>
              <w:rPr>
                <w:rFonts w:ascii="Times New Roman" w:hAnsi="Times New Roman" w:eastAsia="宋体" w:cs="Times New Roman"/>
                <w:szCs w:val="21"/>
              </w:rPr>
            </w:pPr>
            <w:r>
              <w:rPr>
                <w:rFonts w:ascii="Times New Roman" w:hAnsi="Times New Roman" w:eastAsia="宋体" w:cs="Times New Roman"/>
                <w:szCs w:val="21"/>
              </w:rPr>
              <w:t>1,2-二氯乙烷</w:t>
            </w:r>
          </w:p>
        </w:tc>
        <w:tc>
          <w:tcPr>
            <w:tcW w:w="1382" w:type="dxa"/>
            <w:vMerge w:val="continue"/>
            <w:tcBorders>
              <w:tl2br w:val="nil"/>
              <w:tr2bl w:val="nil"/>
            </w:tcBorders>
            <w:vAlign w:val="center"/>
          </w:tcPr>
          <w:p w14:paraId="3BBDCD10">
            <w:pPr>
              <w:widowControl/>
              <w:jc w:val="center"/>
              <w:rPr>
                <w:rFonts w:ascii="Times New Roman" w:hAnsi="Times New Roman" w:eastAsia="宋体" w:cs="Times New Roman"/>
                <w:szCs w:val="21"/>
              </w:rPr>
            </w:pPr>
          </w:p>
        </w:tc>
        <w:tc>
          <w:tcPr>
            <w:tcW w:w="2591" w:type="dxa"/>
            <w:tcBorders>
              <w:tl2br w:val="nil"/>
              <w:tr2bl w:val="nil"/>
            </w:tcBorders>
            <w:vAlign w:val="center"/>
          </w:tcPr>
          <w:p w14:paraId="0D183C78">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17AA9EF3">
            <w:pPr>
              <w:widowControl/>
              <w:jc w:val="center"/>
              <w:rPr>
                <w:rFonts w:ascii="Times New Roman" w:hAnsi="Times New Roman" w:eastAsia="宋体" w:cs="Times New Roman"/>
                <w:szCs w:val="21"/>
              </w:rPr>
            </w:pPr>
            <w:r>
              <w:rPr>
                <w:rFonts w:ascii="Times New Roman" w:hAnsi="Times New Roman" w:eastAsia="宋体" w:cs="Times New Roman"/>
                <w:kern w:val="0"/>
                <w:szCs w:val="21"/>
              </w:rPr>
              <w:t>5</w:t>
            </w:r>
          </w:p>
        </w:tc>
        <w:tc>
          <w:tcPr>
            <w:tcW w:w="987" w:type="dxa"/>
            <w:tcBorders>
              <w:tl2br w:val="nil"/>
              <w:tr2bl w:val="nil"/>
            </w:tcBorders>
            <w:vAlign w:val="center"/>
          </w:tcPr>
          <w:p w14:paraId="1CFC8BD6">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797C395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3A3E92A0">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12</w:t>
            </w:r>
          </w:p>
        </w:tc>
        <w:tc>
          <w:tcPr>
            <w:tcW w:w="1984" w:type="dxa"/>
            <w:tcBorders>
              <w:tl2br w:val="nil"/>
              <w:tr2bl w:val="nil"/>
            </w:tcBorders>
            <w:vAlign w:val="center"/>
          </w:tcPr>
          <w:p w14:paraId="33F3DBFB">
            <w:pPr>
              <w:snapToGrid w:val="0"/>
              <w:jc w:val="center"/>
              <w:rPr>
                <w:rFonts w:ascii="Times New Roman" w:hAnsi="Times New Roman" w:eastAsia="宋体" w:cs="Times New Roman"/>
                <w:szCs w:val="21"/>
              </w:rPr>
            </w:pPr>
            <w:r>
              <w:rPr>
                <w:rFonts w:ascii="Times New Roman" w:hAnsi="Times New Roman" w:eastAsia="宋体" w:cs="Times New Roman"/>
                <w:szCs w:val="21"/>
              </w:rPr>
              <w:t>1,1-二氯乙烯</w:t>
            </w:r>
          </w:p>
        </w:tc>
        <w:tc>
          <w:tcPr>
            <w:tcW w:w="1382" w:type="dxa"/>
            <w:vMerge w:val="continue"/>
            <w:tcBorders>
              <w:tl2br w:val="nil"/>
              <w:tr2bl w:val="nil"/>
            </w:tcBorders>
            <w:vAlign w:val="center"/>
          </w:tcPr>
          <w:p w14:paraId="483ED108">
            <w:pPr>
              <w:widowControl/>
              <w:jc w:val="center"/>
              <w:rPr>
                <w:rFonts w:ascii="Times New Roman" w:hAnsi="Times New Roman" w:eastAsia="宋体" w:cs="Times New Roman"/>
                <w:szCs w:val="21"/>
              </w:rPr>
            </w:pPr>
          </w:p>
        </w:tc>
        <w:tc>
          <w:tcPr>
            <w:tcW w:w="2591" w:type="dxa"/>
            <w:tcBorders>
              <w:tl2br w:val="nil"/>
              <w:tr2bl w:val="nil"/>
            </w:tcBorders>
            <w:vAlign w:val="center"/>
          </w:tcPr>
          <w:p w14:paraId="1B643E34">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0F135E33">
            <w:pPr>
              <w:widowControl/>
              <w:jc w:val="center"/>
              <w:rPr>
                <w:rFonts w:ascii="Times New Roman" w:hAnsi="Times New Roman" w:eastAsia="宋体" w:cs="Times New Roman"/>
                <w:szCs w:val="21"/>
              </w:rPr>
            </w:pPr>
            <w:r>
              <w:rPr>
                <w:rFonts w:ascii="Times New Roman" w:hAnsi="Times New Roman" w:eastAsia="宋体" w:cs="Times New Roman"/>
                <w:kern w:val="0"/>
                <w:szCs w:val="21"/>
              </w:rPr>
              <w:t>66</w:t>
            </w:r>
          </w:p>
        </w:tc>
        <w:tc>
          <w:tcPr>
            <w:tcW w:w="987" w:type="dxa"/>
            <w:tcBorders>
              <w:tl2br w:val="nil"/>
              <w:tr2bl w:val="nil"/>
            </w:tcBorders>
            <w:vAlign w:val="center"/>
          </w:tcPr>
          <w:p w14:paraId="14AB6920">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716F125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77123BFA">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13</w:t>
            </w:r>
          </w:p>
        </w:tc>
        <w:tc>
          <w:tcPr>
            <w:tcW w:w="1984" w:type="dxa"/>
            <w:tcBorders>
              <w:tl2br w:val="nil"/>
              <w:tr2bl w:val="nil"/>
            </w:tcBorders>
            <w:vAlign w:val="center"/>
          </w:tcPr>
          <w:p w14:paraId="1538DE0F">
            <w:pPr>
              <w:snapToGrid w:val="0"/>
              <w:jc w:val="center"/>
              <w:rPr>
                <w:rFonts w:ascii="Times New Roman" w:hAnsi="Times New Roman" w:eastAsia="宋体" w:cs="Times New Roman"/>
                <w:szCs w:val="21"/>
              </w:rPr>
            </w:pPr>
            <w:r>
              <w:rPr>
                <w:rFonts w:ascii="Times New Roman" w:hAnsi="Times New Roman" w:eastAsia="宋体" w:cs="Times New Roman"/>
                <w:szCs w:val="21"/>
              </w:rPr>
              <w:t>顺-1,2-二氯乙烯</w:t>
            </w:r>
          </w:p>
        </w:tc>
        <w:tc>
          <w:tcPr>
            <w:tcW w:w="1382" w:type="dxa"/>
            <w:vMerge w:val="continue"/>
            <w:tcBorders>
              <w:tl2br w:val="nil"/>
              <w:tr2bl w:val="nil"/>
            </w:tcBorders>
            <w:vAlign w:val="center"/>
          </w:tcPr>
          <w:p w14:paraId="3017791E">
            <w:pPr>
              <w:widowControl/>
              <w:jc w:val="center"/>
              <w:rPr>
                <w:rFonts w:ascii="Times New Roman" w:hAnsi="Times New Roman" w:eastAsia="宋体" w:cs="Times New Roman"/>
                <w:szCs w:val="21"/>
              </w:rPr>
            </w:pPr>
          </w:p>
        </w:tc>
        <w:tc>
          <w:tcPr>
            <w:tcW w:w="2591" w:type="dxa"/>
            <w:tcBorders>
              <w:tl2br w:val="nil"/>
              <w:tr2bl w:val="nil"/>
            </w:tcBorders>
            <w:vAlign w:val="center"/>
          </w:tcPr>
          <w:p w14:paraId="21495C83">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53CE8C4F">
            <w:pPr>
              <w:widowControl/>
              <w:jc w:val="center"/>
              <w:rPr>
                <w:rFonts w:ascii="Times New Roman" w:hAnsi="Times New Roman" w:eastAsia="宋体" w:cs="Times New Roman"/>
                <w:szCs w:val="21"/>
              </w:rPr>
            </w:pPr>
            <w:r>
              <w:rPr>
                <w:rFonts w:ascii="Times New Roman" w:hAnsi="Times New Roman" w:eastAsia="宋体" w:cs="Times New Roman"/>
                <w:kern w:val="0"/>
                <w:szCs w:val="21"/>
              </w:rPr>
              <w:t>596</w:t>
            </w:r>
          </w:p>
        </w:tc>
        <w:tc>
          <w:tcPr>
            <w:tcW w:w="987" w:type="dxa"/>
            <w:tcBorders>
              <w:tl2br w:val="nil"/>
              <w:tr2bl w:val="nil"/>
            </w:tcBorders>
            <w:vAlign w:val="center"/>
          </w:tcPr>
          <w:p w14:paraId="5299F65C">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5407BEB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5869349A">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14</w:t>
            </w:r>
          </w:p>
        </w:tc>
        <w:tc>
          <w:tcPr>
            <w:tcW w:w="1984" w:type="dxa"/>
            <w:tcBorders>
              <w:tl2br w:val="nil"/>
              <w:tr2bl w:val="nil"/>
            </w:tcBorders>
            <w:vAlign w:val="center"/>
          </w:tcPr>
          <w:p w14:paraId="112F8AAE">
            <w:pPr>
              <w:snapToGrid w:val="0"/>
              <w:jc w:val="center"/>
              <w:rPr>
                <w:rFonts w:ascii="Times New Roman" w:hAnsi="Times New Roman" w:eastAsia="宋体" w:cs="Times New Roman"/>
                <w:szCs w:val="21"/>
              </w:rPr>
            </w:pPr>
            <w:r>
              <w:rPr>
                <w:rFonts w:ascii="Times New Roman" w:hAnsi="Times New Roman" w:eastAsia="宋体" w:cs="Times New Roman"/>
                <w:szCs w:val="21"/>
              </w:rPr>
              <w:t>反-1,2-二氯乙烯</w:t>
            </w:r>
          </w:p>
        </w:tc>
        <w:tc>
          <w:tcPr>
            <w:tcW w:w="1382" w:type="dxa"/>
            <w:vMerge w:val="continue"/>
            <w:tcBorders>
              <w:tl2br w:val="nil"/>
              <w:tr2bl w:val="nil"/>
            </w:tcBorders>
            <w:vAlign w:val="center"/>
          </w:tcPr>
          <w:p w14:paraId="32C83B17">
            <w:pPr>
              <w:widowControl/>
              <w:jc w:val="center"/>
              <w:rPr>
                <w:rFonts w:ascii="Times New Roman" w:hAnsi="Times New Roman" w:eastAsia="宋体" w:cs="Times New Roman"/>
                <w:szCs w:val="21"/>
              </w:rPr>
            </w:pPr>
          </w:p>
        </w:tc>
        <w:tc>
          <w:tcPr>
            <w:tcW w:w="2591" w:type="dxa"/>
            <w:tcBorders>
              <w:tl2br w:val="nil"/>
              <w:tr2bl w:val="nil"/>
            </w:tcBorders>
            <w:vAlign w:val="center"/>
          </w:tcPr>
          <w:p w14:paraId="59FDC3F2">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0DA0E238">
            <w:pPr>
              <w:widowControl/>
              <w:jc w:val="center"/>
              <w:rPr>
                <w:rFonts w:ascii="Times New Roman" w:hAnsi="Times New Roman" w:eastAsia="宋体" w:cs="Times New Roman"/>
                <w:szCs w:val="21"/>
              </w:rPr>
            </w:pPr>
            <w:r>
              <w:rPr>
                <w:rFonts w:ascii="Times New Roman" w:hAnsi="Times New Roman" w:eastAsia="宋体" w:cs="Times New Roman"/>
                <w:kern w:val="0"/>
                <w:szCs w:val="21"/>
              </w:rPr>
              <w:t>54</w:t>
            </w:r>
          </w:p>
        </w:tc>
        <w:tc>
          <w:tcPr>
            <w:tcW w:w="987" w:type="dxa"/>
            <w:tcBorders>
              <w:tl2br w:val="nil"/>
              <w:tr2bl w:val="nil"/>
            </w:tcBorders>
            <w:vAlign w:val="center"/>
          </w:tcPr>
          <w:p w14:paraId="7A78F48D">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13FC6CD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4DAA3B0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15</w:t>
            </w:r>
          </w:p>
        </w:tc>
        <w:tc>
          <w:tcPr>
            <w:tcW w:w="1984" w:type="dxa"/>
            <w:tcBorders>
              <w:tl2br w:val="nil"/>
              <w:tr2bl w:val="nil"/>
            </w:tcBorders>
            <w:vAlign w:val="center"/>
          </w:tcPr>
          <w:p w14:paraId="0619FE9A">
            <w:pPr>
              <w:snapToGrid w:val="0"/>
              <w:jc w:val="center"/>
              <w:rPr>
                <w:rFonts w:ascii="Times New Roman" w:hAnsi="Times New Roman" w:eastAsia="宋体" w:cs="Times New Roman"/>
                <w:szCs w:val="21"/>
              </w:rPr>
            </w:pPr>
            <w:r>
              <w:rPr>
                <w:rFonts w:ascii="Times New Roman" w:hAnsi="Times New Roman" w:eastAsia="宋体" w:cs="Times New Roman"/>
                <w:szCs w:val="21"/>
              </w:rPr>
              <w:t>二氯甲烷</w:t>
            </w:r>
          </w:p>
        </w:tc>
        <w:tc>
          <w:tcPr>
            <w:tcW w:w="1382" w:type="dxa"/>
            <w:vMerge w:val="continue"/>
            <w:tcBorders>
              <w:tl2br w:val="nil"/>
              <w:tr2bl w:val="nil"/>
            </w:tcBorders>
            <w:vAlign w:val="center"/>
          </w:tcPr>
          <w:p w14:paraId="30C7D001">
            <w:pPr>
              <w:widowControl/>
              <w:jc w:val="center"/>
              <w:rPr>
                <w:rFonts w:ascii="Times New Roman" w:hAnsi="Times New Roman" w:eastAsia="宋体" w:cs="Times New Roman"/>
                <w:szCs w:val="21"/>
              </w:rPr>
            </w:pPr>
          </w:p>
        </w:tc>
        <w:tc>
          <w:tcPr>
            <w:tcW w:w="2591" w:type="dxa"/>
            <w:tcBorders>
              <w:tl2br w:val="nil"/>
              <w:tr2bl w:val="nil"/>
            </w:tcBorders>
            <w:vAlign w:val="center"/>
          </w:tcPr>
          <w:p w14:paraId="20AA0094">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490728BF">
            <w:pPr>
              <w:widowControl/>
              <w:jc w:val="center"/>
              <w:rPr>
                <w:rFonts w:ascii="Times New Roman" w:hAnsi="Times New Roman" w:eastAsia="宋体" w:cs="Times New Roman"/>
                <w:szCs w:val="21"/>
              </w:rPr>
            </w:pPr>
            <w:r>
              <w:rPr>
                <w:rFonts w:ascii="Times New Roman" w:hAnsi="Times New Roman" w:eastAsia="宋体" w:cs="Times New Roman"/>
                <w:kern w:val="0"/>
                <w:szCs w:val="21"/>
              </w:rPr>
              <w:t>616</w:t>
            </w:r>
          </w:p>
        </w:tc>
        <w:tc>
          <w:tcPr>
            <w:tcW w:w="987" w:type="dxa"/>
            <w:tcBorders>
              <w:tl2br w:val="nil"/>
              <w:tr2bl w:val="nil"/>
            </w:tcBorders>
            <w:vAlign w:val="center"/>
          </w:tcPr>
          <w:p w14:paraId="7137ACEA">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513730B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1EF24594">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16</w:t>
            </w:r>
          </w:p>
        </w:tc>
        <w:tc>
          <w:tcPr>
            <w:tcW w:w="1984" w:type="dxa"/>
            <w:tcBorders>
              <w:tl2br w:val="nil"/>
              <w:tr2bl w:val="nil"/>
            </w:tcBorders>
            <w:vAlign w:val="center"/>
          </w:tcPr>
          <w:p w14:paraId="2528218C">
            <w:pPr>
              <w:snapToGrid w:val="0"/>
              <w:jc w:val="center"/>
              <w:rPr>
                <w:rFonts w:ascii="Times New Roman" w:hAnsi="Times New Roman" w:eastAsia="宋体" w:cs="Times New Roman"/>
                <w:szCs w:val="21"/>
              </w:rPr>
            </w:pPr>
            <w:r>
              <w:rPr>
                <w:rFonts w:ascii="Times New Roman" w:hAnsi="Times New Roman" w:eastAsia="宋体" w:cs="Times New Roman"/>
                <w:szCs w:val="21"/>
              </w:rPr>
              <w:t>1,2-二氯丙烷</w:t>
            </w:r>
          </w:p>
        </w:tc>
        <w:tc>
          <w:tcPr>
            <w:tcW w:w="1382" w:type="dxa"/>
            <w:vMerge w:val="continue"/>
            <w:tcBorders>
              <w:tl2br w:val="nil"/>
              <w:tr2bl w:val="nil"/>
            </w:tcBorders>
            <w:vAlign w:val="center"/>
          </w:tcPr>
          <w:p w14:paraId="58F92F46">
            <w:pPr>
              <w:widowControl/>
              <w:jc w:val="center"/>
              <w:rPr>
                <w:rFonts w:ascii="Times New Roman" w:hAnsi="Times New Roman" w:eastAsia="宋体" w:cs="Times New Roman"/>
                <w:szCs w:val="21"/>
              </w:rPr>
            </w:pPr>
          </w:p>
        </w:tc>
        <w:tc>
          <w:tcPr>
            <w:tcW w:w="2591" w:type="dxa"/>
            <w:tcBorders>
              <w:tl2br w:val="nil"/>
              <w:tr2bl w:val="nil"/>
            </w:tcBorders>
            <w:vAlign w:val="center"/>
          </w:tcPr>
          <w:p w14:paraId="0C9B4115">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6318CEDE">
            <w:pPr>
              <w:widowControl/>
              <w:jc w:val="center"/>
              <w:rPr>
                <w:rFonts w:ascii="Times New Roman" w:hAnsi="Times New Roman" w:eastAsia="宋体" w:cs="Times New Roman"/>
                <w:szCs w:val="21"/>
              </w:rPr>
            </w:pPr>
            <w:r>
              <w:rPr>
                <w:rFonts w:ascii="Times New Roman" w:hAnsi="Times New Roman" w:eastAsia="宋体" w:cs="Times New Roman"/>
                <w:kern w:val="0"/>
                <w:szCs w:val="21"/>
              </w:rPr>
              <w:t>5</w:t>
            </w:r>
          </w:p>
        </w:tc>
        <w:tc>
          <w:tcPr>
            <w:tcW w:w="987" w:type="dxa"/>
            <w:tcBorders>
              <w:tl2br w:val="nil"/>
              <w:tr2bl w:val="nil"/>
            </w:tcBorders>
            <w:vAlign w:val="center"/>
          </w:tcPr>
          <w:p w14:paraId="1E86129A">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611BFC0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3C9260E1">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17</w:t>
            </w:r>
          </w:p>
        </w:tc>
        <w:tc>
          <w:tcPr>
            <w:tcW w:w="1984" w:type="dxa"/>
            <w:tcBorders>
              <w:tl2br w:val="nil"/>
              <w:tr2bl w:val="nil"/>
            </w:tcBorders>
            <w:vAlign w:val="center"/>
          </w:tcPr>
          <w:p w14:paraId="6E1E6C59">
            <w:pPr>
              <w:snapToGrid w:val="0"/>
              <w:jc w:val="center"/>
              <w:rPr>
                <w:rFonts w:ascii="Times New Roman" w:hAnsi="Times New Roman" w:eastAsia="宋体" w:cs="Times New Roman"/>
                <w:szCs w:val="21"/>
              </w:rPr>
            </w:pPr>
            <w:r>
              <w:rPr>
                <w:rFonts w:ascii="Times New Roman" w:hAnsi="Times New Roman" w:eastAsia="宋体" w:cs="Times New Roman"/>
                <w:szCs w:val="21"/>
              </w:rPr>
              <w:t>1,1,1,2-四氯乙烷</w:t>
            </w:r>
          </w:p>
        </w:tc>
        <w:tc>
          <w:tcPr>
            <w:tcW w:w="1382" w:type="dxa"/>
            <w:vMerge w:val="continue"/>
            <w:tcBorders>
              <w:tl2br w:val="nil"/>
              <w:tr2bl w:val="nil"/>
            </w:tcBorders>
            <w:vAlign w:val="center"/>
          </w:tcPr>
          <w:p w14:paraId="52FEB6CF">
            <w:pPr>
              <w:widowControl/>
              <w:jc w:val="center"/>
              <w:rPr>
                <w:rFonts w:ascii="Times New Roman" w:hAnsi="Times New Roman" w:eastAsia="宋体" w:cs="Times New Roman"/>
                <w:szCs w:val="21"/>
              </w:rPr>
            </w:pPr>
          </w:p>
        </w:tc>
        <w:tc>
          <w:tcPr>
            <w:tcW w:w="2591" w:type="dxa"/>
            <w:tcBorders>
              <w:tl2br w:val="nil"/>
              <w:tr2bl w:val="nil"/>
            </w:tcBorders>
            <w:vAlign w:val="center"/>
          </w:tcPr>
          <w:p w14:paraId="4BE947AE">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5790B79D">
            <w:pPr>
              <w:widowControl/>
              <w:jc w:val="center"/>
              <w:rPr>
                <w:rFonts w:ascii="Times New Roman" w:hAnsi="Times New Roman" w:eastAsia="宋体" w:cs="Times New Roman"/>
                <w:szCs w:val="21"/>
              </w:rPr>
            </w:pPr>
            <w:r>
              <w:rPr>
                <w:rFonts w:ascii="Times New Roman" w:hAnsi="Times New Roman" w:eastAsia="宋体" w:cs="Times New Roman"/>
                <w:kern w:val="0"/>
                <w:szCs w:val="21"/>
              </w:rPr>
              <w:t>10</w:t>
            </w:r>
          </w:p>
        </w:tc>
        <w:tc>
          <w:tcPr>
            <w:tcW w:w="987" w:type="dxa"/>
            <w:tcBorders>
              <w:tl2br w:val="nil"/>
              <w:tr2bl w:val="nil"/>
            </w:tcBorders>
            <w:vAlign w:val="center"/>
          </w:tcPr>
          <w:p w14:paraId="78AF27AE">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0081537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22EB5484">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18</w:t>
            </w:r>
          </w:p>
        </w:tc>
        <w:tc>
          <w:tcPr>
            <w:tcW w:w="1984" w:type="dxa"/>
            <w:tcBorders>
              <w:tl2br w:val="nil"/>
              <w:tr2bl w:val="nil"/>
            </w:tcBorders>
            <w:vAlign w:val="center"/>
          </w:tcPr>
          <w:p w14:paraId="45655779">
            <w:pPr>
              <w:snapToGrid w:val="0"/>
              <w:jc w:val="center"/>
              <w:rPr>
                <w:rFonts w:ascii="Times New Roman" w:hAnsi="Times New Roman" w:eastAsia="宋体" w:cs="Times New Roman"/>
                <w:szCs w:val="21"/>
              </w:rPr>
            </w:pPr>
            <w:r>
              <w:rPr>
                <w:rFonts w:ascii="Times New Roman" w:hAnsi="Times New Roman" w:eastAsia="宋体" w:cs="Times New Roman"/>
                <w:szCs w:val="21"/>
              </w:rPr>
              <w:t>1,1,2,2-四氯乙烷</w:t>
            </w:r>
          </w:p>
        </w:tc>
        <w:tc>
          <w:tcPr>
            <w:tcW w:w="1382" w:type="dxa"/>
            <w:vMerge w:val="continue"/>
            <w:tcBorders>
              <w:tl2br w:val="nil"/>
              <w:tr2bl w:val="nil"/>
            </w:tcBorders>
            <w:vAlign w:val="center"/>
          </w:tcPr>
          <w:p w14:paraId="671A7429">
            <w:pPr>
              <w:widowControl/>
              <w:jc w:val="center"/>
              <w:rPr>
                <w:rFonts w:ascii="Times New Roman" w:hAnsi="Times New Roman" w:eastAsia="宋体" w:cs="Times New Roman"/>
                <w:szCs w:val="21"/>
              </w:rPr>
            </w:pPr>
          </w:p>
        </w:tc>
        <w:tc>
          <w:tcPr>
            <w:tcW w:w="2591" w:type="dxa"/>
            <w:tcBorders>
              <w:tl2br w:val="nil"/>
              <w:tr2bl w:val="nil"/>
            </w:tcBorders>
            <w:vAlign w:val="center"/>
          </w:tcPr>
          <w:p w14:paraId="312E7FF9">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6739820A">
            <w:pPr>
              <w:widowControl/>
              <w:jc w:val="center"/>
              <w:rPr>
                <w:rFonts w:ascii="Times New Roman" w:hAnsi="Times New Roman" w:eastAsia="宋体" w:cs="Times New Roman"/>
                <w:szCs w:val="21"/>
              </w:rPr>
            </w:pPr>
            <w:r>
              <w:rPr>
                <w:rFonts w:ascii="Times New Roman" w:hAnsi="Times New Roman" w:eastAsia="宋体" w:cs="Times New Roman"/>
                <w:kern w:val="0"/>
                <w:szCs w:val="21"/>
              </w:rPr>
              <w:t>6.8</w:t>
            </w:r>
          </w:p>
        </w:tc>
        <w:tc>
          <w:tcPr>
            <w:tcW w:w="987" w:type="dxa"/>
            <w:tcBorders>
              <w:tl2br w:val="nil"/>
              <w:tr2bl w:val="nil"/>
            </w:tcBorders>
            <w:vAlign w:val="center"/>
          </w:tcPr>
          <w:p w14:paraId="6D048B6E">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7103416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210D9FDD">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19</w:t>
            </w:r>
          </w:p>
        </w:tc>
        <w:tc>
          <w:tcPr>
            <w:tcW w:w="1984" w:type="dxa"/>
            <w:tcBorders>
              <w:tl2br w:val="nil"/>
              <w:tr2bl w:val="nil"/>
            </w:tcBorders>
            <w:vAlign w:val="center"/>
          </w:tcPr>
          <w:p w14:paraId="753FAA55">
            <w:pPr>
              <w:snapToGrid w:val="0"/>
              <w:jc w:val="center"/>
              <w:rPr>
                <w:rFonts w:ascii="Times New Roman" w:hAnsi="Times New Roman" w:eastAsia="宋体" w:cs="Times New Roman"/>
                <w:szCs w:val="21"/>
              </w:rPr>
            </w:pPr>
            <w:r>
              <w:rPr>
                <w:rFonts w:ascii="Times New Roman" w:hAnsi="Times New Roman" w:eastAsia="宋体" w:cs="Times New Roman"/>
                <w:szCs w:val="21"/>
              </w:rPr>
              <w:t>四氯乙烯</w:t>
            </w:r>
          </w:p>
        </w:tc>
        <w:tc>
          <w:tcPr>
            <w:tcW w:w="1382" w:type="dxa"/>
            <w:vMerge w:val="continue"/>
            <w:tcBorders>
              <w:tl2br w:val="nil"/>
              <w:tr2bl w:val="nil"/>
            </w:tcBorders>
            <w:vAlign w:val="center"/>
          </w:tcPr>
          <w:p w14:paraId="3B19E6F9">
            <w:pPr>
              <w:widowControl/>
              <w:jc w:val="center"/>
              <w:rPr>
                <w:rFonts w:ascii="Times New Roman" w:hAnsi="Times New Roman" w:eastAsia="宋体" w:cs="Times New Roman"/>
                <w:szCs w:val="21"/>
              </w:rPr>
            </w:pPr>
          </w:p>
        </w:tc>
        <w:tc>
          <w:tcPr>
            <w:tcW w:w="2591" w:type="dxa"/>
            <w:tcBorders>
              <w:tl2br w:val="nil"/>
              <w:tr2bl w:val="nil"/>
            </w:tcBorders>
            <w:vAlign w:val="center"/>
          </w:tcPr>
          <w:p w14:paraId="116C3CE8">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429E0541">
            <w:pPr>
              <w:widowControl/>
              <w:jc w:val="center"/>
              <w:rPr>
                <w:rFonts w:ascii="Times New Roman" w:hAnsi="Times New Roman" w:eastAsia="宋体" w:cs="Times New Roman"/>
                <w:szCs w:val="21"/>
              </w:rPr>
            </w:pPr>
            <w:r>
              <w:rPr>
                <w:rFonts w:ascii="Times New Roman" w:hAnsi="Times New Roman" w:eastAsia="宋体" w:cs="Times New Roman"/>
                <w:kern w:val="0"/>
                <w:szCs w:val="21"/>
              </w:rPr>
              <w:t>53</w:t>
            </w:r>
          </w:p>
        </w:tc>
        <w:tc>
          <w:tcPr>
            <w:tcW w:w="987" w:type="dxa"/>
            <w:tcBorders>
              <w:tl2br w:val="nil"/>
              <w:tr2bl w:val="nil"/>
            </w:tcBorders>
            <w:vAlign w:val="center"/>
          </w:tcPr>
          <w:p w14:paraId="71A9349C">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13D7B80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7A5FA501">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20</w:t>
            </w:r>
          </w:p>
        </w:tc>
        <w:tc>
          <w:tcPr>
            <w:tcW w:w="1984" w:type="dxa"/>
            <w:tcBorders>
              <w:tl2br w:val="nil"/>
              <w:tr2bl w:val="nil"/>
            </w:tcBorders>
            <w:vAlign w:val="center"/>
          </w:tcPr>
          <w:p w14:paraId="5AE659DE">
            <w:pPr>
              <w:snapToGrid w:val="0"/>
              <w:jc w:val="center"/>
              <w:rPr>
                <w:rFonts w:ascii="Times New Roman" w:hAnsi="Times New Roman" w:eastAsia="宋体" w:cs="Times New Roman"/>
                <w:szCs w:val="21"/>
              </w:rPr>
            </w:pPr>
            <w:r>
              <w:rPr>
                <w:rFonts w:ascii="Times New Roman" w:hAnsi="Times New Roman" w:eastAsia="宋体" w:cs="Times New Roman"/>
                <w:szCs w:val="21"/>
              </w:rPr>
              <w:t>1,1,1-三氯乙烷</w:t>
            </w:r>
          </w:p>
        </w:tc>
        <w:tc>
          <w:tcPr>
            <w:tcW w:w="1382" w:type="dxa"/>
            <w:vMerge w:val="continue"/>
            <w:tcBorders>
              <w:tl2br w:val="nil"/>
              <w:tr2bl w:val="nil"/>
            </w:tcBorders>
            <w:vAlign w:val="center"/>
          </w:tcPr>
          <w:p w14:paraId="34A51226">
            <w:pPr>
              <w:widowControl/>
              <w:jc w:val="center"/>
              <w:rPr>
                <w:rFonts w:ascii="Times New Roman" w:hAnsi="Times New Roman" w:eastAsia="宋体" w:cs="Times New Roman"/>
                <w:szCs w:val="21"/>
              </w:rPr>
            </w:pPr>
          </w:p>
        </w:tc>
        <w:tc>
          <w:tcPr>
            <w:tcW w:w="2591" w:type="dxa"/>
            <w:tcBorders>
              <w:tl2br w:val="nil"/>
              <w:tr2bl w:val="nil"/>
            </w:tcBorders>
            <w:vAlign w:val="center"/>
          </w:tcPr>
          <w:p w14:paraId="6520EBF4">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2B7BA5BB">
            <w:pPr>
              <w:widowControl/>
              <w:jc w:val="center"/>
              <w:rPr>
                <w:rFonts w:ascii="Times New Roman" w:hAnsi="Times New Roman" w:eastAsia="宋体" w:cs="Times New Roman"/>
                <w:szCs w:val="21"/>
              </w:rPr>
            </w:pPr>
            <w:r>
              <w:rPr>
                <w:rFonts w:ascii="Times New Roman" w:hAnsi="Times New Roman" w:eastAsia="宋体" w:cs="Times New Roman"/>
                <w:kern w:val="0"/>
                <w:szCs w:val="21"/>
              </w:rPr>
              <w:t>840</w:t>
            </w:r>
          </w:p>
        </w:tc>
        <w:tc>
          <w:tcPr>
            <w:tcW w:w="987" w:type="dxa"/>
            <w:tcBorders>
              <w:tl2br w:val="nil"/>
              <w:tr2bl w:val="nil"/>
            </w:tcBorders>
            <w:vAlign w:val="center"/>
          </w:tcPr>
          <w:p w14:paraId="30F632D6">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78C9310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7D2926AF">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21</w:t>
            </w:r>
          </w:p>
        </w:tc>
        <w:tc>
          <w:tcPr>
            <w:tcW w:w="1984" w:type="dxa"/>
            <w:tcBorders>
              <w:tl2br w:val="nil"/>
              <w:tr2bl w:val="nil"/>
            </w:tcBorders>
            <w:vAlign w:val="center"/>
          </w:tcPr>
          <w:p w14:paraId="77A0BB8D">
            <w:pPr>
              <w:snapToGrid w:val="0"/>
              <w:jc w:val="center"/>
              <w:rPr>
                <w:rFonts w:ascii="Times New Roman" w:hAnsi="Times New Roman" w:eastAsia="宋体" w:cs="Times New Roman"/>
                <w:szCs w:val="21"/>
              </w:rPr>
            </w:pPr>
            <w:r>
              <w:rPr>
                <w:rFonts w:ascii="Times New Roman" w:hAnsi="Times New Roman" w:eastAsia="宋体" w:cs="Times New Roman"/>
                <w:szCs w:val="21"/>
              </w:rPr>
              <w:t>1,1,2-三氯乙烷</w:t>
            </w:r>
          </w:p>
        </w:tc>
        <w:tc>
          <w:tcPr>
            <w:tcW w:w="1382" w:type="dxa"/>
            <w:vMerge w:val="continue"/>
            <w:tcBorders>
              <w:tl2br w:val="nil"/>
              <w:tr2bl w:val="nil"/>
            </w:tcBorders>
            <w:vAlign w:val="center"/>
          </w:tcPr>
          <w:p w14:paraId="49126B37">
            <w:pPr>
              <w:widowControl/>
              <w:jc w:val="center"/>
              <w:rPr>
                <w:rFonts w:ascii="Times New Roman" w:hAnsi="Times New Roman" w:eastAsia="宋体" w:cs="Times New Roman"/>
                <w:szCs w:val="21"/>
              </w:rPr>
            </w:pPr>
          </w:p>
        </w:tc>
        <w:tc>
          <w:tcPr>
            <w:tcW w:w="2591" w:type="dxa"/>
            <w:tcBorders>
              <w:tl2br w:val="nil"/>
              <w:tr2bl w:val="nil"/>
            </w:tcBorders>
            <w:vAlign w:val="center"/>
          </w:tcPr>
          <w:p w14:paraId="0652A987">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1283B599">
            <w:pPr>
              <w:widowControl/>
              <w:jc w:val="center"/>
              <w:rPr>
                <w:rFonts w:ascii="Times New Roman" w:hAnsi="Times New Roman" w:eastAsia="宋体" w:cs="Times New Roman"/>
                <w:szCs w:val="21"/>
              </w:rPr>
            </w:pPr>
            <w:r>
              <w:rPr>
                <w:rFonts w:ascii="Times New Roman" w:hAnsi="Times New Roman" w:eastAsia="宋体" w:cs="Times New Roman"/>
                <w:kern w:val="0"/>
                <w:szCs w:val="21"/>
              </w:rPr>
              <w:t>2.8</w:t>
            </w:r>
          </w:p>
        </w:tc>
        <w:tc>
          <w:tcPr>
            <w:tcW w:w="987" w:type="dxa"/>
            <w:tcBorders>
              <w:tl2br w:val="nil"/>
              <w:tr2bl w:val="nil"/>
            </w:tcBorders>
            <w:vAlign w:val="center"/>
          </w:tcPr>
          <w:p w14:paraId="2C15BB0A">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01767A0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7FD235EC">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22</w:t>
            </w:r>
          </w:p>
        </w:tc>
        <w:tc>
          <w:tcPr>
            <w:tcW w:w="1984" w:type="dxa"/>
            <w:tcBorders>
              <w:tl2br w:val="nil"/>
              <w:tr2bl w:val="nil"/>
            </w:tcBorders>
            <w:vAlign w:val="center"/>
          </w:tcPr>
          <w:p w14:paraId="3B1B5571">
            <w:pPr>
              <w:snapToGrid w:val="0"/>
              <w:jc w:val="center"/>
              <w:rPr>
                <w:rFonts w:ascii="Times New Roman" w:hAnsi="Times New Roman" w:eastAsia="宋体" w:cs="Times New Roman"/>
                <w:szCs w:val="21"/>
              </w:rPr>
            </w:pPr>
            <w:r>
              <w:rPr>
                <w:rFonts w:ascii="Times New Roman" w:hAnsi="Times New Roman" w:eastAsia="宋体" w:cs="Times New Roman"/>
                <w:szCs w:val="21"/>
              </w:rPr>
              <w:t>三氯乙烯</w:t>
            </w:r>
          </w:p>
        </w:tc>
        <w:tc>
          <w:tcPr>
            <w:tcW w:w="1382" w:type="dxa"/>
            <w:vMerge w:val="continue"/>
            <w:tcBorders>
              <w:tl2br w:val="nil"/>
              <w:tr2bl w:val="nil"/>
            </w:tcBorders>
            <w:vAlign w:val="center"/>
          </w:tcPr>
          <w:p w14:paraId="05B421D2">
            <w:pPr>
              <w:widowControl/>
              <w:jc w:val="center"/>
              <w:rPr>
                <w:rFonts w:ascii="Times New Roman" w:hAnsi="Times New Roman" w:eastAsia="宋体" w:cs="Times New Roman"/>
                <w:szCs w:val="21"/>
              </w:rPr>
            </w:pPr>
          </w:p>
        </w:tc>
        <w:tc>
          <w:tcPr>
            <w:tcW w:w="2591" w:type="dxa"/>
            <w:tcBorders>
              <w:tl2br w:val="nil"/>
              <w:tr2bl w:val="nil"/>
            </w:tcBorders>
            <w:vAlign w:val="center"/>
          </w:tcPr>
          <w:p w14:paraId="6B8A7BE9">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5E14B2E9">
            <w:pPr>
              <w:widowControl/>
              <w:jc w:val="center"/>
              <w:rPr>
                <w:rFonts w:ascii="Times New Roman" w:hAnsi="Times New Roman" w:eastAsia="宋体" w:cs="Times New Roman"/>
                <w:szCs w:val="21"/>
              </w:rPr>
            </w:pPr>
            <w:r>
              <w:rPr>
                <w:rFonts w:ascii="Times New Roman" w:hAnsi="Times New Roman" w:eastAsia="宋体" w:cs="Times New Roman"/>
                <w:kern w:val="0"/>
                <w:szCs w:val="21"/>
              </w:rPr>
              <w:t>2.8</w:t>
            </w:r>
          </w:p>
        </w:tc>
        <w:tc>
          <w:tcPr>
            <w:tcW w:w="987" w:type="dxa"/>
            <w:tcBorders>
              <w:tl2br w:val="nil"/>
              <w:tr2bl w:val="nil"/>
            </w:tcBorders>
            <w:vAlign w:val="center"/>
          </w:tcPr>
          <w:p w14:paraId="3FE5FF26">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1AF6096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6D6D22A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23</w:t>
            </w:r>
          </w:p>
        </w:tc>
        <w:tc>
          <w:tcPr>
            <w:tcW w:w="1984" w:type="dxa"/>
            <w:tcBorders>
              <w:tl2br w:val="nil"/>
              <w:tr2bl w:val="nil"/>
            </w:tcBorders>
            <w:vAlign w:val="center"/>
          </w:tcPr>
          <w:p w14:paraId="5DAB0ABA">
            <w:pPr>
              <w:snapToGrid w:val="0"/>
              <w:jc w:val="center"/>
              <w:rPr>
                <w:rFonts w:ascii="Times New Roman" w:hAnsi="Times New Roman" w:eastAsia="宋体" w:cs="Times New Roman"/>
                <w:szCs w:val="21"/>
              </w:rPr>
            </w:pPr>
            <w:r>
              <w:rPr>
                <w:rFonts w:ascii="Times New Roman" w:hAnsi="Times New Roman" w:eastAsia="宋体" w:cs="Times New Roman"/>
                <w:szCs w:val="21"/>
              </w:rPr>
              <w:t>1,2,3-三氯丙烷</w:t>
            </w:r>
          </w:p>
        </w:tc>
        <w:tc>
          <w:tcPr>
            <w:tcW w:w="1382" w:type="dxa"/>
            <w:vMerge w:val="continue"/>
            <w:tcBorders>
              <w:tl2br w:val="nil"/>
              <w:tr2bl w:val="nil"/>
            </w:tcBorders>
            <w:vAlign w:val="center"/>
          </w:tcPr>
          <w:p w14:paraId="779CFA2B">
            <w:pPr>
              <w:widowControl/>
              <w:jc w:val="center"/>
              <w:rPr>
                <w:rFonts w:ascii="Times New Roman" w:hAnsi="Times New Roman" w:eastAsia="宋体" w:cs="Times New Roman"/>
                <w:szCs w:val="21"/>
              </w:rPr>
            </w:pPr>
          </w:p>
        </w:tc>
        <w:tc>
          <w:tcPr>
            <w:tcW w:w="2591" w:type="dxa"/>
            <w:tcBorders>
              <w:tl2br w:val="nil"/>
              <w:tr2bl w:val="nil"/>
            </w:tcBorders>
            <w:vAlign w:val="center"/>
          </w:tcPr>
          <w:p w14:paraId="23D3CB98">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781E785B">
            <w:pPr>
              <w:widowControl/>
              <w:jc w:val="center"/>
              <w:rPr>
                <w:rFonts w:ascii="Times New Roman" w:hAnsi="Times New Roman" w:eastAsia="宋体" w:cs="Times New Roman"/>
                <w:szCs w:val="21"/>
              </w:rPr>
            </w:pPr>
            <w:r>
              <w:rPr>
                <w:rFonts w:ascii="Times New Roman" w:hAnsi="Times New Roman" w:eastAsia="宋体" w:cs="Times New Roman"/>
                <w:kern w:val="0"/>
                <w:szCs w:val="21"/>
              </w:rPr>
              <w:t>0.5</w:t>
            </w:r>
          </w:p>
        </w:tc>
        <w:tc>
          <w:tcPr>
            <w:tcW w:w="987" w:type="dxa"/>
            <w:tcBorders>
              <w:tl2br w:val="nil"/>
              <w:tr2bl w:val="nil"/>
            </w:tcBorders>
            <w:vAlign w:val="center"/>
          </w:tcPr>
          <w:p w14:paraId="58C93B97">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6BF75F1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33E5CBD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24</w:t>
            </w:r>
          </w:p>
        </w:tc>
        <w:tc>
          <w:tcPr>
            <w:tcW w:w="1984" w:type="dxa"/>
            <w:tcBorders>
              <w:tl2br w:val="nil"/>
              <w:tr2bl w:val="nil"/>
            </w:tcBorders>
            <w:vAlign w:val="center"/>
          </w:tcPr>
          <w:p w14:paraId="2912C61A">
            <w:pPr>
              <w:snapToGrid w:val="0"/>
              <w:jc w:val="center"/>
              <w:rPr>
                <w:rFonts w:ascii="Times New Roman" w:hAnsi="Times New Roman" w:eastAsia="宋体" w:cs="Times New Roman"/>
                <w:szCs w:val="21"/>
              </w:rPr>
            </w:pPr>
            <w:r>
              <w:rPr>
                <w:rFonts w:ascii="Times New Roman" w:hAnsi="Times New Roman" w:eastAsia="宋体" w:cs="Times New Roman"/>
                <w:szCs w:val="21"/>
              </w:rPr>
              <w:t>氯乙烯</w:t>
            </w:r>
          </w:p>
        </w:tc>
        <w:tc>
          <w:tcPr>
            <w:tcW w:w="1382" w:type="dxa"/>
            <w:vMerge w:val="continue"/>
            <w:tcBorders>
              <w:tl2br w:val="nil"/>
              <w:tr2bl w:val="nil"/>
            </w:tcBorders>
            <w:vAlign w:val="center"/>
          </w:tcPr>
          <w:p w14:paraId="7599844F">
            <w:pPr>
              <w:widowControl/>
              <w:jc w:val="center"/>
              <w:rPr>
                <w:rFonts w:ascii="Times New Roman" w:hAnsi="Times New Roman" w:eastAsia="宋体" w:cs="Times New Roman"/>
                <w:szCs w:val="21"/>
              </w:rPr>
            </w:pPr>
          </w:p>
        </w:tc>
        <w:tc>
          <w:tcPr>
            <w:tcW w:w="2591" w:type="dxa"/>
            <w:tcBorders>
              <w:tl2br w:val="nil"/>
              <w:tr2bl w:val="nil"/>
            </w:tcBorders>
            <w:vAlign w:val="center"/>
          </w:tcPr>
          <w:p w14:paraId="713EE868">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7A2F599C">
            <w:pPr>
              <w:widowControl/>
              <w:jc w:val="center"/>
              <w:rPr>
                <w:rFonts w:ascii="Times New Roman" w:hAnsi="Times New Roman" w:eastAsia="宋体" w:cs="Times New Roman"/>
                <w:szCs w:val="21"/>
              </w:rPr>
            </w:pPr>
            <w:r>
              <w:rPr>
                <w:rFonts w:ascii="Times New Roman" w:hAnsi="Times New Roman" w:eastAsia="宋体" w:cs="Times New Roman"/>
                <w:kern w:val="0"/>
                <w:szCs w:val="21"/>
              </w:rPr>
              <w:t>0.43</w:t>
            </w:r>
          </w:p>
        </w:tc>
        <w:tc>
          <w:tcPr>
            <w:tcW w:w="987" w:type="dxa"/>
            <w:tcBorders>
              <w:tl2br w:val="nil"/>
              <w:tr2bl w:val="nil"/>
            </w:tcBorders>
            <w:vAlign w:val="center"/>
          </w:tcPr>
          <w:p w14:paraId="01BAB625">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3CE9085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0D29ED3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25</w:t>
            </w:r>
          </w:p>
        </w:tc>
        <w:tc>
          <w:tcPr>
            <w:tcW w:w="1984" w:type="dxa"/>
            <w:tcBorders>
              <w:tl2br w:val="nil"/>
              <w:tr2bl w:val="nil"/>
            </w:tcBorders>
            <w:vAlign w:val="center"/>
          </w:tcPr>
          <w:p w14:paraId="74962CFE">
            <w:pPr>
              <w:snapToGrid w:val="0"/>
              <w:jc w:val="center"/>
              <w:rPr>
                <w:rFonts w:ascii="Times New Roman" w:hAnsi="Times New Roman" w:eastAsia="宋体" w:cs="Times New Roman"/>
                <w:szCs w:val="21"/>
              </w:rPr>
            </w:pPr>
            <w:r>
              <w:rPr>
                <w:rFonts w:ascii="Times New Roman" w:hAnsi="Times New Roman" w:eastAsia="宋体" w:cs="Times New Roman"/>
                <w:szCs w:val="21"/>
              </w:rPr>
              <w:t>苯</w:t>
            </w:r>
          </w:p>
        </w:tc>
        <w:tc>
          <w:tcPr>
            <w:tcW w:w="1382" w:type="dxa"/>
            <w:vMerge w:val="continue"/>
            <w:tcBorders>
              <w:tl2br w:val="nil"/>
              <w:tr2bl w:val="nil"/>
            </w:tcBorders>
            <w:vAlign w:val="center"/>
          </w:tcPr>
          <w:p w14:paraId="2A130BA0">
            <w:pPr>
              <w:widowControl/>
              <w:jc w:val="center"/>
              <w:rPr>
                <w:rFonts w:ascii="Times New Roman" w:hAnsi="Times New Roman" w:eastAsia="宋体" w:cs="Times New Roman"/>
                <w:szCs w:val="21"/>
              </w:rPr>
            </w:pPr>
          </w:p>
        </w:tc>
        <w:tc>
          <w:tcPr>
            <w:tcW w:w="2591" w:type="dxa"/>
            <w:tcBorders>
              <w:tl2br w:val="nil"/>
              <w:tr2bl w:val="nil"/>
            </w:tcBorders>
            <w:vAlign w:val="center"/>
          </w:tcPr>
          <w:p w14:paraId="03DAA116">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5F620033">
            <w:pPr>
              <w:widowControl/>
              <w:jc w:val="center"/>
              <w:rPr>
                <w:rFonts w:ascii="Times New Roman" w:hAnsi="Times New Roman" w:eastAsia="宋体" w:cs="Times New Roman"/>
                <w:szCs w:val="21"/>
              </w:rPr>
            </w:pPr>
            <w:r>
              <w:rPr>
                <w:rFonts w:ascii="Times New Roman" w:hAnsi="Times New Roman" w:eastAsia="宋体" w:cs="Times New Roman"/>
                <w:kern w:val="0"/>
                <w:szCs w:val="21"/>
              </w:rPr>
              <w:t>4</w:t>
            </w:r>
          </w:p>
        </w:tc>
        <w:tc>
          <w:tcPr>
            <w:tcW w:w="987" w:type="dxa"/>
            <w:tcBorders>
              <w:tl2br w:val="nil"/>
              <w:tr2bl w:val="nil"/>
            </w:tcBorders>
            <w:vAlign w:val="center"/>
          </w:tcPr>
          <w:p w14:paraId="1203B4C2">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0D3C417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623A917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26</w:t>
            </w:r>
          </w:p>
        </w:tc>
        <w:tc>
          <w:tcPr>
            <w:tcW w:w="1984" w:type="dxa"/>
            <w:tcBorders>
              <w:tl2br w:val="nil"/>
              <w:tr2bl w:val="nil"/>
            </w:tcBorders>
            <w:vAlign w:val="center"/>
          </w:tcPr>
          <w:p w14:paraId="3E54A617">
            <w:pPr>
              <w:snapToGrid w:val="0"/>
              <w:jc w:val="center"/>
              <w:rPr>
                <w:rFonts w:ascii="Times New Roman" w:hAnsi="Times New Roman" w:eastAsia="宋体" w:cs="Times New Roman"/>
                <w:szCs w:val="21"/>
              </w:rPr>
            </w:pPr>
            <w:r>
              <w:rPr>
                <w:rFonts w:ascii="Times New Roman" w:hAnsi="Times New Roman" w:eastAsia="宋体" w:cs="Times New Roman"/>
                <w:szCs w:val="21"/>
              </w:rPr>
              <w:t>氯苯</w:t>
            </w:r>
          </w:p>
        </w:tc>
        <w:tc>
          <w:tcPr>
            <w:tcW w:w="1382" w:type="dxa"/>
            <w:vMerge w:val="continue"/>
            <w:tcBorders>
              <w:tl2br w:val="nil"/>
              <w:tr2bl w:val="nil"/>
            </w:tcBorders>
            <w:vAlign w:val="center"/>
          </w:tcPr>
          <w:p w14:paraId="3FA9D2C8">
            <w:pPr>
              <w:widowControl/>
              <w:jc w:val="center"/>
              <w:rPr>
                <w:rFonts w:ascii="Times New Roman" w:hAnsi="Times New Roman" w:eastAsia="宋体" w:cs="Times New Roman"/>
                <w:szCs w:val="21"/>
              </w:rPr>
            </w:pPr>
          </w:p>
        </w:tc>
        <w:tc>
          <w:tcPr>
            <w:tcW w:w="2591" w:type="dxa"/>
            <w:tcBorders>
              <w:tl2br w:val="nil"/>
              <w:tr2bl w:val="nil"/>
            </w:tcBorders>
            <w:vAlign w:val="center"/>
          </w:tcPr>
          <w:p w14:paraId="430B1B3E">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6E8BE32F">
            <w:pPr>
              <w:widowControl/>
              <w:jc w:val="center"/>
              <w:rPr>
                <w:rFonts w:ascii="Times New Roman" w:hAnsi="Times New Roman" w:eastAsia="宋体" w:cs="Times New Roman"/>
                <w:szCs w:val="21"/>
              </w:rPr>
            </w:pPr>
            <w:r>
              <w:rPr>
                <w:rFonts w:ascii="Times New Roman" w:hAnsi="Times New Roman" w:eastAsia="宋体" w:cs="Times New Roman"/>
                <w:kern w:val="0"/>
                <w:szCs w:val="21"/>
              </w:rPr>
              <w:t>270</w:t>
            </w:r>
          </w:p>
        </w:tc>
        <w:tc>
          <w:tcPr>
            <w:tcW w:w="987" w:type="dxa"/>
            <w:tcBorders>
              <w:tl2br w:val="nil"/>
              <w:tr2bl w:val="nil"/>
            </w:tcBorders>
            <w:vAlign w:val="center"/>
          </w:tcPr>
          <w:p w14:paraId="0D416CB9">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6E7D445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5E67977A">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27</w:t>
            </w:r>
          </w:p>
        </w:tc>
        <w:tc>
          <w:tcPr>
            <w:tcW w:w="1984" w:type="dxa"/>
            <w:tcBorders>
              <w:tl2br w:val="nil"/>
              <w:tr2bl w:val="nil"/>
            </w:tcBorders>
            <w:vAlign w:val="center"/>
          </w:tcPr>
          <w:p w14:paraId="79F7276C">
            <w:pPr>
              <w:snapToGrid w:val="0"/>
              <w:jc w:val="center"/>
              <w:rPr>
                <w:rFonts w:ascii="Times New Roman" w:hAnsi="Times New Roman" w:eastAsia="宋体" w:cs="Times New Roman"/>
                <w:szCs w:val="21"/>
              </w:rPr>
            </w:pPr>
            <w:r>
              <w:rPr>
                <w:rFonts w:ascii="Times New Roman" w:hAnsi="Times New Roman" w:eastAsia="宋体" w:cs="Times New Roman"/>
                <w:szCs w:val="21"/>
              </w:rPr>
              <w:t>1,2-二氯苯</w:t>
            </w:r>
          </w:p>
        </w:tc>
        <w:tc>
          <w:tcPr>
            <w:tcW w:w="1382" w:type="dxa"/>
            <w:vMerge w:val="continue"/>
            <w:tcBorders>
              <w:tl2br w:val="nil"/>
              <w:tr2bl w:val="nil"/>
            </w:tcBorders>
            <w:vAlign w:val="center"/>
          </w:tcPr>
          <w:p w14:paraId="0C9B4C9B">
            <w:pPr>
              <w:widowControl/>
              <w:jc w:val="center"/>
              <w:rPr>
                <w:rFonts w:ascii="Times New Roman" w:hAnsi="Times New Roman" w:eastAsia="宋体" w:cs="Times New Roman"/>
                <w:szCs w:val="21"/>
              </w:rPr>
            </w:pPr>
          </w:p>
        </w:tc>
        <w:tc>
          <w:tcPr>
            <w:tcW w:w="2591" w:type="dxa"/>
            <w:tcBorders>
              <w:tl2br w:val="nil"/>
              <w:tr2bl w:val="nil"/>
            </w:tcBorders>
            <w:vAlign w:val="center"/>
          </w:tcPr>
          <w:p w14:paraId="2FCC7F89">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07B610E3">
            <w:pPr>
              <w:widowControl/>
              <w:jc w:val="center"/>
              <w:rPr>
                <w:rFonts w:ascii="Times New Roman" w:hAnsi="Times New Roman" w:eastAsia="宋体" w:cs="Times New Roman"/>
                <w:szCs w:val="21"/>
              </w:rPr>
            </w:pPr>
            <w:r>
              <w:rPr>
                <w:rFonts w:ascii="Times New Roman" w:hAnsi="Times New Roman" w:eastAsia="宋体" w:cs="Times New Roman"/>
                <w:kern w:val="0"/>
                <w:szCs w:val="21"/>
              </w:rPr>
              <w:t>560</w:t>
            </w:r>
          </w:p>
        </w:tc>
        <w:tc>
          <w:tcPr>
            <w:tcW w:w="987" w:type="dxa"/>
            <w:tcBorders>
              <w:tl2br w:val="nil"/>
              <w:tr2bl w:val="nil"/>
            </w:tcBorders>
            <w:vAlign w:val="center"/>
          </w:tcPr>
          <w:p w14:paraId="70C326B1">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7CC9016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12559AAD">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28</w:t>
            </w:r>
          </w:p>
        </w:tc>
        <w:tc>
          <w:tcPr>
            <w:tcW w:w="1984" w:type="dxa"/>
            <w:tcBorders>
              <w:tl2br w:val="nil"/>
              <w:tr2bl w:val="nil"/>
            </w:tcBorders>
            <w:vAlign w:val="center"/>
          </w:tcPr>
          <w:p w14:paraId="7DEE684E">
            <w:pPr>
              <w:snapToGrid w:val="0"/>
              <w:jc w:val="center"/>
              <w:rPr>
                <w:rFonts w:ascii="Times New Roman" w:hAnsi="Times New Roman" w:eastAsia="宋体" w:cs="Times New Roman"/>
                <w:szCs w:val="21"/>
              </w:rPr>
            </w:pPr>
            <w:r>
              <w:rPr>
                <w:rFonts w:ascii="Times New Roman" w:hAnsi="Times New Roman" w:eastAsia="宋体" w:cs="Times New Roman"/>
                <w:szCs w:val="21"/>
              </w:rPr>
              <w:t>1,4-二氯苯</w:t>
            </w:r>
          </w:p>
        </w:tc>
        <w:tc>
          <w:tcPr>
            <w:tcW w:w="1382" w:type="dxa"/>
            <w:vMerge w:val="continue"/>
            <w:tcBorders>
              <w:tl2br w:val="nil"/>
              <w:tr2bl w:val="nil"/>
            </w:tcBorders>
            <w:vAlign w:val="center"/>
          </w:tcPr>
          <w:p w14:paraId="15684FA3">
            <w:pPr>
              <w:widowControl/>
              <w:jc w:val="center"/>
              <w:rPr>
                <w:rFonts w:ascii="Times New Roman" w:hAnsi="Times New Roman" w:eastAsia="宋体" w:cs="Times New Roman"/>
                <w:szCs w:val="21"/>
              </w:rPr>
            </w:pPr>
          </w:p>
        </w:tc>
        <w:tc>
          <w:tcPr>
            <w:tcW w:w="2591" w:type="dxa"/>
            <w:tcBorders>
              <w:tl2br w:val="nil"/>
              <w:tr2bl w:val="nil"/>
            </w:tcBorders>
            <w:vAlign w:val="center"/>
          </w:tcPr>
          <w:p w14:paraId="06F7208E">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7358FB3E">
            <w:pPr>
              <w:widowControl/>
              <w:jc w:val="center"/>
              <w:rPr>
                <w:rFonts w:ascii="Times New Roman" w:hAnsi="Times New Roman" w:eastAsia="宋体" w:cs="Times New Roman"/>
                <w:szCs w:val="21"/>
              </w:rPr>
            </w:pPr>
            <w:r>
              <w:rPr>
                <w:rFonts w:ascii="Times New Roman" w:hAnsi="Times New Roman" w:eastAsia="宋体" w:cs="Times New Roman"/>
                <w:kern w:val="0"/>
                <w:szCs w:val="21"/>
              </w:rPr>
              <w:t>20</w:t>
            </w:r>
          </w:p>
        </w:tc>
        <w:tc>
          <w:tcPr>
            <w:tcW w:w="987" w:type="dxa"/>
            <w:tcBorders>
              <w:tl2br w:val="nil"/>
              <w:tr2bl w:val="nil"/>
            </w:tcBorders>
            <w:vAlign w:val="center"/>
          </w:tcPr>
          <w:p w14:paraId="14848D03">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60ADB27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5A1427B2">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29</w:t>
            </w:r>
          </w:p>
        </w:tc>
        <w:tc>
          <w:tcPr>
            <w:tcW w:w="1984" w:type="dxa"/>
            <w:tcBorders>
              <w:tl2br w:val="nil"/>
              <w:tr2bl w:val="nil"/>
            </w:tcBorders>
            <w:vAlign w:val="center"/>
          </w:tcPr>
          <w:p w14:paraId="54B9333C">
            <w:pPr>
              <w:snapToGrid w:val="0"/>
              <w:jc w:val="center"/>
              <w:rPr>
                <w:rFonts w:ascii="Times New Roman" w:hAnsi="Times New Roman" w:eastAsia="宋体" w:cs="Times New Roman"/>
                <w:szCs w:val="21"/>
              </w:rPr>
            </w:pPr>
            <w:r>
              <w:rPr>
                <w:rFonts w:ascii="Times New Roman" w:hAnsi="Times New Roman" w:eastAsia="宋体" w:cs="Times New Roman"/>
                <w:szCs w:val="21"/>
              </w:rPr>
              <w:t>乙苯</w:t>
            </w:r>
          </w:p>
        </w:tc>
        <w:tc>
          <w:tcPr>
            <w:tcW w:w="1382" w:type="dxa"/>
            <w:vMerge w:val="continue"/>
            <w:tcBorders>
              <w:tl2br w:val="nil"/>
              <w:tr2bl w:val="nil"/>
            </w:tcBorders>
            <w:vAlign w:val="center"/>
          </w:tcPr>
          <w:p w14:paraId="59DB2BC8">
            <w:pPr>
              <w:widowControl/>
              <w:jc w:val="center"/>
              <w:rPr>
                <w:rFonts w:ascii="Times New Roman" w:hAnsi="Times New Roman" w:eastAsia="宋体" w:cs="Times New Roman"/>
                <w:szCs w:val="21"/>
              </w:rPr>
            </w:pPr>
          </w:p>
        </w:tc>
        <w:tc>
          <w:tcPr>
            <w:tcW w:w="2591" w:type="dxa"/>
            <w:tcBorders>
              <w:tl2br w:val="nil"/>
              <w:tr2bl w:val="nil"/>
            </w:tcBorders>
            <w:vAlign w:val="center"/>
          </w:tcPr>
          <w:p w14:paraId="56109A00">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3EEDBAD8">
            <w:pPr>
              <w:widowControl/>
              <w:jc w:val="center"/>
              <w:rPr>
                <w:rFonts w:ascii="Times New Roman" w:hAnsi="Times New Roman" w:eastAsia="宋体" w:cs="Times New Roman"/>
                <w:szCs w:val="21"/>
              </w:rPr>
            </w:pPr>
            <w:r>
              <w:rPr>
                <w:rFonts w:ascii="Times New Roman" w:hAnsi="Times New Roman" w:eastAsia="宋体" w:cs="Times New Roman"/>
                <w:kern w:val="0"/>
                <w:szCs w:val="21"/>
              </w:rPr>
              <w:t>28</w:t>
            </w:r>
          </w:p>
        </w:tc>
        <w:tc>
          <w:tcPr>
            <w:tcW w:w="987" w:type="dxa"/>
            <w:tcBorders>
              <w:tl2br w:val="nil"/>
              <w:tr2bl w:val="nil"/>
            </w:tcBorders>
            <w:vAlign w:val="center"/>
          </w:tcPr>
          <w:p w14:paraId="32EFA698">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1BBAD6F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06D07990">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30</w:t>
            </w:r>
          </w:p>
        </w:tc>
        <w:tc>
          <w:tcPr>
            <w:tcW w:w="1984" w:type="dxa"/>
            <w:tcBorders>
              <w:tl2br w:val="nil"/>
              <w:tr2bl w:val="nil"/>
            </w:tcBorders>
            <w:vAlign w:val="center"/>
          </w:tcPr>
          <w:p w14:paraId="1402F85D">
            <w:pPr>
              <w:snapToGrid w:val="0"/>
              <w:jc w:val="center"/>
              <w:rPr>
                <w:rFonts w:ascii="Times New Roman" w:hAnsi="Times New Roman" w:eastAsia="宋体" w:cs="Times New Roman"/>
                <w:szCs w:val="21"/>
              </w:rPr>
            </w:pPr>
            <w:r>
              <w:rPr>
                <w:rFonts w:ascii="Times New Roman" w:hAnsi="Times New Roman" w:eastAsia="宋体" w:cs="Times New Roman"/>
                <w:szCs w:val="21"/>
              </w:rPr>
              <w:t>苯乙烯</w:t>
            </w:r>
          </w:p>
        </w:tc>
        <w:tc>
          <w:tcPr>
            <w:tcW w:w="1382" w:type="dxa"/>
            <w:vMerge w:val="continue"/>
            <w:tcBorders>
              <w:tl2br w:val="nil"/>
              <w:tr2bl w:val="nil"/>
            </w:tcBorders>
            <w:vAlign w:val="center"/>
          </w:tcPr>
          <w:p w14:paraId="24F5B673">
            <w:pPr>
              <w:widowControl/>
              <w:jc w:val="center"/>
              <w:rPr>
                <w:rFonts w:ascii="Times New Roman" w:hAnsi="Times New Roman" w:eastAsia="宋体" w:cs="Times New Roman"/>
                <w:szCs w:val="21"/>
              </w:rPr>
            </w:pPr>
          </w:p>
        </w:tc>
        <w:tc>
          <w:tcPr>
            <w:tcW w:w="2591" w:type="dxa"/>
            <w:tcBorders>
              <w:tl2br w:val="nil"/>
              <w:tr2bl w:val="nil"/>
            </w:tcBorders>
            <w:vAlign w:val="center"/>
          </w:tcPr>
          <w:p w14:paraId="5CC4ADDC">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65F11E05">
            <w:pPr>
              <w:widowControl/>
              <w:jc w:val="center"/>
              <w:rPr>
                <w:rFonts w:ascii="Times New Roman" w:hAnsi="Times New Roman" w:eastAsia="宋体" w:cs="Times New Roman"/>
                <w:szCs w:val="21"/>
              </w:rPr>
            </w:pPr>
            <w:r>
              <w:rPr>
                <w:rFonts w:ascii="Times New Roman" w:hAnsi="Times New Roman" w:eastAsia="宋体" w:cs="Times New Roman"/>
                <w:kern w:val="0"/>
                <w:szCs w:val="21"/>
              </w:rPr>
              <w:t>1290</w:t>
            </w:r>
          </w:p>
        </w:tc>
        <w:tc>
          <w:tcPr>
            <w:tcW w:w="987" w:type="dxa"/>
            <w:tcBorders>
              <w:tl2br w:val="nil"/>
              <w:tr2bl w:val="nil"/>
            </w:tcBorders>
            <w:vAlign w:val="center"/>
          </w:tcPr>
          <w:p w14:paraId="5016093F">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402BC57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7622116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31</w:t>
            </w:r>
          </w:p>
        </w:tc>
        <w:tc>
          <w:tcPr>
            <w:tcW w:w="1984" w:type="dxa"/>
            <w:tcBorders>
              <w:tl2br w:val="nil"/>
              <w:tr2bl w:val="nil"/>
            </w:tcBorders>
            <w:vAlign w:val="center"/>
          </w:tcPr>
          <w:p w14:paraId="4C72E982">
            <w:pPr>
              <w:snapToGrid w:val="0"/>
              <w:jc w:val="center"/>
              <w:rPr>
                <w:rFonts w:ascii="Times New Roman" w:hAnsi="Times New Roman" w:eastAsia="宋体" w:cs="Times New Roman"/>
                <w:szCs w:val="21"/>
              </w:rPr>
            </w:pPr>
            <w:r>
              <w:rPr>
                <w:rFonts w:ascii="Times New Roman" w:hAnsi="Times New Roman" w:eastAsia="宋体" w:cs="Times New Roman"/>
                <w:szCs w:val="21"/>
              </w:rPr>
              <w:t>甲苯</w:t>
            </w:r>
          </w:p>
        </w:tc>
        <w:tc>
          <w:tcPr>
            <w:tcW w:w="1382" w:type="dxa"/>
            <w:vMerge w:val="continue"/>
            <w:tcBorders>
              <w:tl2br w:val="nil"/>
              <w:tr2bl w:val="nil"/>
            </w:tcBorders>
            <w:vAlign w:val="center"/>
          </w:tcPr>
          <w:p w14:paraId="2556CA96">
            <w:pPr>
              <w:widowControl/>
              <w:jc w:val="center"/>
              <w:rPr>
                <w:rFonts w:ascii="Times New Roman" w:hAnsi="Times New Roman" w:eastAsia="宋体" w:cs="Times New Roman"/>
                <w:szCs w:val="21"/>
              </w:rPr>
            </w:pPr>
          </w:p>
        </w:tc>
        <w:tc>
          <w:tcPr>
            <w:tcW w:w="2591" w:type="dxa"/>
            <w:tcBorders>
              <w:tl2br w:val="nil"/>
              <w:tr2bl w:val="nil"/>
            </w:tcBorders>
            <w:vAlign w:val="center"/>
          </w:tcPr>
          <w:p w14:paraId="35FDA15B">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300A18C4">
            <w:pPr>
              <w:widowControl/>
              <w:jc w:val="center"/>
              <w:rPr>
                <w:rFonts w:ascii="Times New Roman" w:hAnsi="Times New Roman" w:eastAsia="宋体" w:cs="Times New Roman"/>
                <w:szCs w:val="21"/>
              </w:rPr>
            </w:pPr>
            <w:r>
              <w:rPr>
                <w:rFonts w:ascii="Times New Roman" w:hAnsi="Times New Roman" w:eastAsia="宋体" w:cs="Times New Roman"/>
                <w:kern w:val="0"/>
                <w:szCs w:val="21"/>
              </w:rPr>
              <w:t>1200</w:t>
            </w:r>
          </w:p>
        </w:tc>
        <w:tc>
          <w:tcPr>
            <w:tcW w:w="987" w:type="dxa"/>
            <w:tcBorders>
              <w:tl2br w:val="nil"/>
              <w:tr2bl w:val="nil"/>
            </w:tcBorders>
            <w:vAlign w:val="center"/>
          </w:tcPr>
          <w:p w14:paraId="236B2AAE">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108A955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463E37D1">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32</w:t>
            </w:r>
          </w:p>
        </w:tc>
        <w:tc>
          <w:tcPr>
            <w:tcW w:w="1984" w:type="dxa"/>
            <w:tcBorders>
              <w:tl2br w:val="nil"/>
              <w:tr2bl w:val="nil"/>
            </w:tcBorders>
            <w:vAlign w:val="center"/>
          </w:tcPr>
          <w:p w14:paraId="05A504D8">
            <w:pPr>
              <w:snapToGrid w:val="0"/>
              <w:jc w:val="center"/>
              <w:rPr>
                <w:rFonts w:ascii="Times New Roman" w:hAnsi="Times New Roman" w:eastAsia="宋体" w:cs="Times New Roman"/>
                <w:szCs w:val="21"/>
              </w:rPr>
            </w:pPr>
            <w:r>
              <w:rPr>
                <w:rFonts w:ascii="Times New Roman" w:hAnsi="Times New Roman" w:eastAsia="宋体" w:cs="Times New Roman"/>
                <w:szCs w:val="21"/>
              </w:rPr>
              <w:t>间+对-二甲苯</w:t>
            </w:r>
          </w:p>
        </w:tc>
        <w:tc>
          <w:tcPr>
            <w:tcW w:w="1382" w:type="dxa"/>
            <w:vMerge w:val="continue"/>
            <w:tcBorders>
              <w:tl2br w:val="nil"/>
              <w:tr2bl w:val="nil"/>
            </w:tcBorders>
            <w:vAlign w:val="center"/>
          </w:tcPr>
          <w:p w14:paraId="1097F06B">
            <w:pPr>
              <w:widowControl/>
              <w:jc w:val="center"/>
              <w:rPr>
                <w:rFonts w:ascii="Times New Roman" w:hAnsi="Times New Roman" w:eastAsia="宋体" w:cs="Times New Roman"/>
                <w:szCs w:val="21"/>
              </w:rPr>
            </w:pPr>
          </w:p>
        </w:tc>
        <w:tc>
          <w:tcPr>
            <w:tcW w:w="2591" w:type="dxa"/>
            <w:tcBorders>
              <w:tl2br w:val="nil"/>
              <w:tr2bl w:val="nil"/>
            </w:tcBorders>
            <w:vAlign w:val="center"/>
          </w:tcPr>
          <w:p w14:paraId="5A1A65DC">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3DEFCE8A">
            <w:pPr>
              <w:widowControl/>
              <w:jc w:val="center"/>
              <w:rPr>
                <w:rFonts w:ascii="Times New Roman" w:hAnsi="Times New Roman" w:eastAsia="宋体" w:cs="Times New Roman"/>
                <w:szCs w:val="21"/>
              </w:rPr>
            </w:pPr>
            <w:r>
              <w:rPr>
                <w:rFonts w:ascii="Times New Roman" w:hAnsi="Times New Roman" w:eastAsia="宋体" w:cs="Times New Roman"/>
                <w:kern w:val="0"/>
                <w:szCs w:val="21"/>
              </w:rPr>
              <w:t>570</w:t>
            </w:r>
          </w:p>
        </w:tc>
        <w:tc>
          <w:tcPr>
            <w:tcW w:w="987" w:type="dxa"/>
            <w:tcBorders>
              <w:tl2br w:val="nil"/>
              <w:tr2bl w:val="nil"/>
            </w:tcBorders>
            <w:vAlign w:val="center"/>
          </w:tcPr>
          <w:p w14:paraId="1AB797D8">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7F3F112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32769F3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33</w:t>
            </w:r>
          </w:p>
        </w:tc>
        <w:tc>
          <w:tcPr>
            <w:tcW w:w="1984" w:type="dxa"/>
            <w:tcBorders>
              <w:tl2br w:val="nil"/>
              <w:tr2bl w:val="nil"/>
            </w:tcBorders>
            <w:vAlign w:val="center"/>
          </w:tcPr>
          <w:p w14:paraId="2E8C6949">
            <w:pPr>
              <w:snapToGrid w:val="0"/>
              <w:jc w:val="center"/>
              <w:rPr>
                <w:rFonts w:ascii="Times New Roman" w:hAnsi="Times New Roman" w:eastAsia="宋体" w:cs="Times New Roman"/>
                <w:szCs w:val="21"/>
              </w:rPr>
            </w:pPr>
            <w:r>
              <w:rPr>
                <w:rFonts w:ascii="Times New Roman" w:hAnsi="Times New Roman" w:eastAsia="宋体" w:cs="Times New Roman"/>
                <w:szCs w:val="21"/>
              </w:rPr>
              <w:t>邻-二甲苯</w:t>
            </w:r>
          </w:p>
        </w:tc>
        <w:tc>
          <w:tcPr>
            <w:tcW w:w="1382" w:type="dxa"/>
            <w:vMerge w:val="continue"/>
            <w:tcBorders>
              <w:tl2br w:val="nil"/>
              <w:tr2bl w:val="nil"/>
            </w:tcBorders>
            <w:vAlign w:val="center"/>
          </w:tcPr>
          <w:p w14:paraId="0A5FFEAA">
            <w:pPr>
              <w:widowControl/>
              <w:jc w:val="center"/>
              <w:rPr>
                <w:rFonts w:ascii="Times New Roman" w:hAnsi="Times New Roman" w:eastAsia="宋体" w:cs="Times New Roman"/>
                <w:szCs w:val="21"/>
              </w:rPr>
            </w:pPr>
          </w:p>
        </w:tc>
        <w:tc>
          <w:tcPr>
            <w:tcW w:w="2591" w:type="dxa"/>
            <w:tcBorders>
              <w:tl2br w:val="nil"/>
              <w:tr2bl w:val="nil"/>
            </w:tcBorders>
            <w:vAlign w:val="center"/>
          </w:tcPr>
          <w:p w14:paraId="4A1462D0">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5ABC38D7">
            <w:pPr>
              <w:widowControl/>
              <w:jc w:val="center"/>
              <w:rPr>
                <w:rFonts w:ascii="Times New Roman" w:hAnsi="Times New Roman" w:eastAsia="宋体" w:cs="Times New Roman"/>
                <w:szCs w:val="21"/>
              </w:rPr>
            </w:pPr>
            <w:r>
              <w:rPr>
                <w:rFonts w:ascii="Times New Roman" w:hAnsi="Times New Roman" w:eastAsia="宋体" w:cs="Times New Roman"/>
                <w:kern w:val="0"/>
                <w:szCs w:val="21"/>
              </w:rPr>
              <w:t>640</w:t>
            </w:r>
          </w:p>
        </w:tc>
        <w:tc>
          <w:tcPr>
            <w:tcW w:w="987" w:type="dxa"/>
            <w:tcBorders>
              <w:tl2br w:val="nil"/>
              <w:tr2bl w:val="nil"/>
            </w:tcBorders>
            <w:vAlign w:val="center"/>
          </w:tcPr>
          <w:p w14:paraId="4A538724">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0DD5ED3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73C2AFB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34</w:t>
            </w:r>
          </w:p>
        </w:tc>
        <w:tc>
          <w:tcPr>
            <w:tcW w:w="1984" w:type="dxa"/>
            <w:tcBorders>
              <w:tl2br w:val="nil"/>
              <w:tr2bl w:val="nil"/>
            </w:tcBorders>
            <w:vAlign w:val="center"/>
          </w:tcPr>
          <w:p w14:paraId="65E91B75">
            <w:pPr>
              <w:snapToGrid w:val="0"/>
              <w:jc w:val="center"/>
              <w:rPr>
                <w:rFonts w:ascii="Times New Roman" w:hAnsi="Times New Roman" w:eastAsia="宋体" w:cs="Times New Roman"/>
                <w:szCs w:val="21"/>
              </w:rPr>
            </w:pPr>
            <w:r>
              <w:rPr>
                <w:rFonts w:ascii="Times New Roman" w:hAnsi="Times New Roman" w:eastAsia="宋体" w:cs="Times New Roman"/>
                <w:szCs w:val="21"/>
              </w:rPr>
              <w:t>氯甲烷</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5A23C043">
            <w:pPr>
              <w:widowControl/>
              <w:jc w:val="center"/>
              <w:rPr>
                <w:rFonts w:ascii="Times New Roman" w:hAnsi="Times New Roman" w:eastAsia="宋体" w:cs="Times New Roman"/>
                <w:szCs w:val="21"/>
              </w:rPr>
            </w:pPr>
          </w:p>
        </w:tc>
        <w:tc>
          <w:tcPr>
            <w:tcW w:w="2591" w:type="dxa"/>
            <w:tcBorders>
              <w:tl2br w:val="nil"/>
              <w:tr2bl w:val="nil"/>
            </w:tcBorders>
            <w:vAlign w:val="center"/>
          </w:tcPr>
          <w:p w14:paraId="6660277C">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410885B2">
            <w:pPr>
              <w:jc w:val="center"/>
              <w:rPr>
                <w:rFonts w:ascii="Times New Roman" w:hAnsi="Times New Roman" w:eastAsia="宋体" w:cs="Times New Roman"/>
                <w:szCs w:val="21"/>
              </w:rPr>
            </w:pPr>
            <w:r>
              <w:rPr>
                <w:rFonts w:ascii="Times New Roman" w:hAnsi="Times New Roman" w:eastAsia="宋体" w:cs="Times New Roman"/>
                <w:szCs w:val="21"/>
              </w:rPr>
              <w:t>37</w:t>
            </w:r>
          </w:p>
        </w:tc>
        <w:tc>
          <w:tcPr>
            <w:tcW w:w="987" w:type="dxa"/>
            <w:tcBorders>
              <w:tl2br w:val="nil"/>
              <w:tr2bl w:val="nil"/>
            </w:tcBorders>
            <w:vAlign w:val="center"/>
          </w:tcPr>
          <w:p w14:paraId="2A271FFA">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0DE9864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18888C2C">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35</w:t>
            </w:r>
          </w:p>
        </w:tc>
        <w:tc>
          <w:tcPr>
            <w:tcW w:w="1984" w:type="dxa"/>
            <w:tcBorders>
              <w:tl2br w:val="nil"/>
              <w:tr2bl w:val="nil"/>
            </w:tcBorders>
            <w:vAlign w:val="center"/>
          </w:tcPr>
          <w:p w14:paraId="4605D75A">
            <w:pPr>
              <w:snapToGrid w:val="0"/>
              <w:jc w:val="center"/>
              <w:rPr>
                <w:rFonts w:ascii="Times New Roman" w:hAnsi="Times New Roman" w:eastAsia="宋体" w:cs="Times New Roman"/>
                <w:szCs w:val="21"/>
              </w:rPr>
            </w:pPr>
            <w:r>
              <w:rPr>
                <w:rFonts w:ascii="Times New Roman" w:hAnsi="Times New Roman" w:eastAsia="宋体" w:cs="Times New Roman"/>
                <w:szCs w:val="21"/>
              </w:rPr>
              <w:t>硝基苯</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618DF59B">
            <w:pPr>
              <w:widowControl/>
              <w:jc w:val="center"/>
              <w:rPr>
                <w:rFonts w:ascii="Times New Roman" w:hAnsi="Times New Roman" w:eastAsia="宋体" w:cs="Times New Roman"/>
                <w:szCs w:val="21"/>
              </w:rPr>
            </w:pPr>
          </w:p>
        </w:tc>
        <w:tc>
          <w:tcPr>
            <w:tcW w:w="2591" w:type="dxa"/>
            <w:tcBorders>
              <w:tl2br w:val="nil"/>
              <w:tr2bl w:val="nil"/>
            </w:tcBorders>
            <w:vAlign w:val="center"/>
          </w:tcPr>
          <w:p w14:paraId="30A51B7A">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4AC56234">
            <w:pPr>
              <w:jc w:val="center"/>
              <w:rPr>
                <w:rFonts w:ascii="Times New Roman" w:hAnsi="Times New Roman" w:eastAsia="宋体" w:cs="Times New Roman"/>
                <w:szCs w:val="21"/>
              </w:rPr>
            </w:pPr>
            <w:r>
              <w:rPr>
                <w:rFonts w:ascii="Times New Roman" w:hAnsi="Times New Roman" w:eastAsia="宋体" w:cs="Times New Roman"/>
                <w:kern w:val="0"/>
                <w:szCs w:val="21"/>
              </w:rPr>
              <w:t>76</w:t>
            </w:r>
          </w:p>
        </w:tc>
        <w:tc>
          <w:tcPr>
            <w:tcW w:w="987" w:type="dxa"/>
            <w:tcBorders>
              <w:tl2br w:val="nil"/>
              <w:tr2bl w:val="nil"/>
            </w:tcBorders>
            <w:vAlign w:val="center"/>
          </w:tcPr>
          <w:p w14:paraId="4CF71C87">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6285C1E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648AD58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36</w:t>
            </w:r>
          </w:p>
        </w:tc>
        <w:tc>
          <w:tcPr>
            <w:tcW w:w="1984" w:type="dxa"/>
            <w:tcBorders>
              <w:tl2br w:val="nil"/>
              <w:tr2bl w:val="nil"/>
            </w:tcBorders>
            <w:vAlign w:val="center"/>
          </w:tcPr>
          <w:p w14:paraId="400709B5">
            <w:pPr>
              <w:jc w:val="center"/>
              <w:rPr>
                <w:rFonts w:ascii="Times New Roman" w:hAnsi="Times New Roman" w:eastAsia="宋体" w:cs="Times New Roman"/>
                <w:szCs w:val="21"/>
              </w:rPr>
            </w:pPr>
            <w:r>
              <w:rPr>
                <w:rFonts w:ascii="Times New Roman" w:hAnsi="Times New Roman" w:eastAsia="宋体" w:cs="Times New Roman"/>
                <w:szCs w:val="21"/>
              </w:rPr>
              <w:t>苯胺</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4E2848CE">
            <w:pPr>
              <w:widowControl/>
              <w:jc w:val="center"/>
              <w:rPr>
                <w:rFonts w:ascii="Times New Roman" w:hAnsi="Times New Roman" w:eastAsia="宋体" w:cs="Times New Roman"/>
                <w:szCs w:val="21"/>
              </w:rPr>
            </w:pPr>
          </w:p>
        </w:tc>
        <w:tc>
          <w:tcPr>
            <w:tcW w:w="2591" w:type="dxa"/>
            <w:tcBorders>
              <w:tl2br w:val="nil"/>
              <w:tr2bl w:val="nil"/>
            </w:tcBorders>
            <w:vAlign w:val="center"/>
          </w:tcPr>
          <w:p w14:paraId="4C16B30B">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180685DF">
            <w:pPr>
              <w:jc w:val="center"/>
              <w:rPr>
                <w:rFonts w:ascii="Times New Roman" w:hAnsi="Times New Roman" w:eastAsia="宋体" w:cs="Times New Roman"/>
                <w:szCs w:val="21"/>
              </w:rPr>
            </w:pPr>
            <w:r>
              <w:rPr>
                <w:rFonts w:ascii="Times New Roman" w:hAnsi="Times New Roman" w:eastAsia="宋体" w:cs="Times New Roman"/>
                <w:kern w:val="0"/>
                <w:szCs w:val="21"/>
              </w:rPr>
              <w:t>92</w:t>
            </w:r>
          </w:p>
        </w:tc>
        <w:tc>
          <w:tcPr>
            <w:tcW w:w="987" w:type="dxa"/>
            <w:tcBorders>
              <w:tl2br w:val="nil"/>
              <w:tr2bl w:val="nil"/>
            </w:tcBorders>
            <w:vAlign w:val="center"/>
          </w:tcPr>
          <w:p w14:paraId="69D6819E">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6F4B55D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7E6D0B91">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37</w:t>
            </w:r>
          </w:p>
        </w:tc>
        <w:tc>
          <w:tcPr>
            <w:tcW w:w="1984" w:type="dxa"/>
            <w:tcBorders>
              <w:tl2br w:val="nil"/>
              <w:tr2bl w:val="nil"/>
            </w:tcBorders>
            <w:vAlign w:val="center"/>
          </w:tcPr>
          <w:p w14:paraId="4A289C1C">
            <w:pPr>
              <w:snapToGrid w:val="0"/>
              <w:jc w:val="center"/>
              <w:rPr>
                <w:rFonts w:ascii="Times New Roman" w:hAnsi="Times New Roman" w:eastAsia="宋体" w:cs="Times New Roman"/>
                <w:szCs w:val="21"/>
              </w:rPr>
            </w:pPr>
            <w:r>
              <w:rPr>
                <w:rFonts w:ascii="Times New Roman" w:hAnsi="Times New Roman" w:eastAsia="宋体" w:cs="Times New Roman"/>
                <w:szCs w:val="21"/>
              </w:rPr>
              <w:t>2-氯酚</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0CDF9640">
            <w:pPr>
              <w:widowControl/>
              <w:jc w:val="center"/>
              <w:rPr>
                <w:rFonts w:ascii="Times New Roman" w:hAnsi="Times New Roman" w:eastAsia="宋体" w:cs="Times New Roman"/>
                <w:szCs w:val="21"/>
              </w:rPr>
            </w:pPr>
          </w:p>
        </w:tc>
        <w:tc>
          <w:tcPr>
            <w:tcW w:w="2591" w:type="dxa"/>
            <w:tcBorders>
              <w:tl2br w:val="nil"/>
              <w:tr2bl w:val="nil"/>
            </w:tcBorders>
            <w:vAlign w:val="center"/>
          </w:tcPr>
          <w:p w14:paraId="5F5BE0DC">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22B02768">
            <w:pPr>
              <w:jc w:val="center"/>
              <w:rPr>
                <w:rFonts w:ascii="Times New Roman" w:hAnsi="Times New Roman" w:eastAsia="宋体" w:cs="Times New Roman"/>
                <w:szCs w:val="21"/>
              </w:rPr>
            </w:pPr>
            <w:r>
              <w:rPr>
                <w:rFonts w:ascii="Times New Roman" w:hAnsi="Times New Roman" w:eastAsia="宋体" w:cs="Times New Roman"/>
                <w:kern w:val="0"/>
                <w:szCs w:val="21"/>
              </w:rPr>
              <w:t>250</w:t>
            </w:r>
          </w:p>
        </w:tc>
        <w:tc>
          <w:tcPr>
            <w:tcW w:w="987" w:type="dxa"/>
            <w:tcBorders>
              <w:tl2br w:val="nil"/>
              <w:tr2bl w:val="nil"/>
            </w:tcBorders>
            <w:vAlign w:val="center"/>
          </w:tcPr>
          <w:p w14:paraId="679D7164">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0D46909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638FDC05">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38</w:t>
            </w:r>
          </w:p>
        </w:tc>
        <w:tc>
          <w:tcPr>
            <w:tcW w:w="1984" w:type="dxa"/>
            <w:tcBorders>
              <w:tl2br w:val="nil"/>
              <w:tr2bl w:val="nil"/>
            </w:tcBorders>
            <w:vAlign w:val="center"/>
          </w:tcPr>
          <w:p w14:paraId="3C311E01">
            <w:pPr>
              <w:snapToGrid w:val="0"/>
              <w:jc w:val="center"/>
              <w:rPr>
                <w:rFonts w:ascii="Times New Roman" w:hAnsi="Times New Roman" w:eastAsia="宋体" w:cs="Times New Roman"/>
                <w:szCs w:val="21"/>
              </w:rPr>
            </w:pPr>
            <w:r>
              <w:rPr>
                <w:rFonts w:ascii="Times New Roman" w:hAnsi="Times New Roman" w:eastAsia="宋体" w:cs="Times New Roman"/>
                <w:szCs w:val="21"/>
              </w:rPr>
              <w:t>苯并[a]蒽</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0BB11F34">
            <w:pPr>
              <w:widowControl/>
              <w:jc w:val="center"/>
              <w:rPr>
                <w:rFonts w:ascii="Times New Roman" w:hAnsi="Times New Roman" w:eastAsia="宋体" w:cs="Times New Roman"/>
                <w:szCs w:val="21"/>
              </w:rPr>
            </w:pPr>
          </w:p>
        </w:tc>
        <w:tc>
          <w:tcPr>
            <w:tcW w:w="2591" w:type="dxa"/>
            <w:tcBorders>
              <w:tl2br w:val="nil"/>
              <w:tr2bl w:val="nil"/>
            </w:tcBorders>
            <w:vAlign w:val="center"/>
          </w:tcPr>
          <w:p w14:paraId="2B613BDA">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35D35448">
            <w:pPr>
              <w:widowControl/>
              <w:jc w:val="center"/>
              <w:rPr>
                <w:rFonts w:ascii="Times New Roman" w:hAnsi="Times New Roman" w:eastAsia="宋体" w:cs="Times New Roman"/>
                <w:szCs w:val="21"/>
              </w:rPr>
            </w:pPr>
            <w:r>
              <w:rPr>
                <w:rFonts w:ascii="Times New Roman" w:hAnsi="Times New Roman" w:eastAsia="宋体" w:cs="Times New Roman"/>
                <w:kern w:val="0"/>
                <w:szCs w:val="21"/>
              </w:rPr>
              <w:t>5.5</w:t>
            </w:r>
          </w:p>
        </w:tc>
        <w:tc>
          <w:tcPr>
            <w:tcW w:w="987" w:type="dxa"/>
            <w:tcBorders>
              <w:tl2br w:val="nil"/>
              <w:tr2bl w:val="nil"/>
            </w:tcBorders>
            <w:vAlign w:val="center"/>
          </w:tcPr>
          <w:p w14:paraId="5FBE2691">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346AF3F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5E16FFF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39</w:t>
            </w:r>
          </w:p>
        </w:tc>
        <w:tc>
          <w:tcPr>
            <w:tcW w:w="1984" w:type="dxa"/>
            <w:tcBorders>
              <w:tl2br w:val="nil"/>
              <w:tr2bl w:val="nil"/>
            </w:tcBorders>
            <w:vAlign w:val="center"/>
          </w:tcPr>
          <w:p w14:paraId="1F5463ED">
            <w:pPr>
              <w:snapToGrid w:val="0"/>
              <w:jc w:val="center"/>
              <w:rPr>
                <w:rFonts w:ascii="Times New Roman" w:hAnsi="Times New Roman" w:eastAsia="宋体" w:cs="Times New Roman"/>
                <w:szCs w:val="21"/>
              </w:rPr>
            </w:pPr>
            <w:r>
              <w:rPr>
                <w:rFonts w:ascii="Times New Roman" w:hAnsi="Times New Roman" w:eastAsia="宋体" w:cs="Times New Roman"/>
                <w:szCs w:val="21"/>
              </w:rPr>
              <w:t>苯并[a]芘</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4C27644B">
            <w:pPr>
              <w:widowControl/>
              <w:jc w:val="center"/>
              <w:rPr>
                <w:rFonts w:ascii="Times New Roman" w:hAnsi="Times New Roman" w:eastAsia="宋体" w:cs="Times New Roman"/>
                <w:szCs w:val="21"/>
              </w:rPr>
            </w:pPr>
          </w:p>
        </w:tc>
        <w:tc>
          <w:tcPr>
            <w:tcW w:w="2591" w:type="dxa"/>
            <w:tcBorders>
              <w:tl2br w:val="nil"/>
              <w:tr2bl w:val="nil"/>
            </w:tcBorders>
            <w:vAlign w:val="center"/>
          </w:tcPr>
          <w:p w14:paraId="3525845E">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2A2E3D3A">
            <w:pPr>
              <w:widowControl/>
              <w:jc w:val="center"/>
              <w:rPr>
                <w:rFonts w:ascii="Times New Roman" w:hAnsi="Times New Roman" w:eastAsia="宋体" w:cs="Times New Roman"/>
                <w:szCs w:val="21"/>
              </w:rPr>
            </w:pPr>
            <w:r>
              <w:rPr>
                <w:rFonts w:ascii="Times New Roman" w:hAnsi="Times New Roman" w:eastAsia="宋体" w:cs="Times New Roman"/>
                <w:kern w:val="0"/>
                <w:szCs w:val="21"/>
              </w:rPr>
              <w:t>0.55</w:t>
            </w:r>
          </w:p>
        </w:tc>
        <w:tc>
          <w:tcPr>
            <w:tcW w:w="987" w:type="dxa"/>
            <w:tcBorders>
              <w:tl2br w:val="nil"/>
              <w:tr2bl w:val="nil"/>
            </w:tcBorders>
            <w:vAlign w:val="center"/>
          </w:tcPr>
          <w:p w14:paraId="77DA5860">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631602C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78B061A6">
            <w:pPr>
              <w:snapToGrid w:val="0"/>
              <w:jc w:val="center"/>
              <w:rPr>
                <w:rFonts w:ascii="Times New Roman" w:hAnsi="Times New Roman" w:eastAsia="宋体" w:cs="Times New Roman"/>
                <w:szCs w:val="21"/>
              </w:rPr>
            </w:pPr>
            <w:r>
              <w:rPr>
                <w:rFonts w:ascii="Times New Roman" w:hAnsi="Times New Roman" w:eastAsia="宋体" w:cs="Times New Roman"/>
                <w:szCs w:val="21"/>
              </w:rPr>
              <w:t>40</w:t>
            </w:r>
          </w:p>
        </w:tc>
        <w:tc>
          <w:tcPr>
            <w:tcW w:w="1984" w:type="dxa"/>
            <w:tcBorders>
              <w:tl2br w:val="nil"/>
              <w:tr2bl w:val="nil"/>
            </w:tcBorders>
            <w:vAlign w:val="center"/>
          </w:tcPr>
          <w:p w14:paraId="1BAF0814">
            <w:pPr>
              <w:snapToGrid w:val="0"/>
              <w:jc w:val="center"/>
              <w:rPr>
                <w:rFonts w:ascii="Times New Roman" w:hAnsi="Times New Roman" w:eastAsia="宋体" w:cs="Times New Roman"/>
                <w:szCs w:val="21"/>
              </w:rPr>
            </w:pPr>
            <w:r>
              <w:rPr>
                <w:rFonts w:ascii="Times New Roman" w:hAnsi="Times New Roman" w:eastAsia="宋体" w:cs="Times New Roman"/>
                <w:szCs w:val="21"/>
              </w:rPr>
              <w:t>苯并[b]荧蒽</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1253514C">
            <w:pPr>
              <w:widowControl/>
              <w:jc w:val="center"/>
              <w:rPr>
                <w:rFonts w:ascii="Times New Roman" w:hAnsi="Times New Roman" w:eastAsia="宋体" w:cs="Times New Roman"/>
                <w:szCs w:val="21"/>
              </w:rPr>
            </w:pPr>
          </w:p>
        </w:tc>
        <w:tc>
          <w:tcPr>
            <w:tcW w:w="2591" w:type="dxa"/>
            <w:tcBorders>
              <w:tl2br w:val="nil"/>
              <w:tr2bl w:val="nil"/>
            </w:tcBorders>
            <w:vAlign w:val="center"/>
          </w:tcPr>
          <w:p w14:paraId="61376FC8">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4457530A">
            <w:pPr>
              <w:widowControl/>
              <w:jc w:val="center"/>
              <w:rPr>
                <w:rFonts w:ascii="Times New Roman" w:hAnsi="Times New Roman" w:eastAsia="宋体" w:cs="Times New Roman"/>
                <w:szCs w:val="21"/>
              </w:rPr>
            </w:pPr>
            <w:r>
              <w:rPr>
                <w:rFonts w:ascii="Times New Roman" w:hAnsi="Times New Roman" w:eastAsia="宋体" w:cs="Times New Roman"/>
                <w:kern w:val="0"/>
                <w:szCs w:val="21"/>
              </w:rPr>
              <w:t>5.5</w:t>
            </w:r>
          </w:p>
        </w:tc>
        <w:tc>
          <w:tcPr>
            <w:tcW w:w="987" w:type="dxa"/>
            <w:tcBorders>
              <w:tl2br w:val="nil"/>
              <w:tr2bl w:val="nil"/>
            </w:tcBorders>
            <w:vAlign w:val="center"/>
          </w:tcPr>
          <w:p w14:paraId="66E842F1">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4807199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3AD12824">
            <w:pPr>
              <w:snapToGrid w:val="0"/>
              <w:jc w:val="center"/>
              <w:rPr>
                <w:rFonts w:ascii="Times New Roman" w:hAnsi="Times New Roman" w:eastAsia="宋体" w:cs="Times New Roman"/>
                <w:szCs w:val="21"/>
              </w:rPr>
            </w:pPr>
            <w:r>
              <w:rPr>
                <w:rFonts w:ascii="Times New Roman" w:hAnsi="Times New Roman" w:eastAsia="宋体" w:cs="Times New Roman"/>
                <w:szCs w:val="21"/>
              </w:rPr>
              <w:t>41</w:t>
            </w:r>
          </w:p>
        </w:tc>
        <w:tc>
          <w:tcPr>
            <w:tcW w:w="1984" w:type="dxa"/>
            <w:tcBorders>
              <w:tl2br w:val="nil"/>
              <w:tr2bl w:val="nil"/>
            </w:tcBorders>
            <w:vAlign w:val="center"/>
          </w:tcPr>
          <w:p w14:paraId="2EFD965B">
            <w:pPr>
              <w:snapToGrid w:val="0"/>
              <w:jc w:val="center"/>
              <w:rPr>
                <w:rFonts w:ascii="Times New Roman" w:hAnsi="Times New Roman" w:eastAsia="宋体" w:cs="Times New Roman"/>
                <w:szCs w:val="21"/>
              </w:rPr>
            </w:pPr>
            <w:r>
              <w:rPr>
                <w:rFonts w:ascii="Times New Roman" w:hAnsi="Times New Roman" w:eastAsia="宋体" w:cs="Times New Roman"/>
                <w:szCs w:val="21"/>
              </w:rPr>
              <w:t>苯并[k]荧蒽</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5D4C7179">
            <w:pPr>
              <w:widowControl/>
              <w:jc w:val="center"/>
              <w:rPr>
                <w:rFonts w:ascii="Times New Roman" w:hAnsi="Times New Roman" w:eastAsia="宋体" w:cs="Times New Roman"/>
                <w:szCs w:val="21"/>
              </w:rPr>
            </w:pPr>
          </w:p>
        </w:tc>
        <w:tc>
          <w:tcPr>
            <w:tcW w:w="2591" w:type="dxa"/>
            <w:tcBorders>
              <w:tl2br w:val="nil"/>
              <w:tr2bl w:val="nil"/>
            </w:tcBorders>
            <w:vAlign w:val="center"/>
          </w:tcPr>
          <w:p w14:paraId="7C04114E">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238F9E1E">
            <w:pPr>
              <w:widowControl/>
              <w:jc w:val="center"/>
              <w:rPr>
                <w:rFonts w:ascii="Times New Roman" w:hAnsi="Times New Roman" w:eastAsia="宋体" w:cs="Times New Roman"/>
                <w:szCs w:val="21"/>
              </w:rPr>
            </w:pPr>
            <w:r>
              <w:rPr>
                <w:rFonts w:ascii="Times New Roman" w:hAnsi="Times New Roman" w:eastAsia="宋体" w:cs="Times New Roman"/>
                <w:kern w:val="0"/>
                <w:szCs w:val="21"/>
              </w:rPr>
              <w:t>55</w:t>
            </w:r>
          </w:p>
        </w:tc>
        <w:tc>
          <w:tcPr>
            <w:tcW w:w="987" w:type="dxa"/>
            <w:tcBorders>
              <w:tl2br w:val="nil"/>
              <w:tr2bl w:val="nil"/>
            </w:tcBorders>
            <w:vAlign w:val="center"/>
          </w:tcPr>
          <w:p w14:paraId="3BA057EF">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70BF272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4C14B631">
            <w:pPr>
              <w:snapToGrid w:val="0"/>
              <w:jc w:val="center"/>
              <w:rPr>
                <w:rFonts w:ascii="Times New Roman" w:hAnsi="Times New Roman" w:eastAsia="宋体" w:cs="Times New Roman"/>
                <w:szCs w:val="21"/>
              </w:rPr>
            </w:pPr>
            <w:r>
              <w:rPr>
                <w:rFonts w:ascii="Times New Roman" w:hAnsi="Times New Roman" w:eastAsia="宋体" w:cs="Times New Roman"/>
                <w:szCs w:val="21"/>
              </w:rPr>
              <w:t>42</w:t>
            </w:r>
          </w:p>
        </w:tc>
        <w:tc>
          <w:tcPr>
            <w:tcW w:w="1984" w:type="dxa"/>
            <w:tcBorders>
              <w:tl2br w:val="nil"/>
              <w:tr2bl w:val="nil"/>
            </w:tcBorders>
            <w:vAlign w:val="center"/>
          </w:tcPr>
          <w:p w14:paraId="05FF438A">
            <w:pPr>
              <w:snapToGrid w:val="0"/>
              <w:jc w:val="center"/>
              <w:rPr>
                <w:rFonts w:ascii="Times New Roman" w:hAnsi="Times New Roman" w:eastAsia="宋体" w:cs="Times New Roman"/>
                <w:szCs w:val="21"/>
              </w:rPr>
            </w:pPr>
            <w:r>
              <w:rPr>
                <w:rFonts w:ascii="Times New Roman" w:hAnsi="Times New Roman" w:eastAsia="宋体" w:cs="Times New Roman"/>
                <w:szCs w:val="21"/>
              </w:rPr>
              <w:t>䓛</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3D6AF6E3">
            <w:pPr>
              <w:widowControl/>
              <w:jc w:val="center"/>
              <w:rPr>
                <w:rFonts w:ascii="Times New Roman" w:hAnsi="Times New Roman" w:eastAsia="宋体" w:cs="Times New Roman"/>
                <w:szCs w:val="21"/>
              </w:rPr>
            </w:pPr>
          </w:p>
        </w:tc>
        <w:tc>
          <w:tcPr>
            <w:tcW w:w="2591" w:type="dxa"/>
            <w:tcBorders>
              <w:tl2br w:val="nil"/>
              <w:tr2bl w:val="nil"/>
            </w:tcBorders>
            <w:vAlign w:val="center"/>
          </w:tcPr>
          <w:p w14:paraId="7E149F32">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5511EF01">
            <w:pPr>
              <w:widowControl/>
              <w:jc w:val="center"/>
              <w:rPr>
                <w:rFonts w:ascii="Times New Roman" w:hAnsi="Times New Roman" w:eastAsia="宋体" w:cs="Times New Roman"/>
                <w:szCs w:val="21"/>
              </w:rPr>
            </w:pPr>
            <w:r>
              <w:rPr>
                <w:rFonts w:ascii="Times New Roman" w:hAnsi="Times New Roman" w:eastAsia="宋体" w:cs="Times New Roman"/>
                <w:kern w:val="0"/>
                <w:szCs w:val="21"/>
              </w:rPr>
              <w:t>490</w:t>
            </w:r>
          </w:p>
        </w:tc>
        <w:tc>
          <w:tcPr>
            <w:tcW w:w="987" w:type="dxa"/>
            <w:tcBorders>
              <w:tl2br w:val="nil"/>
              <w:tr2bl w:val="nil"/>
            </w:tcBorders>
            <w:vAlign w:val="center"/>
          </w:tcPr>
          <w:p w14:paraId="332C5DD2">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39D55AF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20AA1984">
            <w:pPr>
              <w:snapToGrid w:val="0"/>
              <w:jc w:val="center"/>
              <w:rPr>
                <w:rFonts w:ascii="Times New Roman" w:hAnsi="Times New Roman" w:eastAsia="宋体" w:cs="Times New Roman"/>
                <w:szCs w:val="21"/>
              </w:rPr>
            </w:pPr>
            <w:r>
              <w:rPr>
                <w:rFonts w:ascii="Times New Roman" w:hAnsi="Times New Roman" w:eastAsia="宋体" w:cs="Times New Roman"/>
                <w:szCs w:val="21"/>
              </w:rPr>
              <w:t>43</w:t>
            </w:r>
          </w:p>
        </w:tc>
        <w:tc>
          <w:tcPr>
            <w:tcW w:w="1984" w:type="dxa"/>
            <w:tcBorders>
              <w:tl2br w:val="nil"/>
              <w:tr2bl w:val="nil"/>
            </w:tcBorders>
            <w:vAlign w:val="center"/>
          </w:tcPr>
          <w:p w14:paraId="613D393E">
            <w:pPr>
              <w:snapToGrid w:val="0"/>
              <w:jc w:val="center"/>
              <w:rPr>
                <w:rFonts w:ascii="Times New Roman" w:hAnsi="Times New Roman" w:eastAsia="宋体" w:cs="Times New Roman"/>
                <w:szCs w:val="21"/>
              </w:rPr>
            </w:pPr>
            <w:r>
              <w:rPr>
                <w:rFonts w:ascii="Times New Roman" w:hAnsi="Times New Roman" w:eastAsia="宋体" w:cs="Times New Roman"/>
                <w:szCs w:val="21"/>
              </w:rPr>
              <w:t>二苯并[a,h]蒽</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38B9808D">
            <w:pPr>
              <w:widowControl/>
              <w:jc w:val="center"/>
              <w:rPr>
                <w:rFonts w:ascii="Times New Roman" w:hAnsi="Times New Roman" w:eastAsia="宋体" w:cs="Times New Roman"/>
                <w:szCs w:val="21"/>
              </w:rPr>
            </w:pPr>
          </w:p>
        </w:tc>
        <w:tc>
          <w:tcPr>
            <w:tcW w:w="2591" w:type="dxa"/>
            <w:tcBorders>
              <w:tl2br w:val="nil"/>
              <w:tr2bl w:val="nil"/>
            </w:tcBorders>
            <w:vAlign w:val="center"/>
          </w:tcPr>
          <w:p w14:paraId="052474DF">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13ECA31A">
            <w:pPr>
              <w:widowControl/>
              <w:jc w:val="center"/>
              <w:rPr>
                <w:rFonts w:ascii="Times New Roman" w:hAnsi="Times New Roman" w:eastAsia="宋体" w:cs="Times New Roman"/>
                <w:szCs w:val="21"/>
              </w:rPr>
            </w:pPr>
            <w:r>
              <w:rPr>
                <w:rFonts w:ascii="Times New Roman" w:hAnsi="Times New Roman" w:eastAsia="宋体" w:cs="Times New Roman"/>
                <w:kern w:val="0"/>
                <w:szCs w:val="21"/>
              </w:rPr>
              <w:t>0.55</w:t>
            </w:r>
          </w:p>
        </w:tc>
        <w:tc>
          <w:tcPr>
            <w:tcW w:w="987" w:type="dxa"/>
            <w:tcBorders>
              <w:tl2br w:val="nil"/>
              <w:tr2bl w:val="nil"/>
            </w:tcBorders>
            <w:vAlign w:val="center"/>
          </w:tcPr>
          <w:p w14:paraId="342DDEBA">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4A3B562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289FD91F">
            <w:pPr>
              <w:snapToGrid w:val="0"/>
              <w:jc w:val="center"/>
              <w:rPr>
                <w:rFonts w:ascii="Times New Roman" w:hAnsi="Times New Roman" w:eastAsia="宋体" w:cs="Times New Roman"/>
                <w:szCs w:val="21"/>
              </w:rPr>
            </w:pPr>
            <w:r>
              <w:rPr>
                <w:rFonts w:ascii="Times New Roman" w:hAnsi="Times New Roman" w:eastAsia="宋体" w:cs="Times New Roman"/>
                <w:szCs w:val="21"/>
              </w:rPr>
              <w:t>44</w:t>
            </w:r>
          </w:p>
        </w:tc>
        <w:tc>
          <w:tcPr>
            <w:tcW w:w="1984" w:type="dxa"/>
            <w:tcBorders>
              <w:tl2br w:val="nil"/>
              <w:tr2bl w:val="nil"/>
            </w:tcBorders>
            <w:vAlign w:val="center"/>
          </w:tcPr>
          <w:p w14:paraId="224EA9C4">
            <w:pPr>
              <w:snapToGrid w:val="0"/>
              <w:jc w:val="center"/>
              <w:rPr>
                <w:rFonts w:ascii="Times New Roman" w:hAnsi="Times New Roman" w:eastAsia="宋体" w:cs="Times New Roman"/>
                <w:szCs w:val="21"/>
              </w:rPr>
            </w:pPr>
            <w:r>
              <w:rPr>
                <w:rFonts w:ascii="Times New Roman" w:hAnsi="Times New Roman" w:eastAsia="宋体" w:cs="Times New Roman"/>
                <w:szCs w:val="21"/>
              </w:rPr>
              <w:t>茚并[1,2,3-cd]芘</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493BA195">
            <w:pPr>
              <w:widowControl/>
              <w:jc w:val="center"/>
              <w:rPr>
                <w:rFonts w:ascii="Times New Roman" w:hAnsi="Times New Roman" w:eastAsia="宋体" w:cs="Times New Roman"/>
                <w:szCs w:val="21"/>
              </w:rPr>
            </w:pPr>
          </w:p>
        </w:tc>
        <w:tc>
          <w:tcPr>
            <w:tcW w:w="2591" w:type="dxa"/>
            <w:tcBorders>
              <w:tl2br w:val="nil"/>
              <w:tr2bl w:val="nil"/>
            </w:tcBorders>
            <w:vAlign w:val="center"/>
          </w:tcPr>
          <w:p w14:paraId="2536AB2E">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07652A33">
            <w:pPr>
              <w:widowControl/>
              <w:jc w:val="center"/>
              <w:rPr>
                <w:rFonts w:ascii="Times New Roman" w:hAnsi="Times New Roman" w:eastAsia="宋体" w:cs="Times New Roman"/>
                <w:szCs w:val="21"/>
              </w:rPr>
            </w:pPr>
            <w:r>
              <w:rPr>
                <w:rFonts w:ascii="Times New Roman" w:hAnsi="Times New Roman" w:eastAsia="宋体" w:cs="Times New Roman"/>
                <w:kern w:val="0"/>
                <w:szCs w:val="21"/>
              </w:rPr>
              <w:t>5.5</w:t>
            </w:r>
          </w:p>
        </w:tc>
        <w:tc>
          <w:tcPr>
            <w:tcW w:w="987" w:type="dxa"/>
            <w:tcBorders>
              <w:tl2br w:val="nil"/>
              <w:tr2bl w:val="nil"/>
            </w:tcBorders>
            <w:vAlign w:val="center"/>
          </w:tcPr>
          <w:p w14:paraId="6CE99405">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14D9E3C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579B9183">
            <w:pPr>
              <w:snapToGrid w:val="0"/>
              <w:jc w:val="center"/>
              <w:rPr>
                <w:rFonts w:ascii="Times New Roman" w:hAnsi="Times New Roman" w:eastAsia="宋体" w:cs="Times New Roman"/>
                <w:szCs w:val="21"/>
              </w:rPr>
            </w:pPr>
            <w:r>
              <w:rPr>
                <w:rFonts w:ascii="Times New Roman" w:hAnsi="Times New Roman" w:eastAsia="宋体" w:cs="Times New Roman"/>
                <w:szCs w:val="21"/>
              </w:rPr>
              <w:t>45</w:t>
            </w:r>
          </w:p>
        </w:tc>
        <w:tc>
          <w:tcPr>
            <w:tcW w:w="1984" w:type="dxa"/>
            <w:tcBorders>
              <w:tl2br w:val="nil"/>
              <w:tr2bl w:val="nil"/>
            </w:tcBorders>
            <w:vAlign w:val="center"/>
          </w:tcPr>
          <w:p w14:paraId="7B8572FB">
            <w:pPr>
              <w:snapToGrid w:val="0"/>
              <w:jc w:val="center"/>
              <w:rPr>
                <w:rFonts w:ascii="Times New Roman" w:hAnsi="Times New Roman" w:eastAsia="宋体" w:cs="Times New Roman"/>
                <w:szCs w:val="21"/>
              </w:rPr>
            </w:pPr>
            <w:r>
              <w:rPr>
                <w:rFonts w:ascii="Times New Roman" w:hAnsi="Times New Roman" w:eastAsia="宋体" w:cs="Times New Roman"/>
                <w:szCs w:val="21"/>
              </w:rPr>
              <w:t>萘</w:t>
            </w:r>
            <w:r>
              <w:rPr>
                <w:rFonts w:ascii="Times New Roman" w:hAnsi="Times New Roman" w:eastAsia="宋体" w:cs="Times New Roman"/>
                <w:szCs w:val="21"/>
                <w:vertAlign w:val="superscript"/>
              </w:rPr>
              <w:t>@</w:t>
            </w:r>
          </w:p>
        </w:tc>
        <w:tc>
          <w:tcPr>
            <w:tcW w:w="1382" w:type="dxa"/>
            <w:vMerge w:val="continue"/>
            <w:tcBorders>
              <w:tl2br w:val="nil"/>
              <w:tr2bl w:val="nil"/>
            </w:tcBorders>
            <w:vAlign w:val="center"/>
          </w:tcPr>
          <w:p w14:paraId="75D556B6">
            <w:pPr>
              <w:widowControl/>
              <w:jc w:val="center"/>
              <w:rPr>
                <w:rFonts w:ascii="Times New Roman" w:hAnsi="Times New Roman" w:eastAsia="宋体" w:cs="Times New Roman"/>
                <w:szCs w:val="21"/>
              </w:rPr>
            </w:pPr>
          </w:p>
        </w:tc>
        <w:tc>
          <w:tcPr>
            <w:tcW w:w="2591" w:type="dxa"/>
            <w:tcBorders>
              <w:tl2br w:val="nil"/>
              <w:tr2bl w:val="nil"/>
            </w:tcBorders>
            <w:vAlign w:val="center"/>
          </w:tcPr>
          <w:p w14:paraId="295A5BE0">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31EF7632">
            <w:pPr>
              <w:widowControl/>
              <w:jc w:val="center"/>
              <w:rPr>
                <w:rFonts w:ascii="Times New Roman" w:hAnsi="Times New Roman" w:eastAsia="宋体" w:cs="Times New Roman"/>
                <w:szCs w:val="21"/>
              </w:rPr>
            </w:pPr>
            <w:r>
              <w:rPr>
                <w:rFonts w:ascii="Times New Roman" w:hAnsi="Times New Roman" w:eastAsia="宋体" w:cs="Times New Roman"/>
                <w:kern w:val="0"/>
                <w:szCs w:val="21"/>
              </w:rPr>
              <w:t>25</w:t>
            </w:r>
          </w:p>
        </w:tc>
        <w:tc>
          <w:tcPr>
            <w:tcW w:w="987" w:type="dxa"/>
            <w:tcBorders>
              <w:tl2br w:val="nil"/>
              <w:tr2bl w:val="nil"/>
            </w:tcBorders>
            <w:vAlign w:val="center"/>
          </w:tcPr>
          <w:p w14:paraId="1B179606">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0FA7333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16434D09">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46</w:t>
            </w:r>
          </w:p>
        </w:tc>
        <w:tc>
          <w:tcPr>
            <w:tcW w:w="1984" w:type="dxa"/>
            <w:tcBorders>
              <w:tl2br w:val="nil"/>
              <w:tr2bl w:val="nil"/>
            </w:tcBorders>
            <w:vAlign w:val="center"/>
          </w:tcPr>
          <w:p w14:paraId="15C4377B">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石油烃</w:t>
            </w:r>
          </w:p>
        </w:tc>
        <w:tc>
          <w:tcPr>
            <w:tcW w:w="1382" w:type="dxa"/>
            <w:vMerge w:val="continue"/>
            <w:tcBorders>
              <w:tl2br w:val="nil"/>
              <w:tr2bl w:val="nil"/>
            </w:tcBorders>
            <w:vAlign w:val="center"/>
          </w:tcPr>
          <w:p w14:paraId="04CBDFB1">
            <w:pPr>
              <w:widowControl/>
              <w:jc w:val="center"/>
              <w:rPr>
                <w:rFonts w:ascii="Times New Roman" w:hAnsi="Times New Roman" w:eastAsia="宋体" w:cs="Times New Roman"/>
                <w:szCs w:val="21"/>
              </w:rPr>
            </w:pPr>
          </w:p>
        </w:tc>
        <w:tc>
          <w:tcPr>
            <w:tcW w:w="2591" w:type="dxa"/>
            <w:tcBorders>
              <w:tl2br w:val="nil"/>
              <w:tr2bl w:val="nil"/>
            </w:tcBorders>
            <w:vAlign w:val="center"/>
          </w:tcPr>
          <w:p w14:paraId="104AB44A">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未检出</w:t>
            </w:r>
          </w:p>
        </w:tc>
        <w:tc>
          <w:tcPr>
            <w:tcW w:w="881" w:type="dxa"/>
            <w:tcBorders>
              <w:tl2br w:val="nil"/>
              <w:tr2bl w:val="nil"/>
            </w:tcBorders>
            <w:vAlign w:val="center"/>
          </w:tcPr>
          <w:p w14:paraId="3432170C">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4500</w:t>
            </w:r>
          </w:p>
        </w:tc>
        <w:tc>
          <w:tcPr>
            <w:tcW w:w="987" w:type="dxa"/>
            <w:tcBorders>
              <w:tl2br w:val="nil"/>
              <w:tr2bl w:val="nil"/>
            </w:tcBorders>
            <w:vAlign w:val="center"/>
          </w:tcPr>
          <w:p w14:paraId="7A177C7F">
            <w:pPr>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达标</w:t>
            </w:r>
          </w:p>
        </w:tc>
      </w:tr>
    </w:tbl>
    <w:p w14:paraId="0762E97C">
      <w:pPr>
        <w:spacing w:before="156" w:beforeLines="50"/>
        <w:contextualSpacing/>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w:t>
      </w:r>
      <w:r>
        <w:rPr>
          <w:rFonts w:ascii="Times New Roman" w:hAnsi="Times New Roman" w:eastAsia="宋体" w:cs="Times New Roman"/>
          <w:b/>
          <w:bCs/>
          <w:szCs w:val="21"/>
        </w:rPr>
        <w:t>.</w:t>
      </w:r>
      <w:r>
        <w:rPr>
          <w:rFonts w:hint="eastAsia" w:ascii="Times New Roman" w:hAnsi="Times New Roman" w:eastAsia="宋体" w:cs="Times New Roman"/>
          <w:b/>
          <w:bCs/>
          <w:szCs w:val="21"/>
          <w:lang w:val="en-US" w:eastAsia="zh-CN"/>
        </w:rPr>
        <w:t>6</w:t>
      </w:r>
      <w:r>
        <w:rPr>
          <w:rFonts w:ascii="Times New Roman" w:hAnsi="Times New Roman" w:eastAsia="宋体" w:cs="Times New Roman"/>
          <w:b/>
          <w:bCs/>
          <w:szCs w:val="21"/>
        </w:rPr>
        <w:t>-</w:t>
      </w:r>
      <w:r>
        <w:rPr>
          <w:rFonts w:hint="eastAsia" w:ascii="Times New Roman" w:hAnsi="Times New Roman" w:eastAsia="宋体" w:cs="Times New Roman"/>
          <w:b/>
          <w:bCs/>
          <w:szCs w:val="21"/>
        </w:rPr>
        <w:t>3</w:t>
      </w:r>
      <w:r>
        <w:rPr>
          <w:rFonts w:ascii="Times New Roman" w:hAnsi="Times New Roman" w:eastAsia="宋体" w:cs="Times New Roman"/>
          <w:b/>
          <w:bCs/>
          <w:szCs w:val="21"/>
        </w:rPr>
        <w:t xml:space="preserve">  土壤质量现状监测统计结果一览表</w:t>
      </w:r>
      <w:r>
        <w:rPr>
          <w:rFonts w:hint="eastAsia" w:ascii="Times New Roman" w:hAnsi="Times New Roman" w:eastAsia="宋体" w:cs="Times New Roman"/>
          <w:b/>
          <w:bCs/>
          <w:szCs w:val="21"/>
        </w:rPr>
        <w:t>（</w:t>
      </w:r>
      <w:r>
        <w:rPr>
          <w:rFonts w:ascii="Times New Roman" w:hAnsi="Times New Roman" w:eastAsia="宋体" w:cs="Times New Roman"/>
          <w:b/>
          <w:bCs/>
          <w:szCs w:val="21"/>
        </w:rPr>
        <w:t>单位：mg/kg</w:t>
      </w:r>
      <w:r>
        <w:rPr>
          <w:rFonts w:hint="eastAsia" w:ascii="Times New Roman" w:hAnsi="Times New Roman" w:eastAsia="宋体" w:cs="Times New Roman"/>
          <w:b/>
          <w:bCs/>
          <w:szCs w:val="21"/>
        </w:rPr>
        <w:t>）</w:t>
      </w:r>
    </w:p>
    <w:tbl>
      <w:tblPr>
        <w:tblStyle w:val="31"/>
        <w:tblW w:w="8519"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984"/>
        <w:gridCol w:w="1382"/>
        <w:gridCol w:w="2591"/>
        <w:gridCol w:w="881"/>
        <w:gridCol w:w="987"/>
      </w:tblGrid>
      <w:tr w14:paraId="3DCF248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94" w:type="dxa"/>
            <w:vMerge w:val="restart"/>
            <w:tcBorders>
              <w:tl2br w:val="nil"/>
              <w:tr2bl w:val="nil"/>
            </w:tcBorders>
            <w:vAlign w:val="center"/>
          </w:tcPr>
          <w:p w14:paraId="06A2729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984" w:type="dxa"/>
            <w:vMerge w:val="restart"/>
            <w:tcBorders>
              <w:tl2br w:val="nil"/>
              <w:tr2bl w:val="nil"/>
            </w:tcBorders>
            <w:vAlign w:val="center"/>
          </w:tcPr>
          <w:p w14:paraId="6C7E671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检测因子</w:t>
            </w:r>
          </w:p>
        </w:tc>
        <w:tc>
          <w:tcPr>
            <w:tcW w:w="1382" w:type="dxa"/>
            <w:vMerge w:val="restart"/>
            <w:tcBorders>
              <w:left w:val="single" w:color="000000" w:sz="6" w:space="0"/>
              <w:tl2br w:val="nil"/>
              <w:tr2bl w:val="nil"/>
            </w:tcBorders>
            <w:vAlign w:val="center"/>
          </w:tcPr>
          <w:p w14:paraId="7A809A8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采样时间</w:t>
            </w:r>
          </w:p>
        </w:tc>
        <w:tc>
          <w:tcPr>
            <w:tcW w:w="2591" w:type="dxa"/>
            <w:tcBorders>
              <w:left w:val="single" w:color="000000" w:sz="6" w:space="0"/>
              <w:tl2br w:val="nil"/>
              <w:tr2bl w:val="nil"/>
            </w:tcBorders>
            <w:vAlign w:val="center"/>
          </w:tcPr>
          <w:p w14:paraId="60798399">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检测结果</w:t>
            </w:r>
          </w:p>
        </w:tc>
        <w:tc>
          <w:tcPr>
            <w:tcW w:w="881" w:type="dxa"/>
            <w:vMerge w:val="restart"/>
            <w:tcBorders>
              <w:tl2br w:val="nil"/>
              <w:tr2bl w:val="nil"/>
            </w:tcBorders>
            <w:vAlign w:val="center"/>
          </w:tcPr>
          <w:p w14:paraId="242D380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筛选值</w:t>
            </w:r>
          </w:p>
        </w:tc>
        <w:tc>
          <w:tcPr>
            <w:tcW w:w="987" w:type="dxa"/>
            <w:vMerge w:val="restart"/>
            <w:tcBorders>
              <w:tl2br w:val="nil"/>
              <w:tr2bl w:val="nil"/>
            </w:tcBorders>
            <w:vAlign w:val="center"/>
          </w:tcPr>
          <w:p w14:paraId="21F5C72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达标</w:t>
            </w:r>
          </w:p>
          <w:p w14:paraId="65A724BD">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情况</w:t>
            </w:r>
          </w:p>
        </w:tc>
      </w:tr>
      <w:tr w14:paraId="0772DC1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94" w:type="dxa"/>
            <w:vMerge w:val="continue"/>
            <w:tcBorders>
              <w:tl2br w:val="nil"/>
              <w:tr2bl w:val="nil"/>
            </w:tcBorders>
          </w:tcPr>
          <w:p w14:paraId="6AC3B6B5">
            <w:pPr>
              <w:widowControl/>
              <w:jc w:val="center"/>
              <w:rPr>
                <w:rFonts w:ascii="Times New Roman" w:hAnsi="Times New Roman" w:eastAsia="宋体" w:cs="Times New Roman"/>
                <w:b/>
                <w:bCs/>
                <w:szCs w:val="21"/>
              </w:rPr>
            </w:pPr>
          </w:p>
        </w:tc>
        <w:tc>
          <w:tcPr>
            <w:tcW w:w="1984" w:type="dxa"/>
            <w:vMerge w:val="continue"/>
            <w:tcBorders>
              <w:tl2br w:val="nil"/>
              <w:tr2bl w:val="nil"/>
            </w:tcBorders>
          </w:tcPr>
          <w:p w14:paraId="3BF158BA">
            <w:pPr>
              <w:widowControl/>
              <w:jc w:val="center"/>
              <w:rPr>
                <w:rFonts w:ascii="Times New Roman" w:hAnsi="Times New Roman" w:eastAsia="宋体" w:cs="Times New Roman"/>
                <w:b/>
                <w:bCs/>
                <w:szCs w:val="21"/>
              </w:rPr>
            </w:pPr>
          </w:p>
        </w:tc>
        <w:tc>
          <w:tcPr>
            <w:tcW w:w="1382" w:type="dxa"/>
            <w:vMerge w:val="continue"/>
            <w:tcBorders>
              <w:left w:val="single" w:color="000000" w:sz="6" w:space="0"/>
              <w:tl2br w:val="nil"/>
              <w:tr2bl w:val="nil"/>
            </w:tcBorders>
            <w:tcMar>
              <w:top w:w="0" w:type="dxa"/>
              <w:left w:w="6" w:type="dxa"/>
              <w:bottom w:w="0" w:type="dxa"/>
              <w:right w:w="6" w:type="dxa"/>
            </w:tcMar>
            <w:vAlign w:val="center"/>
          </w:tcPr>
          <w:p w14:paraId="64907540">
            <w:pPr>
              <w:widowControl/>
              <w:jc w:val="center"/>
              <w:rPr>
                <w:rFonts w:ascii="Times New Roman" w:hAnsi="Times New Roman" w:eastAsia="宋体" w:cs="Times New Roman"/>
                <w:b/>
                <w:bCs/>
                <w:szCs w:val="21"/>
              </w:rPr>
            </w:pPr>
          </w:p>
        </w:tc>
        <w:tc>
          <w:tcPr>
            <w:tcW w:w="2591" w:type="dxa"/>
            <w:tcBorders>
              <w:left w:val="single" w:color="000000" w:sz="6" w:space="0"/>
              <w:tl2br w:val="nil"/>
              <w:tr2bl w:val="nil"/>
            </w:tcBorders>
            <w:tcMar>
              <w:top w:w="0" w:type="dxa"/>
              <w:left w:w="6" w:type="dxa"/>
              <w:bottom w:w="0" w:type="dxa"/>
              <w:right w:w="6" w:type="dxa"/>
            </w:tcMar>
            <w:vAlign w:val="center"/>
          </w:tcPr>
          <w:p w14:paraId="36542FE5">
            <w:pPr>
              <w:widowControl/>
              <w:jc w:val="center"/>
              <w:rPr>
                <w:rFonts w:ascii="Times New Roman" w:hAnsi="Times New Roman" w:eastAsia="宋体" w:cs="Times New Roman"/>
                <w:b/>
                <w:bCs/>
                <w:szCs w:val="21"/>
              </w:rPr>
            </w:pPr>
            <w:r>
              <w:rPr>
                <w:rFonts w:ascii="Times New Roman" w:hAnsi="Times New Roman" w:eastAsia="宋体" w:cs="Times New Roman"/>
                <w:szCs w:val="21"/>
              </w:rPr>
              <w:t>2#占地范围外厂区北侧绿地（0-0.2m）</w:t>
            </w:r>
          </w:p>
        </w:tc>
        <w:tc>
          <w:tcPr>
            <w:tcW w:w="881" w:type="dxa"/>
            <w:vMerge w:val="continue"/>
            <w:tcBorders>
              <w:tl2br w:val="nil"/>
              <w:tr2bl w:val="nil"/>
            </w:tcBorders>
            <w:tcMar>
              <w:top w:w="0" w:type="dxa"/>
              <w:left w:w="6" w:type="dxa"/>
              <w:bottom w:w="0" w:type="dxa"/>
              <w:right w:w="6" w:type="dxa"/>
            </w:tcMar>
            <w:vAlign w:val="center"/>
          </w:tcPr>
          <w:p w14:paraId="765FE9D8">
            <w:pPr>
              <w:widowControl/>
              <w:jc w:val="center"/>
              <w:rPr>
                <w:rFonts w:ascii="Times New Roman" w:hAnsi="Times New Roman" w:eastAsia="宋体" w:cs="Times New Roman"/>
                <w:b/>
                <w:bCs/>
                <w:szCs w:val="21"/>
              </w:rPr>
            </w:pPr>
          </w:p>
        </w:tc>
        <w:tc>
          <w:tcPr>
            <w:tcW w:w="987" w:type="dxa"/>
            <w:vMerge w:val="continue"/>
            <w:tcBorders>
              <w:tl2br w:val="nil"/>
              <w:tr2bl w:val="nil"/>
            </w:tcBorders>
            <w:tcMar>
              <w:top w:w="0" w:type="dxa"/>
              <w:left w:w="6" w:type="dxa"/>
              <w:bottom w:w="0" w:type="dxa"/>
              <w:right w:w="6" w:type="dxa"/>
            </w:tcMar>
            <w:vAlign w:val="center"/>
          </w:tcPr>
          <w:p w14:paraId="3C8F0A20">
            <w:pPr>
              <w:widowControl/>
              <w:jc w:val="center"/>
              <w:rPr>
                <w:rFonts w:ascii="Times New Roman" w:hAnsi="Times New Roman" w:eastAsia="宋体" w:cs="Times New Roman"/>
                <w:b/>
                <w:bCs/>
                <w:szCs w:val="21"/>
              </w:rPr>
            </w:pPr>
          </w:p>
        </w:tc>
      </w:tr>
      <w:tr w14:paraId="10FDF3D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20B1F974">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984" w:type="dxa"/>
            <w:tcBorders>
              <w:tl2br w:val="nil"/>
              <w:tr2bl w:val="nil"/>
            </w:tcBorders>
            <w:vAlign w:val="center"/>
          </w:tcPr>
          <w:p w14:paraId="719DF9E8">
            <w:pPr>
              <w:spacing w:line="280" w:lineRule="atLeast"/>
              <w:jc w:val="center"/>
              <w:rPr>
                <w:rFonts w:ascii="Times New Roman" w:hAnsi="Times New Roman" w:eastAsia="宋体" w:cs="Times New Roman"/>
                <w:szCs w:val="21"/>
              </w:rPr>
            </w:pPr>
            <w:r>
              <w:rPr>
                <w:rFonts w:ascii="Times New Roman" w:hAnsi="Times New Roman" w:cs="Times New Roman"/>
                <w:szCs w:val="21"/>
              </w:rPr>
              <w:t>甲苯</w:t>
            </w:r>
          </w:p>
        </w:tc>
        <w:tc>
          <w:tcPr>
            <w:tcW w:w="1382" w:type="dxa"/>
            <w:vMerge w:val="restart"/>
            <w:tcBorders>
              <w:tl2br w:val="nil"/>
              <w:tr2bl w:val="nil"/>
            </w:tcBorders>
            <w:vAlign w:val="center"/>
          </w:tcPr>
          <w:p w14:paraId="7DB51DEC">
            <w:pPr>
              <w:widowControl/>
              <w:jc w:val="center"/>
              <w:rPr>
                <w:rFonts w:ascii="Times New Roman" w:hAnsi="Times New Roman" w:eastAsia="宋体" w:cs="Times New Roman"/>
                <w:szCs w:val="21"/>
              </w:rPr>
            </w:pPr>
            <w:r>
              <w:rPr>
                <w:rFonts w:hint="eastAsia" w:ascii="Times New Roman" w:hAnsi="Times New Roman" w:eastAsia="宋体" w:cs="Times New Roman"/>
                <w:szCs w:val="21"/>
              </w:rPr>
              <w:t>2023.3.23</w:t>
            </w:r>
          </w:p>
        </w:tc>
        <w:tc>
          <w:tcPr>
            <w:tcW w:w="2591" w:type="dxa"/>
            <w:tcBorders>
              <w:tl2br w:val="nil"/>
              <w:tr2bl w:val="nil"/>
            </w:tcBorders>
            <w:vAlign w:val="center"/>
          </w:tcPr>
          <w:p w14:paraId="1BC0099E">
            <w:pPr>
              <w:widowControl/>
              <w:jc w:val="center"/>
              <w:rPr>
                <w:rFonts w:ascii="Times New Roman" w:hAnsi="Times New Roman" w:eastAsia="宋体" w:cs="Times New Roman"/>
                <w:szCs w:val="21"/>
              </w:rPr>
            </w:pPr>
            <w:r>
              <w:rPr>
                <w:rFonts w:ascii="Times New Roman" w:hAnsi="Times New Roman" w:cs="Times New Roman"/>
                <w:kern w:val="0"/>
                <w:szCs w:val="21"/>
                <w:lang w:bidi="ar"/>
              </w:rPr>
              <w:t>未检出</w:t>
            </w:r>
          </w:p>
        </w:tc>
        <w:tc>
          <w:tcPr>
            <w:tcW w:w="881" w:type="dxa"/>
            <w:tcBorders>
              <w:tl2br w:val="nil"/>
              <w:tr2bl w:val="nil"/>
            </w:tcBorders>
            <w:vAlign w:val="center"/>
          </w:tcPr>
          <w:p w14:paraId="2C174C94">
            <w:pPr>
              <w:widowControl/>
              <w:jc w:val="center"/>
              <w:rPr>
                <w:rFonts w:ascii="Times New Roman" w:hAnsi="Times New Roman" w:eastAsia="宋体" w:cs="Times New Roman"/>
                <w:szCs w:val="21"/>
              </w:rPr>
            </w:pPr>
            <w:r>
              <w:rPr>
                <w:rFonts w:ascii="Times New Roman" w:hAnsi="Times New Roman" w:eastAsia="宋体" w:cs="Times New Roman"/>
                <w:kern w:val="0"/>
                <w:szCs w:val="21"/>
              </w:rPr>
              <w:t>1200</w:t>
            </w:r>
          </w:p>
        </w:tc>
        <w:tc>
          <w:tcPr>
            <w:tcW w:w="987" w:type="dxa"/>
            <w:tcBorders>
              <w:tl2br w:val="nil"/>
              <w:tr2bl w:val="nil"/>
            </w:tcBorders>
            <w:vAlign w:val="center"/>
          </w:tcPr>
          <w:p w14:paraId="3D54220B">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501E2F8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27B5362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984" w:type="dxa"/>
            <w:tcBorders>
              <w:tl2br w:val="nil"/>
              <w:tr2bl w:val="nil"/>
            </w:tcBorders>
            <w:vAlign w:val="center"/>
          </w:tcPr>
          <w:p w14:paraId="389CC38D">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间+对二甲苯</w:t>
            </w:r>
          </w:p>
        </w:tc>
        <w:tc>
          <w:tcPr>
            <w:tcW w:w="1382" w:type="dxa"/>
            <w:vMerge w:val="continue"/>
            <w:tcBorders>
              <w:tl2br w:val="nil"/>
              <w:tr2bl w:val="nil"/>
            </w:tcBorders>
            <w:vAlign w:val="center"/>
          </w:tcPr>
          <w:p w14:paraId="4BF20A37">
            <w:pPr>
              <w:widowControl/>
              <w:jc w:val="center"/>
              <w:rPr>
                <w:rFonts w:ascii="Times New Roman" w:hAnsi="Times New Roman" w:eastAsia="宋体" w:cs="Times New Roman"/>
                <w:szCs w:val="21"/>
              </w:rPr>
            </w:pPr>
          </w:p>
        </w:tc>
        <w:tc>
          <w:tcPr>
            <w:tcW w:w="2591" w:type="dxa"/>
            <w:tcBorders>
              <w:tl2br w:val="nil"/>
              <w:tr2bl w:val="nil"/>
            </w:tcBorders>
            <w:vAlign w:val="center"/>
          </w:tcPr>
          <w:p w14:paraId="0295C7BA">
            <w:pPr>
              <w:widowControl/>
              <w:jc w:val="center"/>
              <w:rPr>
                <w:rFonts w:ascii="Times New Roman" w:hAnsi="Times New Roman" w:eastAsia="宋体" w:cs="Times New Roman"/>
                <w:szCs w:val="21"/>
              </w:rPr>
            </w:pPr>
            <w:r>
              <w:rPr>
                <w:rFonts w:ascii="Times New Roman" w:hAnsi="Times New Roman" w:cs="Times New Roman"/>
                <w:kern w:val="0"/>
                <w:szCs w:val="21"/>
                <w:lang w:bidi="ar"/>
              </w:rPr>
              <w:t>未检出</w:t>
            </w:r>
          </w:p>
        </w:tc>
        <w:tc>
          <w:tcPr>
            <w:tcW w:w="881" w:type="dxa"/>
            <w:tcBorders>
              <w:tl2br w:val="nil"/>
              <w:tr2bl w:val="nil"/>
            </w:tcBorders>
            <w:vAlign w:val="center"/>
          </w:tcPr>
          <w:p w14:paraId="3261AF1F">
            <w:pPr>
              <w:widowControl/>
              <w:jc w:val="center"/>
              <w:rPr>
                <w:rFonts w:ascii="Times New Roman" w:hAnsi="Times New Roman" w:eastAsia="宋体" w:cs="Times New Roman"/>
                <w:szCs w:val="21"/>
              </w:rPr>
            </w:pPr>
            <w:r>
              <w:rPr>
                <w:rFonts w:ascii="Times New Roman" w:hAnsi="Times New Roman" w:eastAsia="宋体" w:cs="Times New Roman"/>
                <w:kern w:val="0"/>
                <w:szCs w:val="21"/>
              </w:rPr>
              <w:t>570</w:t>
            </w:r>
          </w:p>
        </w:tc>
        <w:tc>
          <w:tcPr>
            <w:tcW w:w="987" w:type="dxa"/>
            <w:tcBorders>
              <w:tl2br w:val="nil"/>
              <w:tr2bl w:val="nil"/>
            </w:tcBorders>
            <w:vAlign w:val="center"/>
          </w:tcPr>
          <w:p w14:paraId="40B692F6">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4542E33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22252A11">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984" w:type="dxa"/>
            <w:tcBorders>
              <w:tl2br w:val="nil"/>
              <w:tr2bl w:val="nil"/>
            </w:tcBorders>
            <w:vAlign w:val="center"/>
          </w:tcPr>
          <w:p w14:paraId="6FF39E6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邻二甲苯</w:t>
            </w:r>
          </w:p>
        </w:tc>
        <w:tc>
          <w:tcPr>
            <w:tcW w:w="1382" w:type="dxa"/>
            <w:vMerge w:val="continue"/>
            <w:tcBorders>
              <w:tl2br w:val="nil"/>
              <w:tr2bl w:val="nil"/>
            </w:tcBorders>
            <w:vAlign w:val="center"/>
          </w:tcPr>
          <w:p w14:paraId="7B9637E5">
            <w:pPr>
              <w:widowControl/>
              <w:jc w:val="center"/>
              <w:rPr>
                <w:rFonts w:ascii="Times New Roman" w:hAnsi="Times New Roman" w:eastAsia="宋体" w:cs="Times New Roman"/>
                <w:szCs w:val="21"/>
              </w:rPr>
            </w:pPr>
          </w:p>
        </w:tc>
        <w:tc>
          <w:tcPr>
            <w:tcW w:w="2591" w:type="dxa"/>
            <w:tcBorders>
              <w:tl2br w:val="nil"/>
              <w:tr2bl w:val="nil"/>
            </w:tcBorders>
            <w:vAlign w:val="center"/>
          </w:tcPr>
          <w:p w14:paraId="7795A041">
            <w:pPr>
              <w:widowControl/>
              <w:jc w:val="center"/>
              <w:rPr>
                <w:rFonts w:ascii="Times New Roman" w:hAnsi="Times New Roman" w:eastAsia="宋体" w:cs="Times New Roman"/>
                <w:szCs w:val="21"/>
              </w:rPr>
            </w:pPr>
            <w:r>
              <w:rPr>
                <w:rFonts w:ascii="Times New Roman" w:hAnsi="Times New Roman" w:cs="Times New Roman"/>
                <w:kern w:val="0"/>
                <w:szCs w:val="21"/>
                <w:lang w:bidi="ar"/>
              </w:rPr>
              <w:t>未检出</w:t>
            </w:r>
          </w:p>
        </w:tc>
        <w:tc>
          <w:tcPr>
            <w:tcW w:w="881" w:type="dxa"/>
            <w:tcBorders>
              <w:tl2br w:val="nil"/>
              <w:tr2bl w:val="nil"/>
            </w:tcBorders>
            <w:vAlign w:val="center"/>
          </w:tcPr>
          <w:p w14:paraId="4BA038F0">
            <w:pPr>
              <w:widowControl/>
              <w:jc w:val="center"/>
              <w:rPr>
                <w:rFonts w:ascii="Times New Roman" w:hAnsi="Times New Roman" w:eastAsia="宋体" w:cs="Times New Roman"/>
                <w:szCs w:val="21"/>
              </w:rPr>
            </w:pPr>
            <w:r>
              <w:rPr>
                <w:rFonts w:ascii="Times New Roman" w:hAnsi="Times New Roman" w:eastAsia="宋体" w:cs="Times New Roman"/>
                <w:kern w:val="0"/>
                <w:szCs w:val="21"/>
              </w:rPr>
              <w:t>640</w:t>
            </w:r>
          </w:p>
        </w:tc>
        <w:tc>
          <w:tcPr>
            <w:tcW w:w="987" w:type="dxa"/>
            <w:tcBorders>
              <w:tl2br w:val="nil"/>
              <w:tr2bl w:val="nil"/>
            </w:tcBorders>
            <w:vAlign w:val="center"/>
          </w:tcPr>
          <w:p w14:paraId="186D12AF">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451F753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32FBA6A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984" w:type="dxa"/>
            <w:tcBorders>
              <w:tl2br w:val="nil"/>
              <w:tr2bl w:val="nil"/>
            </w:tcBorders>
            <w:vAlign w:val="center"/>
          </w:tcPr>
          <w:p w14:paraId="2CB6FA6C">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石油烃（C</w:t>
            </w:r>
            <w:r>
              <w:rPr>
                <w:rFonts w:ascii="Times New Roman" w:hAnsi="Times New Roman" w:eastAsia="宋体" w:cs="Times New Roman"/>
                <w:szCs w:val="21"/>
                <w:vertAlign w:val="subscript"/>
              </w:rPr>
              <w:t>10</w:t>
            </w:r>
            <w:r>
              <w:rPr>
                <w:rFonts w:ascii="Times New Roman" w:hAnsi="Times New Roman" w:eastAsia="宋体" w:cs="Times New Roman"/>
                <w:szCs w:val="21"/>
              </w:rPr>
              <w:t>-C</w:t>
            </w:r>
            <w:r>
              <w:rPr>
                <w:rFonts w:ascii="Times New Roman" w:hAnsi="Times New Roman" w:eastAsia="宋体" w:cs="Times New Roman"/>
                <w:szCs w:val="21"/>
                <w:vertAlign w:val="subscript"/>
              </w:rPr>
              <w:t>40</w:t>
            </w:r>
            <w:r>
              <w:rPr>
                <w:rFonts w:ascii="Times New Roman" w:hAnsi="Times New Roman" w:eastAsia="宋体" w:cs="Times New Roman"/>
                <w:szCs w:val="21"/>
              </w:rPr>
              <w:t>）</w:t>
            </w:r>
          </w:p>
        </w:tc>
        <w:tc>
          <w:tcPr>
            <w:tcW w:w="1382" w:type="dxa"/>
            <w:vMerge w:val="continue"/>
            <w:tcBorders>
              <w:tl2br w:val="nil"/>
              <w:tr2bl w:val="nil"/>
            </w:tcBorders>
            <w:vAlign w:val="center"/>
          </w:tcPr>
          <w:p w14:paraId="30A978C7">
            <w:pPr>
              <w:widowControl/>
              <w:jc w:val="center"/>
              <w:rPr>
                <w:rFonts w:ascii="Times New Roman" w:hAnsi="Times New Roman" w:eastAsia="宋体" w:cs="Times New Roman"/>
                <w:szCs w:val="21"/>
              </w:rPr>
            </w:pPr>
          </w:p>
        </w:tc>
        <w:tc>
          <w:tcPr>
            <w:tcW w:w="2591" w:type="dxa"/>
            <w:tcBorders>
              <w:tl2br w:val="nil"/>
              <w:tr2bl w:val="nil"/>
            </w:tcBorders>
            <w:vAlign w:val="center"/>
          </w:tcPr>
          <w:p w14:paraId="6B607CFE">
            <w:pPr>
              <w:widowControl/>
              <w:jc w:val="center"/>
              <w:rPr>
                <w:rFonts w:ascii="Times New Roman" w:hAnsi="Times New Roman" w:eastAsia="宋体" w:cs="Times New Roman"/>
                <w:szCs w:val="21"/>
              </w:rPr>
            </w:pPr>
            <w:r>
              <w:rPr>
                <w:rFonts w:ascii="Times New Roman" w:hAnsi="Times New Roman" w:cs="Times New Roman"/>
                <w:kern w:val="0"/>
                <w:szCs w:val="21"/>
                <w:lang w:bidi="ar"/>
              </w:rPr>
              <w:t>未检出</w:t>
            </w:r>
          </w:p>
        </w:tc>
        <w:tc>
          <w:tcPr>
            <w:tcW w:w="881" w:type="dxa"/>
            <w:tcBorders>
              <w:tl2br w:val="nil"/>
              <w:tr2bl w:val="nil"/>
            </w:tcBorders>
            <w:vAlign w:val="center"/>
          </w:tcPr>
          <w:p w14:paraId="2F18FD22">
            <w:pPr>
              <w:jc w:val="center"/>
              <w:rPr>
                <w:rFonts w:ascii="Times New Roman" w:hAnsi="Times New Roman" w:eastAsia="宋体" w:cs="Times New Roman"/>
                <w:szCs w:val="21"/>
              </w:rPr>
            </w:pPr>
            <w:r>
              <w:rPr>
                <w:rFonts w:ascii="Times New Roman" w:hAnsi="Times New Roman" w:eastAsia="宋体" w:cs="Times New Roman"/>
                <w:szCs w:val="21"/>
              </w:rPr>
              <w:t>4500</w:t>
            </w:r>
          </w:p>
        </w:tc>
        <w:tc>
          <w:tcPr>
            <w:tcW w:w="987" w:type="dxa"/>
            <w:tcBorders>
              <w:tl2br w:val="nil"/>
              <w:tr2bl w:val="nil"/>
            </w:tcBorders>
            <w:vAlign w:val="center"/>
          </w:tcPr>
          <w:p w14:paraId="57DD7C36">
            <w:pPr>
              <w:jc w:val="center"/>
              <w:rPr>
                <w:rFonts w:ascii="Times New Roman" w:hAnsi="Times New Roman" w:eastAsia="宋体" w:cs="Times New Roman"/>
                <w:szCs w:val="21"/>
              </w:rPr>
            </w:pPr>
            <w:r>
              <w:rPr>
                <w:rFonts w:ascii="Times New Roman" w:hAnsi="Times New Roman" w:eastAsia="宋体" w:cs="Times New Roman"/>
                <w:kern w:val="0"/>
                <w:szCs w:val="21"/>
                <w:lang w:bidi="ar"/>
              </w:rPr>
              <w:t>达标</w:t>
            </w:r>
          </w:p>
        </w:tc>
      </w:tr>
      <w:tr w14:paraId="5769489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104FEADA">
            <w:pPr>
              <w:widowControl/>
              <w:snapToGrid w:val="0"/>
              <w:jc w:val="center"/>
              <w:rPr>
                <w:rFonts w:hint="eastAsia" w:ascii="Times New Roman" w:hAnsi="Times New Roman" w:eastAsia="宋体" w:cs="Times New Roman"/>
                <w:szCs w:val="21"/>
                <w:highlight w:val="none"/>
                <w:lang w:val="en-US" w:eastAsia="zh-CN"/>
              </w:rPr>
            </w:pPr>
            <w:bookmarkStart w:id="187" w:name="_Toc313816242"/>
            <w:bookmarkStart w:id="188" w:name="_Toc532392902"/>
            <w:bookmarkStart w:id="189" w:name="_Toc480557544"/>
            <w:bookmarkStart w:id="190" w:name="_Toc485926110"/>
            <w:bookmarkStart w:id="191" w:name="_Toc528243589"/>
            <w:bookmarkStart w:id="192" w:name="_Toc524939796"/>
            <w:bookmarkStart w:id="193" w:name="_Toc27676"/>
            <w:bookmarkStart w:id="194" w:name="_Toc28957"/>
            <w:r>
              <w:rPr>
                <w:rFonts w:hint="eastAsia" w:ascii="Times New Roman" w:hAnsi="Times New Roman" w:eastAsia="宋体" w:cs="Times New Roman"/>
                <w:szCs w:val="21"/>
                <w:highlight w:val="none"/>
                <w:lang w:val="en-US" w:eastAsia="zh-CN"/>
              </w:rPr>
              <w:t>5</w:t>
            </w:r>
          </w:p>
        </w:tc>
        <w:tc>
          <w:tcPr>
            <w:tcW w:w="1984" w:type="dxa"/>
            <w:tcBorders>
              <w:tl2br w:val="nil"/>
              <w:tr2bl w:val="nil"/>
            </w:tcBorders>
            <w:vAlign w:val="center"/>
          </w:tcPr>
          <w:p w14:paraId="53A29EE0">
            <w:pPr>
              <w:widowControl/>
              <w:snapToGrid w:val="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苯</w:t>
            </w:r>
          </w:p>
        </w:tc>
        <w:tc>
          <w:tcPr>
            <w:tcW w:w="1382" w:type="dxa"/>
            <w:vMerge w:val="continue"/>
            <w:tcBorders>
              <w:tl2br w:val="nil"/>
              <w:tr2bl w:val="nil"/>
            </w:tcBorders>
            <w:vAlign w:val="center"/>
          </w:tcPr>
          <w:p w14:paraId="12838182">
            <w:pPr>
              <w:widowControl/>
              <w:jc w:val="center"/>
              <w:rPr>
                <w:rFonts w:ascii="Times New Roman" w:hAnsi="Times New Roman" w:eastAsia="宋体" w:cs="Times New Roman"/>
                <w:szCs w:val="21"/>
                <w:highlight w:val="none"/>
              </w:rPr>
            </w:pPr>
          </w:p>
        </w:tc>
        <w:tc>
          <w:tcPr>
            <w:tcW w:w="2591" w:type="dxa"/>
            <w:tcBorders>
              <w:tl2br w:val="nil"/>
              <w:tr2bl w:val="nil"/>
            </w:tcBorders>
            <w:vAlign w:val="center"/>
          </w:tcPr>
          <w:p w14:paraId="48B381A0">
            <w:pPr>
              <w:widowControl/>
              <w:jc w:val="center"/>
              <w:rPr>
                <w:rFonts w:ascii="Times New Roman" w:hAnsi="Times New Roman" w:cs="Times New Roman"/>
                <w:kern w:val="0"/>
                <w:szCs w:val="21"/>
                <w:highlight w:val="none"/>
                <w:lang w:bidi="ar"/>
              </w:rPr>
            </w:pPr>
            <w:r>
              <w:rPr>
                <w:rFonts w:ascii="Times New Roman" w:hAnsi="Times New Roman" w:cs="Times New Roman"/>
                <w:kern w:val="0"/>
                <w:szCs w:val="21"/>
                <w:highlight w:val="none"/>
                <w:lang w:bidi="ar"/>
              </w:rPr>
              <w:t>未检出</w:t>
            </w:r>
          </w:p>
        </w:tc>
        <w:tc>
          <w:tcPr>
            <w:tcW w:w="881" w:type="dxa"/>
            <w:tcBorders>
              <w:tl2br w:val="nil"/>
              <w:tr2bl w:val="nil"/>
            </w:tcBorders>
            <w:vAlign w:val="center"/>
          </w:tcPr>
          <w:p w14:paraId="1B04A193">
            <w:pPr>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4</w:t>
            </w:r>
          </w:p>
        </w:tc>
        <w:tc>
          <w:tcPr>
            <w:tcW w:w="987" w:type="dxa"/>
            <w:tcBorders>
              <w:tl2br w:val="nil"/>
              <w:tr2bl w:val="nil"/>
            </w:tcBorders>
            <w:vAlign w:val="center"/>
          </w:tcPr>
          <w:p w14:paraId="56FA9FE2">
            <w:pPr>
              <w:jc w:val="center"/>
              <w:rPr>
                <w:rFonts w:ascii="Times New Roman" w:hAnsi="Times New Roman" w:eastAsia="宋体" w:cs="Times New Roman"/>
                <w:kern w:val="0"/>
                <w:szCs w:val="21"/>
                <w:highlight w:val="none"/>
                <w:lang w:bidi="ar"/>
              </w:rPr>
            </w:pPr>
            <w:r>
              <w:rPr>
                <w:rFonts w:ascii="Times New Roman" w:hAnsi="Times New Roman" w:eastAsia="宋体" w:cs="Times New Roman"/>
                <w:kern w:val="0"/>
                <w:szCs w:val="21"/>
                <w:highlight w:val="none"/>
                <w:lang w:bidi="ar"/>
              </w:rPr>
              <w:t>达标</w:t>
            </w:r>
          </w:p>
        </w:tc>
      </w:tr>
      <w:tr w14:paraId="5BDF95D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tcBorders>
              <w:tl2br w:val="nil"/>
              <w:tr2bl w:val="nil"/>
            </w:tcBorders>
            <w:vAlign w:val="center"/>
          </w:tcPr>
          <w:p w14:paraId="0FFA7F9F">
            <w:pPr>
              <w:widowControl/>
              <w:snapToGrid w:val="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6</w:t>
            </w:r>
          </w:p>
        </w:tc>
        <w:tc>
          <w:tcPr>
            <w:tcW w:w="1984" w:type="dxa"/>
            <w:tcBorders>
              <w:tl2br w:val="nil"/>
              <w:tr2bl w:val="nil"/>
            </w:tcBorders>
            <w:vAlign w:val="center"/>
          </w:tcPr>
          <w:p w14:paraId="5335FB75">
            <w:pPr>
              <w:widowControl/>
              <w:snapToGrid w:val="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pH</w:t>
            </w:r>
          </w:p>
        </w:tc>
        <w:tc>
          <w:tcPr>
            <w:tcW w:w="1382" w:type="dxa"/>
            <w:vMerge w:val="continue"/>
            <w:tcBorders>
              <w:tl2br w:val="nil"/>
              <w:tr2bl w:val="nil"/>
            </w:tcBorders>
            <w:vAlign w:val="center"/>
          </w:tcPr>
          <w:p w14:paraId="1EC67BC6">
            <w:pPr>
              <w:widowControl/>
              <w:jc w:val="center"/>
              <w:rPr>
                <w:rFonts w:ascii="Times New Roman" w:hAnsi="Times New Roman" w:eastAsia="宋体" w:cs="Times New Roman"/>
                <w:szCs w:val="21"/>
                <w:highlight w:val="none"/>
              </w:rPr>
            </w:pPr>
          </w:p>
        </w:tc>
        <w:tc>
          <w:tcPr>
            <w:tcW w:w="2591" w:type="dxa"/>
            <w:tcBorders>
              <w:tl2br w:val="nil"/>
              <w:tr2bl w:val="nil"/>
            </w:tcBorders>
            <w:vAlign w:val="center"/>
          </w:tcPr>
          <w:p w14:paraId="315A9144">
            <w:pPr>
              <w:widowControl/>
              <w:jc w:val="center"/>
              <w:rPr>
                <w:rFonts w:hint="default" w:ascii="Times New Roman" w:hAnsi="Times New Roman" w:cs="Times New Roman" w:eastAsiaTheme="minorEastAsia"/>
                <w:kern w:val="0"/>
                <w:szCs w:val="21"/>
                <w:highlight w:val="none"/>
                <w:lang w:val="en-US" w:eastAsia="zh-CN" w:bidi="ar"/>
              </w:rPr>
            </w:pPr>
            <w:r>
              <w:rPr>
                <w:rFonts w:hint="eastAsia" w:ascii="Times New Roman" w:hAnsi="Times New Roman" w:cs="Times New Roman"/>
                <w:kern w:val="0"/>
                <w:szCs w:val="21"/>
                <w:highlight w:val="none"/>
                <w:lang w:val="en-US" w:eastAsia="zh-CN" w:bidi="ar"/>
              </w:rPr>
              <w:t>7.98</w:t>
            </w:r>
          </w:p>
        </w:tc>
        <w:tc>
          <w:tcPr>
            <w:tcW w:w="881" w:type="dxa"/>
            <w:tcBorders>
              <w:tl2br w:val="nil"/>
              <w:tr2bl w:val="nil"/>
            </w:tcBorders>
            <w:vAlign w:val="center"/>
          </w:tcPr>
          <w:p w14:paraId="38AA5B4A">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w:t>
            </w:r>
          </w:p>
        </w:tc>
        <w:tc>
          <w:tcPr>
            <w:tcW w:w="987" w:type="dxa"/>
            <w:tcBorders>
              <w:tl2br w:val="nil"/>
              <w:tr2bl w:val="nil"/>
            </w:tcBorders>
            <w:vAlign w:val="center"/>
          </w:tcPr>
          <w:p w14:paraId="61D7051A">
            <w:pPr>
              <w:jc w:val="center"/>
              <w:rPr>
                <w:rFonts w:hint="eastAsia" w:ascii="Times New Roman" w:hAnsi="Times New Roman" w:eastAsia="宋体" w:cs="Times New Roman"/>
                <w:kern w:val="0"/>
                <w:szCs w:val="21"/>
                <w:highlight w:val="none"/>
                <w:lang w:val="en-US" w:eastAsia="zh-CN" w:bidi="ar"/>
              </w:rPr>
            </w:pPr>
            <w:r>
              <w:rPr>
                <w:rFonts w:hint="eastAsia" w:ascii="Times New Roman" w:hAnsi="Times New Roman" w:eastAsia="宋体" w:cs="Times New Roman"/>
                <w:kern w:val="0"/>
                <w:szCs w:val="21"/>
                <w:highlight w:val="none"/>
                <w:lang w:val="en-US" w:eastAsia="zh-CN" w:bidi="ar"/>
              </w:rPr>
              <w:t>/</w:t>
            </w:r>
            <w:bookmarkStart w:id="459" w:name="_GoBack"/>
            <w:bookmarkEnd w:id="459"/>
          </w:p>
        </w:tc>
      </w:tr>
    </w:tbl>
    <w:p w14:paraId="5CFC7ABB">
      <w:pPr>
        <w:pStyle w:val="3"/>
        <w:numPr>
          <w:ilvl w:val="1"/>
          <w:numId w:val="43"/>
        </w:numPr>
      </w:pPr>
      <w:r>
        <w:t>环境质量现状评价小结</w:t>
      </w:r>
      <w:bookmarkEnd w:id="187"/>
      <w:bookmarkEnd w:id="188"/>
      <w:bookmarkEnd w:id="189"/>
      <w:bookmarkEnd w:id="190"/>
      <w:bookmarkEnd w:id="191"/>
      <w:bookmarkEnd w:id="192"/>
      <w:bookmarkEnd w:id="193"/>
      <w:bookmarkEnd w:id="194"/>
    </w:p>
    <w:p w14:paraId="63046B1C">
      <w:pPr>
        <w:pStyle w:val="4"/>
        <w:numPr>
          <w:ilvl w:val="2"/>
          <w:numId w:val="53"/>
        </w:numPr>
        <w:tabs>
          <w:tab w:val="clear" w:pos="0"/>
        </w:tabs>
      </w:pPr>
      <w:bookmarkStart w:id="195" w:name="_Toc8540"/>
      <w:r>
        <w:t>环境空气现状评价小结</w:t>
      </w:r>
      <w:bookmarkEnd w:id="195"/>
    </w:p>
    <w:p w14:paraId="2F320CA9">
      <w:pPr>
        <w:spacing w:line="360" w:lineRule="auto"/>
        <w:ind w:firstLine="480" w:firstLineChars="200"/>
        <w:rPr>
          <w:rFonts w:ascii="Times New Roman" w:hAnsi="Times New Roman" w:eastAsia="宋体" w:cs="Times New Roman"/>
          <w:sz w:val="24"/>
        </w:rPr>
      </w:pPr>
      <w:bookmarkStart w:id="196" w:name="_Toc3457"/>
      <w:r>
        <w:rPr>
          <w:rFonts w:hint="eastAsia" w:ascii="Times New Roman" w:hAnsi="Times New Roman" w:eastAsia="宋体" w:cs="Times New Roman"/>
          <w:sz w:val="24"/>
        </w:rPr>
        <w:t>濮阳市</w:t>
      </w:r>
      <w:r>
        <w:rPr>
          <w:rFonts w:ascii="Times New Roman" w:hAnsi="Times New Roman" w:eastAsia="宋体" w:cs="Times New Roman"/>
          <w:sz w:val="24"/>
        </w:rPr>
        <w:t>202</w:t>
      </w:r>
      <w:r>
        <w:rPr>
          <w:rFonts w:hint="eastAsia" w:ascii="Times New Roman" w:hAnsi="Times New Roman" w:eastAsia="宋体" w:cs="Times New Roman"/>
          <w:sz w:val="24"/>
        </w:rPr>
        <w:t>2</w:t>
      </w:r>
      <w:r>
        <w:rPr>
          <w:rFonts w:ascii="Times New Roman" w:hAnsi="Times New Roman" w:eastAsia="宋体" w:cs="Times New Roman"/>
          <w:sz w:val="24"/>
        </w:rPr>
        <w:t>年SO</w:t>
      </w:r>
      <w:r>
        <w:rPr>
          <w:rFonts w:ascii="Times New Roman" w:hAnsi="Times New Roman" w:eastAsia="宋体" w:cs="Times New Roman"/>
          <w:sz w:val="24"/>
          <w:vertAlign w:val="subscript"/>
        </w:rPr>
        <w:t>2</w:t>
      </w:r>
      <w:r>
        <w:rPr>
          <w:rFonts w:ascii="Times New Roman" w:hAnsi="Times New Roman" w:eastAsia="宋体" w:cs="Times New Roman"/>
          <w:sz w:val="24"/>
        </w:rPr>
        <w:t>、NO</w:t>
      </w:r>
      <w:r>
        <w:rPr>
          <w:rFonts w:ascii="Times New Roman" w:hAnsi="Times New Roman" w:eastAsia="宋体" w:cs="Times New Roman"/>
          <w:sz w:val="24"/>
          <w:vertAlign w:val="subscript"/>
        </w:rPr>
        <w:t>2</w:t>
      </w:r>
      <w:r>
        <w:rPr>
          <w:rFonts w:ascii="Times New Roman" w:hAnsi="Times New Roman" w:eastAsia="宋体" w:cs="Times New Roman"/>
          <w:sz w:val="24"/>
        </w:rPr>
        <w:t>年平均浓度、CO日平均质量浓度以及日平均特定百分位数浓度均满足《环境空气质量标准》</w:t>
      </w:r>
      <w:r>
        <w:rPr>
          <w:rFonts w:hint="eastAsia" w:ascii="Times New Roman" w:hAnsi="Times New Roman" w:eastAsia="宋体" w:cs="Times New Roman"/>
          <w:sz w:val="24"/>
        </w:rPr>
        <w:t>（</w:t>
      </w:r>
      <w:r>
        <w:rPr>
          <w:rFonts w:ascii="Times New Roman" w:hAnsi="Times New Roman" w:eastAsia="宋体" w:cs="Times New Roman"/>
          <w:sz w:val="24"/>
        </w:rPr>
        <w:t>GB3095-2012</w:t>
      </w:r>
      <w:r>
        <w:rPr>
          <w:rFonts w:hint="eastAsia" w:ascii="Times New Roman" w:hAnsi="Times New Roman" w:eastAsia="宋体" w:cs="Times New Roman"/>
          <w:sz w:val="24"/>
        </w:rPr>
        <w:t>）</w:t>
      </w:r>
      <w:r>
        <w:rPr>
          <w:rFonts w:ascii="Times New Roman" w:hAnsi="Times New Roman" w:eastAsia="宋体" w:cs="Times New Roman"/>
          <w:sz w:val="24"/>
        </w:rPr>
        <w:t>二级标准。</w:t>
      </w:r>
      <w:r>
        <w:rPr>
          <w:rFonts w:ascii="Times New Roman" w:hAnsi="Times New Roman" w:eastAsia="宋体" w:cs="Times New Roman"/>
          <w:color w:val="000000"/>
          <w:sz w:val="24"/>
          <w:szCs w:val="22"/>
        </w:rPr>
        <w:t>202</w:t>
      </w:r>
      <w:r>
        <w:rPr>
          <w:rFonts w:hint="eastAsia" w:ascii="Times New Roman" w:hAnsi="Times New Roman" w:eastAsia="宋体" w:cs="Times New Roman"/>
          <w:color w:val="000000"/>
          <w:sz w:val="24"/>
          <w:szCs w:val="22"/>
        </w:rPr>
        <w:t>2</w:t>
      </w:r>
      <w:r>
        <w:rPr>
          <w:rFonts w:ascii="Times New Roman" w:hAnsi="Times New Roman" w:eastAsia="宋体" w:cs="Times New Roman"/>
          <w:color w:val="000000"/>
          <w:sz w:val="24"/>
          <w:szCs w:val="22"/>
        </w:rPr>
        <w:t>年，PM</w:t>
      </w:r>
      <w:r>
        <w:rPr>
          <w:rFonts w:ascii="Times New Roman" w:hAnsi="Times New Roman" w:eastAsia="宋体" w:cs="Times New Roman"/>
          <w:color w:val="000000"/>
          <w:sz w:val="24"/>
          <w:szCs w:val="22"/>
          <w:vertAlign w:val="subscript"/>
        </w:rPr>
        <w:t>10</w:t>
      </w:r>
      <w:r>
        <w:rPr>
          <w:rFonts w:ascii="Times New Roman" w:hAnsi="Times New Roman" w:eastAsia="宋体" w:cs="Times New Roman"/>
          <w:color w:val="000000"/>
          <w:sz w:val="24"/>
          <w:szCs w:val="22"/>
        </w:rPr>
        <w:t>年平均浓度超标倍数为0.</w:t>
      </w:r>
      <w:r>
        <w:rPr>
          <w:rFonts w:hint="eastAsia" w:ascii="Times New Roman" w:hAnsi="Times New Roman" w:eastAsia="宋体" w:cs="Times New Roman"/>
          <w:color w:val="000000"/>
          <w:sz w:val="24"/>
          <w:szCs w:val="22"/>
        </w:rPr>
        <w:t>129</w:t>
      </w:r>
      <w:r>
        <w:rPr>
          <w:rFonts w:ascii="Times New Roman" w:hAnsi="Times New Roman" w:eastAsia="宋体" w:cs="Times New Roman"/>
          <w:color w:val="000000"/>
          <w:sz w:val="24"/>
          <w:szCs w:val="22"/>
        </w:rPr>
        <w:t>；PM</w:t>
      </w:r>
      <w:r>
        <w:rPr>
          <w:rFonts w:ascii="Times New Roman" w:hAnsi="Times New Roman" w:eastAsia="宋体" w:cs="Times New Roman"/>
          <w:color w:val="000000"/>
          <w:sz w:val="24"/>
          <w:szCs w:val="22"/>
          <w:vertAlign w:val="subscript"/>
        </w:rPr>
        <w:t>2.5</w:t>
      </w:r>
      <w:r>
        <w:rPr>
          <w:rFonts w:ascii="Times New Roman" w:hAnsi="Times New Roman" w:eastAsia="宋体" w:cs="Times New Roman"/>
          <w:color w:val="000000"/>
          <w:sz w:val="24"/>
          <w:szCs w:val="22"/>
        </w:rPr>
        <w:t>年平均浓度超标倍数为0.51；O</w:t>
      </w:r>
      <w:r>
        <w:rPr>
          <w:rFonts w:ascii="Times New Roman" w:hAnsi="Times New Roman" w:eastAsia="宋体" w:cs="Times New Roman"/>
          <w:color w:val="000000"/>
          <w:sz w:val="24"/>
          <w:szCs w:val="22"/>
          <w:vertAlign w:val="subscript"/>
        </w:rPr>
        <w:t>3</w:t>
      </w:r>
      <w:r>
        <w:rPr>
          <w:rFonts w:hint="eastAsia" w:ascii="Times New Roman" w:hAnsi="Times New Roman" w:eastAsia="宋体" w:cs="Times New Roman"/>
          <w:color w:val="000000"/>
          <w:sz w:val="24"/>
          <w:szCs w:val="22"/>
        </w:rPr>
        <w:t>最大8h平均浓度</w:t>
      </w:r>
      <w:r>
        <w:rPr>
          <w:rFonts w:ascii="Times New Roman" w:hAnsi="Times New Roman" w:eastAsia="宋体" w:cs="Times New Roman"/>
          <w:color w:val="000000"/>
          <w:sz w:val="24"/>
          <w:szCs w:val="22"/>
        </w:rPr>
        <w:t>特定百分位数浓度超标倍数为0.</w:t>
      </w:r>
      <w:r>
        <w:rPr>
          <w:rFonts w:hint="eastAsia" w:ascii="Times New Roman" w:hAnsi="Times New Roman" w:eastAsia="宋体" w:cs="Times New Roman"/>
          <w:color w:val="000000"/>
          <w:sz w:val="24"/>
          <w:szCs w:val="22"/>
        </w:rPr>
        <w:t>056</w:t>
      </w:r>
      <w:r>
        <w:rPr>
          <w:rFonts w:ascii="Times New Roman" w:hAnsi="Times New Roman" w:eastAsia="宋体" w:cs="Times New Roman"/>
          <w:sz w:val="24"/>
        </w:rPr>
        <w:t>；为不达标区。</w:t>
      </w:r>
    </w:p>
    <w:p w14:paraId="3F36C5EA">
      <w:pPr>
        <w:pStyle w:val="1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s="Times New Roman"/>
          <w:sz w:val="24"/>
        </w:rPr>
      </w:pPr>
      <w:r>
        <w:rPr>
          <w:rFonts w:ascii="Times New Roman" w:hAnsi="Times New Roman" w:eastAsia="宋体" w:cs="Times New Roman"/>
          <w:sz w:val="24"/>
        </w:rPr>
        <w:t>根据本项目现状质量监测结果，评价区域各监测点</w:t>
      </w:r>
      <w:r>
        <w:rPr>
          <w:rFonts w:hint="eastAsia" w:ascii="Times New Roman" w:hAnsi="Times New Roman" w:eastAsia="宋体" w:cs="Times New Roman"/>
          <w:sz w:val="24"/>
          <w:lang w:val="en-US" w:eastAsia="zh-CN"/>
        </w:rPr>
        <w:t>苯、</w:t>
      </w:r>
      <w:r>
        <w:rPr>
          <w:rFonts w:hint="eastAsia" w:ascii="Times New Roman" w:hAnsi="Times New Roman" w:eastAsia="宋体" w:cs="Times New Roman"/>
          <w:sz w:val="24"/>
        </w:rPr>
        <w:t>甲苯、二甲苯</w:t>
      </w:r>
      <w:r>
        <w:rPr>
          <w:rFonts w:ascii="Times New Roman" w:hAnsi="Times New Roman" w:eastAsia="宋体" w:cs="Times New Roman"/>
          <w:sz w:val="24"/>
        </w:rPr>
        <w:t>1小时平均浓度均能满足《环境影响评价技术导则 大气环境》（HJ2.2-2018）附录D其他污染物空气质量浓度参考限值要求；</w:t>
      </w:r>
      <w:r>
        <w:rPr>
          <w:rFonts w:hint="eastAsia" w:ascii="Times New Roman" w:hAnsi="Times New Roman" w:eastAsia="宋体" w:cs="Times New Roman"/>
          <w:sz w:val="24"/>
        </w:rPr>
        <w:t>非甲烷总烃</w:t>
      </w:r>
      <w:r>
        <w:rPr>
          <w:rFonts w:ascii="Times New Roman" w:hAnsi="Times New Roman" w:eastAsia="宋体" w:cs="Times New Roman"/>
          <w:sz w:val="24"/>
        </w:rPr>
        <w:t>1小时平均浓度</w:t>
      </w:r>
      <w:r>
        <w:rPr>
          <w:rFonts w:hint="eastAsia" w:ascii="Times New Roman" w:hAnsi="Times New Roman" w:eastAsia="宋体" w:cs="Times New Roman"/>
          <w:sz w:val="24"/>
        </w:rPr>
        <w:t>能满足《大气污染物综合排放标准详解》中标准要求。</w:t>
      </w:r>
    </w:p>
    <w:p w14:paraId="597FA835">
      <w:pPr>
        <w:pStyle w:val="4"/>
        <w:numPr>
          <w:ilvl w:val="2"/>
          <w:numId w:val="53"/>
        </w:numPr>
        <w:tabs>
          <w:tab w:val="clear" w:pos="0"/>
        </w:tabs>
      </w:pPr>
      <w:r>
        <w:t>地表水环境现状评价小结</w:t>
      </w:r>
      <w:bookmarkEnd w:id="196"/>
    </w:p>
    <w:p w14:paraId="562C4A05">
      <w:pPr>
        <w:spacing w:line="520" w:lineRule="exact"/>
        <w:ind w:firstLine="480" w:firstLineChars="200"/>
        <w:rPr>
          <w:rFonts w:ascii="Times New Roman" w:hAnsi="Times New Roman" w:eastAsia="宋体" w:cs="Times New Roman"/>
          <w:color w:val="0000FF"/>
          <w:sz w:val="24"/>
        </w:rPr>
      </w:pPr>
      <w:bookmarkStart w:id="197" w:name="_Toc280"/>
      <w:r>
        <w:rPr>
          <w:rFonts w:hint="eastAsia" w:ascii="Times New Roman" w:hAnsi="Times New Roman" w:eastAsia="宋体" w:cs="Times New Roman"/>
          <w:sz w:val="24"/>
        </w:rPr>
        <w:t>马颊河西吉七</w:t>
      </w:r>
      <w:r>
        <w:rPr>
          <w:rFonts w:ascii="Times New Roman" w:hAnsi="Times New Roman" w:eastAsia="宋体" w:cs="Times New Roman"/>
          <w:sz w:val="24"/>
        </w:rPr>
        <w:t>断面202</w:t>
      </w:r>
      <w:r>
        <w:rPr>
          <w:rFonts w:hint="eastAsia" w:ascii="Times New Roman" w:hAnsi="Times New Roman" w:eastAsia="宋体" w:cs="Times New Roman"/>
          <w:sz w:val="24"/>
        </w:rPr>
        <w:t>2</w:t>
      </w:r>
      <w:r>
        <w:rPr>
          <w:rFonts w:ascii="Times New Roman" w:hAnsi="Times New Roman" w:eastAsia="宋体" w:cs="Times New Roman"/>
          <w:sz w:val="24"/>
        </w:rPr>
        <w:t>年NH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hint="eastAsia" w:ascii="Times New Roman" w:hAnsi="Times New Roman" w:eastAsia="宋体" w:cs="Times New Roman"/>
          <w:sz w:val="24"/>
        </w:rPr>
        <w:t>第3、4季度</w:t>
      </w:r>
      <w:r>
        <w:rPr>
          <w:rFonts w:ascii="Times New Roman" w:hAnsi="Times New Roman" w:eastAsia="宋体" w:cs="Times New Roman"/>
          <w:sz w:val="24"/>
        </w:rPr>
        <w:t>均有不同程度超标。</w:t>
      </w:r>
      <w:r>
        <w:rPr>
          <w:rFonts w:hint="eastAsia" w:ascii="Times New Roman" w:hAnsi="Times New Roman" w:eastAsia="宋体" w:cs="Times New Roman"/>
          <w:bCs/>
          <w:sz w:val="24"/>
        </w:rPr>
        <w:t>超标原因主要是沿岸农业面源污染严重，上游及支流来水水质不稳定，内源污染呈加重趋势，局部河段泥位较深，天然径流匮乏，污净比较高，因此部分月份水质出现超标情况。</w:t>
      </w:r>
    </w:p>
    <w:p w14:paraId="0F3C55E4">
      <w:pPr>
        <w:spacing w:line="360" w:lineRule="auto"/>
        <w:ind w:firstLine="480" w:firstLineChars="200"/>
        <w:rPr>
          <w:rFonts w:ascii="Times New Roman" w:hAnsi="Times New Roman" w:eastAsia="宋体" w:cs="Times New Roman"/>
          <w:sz w:val="24"/>
        </w:rPr>
      </w:pPr>
      <w:r>
        <w:rPr>
          <w:rFonts w:ascii="Times New Roman" w:hAnsi="Times New Roman" w:eastAsia="Calibri" w:cs="Times New Roman"/>
          <w:sz w:val="24"/>
        </w:rPr>
        <w:t>由监测数据统计分析可知，</w:t>
      </w:r>
      <w:r>
        <w:rPr>
          <w:rFonts w:hint="eastAsia" w:ascii="Times New Roman" w:hAnsi="Times New Roman" w:eastAsia="宋体" w:cs="Times New Roman"/>
          <w:sz w:val="24"/>
        </w:rPr>
        <w:t>清丰中州水务有限公司第二污水处理厂纳污口上游500m、清丰中州水务有限公司第二污水处理厂纳污口下游200m、清丰中州水务有限公司第二污水处理厂纳污口下游2500m断面水质</w:t>
      </w:r>
      <w:r>
        <w:rPr>
          <w:rFonts w:hint="eastAsia" w:ascii="Times New Roman" w:hAnsi="Times New Roman" w:eastAsia="Calibri" w:cs="Times New Roman"/>
          <w:sz w:val="24"/>
        </w:rPr>
        <w:t>均满足</w:t>
      </w:r>
      <w:r>
        <w:rPr>
          <w:rFonts w:ascii="Times New Roman" w:hAnsi="Times New Roman" w:eastAsia="Calibri" w:cs="Times New Roman"/>
          <w:sz w:val="24"/>
        </w:rPr>
        <w:t>《地表水环境质量标准》（GB3838-2002）中</w:t>
      </w:r>
      <w:r>
        <w:rPr>
          <w:rFonts w:hint="eastAsia" w:ascii="Times New Roman" w:hAnsi="Times New Roman" w:eastAsia="宋体" w:cs="Times New Roman"/>
          <w:sz w:val="24"/>
        </w:rPr>
        <w:t>III</w:t>
      </w:r>
      <w:r>
        <w:rPr>
          <w:rFonts w:ascii="Times New Roman" w:hAnsi="Times New Roman" w:eastAsia="Calibri" w:cs="Times New Roman"/>
          <w:sz w:val="24"/>
        </w:rPr>
        <w:t>类水质要求</w:t>
      </w:r>
      <w:r>
        <w:rPr>
          <w:rFonts w:ascii="Times New Roman" w:hAnsi="Times New Roman" w:eastAsia="宋体" w:cs="Times New Roman"/>
          <w:sz w:val="24"/>
        </w:rPr>
        <w:t>。</w:t>
      </w:r>
    </w:p>
    <w:p w14:paraId="534209AE">
      <w:pPr>
        <w:pStyle w:val="4"/>
        <w:numPr>
          <w:ilvl w:val="2"/>
          <w:numId w:val="53"/>
        </w:numPr>
        <w:tabs>
          <w:tab w:val="clear" w:pos="0"/>
        </w:tabs>
      </w:pPr>
      <w:r>
        <w:t>地下水环境现状评价小结</w:t>
      </w:r>
      <w:bookmarkEnd w:id="197"/>
    </w:p>
    <w:p w14:paraId="488EBF6D">
      <w:pPr>
        <w:spacing w:line="360" w:lineRule="auto"/>
        <w:ind w:firstLine="480" w:firstLineChars="200"/>
        <w:contextualSpacing/>
        <w:rPr>
          <w:rFonts w:ascii="Times New Roman" w:hAnsi="Times New Roman" w:eastAsia="宋体" w:cs="Times New Roman"/>
          <w:sz w:val="24"/>
        </w:rPr>
      </w:pPr>
      <w:r>
        <w:rPr>
          <w:rFonts w:hint="eastAsia" w:ascii="Times New Roman" w:hAnsi="Times New Roman" w:eastAsia="宋体" w:cs="Times New Roman"/>
          <w:sz w:val="24"/>
          <w:lang w:val="en-US" w:eastAsia="zh-CN"/>
        </w:rPr>
        <w:t>根</w:t>
      </w:r>
      <w:r>
        <w:rPr>
          <w:rFonts w:ascii="Times New Roman" w:hAnsi="Times New Roman" w:eastAsia="宋体" w:cs="Times New Roman"/>
          <w:sz w:val="24"/>
        </w:rPr>
        <w:t>据监测数据表明，地下水环境质量现状各监测点位pH、总硬度、氨氮、耗氧量、硝酸盐、亚硝酸盐、总氰化物、溶解性总固体、硫酸盐、氯化物、砷、汞、六价铬、铅、镉、铁、锰、总大肠菌群、菌落总数、</w:t>
      </w:r>
      <w:r>
        <w:rPr>
          <w:rFonts w:hint="eastAsia" w:ascii="Times New Roman" w:hAnsi="Times New Roman" w:eastAsia="宋体" w:cs="Times New Roman"/>
          <w:sz w:val="24"/>
        </w:rPr>
        <w:t>甲苯、二甲苯</w:t>
      </w:r>
      <w:r>
        <w:rPr>
          <w:rFonts w:ascii="Times New Roman" w:hAnsi="Times New Roman" w:eastAsia="宋体" w:cs="Times New Roman"/>
          <w:sz w:val="24"/>
        </w:rPr>
        <w:t>等监测值均能满足GB/T14848-2017《地下水质量标准》Ⅲ类标准要求。</w:t>
      </w:r>
    </w:p>
    <w:p w14:paraId="5B9487BA">
      <w:pPr>
        <w:pStyle w:val="4"/>
        <w:numPr>
          <w:ilvl w:val="2"/>
          <w:numId w:val="53"/>
        </w:numPr>
        <w:tabs>
          <w:tab w:val="clear" w:pos="0"/>
        </w:tabs>
      </w:pPr>
      <w:bookmarkStart w:id="198" w:name="_Toc11054"/>
      <w:r>
        <w:t>声环境现状评价小结</w:t>
      </w:r>
      <w:bookmarkEnd w:id="198"/>
    </w:p>
    <w:p w14:paraId="4060C29D">
      <w:pPr>
        <w:spacing w:line="360" w:lineRule="auto"/>
        <w:ind w:firstLine="480" w:firstLineChars="200"/>
        <w:contextualSpacing/>
        <w:rPr>
          <w:rFonts w:ascii="Times New Roman" w:hAnsi="Times New Roman" w:eastAsia="宋体" w:cs="Times New Roman"/>
          <w:sz w:val="24"/>
        </w:rPr>
      </w:pPr>
      <w:r>
        <w:rPr>
          <w:rFonts w:ascii="Times New Roman" w:hAnsi="Times New Roman" w:eastAsia="宋体" w:cs="Times New Roman"/>
          <w:sz w:val="24"/>
        </w:rPr>
        <w:t>由监测数据可知，厂界声环境现状可以满足《声环境质量标准》（GB3096-2008）3类标准限值要求，周边敏感目标声环境现状可以满足《声环境质量标准》（GB3096-2008）2类标准限值要求。</w:t>
      </w:r>
    </w:p>
    <w:p w14:paraId="1D6DF6A9">
      <w:pPr>
        <w:pStyle w:val="4"/>
        <w:numPr>
          <w:ilvl w:val="2"/>
          <w:numId w:val="53"/>
        </w:numPr>
        <w:tabs>
          <w:tab w:val="clear" w:pos="0"/>
        </w:tabs>
      </w:pPr>
      <w:bookmarkStart w:id="199" w:name="_Toc22407"/>
      <w:r>
        <w:t>土壤环境现状评价小结</w:t>
      </w:r>
      <w:bookmarkEnd w:id="199"/>
    </w:p>
    <w:p w14:paraId="743C7F25">
      <w:pPr>
        <w:pStyle w:val="12"/>
        <w:spacing w:line="360" w:lineRule="auto"/>
        <w:ind w:firstLine="480"/>
        <w:rPr>
          <w:rFonts w:ascii="Times New Roman" w:hAnsi="Times New Roman" w:eastAsia="宋体" w:cs="Times New Roman"/>
          <w:sz w:val="24"/>
        </w:rPr>
      </w:pPr>
      <w:r>
        <w:rPr>
          <w:rFonts w:ascii="Times New Roman" w:hAnsi="Times New Roman" w:eastAsia="宋体" w:cs="Times New Roman"/>
          <w:sz w:val="24"/>
        </w:rPr>
        <w:t>由监测数据可知，土壤各监测点位中各监测因子均满足《土壤环境质量建设用地土壤污染风险管控标准》（试行）（GB36600-2018）表1</w:t>
      </w:r>
      <w:r>
        <w:rPr>
          <w:rFonts w:hint="eastAsia" w:ascii="Times New Roman" w:hAnsi="Times New Roman" w:eastAsia="宋体" w:cs="Times New Roman"/>
          <w:sz w:val="24"/>
        </w:rPr>
        <w:t>、表2</w:t>
      </w:r>
      <w:r>
        <w:rPr>
          <w:rFonts w:ascii="Times New Roman" w:hAnsi="Times New Roman" w:eastAsia="宋体" w:cs="Times New Roman"/>
          <w:sz w:val="24"/>
        </w:rPr>
        <w:t>第二类用地风险筛选值。</w:t>
      </w:r>
    </w:p>
    <w:p w14:paraId="733D9FE7"/>
    <w:p w14:paraId="01C34B11">
      <w:pPr>
        <w:pStyle w:val="17"/>
      </w:pPr>
    </w:p>
    <w:p w14:paraId="03300B5D">
      <w:pPr>
        <w:sectPr>
          <w:pgSz w:w="11906" w:h="16838"/>
          <w:pgMar w:top="1440" w:right="1800" w:bottom="1440" w:left="1800" w:header="851" w:footer="992" w:gutter="0"/>
          <w:pgNumType w:fmt="decimal"/>
          <w:cols w:space="425" w:num="1"/>
          <w:docGrid w:type="lines" w:linePitch="312" w:charSpace="0"/>
        </w:sectPr>
      </w:pPr>
    </w:p>
    <w:p w14:paraId="7171B9F3"/>
    <w:p w14:paraId="6BFE0AE8">
      <w:pPr>
        <w:pStyle w:val="2"/>
        <w:numPr>
          <w:ilvl w:val="0"/>
          <w:numId w:val="43"/>
        </w:numPr>
        <w:rPr>
          <w:sz w:val="44"/>
          <w:szCs w:val="44"/>
        </w:rPr>
      </w:pPr>
      <w:bookmarkStart w:id="200" w:name="_Toc12185"/>
      <w:r>
        <w:rPr>
          <w:rFonts w:hint="eastAsia"/>
          <w:sz w:val="44"/>
          <w:szCs w:val="44"/>
        </w:rPr>
        <w:t>环境影响预测与评价</w:t>
      </w:r>
      <w:bookmarkEnd w:id="200"/>
    </w:p>
    <w:p w14:paraId="341AF715">
      <w:pPr>
        <w:tabs>
          <w:tab w:val="left" w:pos="0"/>
        </w:tabs>
      </w:pPr>
      <w:bookmarkStart w:id="201" w:name="_Toc8699"/>
    </w:p>
    <w:p w14:paraId="1AC6226B">
      <w:pPr>
        <w:keepNext/>
        <w:keepLines/>
        <w:numPr>
          <w:ilvl w:val="1"/>
          <w:numId w:val="54"/>
        </w:numPr>
        <w:adjustRightInd w:val="0"/>
        <w:snapToGrid w:val="0"/>
        <w:spacing w:line="360" w:lineRule="auto"/>
        <w:outlineLvl w:val="1"/>
        <w:rPr>
          <w:rFonts w:ascii="Times New Roman" w:hAnsi="Times New Roman" w:eastAsia="宋体" w:cs="Times New Roman"/>
          <w:b/>
          <w:sz w:val="28"/>
          <w:szCs w:val="28"/>
        </w:rPr>
      </w:pPr>
      <w:bookmarkStart w:id="202" w:name="_Toc6812"/>
      <w:r>
        <w:rPr>
          <w:rFonts w:ascii="Times New Roman" w:hAnsi="Times New Roman" w:eastAsia="宋体" w:cs="Times New Roman"/>
          <w:b/>
          <w:sz w:val="28"/>
          <w:szCs w:val="28"/>
        </w:rPr>
        <w:t>施工期环境影响分析</w:t>
      </w:r>
      <w:bookmarkEnd w:id="201"/>
      <w:bookmarkEnd w:id="202"/>
    </w:p>
    <w:p w14:paraId="5C4A5885">
      <w:pPr>
        <w:pStyle w:val="41"/>
        <w:adjustRightInd w:val="0"/>
        <w:snapToGrid w:val="0"/>
        <w:ind w:firstLine="520" w:firstLineChars="217"/>
      </w:pPr>
      <w:bookmarkStart w:id="203" w:name="_Toc14721"/>
      <w:bookmarkStart w:id="204" w:name="_Toc7527387"/>
      <w:bookmarkStart w:id="205" w:name="_Toc31368"/>
      <w:bookmarkStart w:id="206" w:name="_Toc22267"/>
      <w:r>
        <w:rPr>
          <w:rFonts w:hint="eastAsia"/>
        </w:rPr>
        <w:t>本项目租赁伯艺精木（清丰）家居有限公司已建成空厂房，工程内容主要为购置生产设备、安装、调试。施工期较短，且主要在厂房内施工，不会对周围环境产生影响。因此本次评价施工期不再进行分析。</w:t>
      </w:r>
    </w:p>
    <w:p w14:paraId="5FE8C232">
      <w:pPr>
        <w:keepNext/>
        <w:keepLines/>
        <w:numPr>
          <w:ilvl w:val="1"/>
          <w:numId w:val="54"/>
        </w:numPr>
        <w:adjustRightInd w:val="0"/>
        <w:snapToGrid w:val="0"/>
        <w:spacing w:line="360" w:lineRule="auto"/>
        <w:outlineLvl w:val="1"/>
        <w:rPr>
          <w:rFonts w:ascii="Times New Roman" w:hAnsi="Times New Roman" w:eastAsia="宋体" w:cs="Times New Roman"/>
          <w:b/>
          <w:sz w:val="28"/>
          <w:szCs w:val="28"/>
        </w:rPr>
      </w:pPr>
      <w:bookmarkStart w:id="207" w:name="_Toc17306"/>
      <w:r>
        <w:rPr>
          <w:rFonts w:ascii="Times New Roman" w:hAnsi="Times New Roman" w:eastAsia="宋体" w:cs="Times New Roman"/>
          <w:b/>
          <w:sz w:val="28"/>
          <w:szCs w:val="28"/>
        </w:rPr>
        <w:t>营运期水环境影响预测与评价</w:t>
      </w:r>
      <w:bookmarkEnd w:id="203"/>
      <w:bookmarkEnd w:id="204"/>
      <w:bookmarkEnd w:id="205"/>
      <w:bookmarkEnd w:id="206"/>
      <w:bookmarkEnd w:id="207"/>
    </w:p>
    <w:p w14:paraId="4371F147">
      <w:pPr>
        <w:keepNext/>
        <w:keepLines/>
        <w:numPr>
          <w:ilvl w:val="2"/>
          <w:numId w:val="54"/>
        </w:numPr>
        <w:adjustRightInd w:val="0"/>
        <w:snapToGrid w:val="0"/>
        <w:spacing w:line="360" w:lineRule="auto"/>
        <w:outlineLvl w:val="2"/>
        <w:rPr>
          <w:rFonts w:ascii="Times New Roman" w:hAnsi="Times New Roman" w:eastAsia="宋体" w:cs="Times New Roman"/>
          <w:b/>
          <w:sz w:val="24"/>
        </w:rPr>
      </w:pPr>
      <w:bookmarkStart w:id="208" w:name="_Toc42439424"/>
      <w:bookmarkStart w:id="209" w:name="_Toc26696462"/>
      <w:bookmarkStart w:id="210" w:name="_Toc26721404"/>
      <w:bookmarkStart w:id="211" w:name="_Toc17042438"/>
      <w:bookmarkStart w:id="212" w:name="_Toc59645828"/>
      <w:bookmarkStart w:id="213" w:name="_Toc18874974"/>
      <w:bookmarkStart w:id="214" w:name="_Toc47952519"/>
      <w:bookmarkStart w:id="215" w:name="_Toc60995408"/>
      <w:bookmarkStart w:id="216" w:name="_Toc516779673"/>
      <w:bookmarkStart w:id="217" w:name="_Toc17145999"/>
      <w:bookmarkStart w:id="218" w:name="_Toc45458764"/>
      <w:bookmarkStart w:id="219" w:name="_Toc40813389"/>
      <w:r>
        <w:rPr>
          <w:rFonts w:hint="eastAsia" w:ascii="Times New Roman" w:hAnsi="Times New Roman" w:eastAsia="宋体" w:cs="Times New Roman"/>
          <w:b/>
          <w:sz w:val="24"/>
        </w:rPr>
        <w:t>废水排放去向</w:t>
      </w:r>
      <w:bookmarkEnd w:id="208"/>
      <w:bookmarkEnd w:id="209"/>
      <w:bookmarkEnd w:id="210"/>
      <w:bookmarkEnd w:id="211"/>
      <w:bookmarkEnd w:id="212"/>
      <w:bookmarkEnd w:id="213"/>
      <w:bookmarkEnd w:id="214"/>
      <w:bookmarkEnd w:id="215"/>
      <w:bookmarkEnd w:id="216"/>
      <w:bookmarkEnd w:id="217"/>
      <w:bookmarkEnd w:id="218"/>
      <w:bookmarkEnd w:id="219"/>
    </w:p>
    <w:p w14:paraId="58F3A14C">
      <w:pPr>
        <w:pStyle w:val="41"/>
        <w:adjustRightInd w:val="0"/>
        <w:snapToGrid w:val="0"/>
        <w:ind w:firstLine="480"/>
        <w:jc w:val="left"/>
        <w:rPr>
          <w:szCs w:val="22"/>
        </w:rPr>
      </w:pPr>
      <w:r>
        <w:rPr>
          <w:rFonts w:hint="eastAsia"/>
          <w:szCs w:val="22"/>
        </w:rPr>
        <w:t>本项目建成后全厂营运期主要有生活污水、水帘废水。项目废水产生来源及排放去向情况见表3.6-6。</w:t>
      </w:r>
    </w:p>
    <w:p w14:paraId="5FF7C505">
      <w:pPr>
        <w:adjustRightInd w:val="0"/>
        <w:snapToGrid w:val="0"/>
        <w:spacing w:line="360" w:lineRule="auto"/>
        <w:ind w:firstLine="424" w:firstLineChars="177"/>
        <w:rPr>
          <w:rFonts w:ascii="Times New Roman" w:hAnsi="Times New Roman" w:eastAsia="宋体" w:cs="Times New Roman"/>
          <w:sz w:val="24"/>
        </w:rPr>
      </w:pPr>
      <w:r>
        <w:rPr>
          <w:rFonts w:hint="eastAsia" w:ascii="宋体" w:hAnsi="宋体" w:eastAsia="宋体" w:cs="宋体"/>
          <w:sz w:val="24"/>
        </w:rPr>
        <w:t>生活污水经厂区内的化粪池处理后接管排入清丰中州水务有限公司第二污水处理厂</w:t>
      </w:r>
      <w:r>
        <w:rPr>
          <w:rFonts w:hint="eastAsia" w:ascii="宋体" w:hAnsi="宋体" w:cs="宋体"/>
          <w:sz w:val="24"/>
        </w:rPr>
        <w:t>。</w:t>
      </w:r>
      <w:r>
        <w:rPr>
          <w:rFonts w:hint="eastAsia" w:ascii="Times New Roman" w:hAnsi="Times New Roman" w:eastAsia="宋体" w:cs="Times New Roman"/>
          <w:sz w:val="24"/>
        </w:rPr>
        <w:t>生产废水经厂内自建废水处理站处理后，满足接管标准后排入</w:t>
      </w:r>
      <w:r>
        <w:rPr>
          <w:rFonts w:hint="eastAsia" w:cs="Times New Roman"/>
          <w:sz w:val="24"/>
        </w:rPr>
        <w:t>清丰中州水务有限公司第二污水处理厂</w:t>
      </w:r>
      <w:r>
        <w:rPr>
          <w:rFonts w:hint="eastAsia" w:ascii="Times New Roman" w:hAnsi="Times New Roman" w:eastAsia="宋体" w:cs="Times New Roman"/>
          <w:sz w:val="24"/>
        </w:rPr>
        <w:t>进一步处理，尾水排入</w:t>
      </w:r>
      <w:r>
        <w:rPr>
          <w:rFonts w:hint="eastAsia" w:cs="Times New Roman"/>
          <w:sz w:val="24"/>
        </w:rPr>
        <w:t>潴龙河</w:t>
      </w:r>
      <w:r>
        <w:rPr>
          <w:rFonts w:hint="eastAsia" w:ascii="Times New Roman" w:hAnsi="Times New Roman" w:eastAsia="宋体" w:cs="Times New Roman"/>
          <w:sz w:val="24"/>
        </w:rPr>
        <w:t>。</w:t>
      </w:r>
    </w:p>
    <w:p w14:paraId="4A34ABE7">
      <w:pPr>
        <w:adjustRightInd w:val="0"/>
        <w:snapToGrid w:val="0"/>
        <w:spacing w:line="360" w:lineRule="auto"/>
        <w:ind w:firstLine="424" w:firstLineChars="177"/>
        <w:jc w:val="left"/>
        <w:rPr>
          <w:rFonts w:ascii="Times New Roman" w:hAnsi="Times New Roman" w:eastAsia="宋体" w:cs="Times New Roman"/>
          <w:snapToGrid w:val="0"/>
          <w:kern w:val="0"/>
          <w:sz w:val="24"/>
        </w:rPr>
      </w:pPr>
      <w:r>
        <w:rPr>
          <w:rFonts w:hint="eastAsia" w:ascii="Times New Roman" w:hAnsi="Times New Roman" w:eastAsia="宋体" w:cs="Times New Roman"/>
          <w:snapToGrid w:val="0"/>
          <w:kern w:val="0"/>
          <w:sz w:val="24"/>
        </w:rPr>
        <w:t>鉴于本项目外排</w:t>
      </w:r>
      <w:r>
        <w:rPr>
          <w:rFonts w:hint="eastAsia" w:cs="Times New Roman"/>
          <w:snapToGrid w:val="0"/>
          <w:kern w:val="0"/>
          <w:sz w:val="24"/>
        </w:rPr>
        <w:t>生活污水经化粪池、</w:t>
      </w:r>
      <w:r>
        <w:rPr>
          <w:rFonts w:hint="eastAsia" w:ascii="Times New Roman" w:hAnsi="Times New Roman" w:eastAsia="宋体" w:cs="Times New Roman"/>
          <w:snapToGrid w:val="0"/>
          <w:kern w:val="0"/>
          <w:sz w:val="24"/>
        </w:rPr>
        <w:t>生产废水经厂内污水站预处理满足接管标准后，再排入清丰中州水务有限公司第二污水处理厂进一步处理达标后排放，属于间接排放，因此，根据《环境影响评价技术导则</w:t>
      </w:r>
      <w:r>
        <w:rPr>
          <w:rFonts w:ascii="Times New Roman" w:hAnsi="Times New Roman" w:eastAsia="宋体" w:cs="Times New Roman"/>
          <w:snapToGrid w:val="0"/>
          <w:kern w:val="0"/>
          <w:sz w:val="24"/>
        </w:rPr>
        <w:t xml:space="preserve">  </w:t>
      </w:r>
      <w:r>
        <w:rPr>
          <w:rFonts w:hint="eastAsia" w:ascii="Times New Roman" w:hAnsi="Times New Roman" w:eastAsia="宋体" w:cs="Times New Roman"/>
          <w:snapToGrid w:val="0"/>
          <w:kern w:val="0"/>
          <w:sz w:val="24"/>
        </w:rPr>
        <w:t>地表水环境》（</w:t>
      </w:r>
      <w:r>
        <w:rPr>
          <w:rFonts w:ascii="Times New Roman" w:hAnsi="Times New Roman" w:eastAsia="宋体" w:cs="Times New Roman"/>
          <w:snapToGrid w:val="0"/>
          <w:kern w:val="0"/>
          <w:sz w:val="24"/>
        </w:rPr>
        <w:t>HJ2.3-2018</w:t>
      </w:r>
      <w:r>
        <w:rPr>
          <w:rFonts w:hint="eastAsia" w:ascii="Times New Roman" w:hAnsi="Times New Roman" w:eastAsia="宋体" w:cs="Times New Roman"/>
          <w:snapToGrid w:val="0"/>
          <w:kern w:val="0"/>
          <w:sz w:val="24"/>
        </w:rPr>
        <w:t>）的要求，确定本项目的地表水环境评价等级为三级</w:t>
      </w:r>
      <w:r>
        <w:rPr>
          <w:rFonts w:ascii="Times New Roman" w:hAnsi="Times New Roman" w:eastAsia="宋体" w:cs="Times New Roman"/>
          <w:snapToGrid w:val="0"/>
          <w:kern w:val="0"/>
          <w:sz w:val="24"/>
        </w:rPr>
        <w:t>B</w:t>
      </w:r>
      <w:r>
        <w:rPr>
          <w:rFonts w:hint="eastAsia" w:ascii="Times New Roman" w:hAnsi="Times New Roman" w:eastAsia="宋体" w:cs="Times New Roman"/>
          <w:snapToGrid w:val="0"/>
          <w:kern w:val="0"/>
          <w:sz w:val="24"/>
        </w:rPr>
        <w:t>。因此，</w:t>
      </w:r>
      <w:r>
        <w:rPr>
          <w:rFonts w:ascii="Times New Roman" w:hAnsi="Times New Roman" w:eastAsia="宋体" w:cs="Times New Roman"/>
          <w:snapToGrid w:val="0"/>
          <w:kern w:val="0"/>
          <w:sz w:val="24"/>
        </w:rPr>
        <w:t>本项目</w:t>
      </w:r>
      <w:r>
        <w:rPr>
          <w:rFonts w:hint="eastAsia" w:ascii="Times New Roman" w:hAnsi="Times New Roman" w:eastAsia="宋体" w:cs="Times New Roman"/>
          <w:snapToGrid w:val="0"/>
          <w:kern w:val="0"/>
          <w:sz w:val="24"/>
        </w:rPr>
        <w:t>不进行水环境影响预测，</w:t>
      </w:r>
      <w:r>
        <w:rPr>
          <w:rFonts w:ascii="Times New Roman" w:hAnsi="Times New Roman" w:eastAsia="宋体" w:cs="Times New Roman"/>
          <w:snapToGrid w:val="0"/>
          <w:kern w:val="0"/>
          <w:sz w:val="24"/>
        </w:rPr>
        <w:t>主要</w:t>
      </w:r>
      <w:r>
        <w:rPr>
          <w:rFonts w:hint="eastAsia" w:ascii="Times New Roman" w:hAnsi="Times New Roman" w:eastAsia="宋体" w:cs="Times New Roman"/>
          <w:snapToGrid w:val="0"/>
          <w:kern w:val="0"/>
          <w:sz w:val="24"/>
        </w:rPr>
        <w:t>分析：</w:t>
      </w:r>
    </w:p>
    <w:p w14:paraId="23542AC5">
      <w:pPr>
        <w:adjustRightInd w:val="0"/>
        <w:snapToGrid w:val="0"/>
        <w:spacing w:line="360" w:lineRule="auto"/>
        <w:ind w:left="425"/>
        <w:jc w:val="left"/>
        <w:rPr>
          <w:rFonts w:ascii="Times New Roman" w:hAnsi="Times New Roman" w:eastAsia="宋体" w:cs="Times New Roman"/>
          <w:snapToGrid w:val="0"/>
          <w:kern w:val="0"/>
          <w:sz w:val="24"/>
        </w:rPr>
      </w:pPr>
      <w:r>
        <w:rPr>
          <w:rFonts w:ascii="Times New Roman" w:hAnsi="Times New Roman" w:eastAsia="宋体" w:cs="Times New Roman"/>
          <w:snapToGrid w:val="0"/>
          <w:kern w:val="0"/>
          <w:sz w:val="24"/>
        </w:rPr>
        <w:t>（1）水污染控制和水环境影响减缓措施的有效性评价；</w:t>
      </w:r>
    </w:p>
    <w:p w14:paraId="21A0C753">
      <w:pPr>
        <w:adjustRightInd w:val="0"/>
        <w:snapToGrid w:val="0"/>
        <w:spacing w:line="360" w:lineRule="auto"/>
        <w:ind w:firstLine="480" w:firstLineChars="200"/>
        <w:jc w:val="left"/>
        <w:rPr>
          <w:rFonts w:ascii="Times New Roman" w:hAnsi="Times New Roman" w:eastAsia="宋体" w:cs="Times New Roman"/>
          <w:sz w:val="24"/>
        </w:rPr>
      </w:pPr>
      <w:r>
        <w:rPr>
          <w:rFonts w:ascii="Times New Roman" w:hAnsi="Times New Roman" w:cs="Times New Roman"/>
          <w:snapToGrid w:val="0"/>
          <w:kern w:val="0"/>
          <w:sz w:val="24"/>
        </w:rPr>
        <w:t>（2）</w:t>
      </w:r>
      <w:r>
        <w:rPr>
          <w:rFonts w:ascii="Times New Roman" w:hAnsi="Times New Roman" w:eastAsia="宋体" w:cs="Times New Roman"/>
          <w:snapToGrid w:val="0"/>
          <w:kern w:val="0"/>
          <w:sz w:val="24"/>
        </w:rPr>
        <w:t>依托污水处理设施的环境可行性评价。</w:t>
      </w:r>
    </w:p>
    <w:p w14:paraId="4960B3D5">
      <w:pPr>
        <w:keepNext/>
        <w:keepLines/>
        <w:numPr>
          <w:ilvl w:val="2"/>
          <w:numId w:val="54"/>
        </w:numPr>
        <w:adjustRightInd w:val="0"/>
        <w:snapToGrid w:val="0"/>
        <w:spacing w:line="360" w:lineRule="auto"/>
        <w:outlineLvl w:val="2"/>
        <w:rPr>
          <w:rFonts w:ascii="Times New Roman" w:hAnsi="Times New Roman" w:eastAsia="宋体" w:cs="Times New Roman"/>
          <w:b/>
          <w:sz w:val="24"/>
        </w:rPr>
      </w:pPr>
      <w:r>
        <w:rPr>
          <w:rFonts w:hint="eastAsia" w:ascii="Times New Roman" w:hAnsi="Times New Roman" w:eastAsia="宋体" w:cs="Times New Roman"/>
          <w:b/>
          <w:sz w:val="24"/>
        </w:rPr>
        <w:t>水污染物控制和水环境影响减缓措施有效性评价</w:t>
      </w:r>
    </w:p>
    <w:p w14:paraId="49A68EA1">
      <w:pPr>
        <w:adjustRightInd w:val="0"/>
        <w:snapToGrid w:val="0"/>
        <w:spacing w:line="360" w:lineRule="auto"/>
        <w:ind w:firstLine="426" w:firstLineChars="177"/>
        <w:rPr>
          <w:rFonts w:ascii="Times New Roman" w:hAnsi="Times New Roman" w:eastAsia="宋体" w:cs="Times New Roman"/>
          <w:b/>
          <w:kern w:val="0"/>
          <w:sz w:val="24"/>
          <w:szCs w:val="22"/>
        </w:rPr>
      </w:pPr>
      <w:r>
        <w:rPr>
          <w:rFonts w:ascii="Times New Roman" w:hAnsi="Times New Roman" w:eastAsia="宋体" w:cs="Times New Roman"/>
          <w:b/>
          <w:kern w:val="0"/>
          <w:sz w:val="24"/>
          <w:szCs w:val="22"/>
        </w:rPr>
        <w:t>1.</w:t>
      </w:r>
      <w:r>
        <w:rPr>
          <w:rFonts w:hint="eastAsia" w:ascii="Times New Roman" w:hAnsi="Times New Roman" w:eastAsia="宋体" w:cs="Times New Roman"/>
          <w:b/>
          <w:kern w:val="0"/>
          <w:sz w:val="24"/>
          <w:szCs w:val="22"/>
        </w:rPr>
        <w:t>水污染控制措施有效性评价</w:t>
      </w:r>
    </w:p>
    <w:p w14:paraId="0B1012F7">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宋体" w:hAnsi="宋体" w:eastAsia="宋体" w:cs="宋体"/>
          <w:sz w:val="24"/>
        </w:rPr>
        <w:t>生活污水经厂区内的化粪池处理后通过厂区总排口接管排入清丰中州水务有限公司第二污水处理厂。生产废水排入厂区生产废水处理设施（</w:t>
      </w:r>
      <w:r>
        <w:rPr>
          <w:rFonts w:hint="eastAsia" w:ascii="Times New Roman" w:hAnsi="Times New Roman" w:cs="Times New Roman"/>
          <w:sz w:val="24"/>
        </w:rPr>
        <w:t>混凝沉淀+fenton氧化处理</w:t>
      </w:r>
      <w:r>
        <w:rPr>
          <w:rFonts w:hint="eastAsia" w:ascii="宋体" w:hAnsi="宋体" w:eastAsia="宋体" w:cs="宋体"/>
          <w:sz w:val="24"/>
        </w:rPr>
        <w:t>）处理，满足</w:t>
      </w:r>
      <w:r>
        <w:rPr>
          <w:rFonts w:hint="eastAsia" w:ascii="Times New Roman" w:hAnsi="Times New Roman" w:cs="Times New Roman"/>
          <w:sz w:val="24"/>
        </w:rPr>
        <w:t>污水处理厂进水水质要求后通过厂区废水总排口</w:t>
      </w:r>
      <w:r>
        <w:rPr>
          <w:rFonts w:hint="eastAsia" w:ascii="宋体" w:hAnsi="宋体" w:eastAsia="宋体" w:cs="宋体"/>
          <w:sz w:val="24"/>
        </w:rPr>
        <w:t>排入清丰中州水务有限公司第二污水处理厂集中处理，达标尾水排入潴龙河。</w:t>
      </w:r>
    </w:p>
    <w:p w14:paraId="665EF2B8">
      <w:pPr>
        <w:autoSpaceDE w:val="0"/>
        <w:autoSpaceDN w:val="0"/>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color w:val="000000"/>
          <w:kern w:val="0"/>
          <w:sz w:val="24"/>
        </w:rPr>
        <w:t>通过</w:t>
      </w:r>
      <w:r>
        <w:rPr>
          <w:rFonts w:hint="eastAsia" w:ascii="Times New Roman" w:hAnsi="Times New Roman" w:eastAsia="宋体" w:cs="Times New Roman"/>
          <w:color w:val="000000"/>
          <w:kern w:val="0"/>
          <w:sz w:val="24"/>
        </w:rPr>
        <w:t>厂区废水总排口</w:t>
      </w:r>
      <w:r>
        <w:rPr>
          <w:rFonts w:ascii="Times New Roman" w:hAnsi="Times New Roman" w:eastAsia="宋体" w:cs="Times New Roman"/>
          <w:color w:val="000000"/>
          <w:kern w:val="0"/>
          <w:sz w:val="24"/>
        </w:rPr>
        <w:t>排放的污水包括生活污水、</w:t>
      </w:r>
      <w:r>
        <w:rPr>
          <w:rFonts w:hint="eastAsia" w:ascii="Times New Roman" w:hAnsi="Times New Roman" w:eastAsia="宋体" w:cs="Times New Roman"/>
          <w:color w:val="000000"/>
          <w:kern w:val="0"/>
          <w:sz w:val="24"/>
        </w:rPr>
        <w:t>水帘废水</w:t>
      </w:r>
      <w:r>
        <w:rPr>
          <w:rFonts w:ascii="Times New Roman" w:hAnsi="Times New Roman" w:eastAsia="宋体" w:cs="Times New Roman"/>
          <w:kern w:val="0"/>
          <w:sz w:val="24"/>
        </w:rPr>
        <w:t>。</w:t>
      </w:r>
      <w:r>
        <w:rPr>
          <w:rFonts w:hint="eastAsia" w:ascii="Times New Roman" w:hAnsi="Times New Roman" w:cs="Times New Roman"/>
          <w:sz w:val="24"/>
        </w:rPr>
        <w:t>企业废水总排口控制指标为：化学需氧量（COD）、氨氮。</w:t>
      </w:r>
      <w:r>
        <w:rPr>
          <w:rFonts w:hint="eastAsia" w:ascii="Times New Roman" w:hAnsi="Times New Roman" w:eastAsia="宋体" w:cs="Times New Roman"/>
          <w:color w:val="000000"/>
          <w:kern w:val="0"/>
          <w:sz w:val="24"/>
        </w:rPr>
        <w:t>厂区废水总排口</w:t>
      </w:r>
      <w:r>
        <w:rPr>
          <w:rFonts w:ascii="Times New Roman" w:hAnsi="Times New Roman" w:eastAsia="宋体" w:cs="Times New Roman"/>
          <w:color w:val="000000"/>
          <w:kern w:val="0"/>
          <w:sz w:val="24"/>
        </w:rPr>
        <w:t>各个污染物浓度见表</w:t>
      </w:r>
      <w:r>
        <w:rPr>
          <w:rFonts w:ascii="Times New Roman" w:hAnsi="Times New Roman" w:cs="Times New Roman"/>
          <w:color w:val="000000"/>
          <w:kern w:val="0"/>
          <w:sz w:val="24"/>
        </w:rPr>
        <w:t>3.6-</w:t>
      </w:r>
      <w:r>
        <w:rPr>
          <w:rFonts w:hint="eastAsia" w:ascii="Times New Roman" w:hAnsi="Times New Roman" w:cs="Times New Roman"/>
          <w:color w:val="000000"/>
          <w:kern w:val="0"/>
          <w:sz w:val="24"/>
        </w:rPr>
        <w:t>11</w:t>
      </w:r>
      <w:r>
        <w:rPr>
          <w:rFonts w:ascii="Times New Roman" w:hAnsi="Times New Roman" w:eastAsia="宋体" w:cs="Times New Roman"/>
          <w:color w:val="000000"/>
          <w:kern w:val="0"/>
          <w:sz w:val="24"/>
        </w:rPr>
        <w:t>。</w:t>
      </w:r>
      <w:r>
        <w:rPr>
          <w:rFonts w:hint="eastAsia" w:cs="Times New Roman"/>
          <w:kern w:val="0"/>
          <w:sz w:val="24"/>
        </w:rPr>
        <w:t>根据表格对比，本项目总排口废水水质浓度低于接管标准，满足进入</w:t>
      </w:r>
      <w:r>
        <w:rPr>
          <w:rFonts w:hint="eastAsia" w:ascii="宋体" w:hAnsi="宋体" w:eastAsia="宋体" w:cs="宋体"/>
          <w:sz w:val="24"/>
        </w:rPr>
        <w:t>清丰中州水务有限公司第二污水处理厂</w:t>
      </w:r>
      <w:r>
        <w:rPr>
          <w:rFonts w:hint="eastAsia" w:cs="Times New Roman"/>
          <w:kern w:val="0"/>
          <w:sz w:val="24"/>
        </w:rPr>
        <w:t>水质要求。</w:t>
      </w:r>
      <w:r>
        <w:rPr>
          <w:rFonts w:hint="eastAsia" w:ascii="Times New Roman" w:hAnsi="Times New Roman" w:eastAsia="宋体" w:cs="Times New Roman"/>
          <w:kern w:val="0"/>
          <w:sz w:val="24"/>
        </w:rPr>
        <w:t>因此，本项目水污染物控制和水环境影响减缓措施是有效性。</w:t>
      </w:r>
    </w:p>
    <w:p w14:paraId="466C5697">
      <w:pPr>
        <w:adjustRightInd w:val="0"/>
        <w:snapToGrid w:val="0"/>
        <w:spacing w:line="360" w:lineRule="auto"/>
        <w:ind w:firstLine="426" w:firstLineChars="177"/>
        <w:rPr>
          <w:rFonts w:ascii="Times New Roman" w:hAnsi="Times New Roman" w:eastAsia="宋体" w:cs="Times New Roman"/>
          <w:b/>
          <w:kern w:val="0"/>
          <w:sz w:val="24"/>
        </w:rPr>
      </w:pPr>
      <w:r>
        <w:rPr>
          <w:rFonts w:ascii="Times New Roman" w:hAnsi="Times New Roman" w:eastAsia="宋体" w:cs="Times New Roman"/>
          <w:b/>
          <w:kern w:val="0"/>
          <w:sz w:val="24"/>
        </w:rPr>
        <w:t>2.</w:t>
      </w:r>
      <w:r>
        <w:rPr>
          <w:rFonts w:hint="eastAsia" w:ascii="Times New Roman" w:hAnsi="Times New Roman" w:eastAsia="宋体" w:cs="Times New Roman"/>
          <w:b/>
          <w:kern w:val="0"/>
          <w:sz w:val="24"/>
        </w:rPr>
        <w:t>水环境影响减缓措施有效性评价</w:t>
      </w:r>
    </w:p>
    <w:p w14:paraId="4C4478BC">
      <w:pPr>
        <w:spacing w:line="360" w:lineRule="auto"/>
        <w:ind w:firstLine="480" w:firstLineChars="200"/>
        <w:rPr>
          <w:rFonts w:ascii="Times New Roman" w:hAnsi="Times New Roman" w:eastAsia="宋体" w:cs="Times New Roman"/>
          <w:color w:val="0000FF"/>
          <w:sz w:val="24"/>
        </w:rPr>
      </w:pPr>
      <w:r>
        <w:rPr>
          <w:rFonts w:hint="eastAsia" w:ascii="Times New Roman" w:hAnsi="Times New Roman" w:eastAsia="宋体" w:cs="Times New Roman"/>
          <w:sz w:val="24"/>
        </w:rPr>
        <w:t>根据</w:t>
      </w:r>
      <w:r>
        <w:rPr>
          <w:rFonts w:hint="eastAsia" w:ascii="Times New Roman" w:hAnsi="Times New Roman" w:cs="Times New Roman"/>
          <w:sz w:val="24"/>
        </w:rPr>
        <w:t>《河南省</w:t>
      </w:r>
      <w:r>
        <w:rPr>
          <w:rFonts w:hint="eastAsia" w:ascii="Times New Roman" w:hAnsi="Times New Roman" w:eastAsia="宋体" w:cs="Times New Roman"/>
          <w:sz w:val="24"/>
        </w:rPr>
        <w:t>水环境功能区划》，</w:t>
      </w:r>
      <w:r>
        <w:rPr>
          <w:rFonts w:hint="eastAsia" w:ascii="Times New Roman" w:hAnsi="Times New Roman" w:cs="Times New Roman"/>
          <w:sz w:val="24"/>
        </w:rPr>
        <w:t>本项目纳污河流潴龙河</w:t>
      </w:r>
      <w:r>
        <w:rPr>
          <w:rFonts w:hint="eastAsia" w:ascii="Times New Roman" w:hAnsi="Times New Roman" w:eastAsia="宋体" w:cs="Times New Roman"/>
          <w:sz w:val="24"/>
        </w:rPr>
        <w:t>执行</w:t>
      </w:r>
      <w:r>
        <w:rPr>
          <w:rFonts w:ascii="Times New Roman" w:hAnsi="Times New Roman" w:eastAsia="宋体" w:cs="Times New Roman"/>
          <w:sz w:val="24"/>
        </w:rPr>
        <w:t>《地表水环境质量标准》（GB3838-2002）中</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 4 \* ROMAN \* MERGEFORMAT </w:instrText>
      </w:r>
      <w:r>
        <w:rPr>
          <w:rFonts w:ascii="Times New Roman" w:hAnsi="Times New Roman" w:eastAsia="宋体" w:cs="Times New Roman"/>
          <w:sz w:val="24"/>
        </w:rPr>
        <w:fldChar w:fldCharType="separate"/>
      </w:r>
      <w:r>
        <w:rPr>
          <w:rFonts w:ascii="Times New Roman" w:hAnsi="Times New Roman" w:cs="Times New Roman"/>
          <w:sz w:val="24"/>
        </w:rPr>
        <w:t>IV</w:t>
      </w:r>
      <w:r>
        <w:rPr>
          <w:rFonts w:ascii="Times New Roman" w:hAnsi="Times New Roman" w:eastAsia="宋体" w:cs="Times New Roman"/>
          <w:sz w:val="24"/>
        </w:rPr>
        <w:fldChar w:fldCharType="end"/>
      </w:r>
      <w:r>
        <w:rPr>
          <w:rFonts w:ascii="Times New Roman" w:hAnsi="Times New Roman" w:eastAsia="宋体" w:cs="Times New Roman"/>
          <w:sz w:val="24"/>
        </w:rPr>
        <w:t>类标准要求</w:t>
      </w:r>
      <w:r>
        <w:rPr>
          <w:rFonts w:hint="eastAsia" w:ascii="Times New Roman" w:hAnsi="Times New Roman" w:eastAsia="宋体" w:cs="Times New Roman"/>
          <w:kern w:val="0"/>
          <w:sz w:val="24"/>
        </w:rPr>
        <w:t>。</w:t>
      </w:r>
      <w:r>
        <w:rPr>
          <w:rFonts w:hint="eastAsia" w:ascii="Times New Roman" w:hAnsi="Times New Roman" w:eastAsia="宋体" w:cs="Times New Roman"/>
          <w:sz w:val="24"/>
        </w:rPr>
        <w:t>马颊河西吉七</w:t>
      </w:r>
      <w:r>
        <w:rPr>
          <w:rFonts w:ascii="Times New Roman" w:hAnsi="Times New Roman" w:eastAsia="宋体" w:cs="Times New Roman"/>
          <w:sz w:val="24"/>
        </w:rPr>
        <w:t>断面202</w:t>
      </w:r>
      <w:r>
        <w:rPr>
          <w:rFonts w:hint="eastAsia" w:ascii="Times New Roman" w:hAnsi="Times New Roman" w:eastAsia="宋体" w:cs="Times New Roman"/>
          <w:sz w:val="24"/>
        </w:rPr>
        <w:t>2</w:t>
      </w:r>
      <w:r>
        <w:rPr>
          <w:rFonts w:ascii="Times New Roman" w:hAnsi="Times New Roman" w:eastAsia="宋体" w:cs="Times New Roman"/>
          <w:sz w:val="24"/>
        </w:rPr>
        <w:t>年NH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hint="eastAsia" w:ascii="Times New Roman" w:hAnsi="Times New Roman" w:eastAsia="宋体" w:cs="Times New Roman"/>
          <w:sz w:val="24"/>
        </w:rPr>
        <w:t>第3、4季度</w:t>
      </w:r>
      <w:r>
        <w:rPr>
          <w:rFonts w:ascii="Times New Roman" w:hAnsi="Times New Roman" w:eastAsia="宋体" w:cs="Times New Roman"/>
          <w:sz w:val="24"/>
        </w:rPr>
        <w:t>均有不同程度超标。</w:t>
      </w:r>
      <w:r>
        <w:rPr>
          <w:rFonts w:hint="eastAsia" w:ascii="Times New Roman" w:hAnsi="Times New Roman" w:eastAsia="宋体" w:cs="Times New Roman"/>
          <w:bCs/>
          <w:sz w:val="24"/>
        </w:rPr>
        <w:t>超标原因主要是沿岸农业面源污染严重，上游及支流来水水质不稳定，内源污染呈加重趋势，局部河段泥位较深，天然径流匮乏，污净比较高，因此部分月份水质出现超标情况。</w:t>
      </w:r>
    </w:p>
    <w:p w14:paraId="27EA3821">
      <w:pPr>
        <w:spacing w:line="360" w:lineRule="auto"/>
        <w:ind w:firstLine="480" w:firstLineChars="200"/>
        <w:rPr>
          <w:rFonts w:ascii="Times New Roman" w:hAnsi="Times New Roman" w:eastAsia="宋体" w:cs="Times New Roman"/>
          <w:sz w:val="24"/>
        </w:rPr>
      </w:pPr>
      <w:r>
        <w:rPr>
          <w:rFonts w:ascii="Times New Roman" w:hAnsi="Times New Roman" w:eastAsia="Calibri" w:cs="Times New Roman"/>
          <w:sz w:val="24"/>
        </w:rPr>
        <w:t>由监测数据统计分析可知，</w:t>
      </w:r>
      <w:r>
        <w:rPr>
          <w:rFonts w:hint="eastAsia" w:ascii="Times New Roman" w:hAnsi="Times New Roman" w:eastAsia="宋体" w:cs="Times New Roman"/>
          <w:sz w:val="24"/>
        </w:rPr>
        <w:t>清丰中州水务有限公司第二污水处理厂纳污口上游500m、清丰中州水务有限公司第二污水处理厂纳污口下游200m、清丰中州水务有限公司第二污水处理厂纳污口下游2500m断面水质</w:t>
      </w:r>
      <w:r>
        <w:rPr>
          <w:rFonts w:hint="eastAsia" w:ascii="Times New Roman" w:hAnsi="Times New Roman" w:eastAsia="Calibri" w:cs="Times New Roman"/>
          <w:sz w:val="24"/>
        </w:rPr>
        <w:t>均满足</w:t>
      </w:r>
      <w:r>
        <w:rPr>
          <w:rFonts w:ascii="Times New Roman" w:hAnsi="Times New Roman" w:eastAsia="Calibri" w:cs="Times New Roman"/>
          <w:sz w:val="24"/>
        </w:rPr>
        <w:t>《地表水环境质量标准》（GB3838-2002）中</w:t>
      </w:r>
      <w:r>
        <w:rPr>
          <w:rFonts w:hint="eastAsia" w:ascii="Times New Roman" w:hAnsi="Times New Roman" w:eastAsia="宋体" w:cs="Times New Roman"/>
          <w:sz w:val="24"/>
        </w:rPr>
        <w:t>III</w:t>
      </w:r>
      <w:r>
        <w:rPr>
          <w:rFonts w:ascii="Times New Roman" w:hAnsi="Times New Roman" w:eastAsia="Calibri" w:cs="Times New Roman"/>
          <w:sz w:val="24"/>
        </w:rPr>
        <w:t>类水质要求</w:t>
      </w:r>
      <w:r>
        <w:rPr>
          <w:rFonts w:ascii="Times New Roman" w:hAnsi="Times New Roman" w:eastAsia="宋体" w:cs="Times New Roman"/>
          <w:sz w:val="24"/>
        </w:rPr>
        <w:t>。</w:t>
      </w:r>
    </w:p>
    <w:p w14:paraId="61C8170C">
      <w:pPr>
        <w:adjustRightInd w:val="0"/>
        <w:snapToGrid w:val="0"/>
        <w:spacing w:line="360" w:lineRule="auto"/>
        <w:ind w:firstLine="480" w:firstLineChars="200"/>
        <w:rPr>
          <w:rFonts w:ascii="Calibri" w:hAnsi="Calibri" w:eastAsia="宋体" w:cs="Times New Roman"/>
          <w:kern w:val="0"/>
          <w:sz w:val="24"/>
        </w:rPr>
      </w:pPr>
      <w:r>
        <w:rPr>
          <w:rFonts w:hint="eastAsia" w:ascii="Calibri" w:hAnsi="Calibri" w:eastAsia="宋体" w:cs="Times New Roman"/>
          <w:kern w:val="0"/>
          <w:sz w:val="24"/>
        </w:rPr>
        <w:t>综上，本项目产生的废水处理后达到</w:t>
      </w:r>
      <w:r>
        <w:rPr>
          <w:rFonts w:hint="eastAsia" w:ascii="Calibri" w:hAnsi="Calibri" w:cs="Times New Roman"/>
          <w:kern w:val="0"/>
          <w:sz w:val="24"/>
        </w:rPr>
        <w:t>清丰中州水务有限公司第二污水处理厂</w:t>
      </w:r>
      <w:r>
        <w:rPr>
          <w:rFonts w:hint="eastAsia" w:ascii="Calibri" w:hAnsi="Calibri" w:eastAsia="宋体" w:cs="Times New Roman"/>
          <w:kern w:val="0"/>
          <w:sz w:val="24"/>
        </w:rPr>
        <w:t>接管标准后，可排入</w:t>
      </w:r>
      <w:r>
        <w:rPr>
          <w:rFonts w:hint="eastAsia" w:ascii="Calibri" w:hAnsi="Calibri" w:cs="Times New Roman"/>
          <w:kern w:val="0"/>
          <w:sz w:val="24"/>
        </w:rPr>
        <w:t>清丰中州水务有限公司第二污水处理厂</w:t>
      </w:r>
      <w:r>
        <w:rPr>
          <w:rFonts w:hint="eastAsia" w:ascii="Calibri" w:hAnsi="Calibri" w:eastAsia="宋体" w:cs="Times New Roman"/>
          <w:kern w:val="0"/>
          <w:sz w:val="24"/>
        </w:rPr>
        <w:t>进行集中处理，达标后排入</w:t>
      </w:r>
      <w:r>
        <w:rPr>
          <w:rFonts w:hint="eastAsia" w:ascii="Calibri" w:hAnsi="Calibri" w:cs="Times New Roman"/>
          <w:kern w:val="0"/>
          <w:sz w:val="24"/>
        </w:rPr>
        <w:t>潴龙河</w:t>
      </w:r>
      <w:r>
        <w:rPr>
          <w:rFonts w:hint="eastAsia" w:ascii="Calibri" w:hAnsi="Calibri" w:eastAsia="宋体" w:cs="Times New Roman"/>
          <w:kern w:val="0"/>
          <w:sz w:val="24"/>
        </w:rPr>
        <w:t>。根据</w:t>
      </w:r>
      <w:r>
        <w:rPr>
          <w:rFonts w:hint="eastAsia" w:ascii="Calibri" w:hAnsi="Calibri" w:cs="Times New Roman"/>
          <w:kern w:val="0"/>
          <w:sz w:val="24"/>
        </w:rPr>
        <w:t>清丰中州水务有限公司第二污水处理厂</w:t>
      </w:r>
      <w:r>
        <w:rPr>
          <w:rFonts w:hint="eastAsia" w:ascii="Calibri" w:hAnsi="Calibri" w:eastAsia="宋体" w:cs="Times New Roman"/>
          <w:kern w:val="0"/>
          <w:sz w:val="24"/>
        </w:rPr>
        <w:t>的环评结论，</w:t>
      </w:r>
      <w:r>
        <w:rPr>
          <w:rFonts w:ascii="Calibri" w:hAnsi="Calibri" w:eastAsia="宋体" w:cs="Times New Roman"/>
          <w:kern w:val="0"/>
          <w:sz w:val="24"/>
        </w:rPr>
        <w:t>营运期正常排放情况下本项目排放的废（尾）水对受纳水体的影响是可接受</w:t>
      </w:r>
      <w:r>
        <w:rPr>
          <w:rFonts w:hint="eastAsia" w:ascii="Calibri" w:hAnsi="Calibri" w:eastAsia="宋体" w:cs="Times New Roman"/>
          <w:kern w:val="0"/>
          <w:sz w:val="24"/>
        </w:rPr>
        <w:t>。</w:t>
      </w:r>
    </w:p>
    <w:p w14:paraId="6A3A512D">
      <w:pPr>
        <w:adjustRightInd w:val="0"/>
        <w:snapToGrid w:val="0"/>
        <w:spacing w:line="360" w:lineRule="auto"/>
        <w:ind w:firstLine="424" w:firstLineChars="177"/>
        <w:rPr>
          <w:rFonts w:ascii="Times New Roman" w:hAnsi="Times New Roman" w:eastAsia="宋体" w:cs="Times New Roman"/>
          <w:sz w:val="24"/>
        </w:rPr>
      </w:pPr>
      <w:r>
        <w:rPr>
          <w:rFonts w:hint="eastAsia" w:ascii="Calibri" w:hAnsi="Calibri" w:eastAsia="宋体" w:cs="Times New Roman"/>
          <w:kern w:val="0"/>
          <w:sz w:val="24"/>
        </w:rPr>
        <w:t>因此，本项目采取的水污染控制和水环境影响减缓措施有效。</w:t>
      </w:r>
    </w:p>
    <w:p w14:paraId="6E5417CD">
      <w:pPr>
        <w:keepNext/>
        <w:keepLines/>
        <w:numPr>
          <w:ilvl w:val="2"/>
          <w:numId w:val="54"/>
        </w:numPr>
        <w:adjustRightInd w:val="0"/>
        <w:snapToGrid w:val="0"/>
        <w:spacing w:line="360" w:lineRule="auto"/>
        <w:outlineLvl w:val="2"/>
        <w:rPr>
          <w:rFonts w:ascii="Times New Roman" w:hAnsi="Times New Roman" w:eastAsia="宋体" w:cs="Times New Roman"/>
          <w:b/>
          <w:sz w:val="24"/>
        </w:rPr>
      </w:pPr>
      <w:r>
        <w:rPr>
          <w:rFonts w:hint="eastAsia" w:ascii="Times New Roman" w:hAnsi="Times New Roman" w:eastAsia="宋体" w:cs="Times New Roman"/>
          <w:b/>
          <w:sz w:val="24"/>
        </w:rPr>
        <w:t>依托清丰中州水务有限公司第二污水处理厂的可行性评价</w:t>
      </w:r>
    </w:p>
    <w:p w14:paraId="4E8C1277">
      <w:p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1、</w:t>
      </w:r>
      <w:r>
        <w:rPr>
          <w:rFonts w:hint="eastAsia" w:ascii="Times New Roman" w:hAnsi="Times New Roman" w:eastAsia="宋体" w:cs="Times New Roman"/>
          <w:sz w:val="24"/>
        </w:rPr>
        <w:t>清丰中州水务有限公司第二污水处理厂</w:t>
      </w:r>
      <w:r>
        <w:rPr>
          <w:rFonts w:ascii="Times New Roman" w:hAnsi="Times New Roman" w:eastAsia="宋体" w:cs="Times New Roman"/>
          <w:kern w:val="0"/>
          <w:sz w:val="24"/>
        </w:rPr>
        <w:t>概况</w:t>
      </w:r>
    </w:p>
    <w:p w14:paraId="7FDBCCC0">
      <w:pPr>
        <w:pStyle w:val="12"/>
        <w:adjustRightInd w:val="0"/>
        <w:snapToGrid w:val="0"/>
        <w:spacing w:line="360" w:lineRule="auto"/>
        <w:ind w:firstLine="480"/>
        <w:rPr>
          <w:rFonts w:ascii="Times New Roman" w:hAnsi="Times New Roman" w:cs="Times New Roman"/>
          <w:bCs/>
          <w:sz w:val="24"/>
        </w:rPr>
      </w:pPr>
      <w:r>
        <w:rPr>
          <w:rFonts w:hint="eastAsia" w:ascii="Times New Roman" w:hAnsi="Times New Roman" w:cs="Times New Roman"/>
          <w:bCs/>
          <w:sz w:val="24"/>
        </w:rPr>
        <w:t>清丰中州水务有限公司第二污水处理厂</w:t>
      </w:r>
      <w:r>
        <w:rPr>
          <w:rFonts w:ascii="Times New Roman" w:hAnsi="Times New Roman" w:cs="Times New Roman"/>
          <w:bCs/>
          <w:sz w:val="24"/>
        </w:rPr>
        <w:t>设计处理规模为2万t/d已建成并投入运行。</w:t>
      </w:r>
    </w:p>
    <w:p w14:paraId="1D88BE7C">
      <w:pPr>
        <w:pStyle w:val="12"/>
        <w:adjustRightInd w:val="0"/>
        <w:snapToGrid w:val="0"/>
        <w:spacing w:line="360" w:lineRule="auto"/>
        <w:ind w:firstLine="480"/>
        <w:rPr>
          <w:rFonts w:ascii="Times New Roman" w:hAnsi="Times New Roman" w:cs="Times New Roman"/>
          <w:bCs/>
          <w:sz w:val="24"/>
        </w:rPr>
      </w:pPr>
      <w:r>
        <w:rPr>
          <w:rFonts w:hint="eastAsia" w:ascii="Times New Roman" w:hAnsi="Times New Roman" w:cs="Times New Roman"/>
          <w:bCs/>
          <w:sz w:val="24"/>
        </w:rPr>
        <w:t>（1）</w:t>
      </w:r>
      <w:r>
        <w:rPr>
          <w:rFonts w:ascii="Times New Roman" w:hAnsi="Times New Roman" w:cs="Times New Roman"/>
          <w:bCs/>
          <w:sz w:val="24"/>
        </w:rPr>
        <w:t>建设规模及服务范围</w:t>
      </w:r>
    </w:p>
    <w:p w14:paraId="19862CEC">
      <w:pPr>
        <w:pStyle w:val="12"/>
        <w:adjustRightInd w:val="0"/>
        <w:snapToGrid w:val="0"/>
        <w:spacing w:line="360" w:lineRule="auto"/>
        <w:ind w:firstLine="480"/>
        <w:rPr>
          <w:rFonts w:ascii="Times New Roman" w:hAnsi="Times New Roman" w:cs="Times New Roman"/>
          <w:bCs/>
          <w:sz w:val="24"/>
        </w:rPr>
      </w:pPr>
      <w:r>
        <w:rPr>
          <w:rFonts w:ascii="Times New Roman" w:hAnsi="Times New Roman" w:cs="Times New Roman"/>
          <w:bCs/>
          <w:sz w:val="24"/>
        </w:rPr>
        <w:t>根据调查，</w:t>
      </w:r>
      <w:r>
        <w:rPr>
          <w:rFonts w:hint="eastAsia" w:ascii="Times New Roman" w:hAnsi="Times New Roman" w:cs="Times New Roman"/>
          <w:bCs/>
          <w:sz w:val="24"/>
        </w:rPr>
        <w:t>清丰中州水务有限公司第二污水处理厂</w:t>
      </w:r>
      <w:r>
        <w:rPr>
          <w:rFonts w:ascii="Times New Roman" w:hAnsi="Times New Roman" w:cs="Times New Roman"/>
          <w:bCs/>
          <w:sz w:val="24"/>
        </w:rPr>
        <w:t>设计规模为2万m</w:t>
      </w:r>
      <w:r>
        <w:rPr>
          <w:rFonts w:ascii="Times New Roman" w:hAnsi="Times New Roman" w:cs="Times New Roman"/>
          <w:bCs/>
          <w:sz w:val="24"/>
          <w:vertAlign w:val="superscript"/>
        </w:rPr>
        <w:t>3</w:t>
      </w:r>
      <w:r>
        <w:rPr>
          <w:rFonts w:ascii="Times New Roman" w:hAnsi="Times New Roman" w:cs="Times New Roman"/>
          <w:bCs/>
          <w:sz w:val="24"/>
        </w:rPr>
        <w:t>/d，已建成并投入运行，收水范围规划为清丰县产业集聚区，即南起寒烟路、北至北环路，西起晓月路，东至东环路。</w:t>
      </w:r>
    </w:p>
    <w:p w14:paraId="0B9CD43B">
      <w:pPr>
        <w:pStyle w:val="12"/>
        <w:adjustRightInd w:val="0"/>
        <w:snapToGrid w:val="0"/>
        <w:spacing w:line="360" w:lineRule="auto"/>
        <w:ind w:firstLine="480"/>
        <w:rPr>
          <w:rFonts w:ascii="Times New Roman" w:hAnsi="Times New Roman" w:cs="Times New Roman"/>
          <w:bCs/>
          <w:sz w:val="24"/>
        </w:rPr>
      </w:pPr>
      <w:r>
        <w:rPr>
          <w:rFonts w:hint="eastAsia" w:ascii="Times New Roman" w:hAnsi="Times New Roman" w:cs="Times New Roman"/>
          <w:bCs/>
          <w:sz w:val="24"/>
        </w:rPr>
        <w:t>（2）</w:t>
      </w:r>
      <w:r>
        <w:rPr>
          <w:rFonts w:ascii="Times New Roman" w:hAnsi="Times New Roman" w:cs="Times New Roman"/>
          <w:bCs/>
          <w:sz w:val="24"/>
        </w:rPr>
        <w:t>处理工艺及进出水水质要求</w:t>
      </w:r>
    </w:p>
    <w:p w14:paraId="6274E76E">
      <w:pPr>
        <w:pStyle w:val="12"/>
        <w:adjustRightInd w:val="0"/>
        <w:snapToGrid w:val="0"/>
        <w:spacing w:line="360" w:lineRule="auto"/>
        <w:ind w:firstLine="480"/>
        <w:rPr>
          <w:rFonts w:ascii="Times New Roman" w:hAnsi="Times New Roman" w:cs="Times New Roman"/>
          <w:bCs/>
          <w:sz w:val="24"/>
        </w:rPr>
      </w:pPr>
      <w:r>
        <w:rPr>
          <w:rFonts w:hint="eastAsia" w:ascii="Times New Roman" w:hAnsi="Times New Roman" w:cs="Times New Roman"/>
          <w:bCs/>
          <w:sz w:val="24"/>
        </w:rPr>
        <w:t>清丰中州水务有限公司第二污水处理厂</w:t>
      </w:r>
      <w:r>
        <w:rPr>
          <w:rFonts w:ascii="Times New Roman" w:hAnsi="Times New Roman" w:cs="Times New Roman"/>
          <w:bCs/>
          <w:sz w:val="24"/>
        </w:rPr>
        <w:t>设计处理工艺</w:t>
      </w:r>
      <w:r>
        <w:rPr>
          <w:rFonts w:ascii="Times New Roman" w:hAnsi="Times New Roman" w:cs="Times New Roman"/>
          <w:bCs/>
          <w:iCs/>
          <w:sz w:val="24"/>
        </w:rPr>
        <w:t>采用改良型Carrousel氧化沟工艺，出水水质达到《地表水环境质量标准》（GB3838-2002）Ⅴ类标准。</w:t>
      </w:r>
      <w:r>
        <w:rPr>
          <w:rFonts w:ascii="Times New Roman" w:hAnsi="Times New Roman" w:cs="Times New Roman"/>
          <w:bCs/>
          <w:sz w:val="24"/>
        </w:rPr>
        <w:t>设计进水水质为COD：350mg/L、BOD</w:t>
      </w:r>
      <w:r>
        <w:rPr>
          <w:rFonts w:ascii="Times New Roman" w:hAnsi="Times New Roman" w:cs="Times New Roman"/>
          <w:bCs/>
          <w:sz w:val="24"/>
          <w:vertAlign w:val="subscript"/>
        </w:rPr>
        <w:t>5</w:t>
      </w:r>
      <w:r>
        <w:rPr>
          <w:rFonts w:ascii="Times New Roman" w:hAnsi="Times New Roman" w:cs="Times New Roman"/>
          <w:bCs/>
          <w:sz w:val="24"/>
        </w:rPr>
        <w:t>170mg/L、SS210mg/L、NH</w:t>
      </w:r>
      <w:r>
        <w:rPr>
          <w:rFonts w:ascii="Times New Roman" w:hAnsi="Times New Roman" w:cs="Times New Roman"/>
          <w:bCs/>
          <w:sz w:val="24"/>
          <w:vertAlign w:val="subscript"/>
        </w:rPr>
        <w:t>3</w:t>
      </w:r>
      <w:r>
        <w:rPr>
          <w:rFonts w:ascii="Times New Roman" w:hAnsi="Times New Roman" w:cs="Times New Roman"/>
          <w:bCs/>
          <w:sz w:val="24"/>
        </w:rPr>
        <w:t>-N30mg/L；出水水质为《地表水环境质量标准》（GB3838-2002）Ⅴ类标准（COD：40mg/L、NH</w:t>
      </w:r>
      <w:r>
        <w:rPr>
          <w:rFonts w:ascii="Times New Roman" w:hAnsi="Times New Roman" w:cs="Times New Roman"/>
          <w:bCs/>
          <w:sz w:val="24"/>
          <w:vertAlign w:val="subscript"/>
        </w:rPr>
        <w:t>3</w:t>
      </w:r>
      <w:r>
        <w:rPr>
          <w:rFonts w:ascii="Times New Roman" w:hAnsi="Times New Roman" w:cs="Times New Roman"/>
          <w:bCs/>
          <w:sz w:val="24"/>
        </w:rPr>
        <w:t>-N2mg/L）。</w:t>
      </w:r>
    </w:p>
    <w:p w14:paraId="751AB42A">
      <w:pPr>
        <w:pStyle w:val="12"/>
        <w:adjustRightInd w:val="0"/>
        <w:snapToGrid w:val="0"/>
        <w:spacing w:line="360" w:lineRule="auto"/>
        <w:ind w:firstLine="480"/>
        <w:rPr>
          <w:rFonts w:ascii="Times New Roman" w:hAnsi="Times New Roman" w:cs="Times New Roman"/>
          <w:bCs/>
          <w:sz w:val="24"/>
        </w:rPr>
      </w:pPr>
      <w:r>
        <w:rPr>
          <w:rFonts w:ascii="Times New Roman" w:hAnsi="Times New Roman" w:cs="Times New Roman"/>
          <w:bCs/>
          <w:sz w:val="24"/>
        </w:rPr>
        <w:t>2、本项目废水进入</w:t>
      </w:r>
      <w:r>
        <w:rPr>
          <w:rFonts w:hint="eastAsia" w:ascii="Times New Roman" w:hAnsi="Times New Roman" w:cs="Times New Roman"/>
          <w:bCs/>
          <w:sz w:val="24"/>
        </w:rPr>
        <w:t>清丰中州水务有限公司第二污水处理厂</w:t>
      </w:r>
      <w:r>
        <w:rPr>
          <w:rFonts w:ascii="Times New Roman" w:hAnsi="Times New Roman" w:cs="Times New Roman"/>
          <w:bCs/>
          <w:sz w:val="24"/>
        </w:rPr>
        <w:t>的可行性分析</w:t>
      </w:r>
    </w:p>
    <w:p w14:paraId="08372F36">
      <w:pPr>
        <w:pStyle w:val="12"/>
        <w:adjustRightInd w:val="0"/>
        <w:snapToGrid w:val="0"/>
        <w:spacing w:line="360" w:lineRule="auto"/>
        <w:ind w:firstLine="480"/>
        <w:rPr>
          <w:rFonts w:ascii="Times New Roman" w:hAnsi="Times New Roman" w:cs="Times New Roman"/>
          <w:bCs/>
          <w:sz w:val="24"/>
        </w:rPr>
      </w:pPr>
      <w:r>
        <w:rPr>
          <w:rFonts w:ascii="Times New Roman" w:hAnsi="Times New Roman" w:cs="Times New Roman"/>
          <w:bCs/>
          <w:sz w:val="24"/>
        </w:rPr>
        <w:t>（1）收水范围方面</w:t>
      </w:r>
    </w:p>
    <w:p w14:paraId="3857EE0D">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本项目厂址位于濮阳市清丰县河南省濮阳市清丰县产业集聚区人民路南侧、建设路东侧6号，经现场踏勘，本项目污水总排口可设置在</w:t>
      </w:r>
      <w:r>
        <w:rPr>
          <w:rFonts w:hint="eastAsia" w:ascii="Times New Roman" w:hAnsi="Times New Roman" w:cs="Times New Roman"/>
          <w:bCs/>
          <w:sz w:val="24"/>
        </w:rPr>
        <w:t>建设路</w:t>
      </w:r>
      <w:r>
        <w:rPr>
          <w:rFonts w:ascii="Times New Roman" w:hAnsi="Times New Roman" w:cs="Times New Roman"/>
          <w:bCs/>
          <w:sz w:val="24"/>
        </w:rPr>
        <w:t>，再经G106污水管网，最终进入</w:t>
      </w:r>
      <w:r>
        <w:rPr>
          <w:rFonts w:hint="eastAsia" w:ascii="Times New Roman" w:hAnsi="Times New Roman" w:cs="Times New Roman"/>
          <w:bCs/>
          <w:sz w:val="24"/>
        </w:rPr>
        <w:t>清丰中州水务有限公司第二污水处理厂</w:t>
      </w:r>
      <w:r>
        <w:rPr>
          <w:rFonts w:ascii="Times New Roman" w:hAnsi="Times New Roman" w:cs="Times New Roman"/>
          <w:bCs/>
          <w:sz w:val="24"/>
        </w:rPr>
        <w:t>，本项目在</w:t>
      </w:r>
      <w:r>
        <w:rPr>
          <w:rFonts w:hint="eastAsia" w:ascii="Times New Roman" w:hAnsi="Times New Roman" w:cs="Times New Roman"/>
          <w:bCs/>
          <w:sz w:val="24"/>
        </w:rPr>
        <w:t>清丰中州水务有限公司第二污水处理厂</w:t>
      </w:r>
      <w:r>
        <w:rPr>
          <w:rFonts w:ascii="Times New Roman" w:hAnsi="Times New Roman" w:cs="Times New Roman"/>
          <w:bCs/>
          <w:sz w:val="24"/>
        </w:rPr>
        <w:t>收水范围内</w:t>
      </w:r>
      <w:r>
        <w:rPr>
          <w:rFonts w:hint="eastAsia" w:ascii="Times New Roman" w:hAnsi="Times New Roman" w:cs="Times New Roman"/>
          <w:bCs/>
          <w:sz w:val="24"/>
        </w:rPr>
        <w:t>，目前污水管网已建好</w:t>
      </w:r>
      <w:r>
        <w:rPr>
          <w:rFonts w:ascii="Times New Roman" w:hAnsi="Times New Roman" w:cs="Times New Roman"/>
          <w:bCs/>
          <w:sz w:val="24"/>
        </w:rPr>
        <w:t>。</w:t>
      </w:r>
    </w:p>
    <w:p w14:paraId="6E80AA11">
      <w:pPr>
        <w:pStyle w:val="12"/>
        <w:adjustRightInd w:val="0"/>
        <w:snapToGrid w:val="0"/>
        <w:spacing w:line="360" w:lineRule="auto"/>
        <w:ind w:firstLine="480"/>
        <w:rPr>
          <w:rFonts w:ascii="Times New Roman" w:hAnsi="Times New Roman" w:cs="Times New Roman"/>
          <w:bCs/>
          <w:sz w:val="24"/>
        </w:rPr>
      </w:pPr>
      <w:r>
        <w:rPr>
          <w:rFonts w:ascii="Times New Roman" w:hAnsi="Times New Roman" w:cs="Times New Roman"/>
          <w:bCs/>
          <w:sz w:val="24"/>
        </w:rPr>
        <w:t>（2）时间衔接方面</w:t>
      </w:r>
    </w:p>
    <w:p w14:paraId="55BC4791">
      <w:pPr>
        <w:pStyle w:val="12"/>
        <w:adjustRightInd w:val="0"/>
        <w:snapToGrid w:val="0"/>
        <w:spacing w:line="360" w:lineRule="auto"/>
        <w:ind w:firstLine="480"/>
        <w:rPr>
          <w:rFonts w:ascii="Times New Roman" w:hAnsi="Times New Roman" w:cs="Times New Roman"/>
          <w:bCs/>
          <w:sz w:val="24"/>
        </w:rPr>
      </w:pPr>
      <w:r>
        <w:rPr>
          <w:rFonts w:ascii="Times New Roman" w:hAnsi="Times New Roman" w:cs="Times New Roman"/>
          <w:bCs/>
          <w:sz w:val="24"/>
        </w:rPr>
        <w:t>根据工程计划进度安排，本项目预计202</w:t>
      </w:r>
      <w:r>
        <w:rPr>
          <w:rFonts w:hint="eastAsia" w:ascii="Times New Roman" w:hAnsi="Times New Roman" w:cs="Times New Roman"/>
          <w:bCs/>
          <w:sz w:val="24"/>
        </w:rPr>
        <w:t>3</w:t>
      </w:r>
      <w:r>
        <w:rPr>
          <w:rFonts w:ascii="Times New Roman" w:hAnsi="Times New Roman" w:cs="Times New Roman"/>
          <w:bCs/>
          <w:sz w:val="24"/>
        </w:rPr>
        <w:t>年</w:t>
      </w:r>
      <w:r>
        <w:rPr>
          <w:rFonts w:hint="eastAsia" w:ascii="Times New Roman" w:hAnsi="Times New Roman" w:cs="Times New Roman"/>
          <w:bCs/>
          <w:sz w:val="24"/>
        </w:rPr>
        <w:t>6</w:t>
      </w:r>
      <w:r>
        <w:rPr>
          <w:rFonts w:ascii="Times New Roman" w:hAnsi="Times New Roman" w:cs="Times New Roman"/>
          <w:bCs/>
          <w:sz w:val="24"/>
        </w:rPr>
        <w:t>月完成建设并投产，</w:t>
      </w:r>
      <w:r>
        <w:rPr>
          <w:rFonts w:hint="eastAsia" w:ascii="Times New Roman" w:hAnsi="Times New Roman" w:cs="Times New Roman"/>
          <w:bCs/>
          <w:sz w:val="24"/>
        </w:rPr>
        <w:t>清丰中州水务有限公司第二污水处理厂目前</w:t>
      </w:r>
      <w:r>
        <w:rPr>
          <w:rFonts w:ascii="Times New Roman" w:hAnsi="Times New Roman" w:cs="Times New Roman"/>
          <w:bCs/>
          <w:sz w:val="24"/>
        </w:rPr>
        <w:t>已正常运营，项目排水可以排入</w:t>
      </w:r>
      <w:r>
        <w:rPr>
          <w:rFonts w:hint="eastAsia" w:ascii="Times New Roman" w:hAnsi="Times New Roman" w:cs="Times New Roman"/>
          <w:bCs/>
          <w:sz w:val="24"/>
        </w:rPr>
        <w:t>清丰中州水务有限公司第二污水处理厂</w:t>
      </w:r>
      <w:r>
        <w:rPr>
          <w:rFonts w:ascii="Times New Roman" w:hAnsi="Times New Roman" w:cs="Times New Roman"/>
          <w:bCs/>
          <w:sz w:val="24"/>
        </w:rPr>
        <w:t>进行处理。</w:t>
      </w:r>
    </w:p>
    <w:p w14:paraId="18C28253">
      <w:pPr>
        <w:pStyle w:val="12"/>
        <w:numPr>
          <w:ilvl w:val="0"/>
          <w:numId w:val="55"/>
        </w:numPr>
        <w:adjustRightInd w:val="0"/>
        <w:snapToGrid w:val="0"/>
        <w:spacing w:line="360" w:lineRule="auto"/>
        <w:ind w:firstLine="480"/>
        <w:rPr>
          <w:rFonts w:ascii="Times New Roman" w:hAnsi="Times New Roman" w:cs="Times New Roman"/>
          <w:bCs/>
          <w:color w:val="auto"/>
          <w:sz w:val="24"/>
        </w:rPr>
      </w:pPr>
      <w:r>
        <w:rPr>
          <w:rFonts w:hint="eastAsia" w:ascii="Times New Roman" w:hAnsi="Times New Roman" w:cs="Times New Roman"/>
          <w:bCs/>
          <w:color w:val="auto"/>
          <w:sz w:val="24"/>
        </w:rPr>
        <w:t>设计进水水质</w:t>
      </w:r>
    </w:p>
    <w:p w14:paraId="4EF3054E">
      <w:pPr>
        <w:pStyle w:val="17"/>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本项目企业废水总排口控制指标为：化学需氧量、氨氮。废水水质详见下表。</w:t>
      </w:r>
    </w:p>
    <w:p w14:paraId="54E53779">
      <w:pPr>
        <w:numPr>
          <w:ilvl w:val="0"/>
          <w:numId w:val="56"/>
        </w:numPr>
        <w:autoSpaceDE w:val="0"/>
        <w:autoSpaceDN w:val="0"/>
        <w:adjustRightInd w:val="0"/>
        <w:snapToGrid w:val="0"/>
        <w:spacing w:line="360" w:lineRule="auto"/>
        <w:jc w:val="center"/>
        <w:rPr>
          <w:b/>
          <w:bCs/>
        </w:rPr>
      </w:pPr>
      <w:r>
        <w:rPr>
          <w:b/>
          <w:bCs/>
        </w:rPr>
        <w:t xml:space="preserve">  项目水污染物排放情况</w:t>
      </w:r>
      <w:r>
        <w:rPr>
          <w:rFonts w:hint="eastAsia"/>
          <w:b/>
          <w:bCs/>
        </w:rPr>
        <w:t>（企业废水总排口）</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310"/>
        <w:gridCol w:w="2383"/>
        <w:gridCol w:w="2015"/>
        <w:gridCol w:w="2017"/>
      </w:tblGrid>
      <w:tr w14:paraId="261F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dxa"/>
            <w:vAlign w:val="center"/>
          </w:tcPr>
          <w:p w14:paraId="4FFD3EF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1310" w:type="dxa"/>
            <w:vAlign w:val="center"/>
          </w:tcPr>
          <w:p w14:paraId="0E8AD49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污染物</w:t>
            </w:r>
          </w:p>
        </w:tc>
        <w:tc>
          <w:tcPr>
            <w:tcW w:w="2383" w:type="dxa"/>
            <w:vAlign w:val="center"/>
          </w:tcPr>
          <w:p w14:paraId="6F9C5552">
            <w:pPr>
              <w:widowControl/>
              <w:jc w:val="center"/>
              <w:rPr>
                <w:rFonts w:ascii="Times New Roman" w:hAnsi="Times New Roman" w:eastAsia="宋体" w:cs="Times New Roman"/>
                <w:kern w:val="0"/>
                <w:szCs w:val="21"/>
              </w:rPr>
            </w:pPr>
            <w:r>
              <w:rPr>
                <w:rFonts w:hint="eastAsia" w:cs="Times New Roman"/>
                <w:kern w:val="0"/>
                <w:szCs w:val="21"/>
              </w:rPr>
              <w:t>本</w:t>
            </w:r>
            <w:r>
              <w:rPr>
                <w:rFonts w:ascii="Times New Roman" w:hAnsi="Times New Roman" w:eastAsia="宋体" w:cs="Times New Roman"/>
                <w:kern w:val="0"/>
                <w:szCs w:val="21"/>
              </w:rPr>
              <w:t>项目排放浓度（</w:t>
            </w:r>
            <w:r>
              <w:rPr>
                <w:rFonts w:ascii="Times New Roman" w:hAnsi="Times New Roman" w:eastAsia="宋体" w:cs="Times New Roman"/>
                <w:bCs/>
                <w:kern w:val="0"/>
                <w:szCs w:val="21"/>
              </w:rPr>
              <w:t>mg/L</w:t>
            </w:r>
            <w:r>
              <w:rPr>
                <w:rFonts w:ascii="Times New Roman" w:hAnsi="Times New Roman" w:eastAsia="宋体" w:cs="Times New Roman"/>
                <w:kern w:val="0"/>
                <w:szCs w:val="21"/>
              </w:rPr>
              <w:t>）</w:t>
            </w:r>
          </w:p>
        </w:tc>
        <w:tc>
          <w:tcPr>
            <w:tcW w:w="2015" w:type="dxa"/>
            <w:vAlign w:val="center"/>
          </w:tcPr>
          <w:p w14:paraId="6F5D8D8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接管标准（</w:t>
            </w:r>
            <w:r>
              <w:rPr>
                <w:rFonts w:ascii="Times New Roman" w:hAnsi="Times New Roman" w:eastAsia="宋体" w:cs="Times New Roman"/>
                <w:bCs/>
                <w:kern w:val="0"/>
                <w:szCs w:val="21"/>
              </w:rPr>
              <w:t>mg/L</w:t>
            </w:r>
            <w:r>
              <w:rPr>
                <w:rFonts w:ascii="Times New Roman" w:hAnsi="Times New Roman" w:eastAsia="宋体" w:cs="Times New Roman"/>
                <w:kern w:val="0"/>
                <w:szCs w:val="21"/>
              </w:rPr>
              <w:t>）</w:t>
            </w:r>
          </w:p>
        </w:tc>
        <w:tc>
          <w:tcPr>
            <w:tcW w:w="2017" w:type="dxa"/>
            <w:vAlign w:val="center"/>
          </w:tcPr>
          <w:p w14:paraId="298908B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是否符合接管标准</w:t>
            </w:r>
          </w:p>
        </w:tc>
      </w:tr>
      <w:tr w14:paraId="7B4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dxa"/>
            <w:noWrap/>
            <w:vAlign w:val="center"/>
          </w:tcPr>
          <w:p w14:paraId="1A955CD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1310" w:type="dxa"/>
            <w:vAlign w:val="center"/>
          </w:tcPr>
          <w:p w14:paraId="6780F17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化学需氧量</w:t>
            </w:r>
          </w:p>
        </w:tc>
        <w:tc>
          <w:tcPr>
            <w:tcW w:w="2383" w:type="dxa"/>
            <w:noWrap/>
            <w:vAlign w:val="center"/>
          </w:tcPr>
          <w:p w14:paraId="3905B1C5">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265.63 </w:t>
            </w:r>
          </w:p>
        </w:tc>
        <w:tc>
          <w:tcPr>
            <w:tcW w:w="2015" w:type="dxa"/>
            <w:noWrap/>
            <w:vAlign w:val="center"/>
          </w:tcPr>
          <w:p w14:paraId="04A2020E">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w:t>
            </w:r>
            <w:r>
              <w:rPr>
                <w:rFonts w:ascii="Times New Roman" w:hAnsi="Times New Roman" w:cs="Times New Roman"/>
                <w:color w:val="auto"/>
                <w:sz w:val="21"/>
                <w:szCs w:val="21"/>
              </w:rPr>
              <w:t>50</w:t>
            </w:r>
          </w:p>
        </w:tc>
        <w:tc>
          <w:tcPr>
            <w:tcW w:w="2017" w:type="dxa"/>
            <w:vAlign w:val="center"/>
          </w:tcPr>
          <w:p w14:paraId="47A2E41E">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是</w:t>
            </w:r>
          </w:p>
        </w:tc>
      </w:tr>
      <w:tr w14:paraId="1ABA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dxa"/>
            <w:noWrap/>
            <w:vAlign w:val="center"/>
          </w:tcPr>
          <w:p w14:paraId="3D4D985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w:t>
            </w:r>
          </w:p>
        </w:tc>
        <w:tc>
          <w:tcPr>
            <w:tcW w:w="1310" w:type="dxa"/>
            <w:vAlign w:val="center"/>
          </w:tcPr>
          <w:p w14:paraId="131434F6">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氨氮</w:t>
            </w:r>
          </w:p>
        </w:tc>
        <w:tc>
          <w:tcPr>
            <w:tcW w:w="2383" w:type="dxa"/>
            <w:noWrap/>
            <w:vAlign w:val="center"/>
          </w:tcPr>
          <w:p w14:paraId="734A2F83">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23.87 </w:t>
            </w:r>
          </w:p>
        </w:tc>
        <w:tc>
          <w:tcPr>
            <w:tcW w:w="2015" w:type="dxa"/>
            <w:noWrap/>
            <w:vAlign w:val="center"/>
          </w:tcPr>
          <w:p w14:paraId="2A3B3689">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30</w:t>
            </w:r>
          </w:p>
        </w:tc>
        <w:tc>
          <w:tcPr>
            <w:tcW w:w="2017" w:type="dxa"/>
            <w:vAlign w:val="center"/>
          </w:tcPr>
          <w:p w14:paraId="175E0D7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bl>
    <w:p w14:paraId="5234D75B">
      <w:pPr>
        <w:adjustRightInd w:val="0"/>
        <w:snapToGrid w:val="0"/>
        <w:spacing w:line="360" w:lineRule="auto"/>
        <w:ind w:firstLine="480" w:firstLineChars="200"/>
        <w:rPr>
          <w:rFonts w:ascii="Times New Roman" w:hAnsi="Times New Roman" w:eastAsia="宋体" w:cs="Times New Roman"/>
          <w:color w:val="0000FF"/>
          <w:kern w:val="0"/>
          <w:sz w:val="24"/>
        </w:rPr>
      </w:pPr>
      <w:r>
        <w:rPr>
          <w:rFonts w:hint="eastAsia" w:ascii="Times New Roman" w:hAnsi="Times New Roman" w:eastAsia="宋体" w:cs="Times New Roman"/>
          <w:color w:val="auto"/>
          <w:kern w:val="0"/>
          <w:sz w:val="24"/>
        </w:rPr>
        <w:t>（4）日处理能力及处理工艺</w:t>
      </w:r>
    </w:p>
    <w:p w14:paraId="64BE7A41">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sz w:val="24"/>
        </w:rPr>
        <w:t>清丰中州水务有限公司第二污水处理厂</w:t>
      </w:r>
      <w:r>
        <w:rPr>
          <w:rFonts w:ascii="Times New Roman" w:hAnsi="Times New Roman" w:eastAsia="宋体" w:cs="Times New Roman"/>
          <w:sz w:val="24"/>
        </w:rPr>
        <w:t>设计污水处理规模为2万m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ascii="Times New Roman" w:hAnsi="Times New Roman" w:eastAsia="宋体" w:cs="Times New Roman"/>
          <w:color w:val="000000" w:themeColor="text1"/>
          <w:sz w:val="24"/>
          <w14:textFill>
            <w14:solidFill>
              <w14:schemeClr w14:val="tx1"/>
            </w14:solidFill>
          </w14:textFill>
        </w:rPr>
        <w:t>采用“改良型Carrousel氧化沟工艺”工艺，目前实际收水量为1.04万t/d，尚余0.96万t/d的处理规模，本项目投运后污水排放</w:t>
      </w:r>
      <w:r>
        <w:rPr>
          <w:rFonts w:ascii="Times New Roman" w:hAnsi="Times New Roman" w:eastAsia="宋体" w:cs="Times New Roman"/>
          <w:color w:val="000000" w:themeColor="text1"/>
          <w:sz w:val="24"/>
          <w:highlight w:val="none"/>
          <w14:textFill>
            <w14:solidFill>
              <w14:schemeClr w14:val="tx1"/>
            </w14:solidFill>
          </w14:textFill>
        </w:rPr>
        <w:t>量为</w:t>
      </w:r>
      <w:r>
        <w:rPr>
          <w:rFonts w:hint="eastAsia" w:ascii="Times New Roman" w:hAnsi="Times New Roman" w:eastAsia="宋体" w:cs="Times New Roman"/>
          <w:color w:val="000000" w:themeColor="text1"/>
          <w:sz w:val="24"/>
          <w:highlight w:val="none"/>
          <w14:textFill>
            <w14:solidFill>
              <w14:schemeClr w14:val="tx1"/>
            </w14:solidFill>
          </w14:textFill>
        </w:rPr>
        <w:t>5.14</w:t>
      </w:r>
      <w:r>
        <w:rPr>
          <w:rFonts w:ascii="Times New Roman" w:hAnsi="Times New Roman" w:eastAsia="宋体" w:cs="Times New Roman"/>
          <w:color w:val="000000" w:themeColor="text1"/>
          <w:sz w:val="24"/>
          <w:highlight w:val="none"/>
          <w14:textFill>
            <w14:solidFill>
              <w14:schemeClr w14:val="tx1"/>
            </w14:solidFill>
          </w14:textFill>
        </w:rPr>
        <w:t>m</w:t>
      </w:r>
      <w:r>
        <w:rPr>
          <w:rFonts w:ascii="Times New Roman" w:hAnsi="Times New Roman" w:eastAsia="宋体" w:cs="Times New Roman"/>
          <w:color w:val="000000" w:themeColor="text1"/>
          <w:sz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highlight w:val="none"/>
          <w14:textFill>
            <w14:solidFill>
              <w14:schemeClr w14:val="tx1"/>
            </w14:solidFill>
          </w14:textFill>
        </w:rPr>
        <w:t>/d，故</w:t>
      </w:r>
      <w:r>
        <w:rPr>
          <w:rFonts w:hint="eastAsia" w:ascii="Times New Roman" w:hAnsi="Times New Roman" w:eastAsia="宋体" w:cs="Times New Roman"/>
          <w:color w:val="000000" w:themeColor="text1"/>
          <w:sz w:val="24"/>
          <w:highlight w:val="none"/>
          <w14:textFill>
            <w14:solidFill>
              <w14:schemeClr w14:val="tx1"/>
            </w14:solidFill>
          </w14:textFill>
        </w:rPr>
        <w:t>清</w:t>
      </w:r>
      <w:r>
        <w:rPr>
          <w:rFonts w:hint="eastAsia" w:ascii="Times New Roman" w:hAnsi="Times New Roman" w:eastAsia="宋体" w:cs="Times New Roman"/>
          <w:color w:val="000000" w:themeColor="text1"/>
          <w:sz w:val="24"/>
          <w14:textFill>
            <w14:solidFill>
              <w14:schemeClr w14:val="tx1"/>
            </w14:solidFill>
          </w14:textFill>
        </w:rPr>
        <w:t>丰中州水务有限公司第二污水处理厂</w:t>
      </w:r>
      <w:r>
        <w:rPr>
          <w:rFonts w:ascii="Times New Roman" w:hAnsi="Times New Roman" w:eastAsia="宋体" w:cs="Times New Roman"/>
          <w:color w:val="000000" w:themeColor="text1"/>
          <w:sz w:val="24"/>
          <w14:textFill>
            <w14:solidFill>
              <w14:schemeClr w14:val="tx1"/>
            </w14:solidFill>
          </w14:textFill>
        </w:rPr>
        <w:t>有足够余量接纳本项目污水。因此，从处理规模及水质上分析，本项目</w:t>
      </w:r>
      <w:r>
        <w:rPr>
          <w:rFonts w:hint="eastAsia" w:ascii="Times New Roman" w:hAnsi="Times New Roman" w:eastAsia="宋体" w:cs="Times New Roman"/>
          <w:color w:val="000000" w:themeColor="text1"/>
          <w:sz w:val="24"/>
          <w14:textFill>
            <w14:solidFill>
              <w14:schemeClr w14:val="tx1"/>
            </w14:solidFill>
          </w14:textFill>
        </w:rPr>
        <w:t>废水</w:t>
      </w:r>
      <w:r>
        <w:rPr>
          <w:rFonts w:ascii="Times New Roman" w:hAnsi="Times New Roman" w:eastAsia="宋体" w:cs="Times New Roman"/>
          <w:color w:val="000000" w:themeColor="text1"/>
          <w:sz w:val="24"/>
          <w14:textFill>
            <w14:solidFill>
              <w14:schemeClr w14:val="tx1"/>
            </w14:solidFill>
          </w14:textFill>
        </w:rPr>
        <w:t>进入污水处理厂是完全可行的。</w:t>
      </w:r>
    </w:p>
    <w:p w14:paraId="70A64BFC">
      <w:p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3、</w:t>
      </w:r>
      <w:r>
        <w:rPr>
          <w:rFonts w:ascii="Times New Roman" w:hAnsi="Times New Roman" w:eastAsia="宋体" w:cs="Times New Roman"/>
          <w:kern w:val="0"/>
          <w:sz w:val="24"/>
        </w:rPr>
        <w:t>污水排放去向及执行标准</w:t>
      </w:r>
    </w:p>
    <w:p w14:paraId="14C78395">
      <w:p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sz w:val="24"/>
        </w:rPr>
        <w:t>清丰中州水务有限公司第二污水处理厂</w:t>
      </w:r>
      <w:r>
        <w:rPr>
          <w:rFonts w:ascii="Times New Roman" w:hAnsi="Times New Roman" w:eastAsia="宋体" w:cs="Times New Roman"/>
          <w:sz w:val="24"/>
        </w:rPr>
        <w:t>出水</w:t>
      </w:r>
      <w:r>
        <w:rPr>
          <w:rFonts w:hint="eastAsia" w:ascii="Times New Roman" w:hAnsi="Times New Roman" w:eastAsia="宋体" w:cs="Times New Roman"/>
          <w:sz w:val="24"/>
        </w:rPr>
        <w:t>COD、氨氮</w:t>
      </w:r>
      <w:r>
        <w:rPr>
          <w:rFonts w:ascii="Times New Roman" w:hAnsi="Times New Roman" w:eastAsia="宋体" w:cs="Times New Roman"/>
          <w:sz w:val="24"/>
        </w:rPr>
        <w:t>执行《地表水环境质量标准》（GB3838-2002）</w:t>
      </w:r>
      <w:r>
        <w:rPr>
          <w:rFonts w:ascii="Times New Roman" w:hAnsi="Times New Roman" w:eastAsia="宋体" w:cs="Times New Roman"/>
          <w:color w:val="auto"/>
          <w:sz w:val="24"/>
        </w:rPr>
        <w:t>中</w:t>
      </w: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4 \* ROMAN \* MERGEFORMAT </w:instrText>
      </w:r>
      <w:r>
        <w:rPr>
          <w:rFonts w:ascii="Times New Roman" w:hAnsi="Times New Roman" w:eastAsia="宋体" w:cs="Times New Roman"/>
          <w:color w:val="auto"/>
          <w:sz w:val="24"/>
        </w:rPr>
        <w:fldChar w:fldCharType="separate"/>
      </w:r>
      <w:r>
        <w:rPr>
          <w:rFonts w:ascii="Times New Roman" w:hAnsi="Times New Roman" w:eastAsia="宋体" w:cs="Times New Roman"/>
          <w:color w:val="auto"/>
          <w:sz w:val="24"/>
        </w:rPr>
        <w:t>V</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类</w:t>
      </w:r>
      <w:r>
        <w:rPr>
          <w:rFonts w:hint="eastAsia" w:ascii="Times New Roman" w:hAnsi="Times New Roman" w:eastAsia="宋体" w:cs="Times New Roman"/>
          <w:color w:val="auto"/>
          <w:sz w:val="24"/>
        </w:rPr>
        <w:t>标准，其余</w:t>
      </w:r>
      <w:r>
        <w:rPr>
          <w:rFonts w:hint="eastAsia" w:ascii="Times New Roman" w:hAnsi="Times New Roman" w:eastAsia="宋体" w:cs="Times New Roman"/>
          <w:sz w:val="24"/>
        </w:rPr>
        <w:t>因子执行</w:t>
      </w:r>
      <w:r>
        <w:rPr>
          <w:rFonts w:ascii="Times New Roman" w:hAnsi="Times New Roman" w:eastAsia="宋体" w:cs="Times New Roman"/>
          <w:kern w:val="0"/>
          <w:sz w:val="24"/>
        </w:rPr>
        <w:t>《城镇污水处理厂污染物排放标准》(GBl8918-2002)一级A标准，</w:t>
      </w:r>
      <w:r>
        <w:rPr>
          <w:rFonts w:ascii="Times New Roman" w:hAnsi="Times New Roman" w:eastAsia="宋体" w:cs="Times New Roman"/>
          <w:sz w:val="24"/>
        </w:rPr>
        <w:t>尾水排入</w:t>
      </w:r>
      <w:r>
        <w:rPr>
          <w:rFonts w:hint="eastAsia" w:ascii="Times New Roman" w:hAnsi="Times New Roman" w:eastAsia="宋体" w:cs="Times New Roman"/>
          <w:sz w:val="24"/>
        </w:rPr>
        <w:t>潴龙河</w:t>
      </w:r>
      <w:r>
        <w:rPr>
          <w:rFonts w:ascii="Times New Roman" w:hAnsi="Times New Roman" w:eastAsia="宋体" w:cs="Times New Roman"/>
          <w:sz w:val="24"/>
        </w:rPr>
        <w:t>。</w:t>
      </w:r>
    </w:p>
    <w:p w14:paraId="6534550E">
      <w:pPr>
        <w:keepNext/>
        <w:keepLines/>
        <w:numPr>
          <w:ilvl w:val="2"/>
          <w:numId w:val="54"/>
        </w:numPr>
        <w:adjustRightInd w:val="0"/>
        <w:snapToGrid w:val="0"/>
        <w:spacing w:line="360" w:lineRule="auto"/>
        <w:outlineLvl w:val="2"/>
        <w:rPr>
          <w:rFonts w:ascii="Times New Roman" w:hAnsi="Times New Roman" w:eastAsia="宋体" w:cs="宋体"/>
          <w:b/>
          <w:sz w:val="24"/>
        </w:rPr>
      </w:pPr>
      <w:r>
        <w:rPr>
          <w:rFonts w:hint="eastAsia" w:ascii="Times New Roman" w:hAnsi="Times New Roman" w:eastAsia="宋体" w:cs="Times New Roman"/>
          <w:b/>
          <w:sz w:val="24"/>
        </w:rPr>
        <w:t>地表水环境影响评价结论</w:t>
      </w:r>
    </w:p>
    <w:p w14:paraId="704CCAF3">
      <w:pPr>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水污染源主要包括</w:t>
      </w:r>
      <w:r>
        <w:rPr>
          <w:rFonts w:hint="eastAsia" w:ascii="Times New Roman" w:hAnsi="Times New Roman" w:eastAsia="宋体" w:cs="Times New Roman"/>
          <w:kern w:val="0"/>
          <w:sz w:val="24"/>
        </w:rPr>
        <w:t>水帘</w:t>
      </w:r>
      <w:r>
        <w:rPr>
          <w:rFonts w:ascii="Times New Roman" w:hAnsi="Times New Roman" w:eastAsia="宋体" w:cs="Times New Roman"/>
          <w:kern w:val="0"/>
          <w:sz w:val="24"/>
        </w:rPr>
        <w:t>废水、生活污水。本项目各类废水经处理后，达到</w:t>
      </w:r>
      <w:r>
        <w:rPr>
          <w:rFonts w:hint="eastAsia" w:cs="Times New Roman"/>
          <w:kern w:val="0"/>
          <w:sz w:val="24"/>
        </w:rPr>
        <w:t>清丰中州水务有限公司第二污水处理厂</w:t>
      </w:r>
      <w:r>
        <w:rPr>
          <w:rFonts w:ascii="Times New Roman" w:hAnsi="Times New Roman" w:eastAsia="宋体" w:cs="Times New Roman"/>
          <w:kern w:val="0"/>
          <w:sz w:val="24"/>
        </w:rPr>
        <w:t>接纳标准后排入</w:t>
      </w:r>
      <w:r>
        <w:rPr>
          <w:rFonts w:hint="eastAsia" w:ascii="Times New Roman" w:hAnsi="Times New Roman" w:eastAsia="宋体" w:cs="Times New Roman"/>
          <w:kern w:val="0"/>
          <w:sz w:val="24"/>
        </w:rPr>
        <w:t>该</w:t>
      </w:r>
      <w:r>
        <w:rPr>
          <w:rFonts w:ascii="Times New Roman" w:hAnsi="Times New Roman" w:eastAsia="宋体" w:cs="Times New Roman"/>
          <w:kern w:val="0"/>
          <w:sz w:val="24"/>
        </w:rPr>
        <w:t>污水处理厂进一步处理，尾水排入</w:t>
      </w:r>
      <w:r>
        <w:rPr>
          <w:rFonts w:hint="eastAsia" w:cs="Times New Roman"/>
          <w:kern w:val="0"/>
          <w:sz w:val="24"/>
        </w:rPr>
        <w:t>潴龙河</w:t>
      </w:r>
      <w:r>
        <w:rPr>
          <w:rFonts w:ascii="Times New Roman" w:hAnsi="Times New Roman" w:eastAsia="宋体" w:cs="Times New Roman"/>
          <w:kern w:val="0"/>
          <w:sz w:val="24"/>
        </w:rPr>
        <w:t>。</w:t>
      </w:r>
    </w:p>
    <w:p w14:paraId="69DBAD2A">
      <w:pPr>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本项目属于</w:t>
      </w:r>
      <w:r>
        <w:rPr>
          <w:rFonts w:hint="eastAsia" w:cs="Times New Roman"/>
          <w:kern w:val="0"/>
          <w:sz w:val="24"/>
        </w:rPr>
        <w:t>清丰中州水务有限公司第二污水处理厂</w:t>
      </w:r>
      <w:r>
        <w:rPr>
          <w:rFonts w:ascii="Times New Roman" w:hAnsi="Times New Roman" w:eastAsia="宋体" w:cs="Times New Roman"/>
          <w:kern w:val="0"/>
          <w:sz w:val="24"/>
        </w:rPr>
        <w:t>的服务范围，废水排放浓度符合接纳要求，同时废水排放量不超过承诺接纳废水量。因此本项目废水正常排放不会对污水处理厂造成负荷冲击，对</w:t>
      </w:r>
      <w:r>
        <w:rPr>
          <w:rFonts w:hint="eastAsia" w:cs="Times New Roman"/>
          <w:kern w:val="0"/>
          <w:sz w:val="24"/>
        </w:rPr>
        <w:t>潴龙河</w:t>
      </w:r>
      <w:r>
        <w:rPr>
          <w:rFonts w:hint="eastAsia" w:ascii="Times New Roman" w:hAnsi="Times New Roman" w:eastAsia="宋体" w:cs="Times New Roman"/>
          <w:kern w:val="0"/>
          <w:sz w:val="24"/>
        </w:rPr>
        <w:t>的</w:t>
      </w:r>
      <w:r>
        <w:rPr>
          <w:rFonts w:ascii="Times New Roman" w:hAnsi="Times New Roman" w:eastAsia="宋体" w:cs="Times New Roman"/>
          <w:kern w:val="0"/>
          <w:sz w:val="24"/>
        </w:rPr>
        <w:t>水环境影响较小。</w:t>
      </w:r>
    </w:p>
    <w:p w14:paraId="3CE43D16">
      <w:pPr>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因此，本项目的建设对地表水环境影响是可以接受的。</w:t>
      </w:r>
    </w:p>
    <w:p w14:paraId="65B01E7B">
      <w:pPr>
        <w:keepNext/>
        <w:keepLines/>
        <w:numPr>
          <w:ilvl w:val="2"/>
          <w:numId w:val="54"/>
        </w:numPr>
        <w:adjustRightInd w:val="0"/>
        <w:snapToGrid w:val="0"/>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废水污染物排放量核算与污染物排放信息</w:t>
      </w:r>
    </w:p>
    <w:p w14:paraId="76A86FBB">
      <w:pPr>
        <w:pStyle w:val="17"/>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Times New Roman" w:cs="Times New Roman"/>
          <w:kern w:val="0"/>
          <w:sz w:val="24"/>
          <w:szCs w:val="24"/>
        </w:rPr>
        <w:t>本项目废水类别、污染物及污染治理设施信息见</w:t>
      </w:r>
      <w:r>
        <w:rPr>
          <w:rFonts w:hint="eastAsia" w:ascii="Times New Roman" w:hAnsi="Times New Roman" w:eastAsia="Times New Roman" w:cs="Times New Roman"/>
          <w:kern w:val="0"/>
          <w:sz w:val="24"/>
          <w:szCs w:val="24"/>
        </w:rPr>
        <w:t>下</w:t>
      </w:r>
      <w:r>
        <w:rPr>
          <w:rFonts w:ascii="Times New Roman" w:hAnsi="Times New Roman" w:eastAsia="Times New Roman" w:cs="Times New Roman"/>
          <w:kern w:val="0"/>
          <w:sz w:val="24"/>
          <w:szCs w:val="24"/>
        </w:rPr>
        <w:t>表，废水间接排放口基本情况见</w:t>
      </w:r>
      <w:r>
        <w:rPr>
          <w:rFonts w:hint="eastAsia" w:ascii="Times New Roman" w:hAnsi="Times New Roman" w:eastAsia="Times New Roman" w:cs="Times New Roman"/>
          <w:kern w:val="0"/>
          <w:sz w:val="24"/>
          <w:szCs w:val="24"/>
        </w:rPr>
        <w:t>下</w:t>
      </w:r>
      <w:r>
        <w:rPr>
          <w:rFonts w:ascii="Times New Roman" w:hAnsi="Times New Roman" w:eastAsia="Times New Roman" w:cs="Times New Roman"/>
          <w:kern w:val="0"/>
          <w:sz w:val="24"/>
          <w:szCs w:val="24"/>
        </w:rPr>
        <w:t>表，废水污染物排放执行标准见</w:t>
      </w:r>
      <w:r>
        <w:rPr>
          <w:rFonts w:hint="eastAsia" w:ascii="Times New Roman" w:hAnsi="Times New Roman" w:eastAsia="Times New Roman" w:cs="Times New Roman"/>
          <w:kern w:val="0"/>
          <w:sz w:val="24"/>
          <w:szCs w:val="24"/>
        </w:rPr>
        <w:t>下表</w:t>
      </w:r>
      <w:r>
        <w:rPr>
          <w:rFonts w:ascii="Times New Roman" w:hAnsi="Times New Roman" w:eastAsia="Times New Roman" w:cs="Times New Roman"/>
          <w:kern w:val="0"/>
          <w:sz w:val="24"/>
          <w:szCs w:val="24"/>
        </w:rPr>
        <w:t>，废水污染物排放信息见</w:t>
      </w:r>
      <w:r>
        <w:rPr>
          <w:rFonts w:hint="eastAsia" w:ascii="Times New Roman" w:hAnsi="Times New Roman" w:eastAsia="Times New Roman" w:cs="Times New Roman"/>
          <w:kern w:val="0"/>
          <w:sz w:val="24"/>
          <w:szCs w:val="24"/>
        </w:rPr>
        <w:t>下</w:t>
      </w:r>
      <w:r>
        <w:rPr>
          <w:rFonts w:ascii="Times New Roman" w:hAnsi="Times New Roman" w:eastAsia="Times New Roman" w:cs="Times New Roman"/>
          <w:kern w:val="0"/>
          <w:sz w:val="24"/>
          <w:szCs w:val="24"/>
        </w:rPr>
        <w:t>表</w:t>
      </w:r>
      <w:r>
        <w:rPr>
          <w:rFonts w:ascii="Times New Roman" w:hAnsi="Times New Roman" w:cs="Times New Roman"/>
          <w:kern w:val="0"/>
          <w:sz w:val="24"/>
          <w:szCs w:val="24"/>
        </w:rPr>
        <w:t>。</w:t>
      </w:r>
    </w:p>
    <w:p w14:paraId="447E7A6B">
      <w:pPr>
        <w:spacing w:line="360" w:lineRule="auto"/>
        <w:rPr>
          <w:rFonts w:ascii="Times New Roman" w:hAnsi="Times New Roman" w:eastAsia="宋体" w:cs="Times New Roman"/>
          <w:sz w:val="24"/>
        </w:rPr>
      </w:pPr>
    </w:p>
    <w:p w14:paraId="216F85C4">
      <w:pPr>
        <w:pStyle w:val="62"/>
        <w:rPr>
          <w:rFonts w:ascii="Times New Roman" w:hAnsi="Times New Roman" w:eastAsia="宋体" w:cs="Times New Roman"/>
          <w:sz w:val="24"/>
          <w:szCs w:val="24"/>
        </w:rPr>
        <w:sectPr>
          <w:pgSz w:w="11906" w:h="16838"/>
          <w:pgMar w:top="1440" w:right="1800" w:bottom="1440" w:left="1800" w:header="851" w:footer="992" w:gutter="0"/>
          <w:pgNumType w:fmt="decimal"/>
          <w:cols w:space="425" w:num="1"/>
          <w:docGrid w:type="lines" w:linePitch="312" w:charSpace="0"/>
        </w:sectPr>
      </w:pPr>
    </w:p>
    <w:p w14:paraId="3F6A6A12">
      <w:pPr>
        <w:numPr>
          <w:ilvl w:val="0"/>
          <w:numId w:val="56"/>
        </w:numPr>
        <w:autoSpaceDE w:val="0"/>
        <w:autoSpaceDN w:val="0"/>
        <w:adjustRightInd w:val="0"/>
        <w:snapToGrid w:val="0"/>
        <w:jc w:val="center"/>
        <w:rPr>
          <w:rFonts w:ascii="Times New Roman" w:hAnsi="Times New Roman" w:eastAsia="宋体" w:cs="Times New Roman"/>
          <w:b/>
          <w:bCs/>
          <w:kern w:val="28"/>
          <w:szCs w:val="21"/>
        </w:rPr>
      </w:pPr>
      <w:r>
        <w:rPr>
          <w:b/>
          <w:bCs/>
        </w:rPr>
        <w:t xml:space="preserve">  </w:t>
      </w:r>
      <w:r>
        <w:rPr>
          <w:rFonts w:hint="eastAsia" w:ascii="Times New Roman" w:hAnsi="Times New Roman" w:cs="Times New Roman"/>
          <w:b/>
          <w:bCs/>
          <w:kern w:val="28"/>
          <w:szCs w:val="21"/>
        </w:rPr>
        <w:t>本</w:t>
      </w:r>
      <w:r>
        <w:rPr>
          <w:rFonts w:ascii="Times New Roman" w:hAnsi="Times New Roman" w:cs="Times New Roman"/>
          <w:b/>
          <w:bCs/>
          <w:kern w:val="28"/>
          <w:szCs w:val="21"/>
        </w:rPr>
        <w:t>项目</w:t>
      </w:r>
      <w:r>
        <w:rPr>
          <w:rFonts w:ascii="Times New Roman" w:hAnsi="Times New Roman" w:eastAsia="宋体" w:cs="Times New Roman"/>
          <w:b/>
          <w:bCs/>
          <w:kern w:val="28"/>
          <w:szCs w:val="21"/>
        </w:rPr>
        <w:t>废水类别、污染物及污染治理设施信息表</w:t>
      </w:r>
    </w:p>
    <w:tbl>
      <w:tblPr>
        <w:tblStyle w:val="30"/>
        <w:tblW w:w="14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008"/>
        <w:gridCol w:w="1350"/>
        <w:gridCol w:w="2168"/>
        <w:gridCol w:w="2133"/>
        <w:gridCol w:w="1073"/>
        <w:gridCol w:w="1085"/>
        <w:gridCol w:w="1134"/>
        <w:gridCol w:w="922"/>
        <w:gridCol w:w="1062"/>
        <w:gridCol w:w="1673"/>
      </w:tblGrid>
      <w:tr w14:paraId="2C5D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4F6B7C98">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1008" w:type="dxa"/>
            <w:vMerge w:val="restart"/>
            <w:tcBorders>
              <w:top w:val="single" w:color="auto" w:sz="4" w:space="0"/>
              <w:left w:val="single" w:color="auto" w:sz="4" w:space="0"/>
              <w:bottom w:val="single" w:color="auto" w:sz="4" w:space="0"/>
              <w:right w:val="single" w:color="auto" w:sz="4" w:space="0"/>
            </w:tcBorders>
            <w:vAlign w:val="center"/>
          </w:tcPr>
          <w:p w14:paraId="7A7EFDFD">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废水类别</w:t>
            </w:r>
          </w:p>
        </w:tc>
        <w:tc>
          <w:tcPr>
            <w:tcW w:w="1350" w:type="dxa"/>
            <w:vMerge w:val="restart"/>
            <w:tcBorders>
              <w:top w:val="single" w:color="auto" w:sz="4" w:space="0"/>
              <w:left w:val="single" w:color="auto" w:sz="4" w:space="0"/>
              <w:bottom w:val="single" w:color="auto" w:sz="4" w:space="0"/>
              <w:right w:val="single" w:color="auto" w:sz="4" w:space="0"/>
            </w:tcBorders>
            <w:vAlign w:val="center"/>
          </w:tcPr>
          <w:p w14:paraId="0357C443">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污染物</w:t>
            </w:r>
          </w:p>
          <w:p w14:paraId="3780FA2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种类</w:t>
            </w:r>
          </w:p>
        </w:tc>
        <w:tc>
          <w:tcPr>
            <w:tcW w:w="2168" w:type="dxa"/>
            <w:vMerge w:val="restart"/>
            <w:tcBorders>
              <w:top w:val="single" w:color="auto" w:sz="4" w:space="0"/>
              <w:left w:val="single" w:color="auto" w:sz="4" w:space="0"/>
              <w:bottom w:val="single" w:color="auto" w:sz="4" w:space="0"/>
              <w:right w:val="single" w:color="auto" w:sz="4" w:space="0"/>
            </w:tcBorders>
            <w:vAlign w:val="center"/>
          </w:tcPr>
          <w:p w14:paraId="3E35DC2D">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排放去向</w:t>
            </w:r>
          </w:p>
        </w:tc>
        <w:tc>
          <w:tcPr>
            <w:tcW w:w="2133" w:type="dxa"/>
            <w:vMerge w:val="restart"/>
            <w:tcBorders>
              <w:top w:val="single" w:color="auto" w:sz="4" w:space="0"/>
              <w:left w:val="single" w:color="auto" w:sz="4" w:space="0"/>
              <w:bottom w:val="single" w:color="auto" w:sz="4" w:space="0"/>
              <w:right w:val="single" w:color="auto" w:sz="4" w:space="0"/>
            </w:tcBorders>
            <w:vAlign w:val="center"/>
          </w:tcPr>
          <w:p w14:paraId="5F2ECB1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排放规律</w:t>
            </w:r>
          </w:p>
        </w:tc>
        <w:tc>
          <w:tcPr>
            <w:tcW w:w="3292" w:type="dxa"/>
            <w:gridSpan w:val="3"/>
            <w:tcBorders>
              <w:top w:val="single" w:color="auto" w:sz="4" w:space="0"/>
              <w:left w:val="single" w:color="auto" w:sz="4" w:space="0"/>
              <w:bottom w:val="single" w:color="auto" w:sz="4" w:space="0"/>
              <w:right w:val="single" w:color="auto" w:sz="4" w:space="0"/>
            </w:tcBorders>
            <w:vAlign w:val="center"/>
          </w:tcPr>
          <w:p w14:paraId="5A06D21D">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污染治理设施</w:t>
            </w:r>
          </w:p>
        </w:tc>
        <w:tc>
          <w:tcPr>
            <w:tcW w:w="922" w:type="dxa"/>
            <w:vMerge w:val="restart"/>
            <w:tcBorders>
              <w:top w:val="single" w:color="auto" w:sz="4" w:space="0"/>
              <w:left w:val="single" w:color="auto" w:sz="4" w:space="0"/>
              <w:bottom w:val="single" w:color="auto" w:sz="4" w:space="0"/>
              <w:right w:val="single" w:color="auto" w:sz="4" w:space="0"/>
            </w:tcBorders>
            <w:vAlign w:val="center"/>
          </w:tcPr>
          <w:p w14:paraId="3651756B">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排放口编号</w:t>
            </w:r>
          </w:p>
        </w:tc>
        <w:tc>
          <w:tcPr>
            <w:tcW w:w="1062" w:type="dxa"/>
            <w:vMerge w:val="restart"/>
            <w:tcBorders>
              <w:top w:val="single" w:color="auto" w:sz="4" w:space="0"/>
              <w:left w:val="single" w:color="auto" w:sz="4" w:space="0"/>
              <w:bottom w:val="single" w:color="auto" w:sz="4" w:space="0"/>
              <w:right w:val="single" w:color="auto" w:sz="4" w:space="0"/>
            </w:tcBorders>
            <w:vAlign w:val="center"/>
          </w:tcPr>
          <w:p w14:paraId="77F22425">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排放口设置是否符合要求</w:t>
            </w:r>
          </w:p>
        </w:tc>
        <w:tc>
          <w:tcPr>
            <w:tcW w:w="1673" w:type="dxa"/>
            <w:vMerge w:val="restart"/>
            <w:tcBorders>
              <w:top w:val="single" w:color="auto" w:sz="4" w:space="0"/>
              <w:left w:val="single" w:color="auto" w:sz="4" w:space="0"/>
              <w:bottom w:val="single" w:color="auto" w:sz="4" w:space="0"/>
              <w:right w:val="single" w:color="auto" w:sz="4" w:space="0"/>
            </w:tcBorders>
            <w:vAlign w:val="center"/>
          </w:tcPr>
          <w:p w14:paraId="1038119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排放口</w:t>
            </w:r>
          </w:p>
          <w:p w14:paraId="2EC16B57">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类型</w:t>
            </w:r>
          </w:p>
        </w:tc>
      </w:tr>
      <w:tr w14:paraId="3DE5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2221B04">
            <w:pPr>
              <w:widowControl/>
              <w:jc w:val="center"/>
              <w:rPr>
                <w:rFonts w:ascii="Times New Roman" w:hAnsi="Times New Roman" w:eastAsia="宋体" w:cs="Times New Roman"/>
                <w:kern w:val="0"/>
                <w:szCs w:val="21"/>
              </w:rPr>
            </w:pPr>
          </w:p>
        </w:tc>
        <w:tc>
          <w:tcPr>
            <w:tcW w:w="1008" w:type="dxa"/>
            <w:vMerge w:val="continue"/>
            <w:tcBorders>
              <w:top w:val="single" w:color="auto" w:sz="4" w:space="0"/>
              <w:left w:val="single" w:color="auto" w:sz="4" w:space="0"/>
              <w:bottom w:val="single" w:color="auto" w:sz="4" w:space="0"/>
              <w:right w:val="single" w:color="auto" w:sz="4" w:space="0"/>
            </w:tcBorders>
            <w:vAlign w:val="center"/>
          </w:tcPr>
          <w:p w14:paraId="2D557BE6">
            <w:pPr>
              <w:widowControl/>
              <w:jc w:val="center"/>
              <w:rPr>
                <w:rFonts w:ascii="Times New Roman" w:hAnsi="Times New Roman" w:eastAsia="宋体" w:cs="Times New Roman"/>
                <w:kern w:val="0"/>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6C4F50A8">
            <w:pPr>
              <w:widowControl/>
              <w:jc w:val="center"/>
              <w:rPr>
                <w:rFonts w:ascii="Times New Roman" w:hAnsi="Times New Roman" w:eastAsia="宋体" w:cs="Times New Roman"/>
                <w:kern w:val="0"/>
                <w:szCs w:val="21"/>
              </w:rPr>
            </w:pPr>
          </w:p>
        </w:tc>
        <w:tc>
          <w:tcPr>
            <w:tcW w:w="2168" w:type="dxa"/>
            <w:vMerge w:val="continue"/>
            <w:tcBorders>
              <w:top w:val="single" w:color="auto" w:sz="4" w:space="0"/>
              <w:left w:val="single" w:color="auto" w:sz="4" w:space="0"/>
              <w:bottom w:val="single" w:color="auto" w:sz="4" w:space="0"/>
              <w:right w:val="single" w:color="auto" w:sz="4" w:space="0"/>
            </w:tcBorders>
            <w:vAlign w:val="center"/>
          </w:tcPr>
          <w:p w14:paraId="39B88A3B">
            <w:pPr>
              <w:widowControl/>
              <w:jc w:val="center"/>
              <w:rPr>
                <w:rFonts w:ascii="Times New Roman" w:hAnsi="Times New Roman" w:eastAsia="宋体" w:cs="Times New Roman"/>
                <w:kern w:val="0"/>
                <w:szCs w:val="21"/>
              </w:rPr>
            </w:pPr>
          </w:p>
        </w:tc>
        <w:tc>
          <w:tcPr>
            <w:tcW w:w="2133" w:type="dxa"/>
            <w:vMerge w:val="continue"/>
            <w:tcBorders>
              <w:top w:val="single" w:color="auto" w:sz="4" w:space="0"/>
              <w:left w:val="single" w:color="auto" w:sz="4" w:space="0"/>
              <w:bottom w:val="single" w:color="auto" w:sz="4" w:space="0"/>
              <w:right w:val="single" w:color="auto" w:sz="4" w:space="0"/>
            </w:tcBorders>
            <w:vAlign w:val="center"/>
          </w:tcPr>
          <w:p w14:paraId="6B2BD9DA">
            <w:pPr>
              <w:widowControl/>
              <w:jc w:val="center"/>
              <w:rPr>
                <w:rFonts w:ascii="Times New Roman" w:hAnsi="Times New Roman" w:eastAsia="宋体" w:cs="Times New Roman"/>
                <w:kern w:val="0"/>
                <w:szCs w:val="21"/>
              </w:rPr>
            </w:pPr>
          </w:p>
        </w:tc>
        <w:tc>
          <w:tcPr>
            <w:tcW w:w="1073" w:type="dxa"/>
            <w:tcBorders>
              <w:top w:val="single" w:color="auto" w:sz="4" w:space="0"/>
              <w:left w:val="single" w:color="auto" w:sz="4" w:space="0"/>
              <w:bottom w:val="single" w:color="auto" w:sz="4" w:space="0"/>
              <w:right w:val="single" w:color="auto" w:sz="4" w:space="0"/>
            </w:tcBorders>
            <w:vAlign w:val="center"/>
          </w:tcPr>
          <w:p w14:paraId="51F64C1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污染治理设施编号</w:t>
            </w:r>
          </w:p>
        </w:tc>
        <w:tc>
          <w:tcPr>
            <w:tcW w:w="1085" w:type="dxa"/>
            <w:tcBorders>
              <w:top w:val="single" w:color="auto" w:sz="4" w:space="0"/>
              <w:left w:val="single" w:color="auto" w:sz="4" w:space="0"/>
              <w:bottom w:val="single" w:color="auto" w:sz="4" w:space="0"/>
              <w:right w:val="single" w:color="auto" w:sz="4" w:space="0"/>
            </w:tcBorders>
            <w:vAlign w:val="center"/>
          </w:tcPr>
          <w:p w14:paraId="22149411">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污染治理设施名称</w:t>
            </w:r>
          </w:p>
        </w:tc>
        <w:tc>
          <w:tcPr>
            <w:tcW w:w="1134" w:type="dxa"/>
            <w:tcBorders>
              <w:top w:val="single" w:color="auto" w:sz="4" w:space="0"/>
              <w:left w:val="single" w:color="auto" w:sz="4" w:space="0"/>
              <w:bottom w:val="single" w:color="auto" w:sz="4" w:space="0"/>
              <w:right w:val="single" w:color="auto" w:sz="4" w:space="0"/>
            </w:tcBorders>
            <w:vAlign w:val="center"/>
          </w:tcPr>
          <w:p w14:paraId="7F799AC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污染治理设施工艺</w:t>
            </w:r>
          </w:p>
        </w:tc>
        <w:tc>
          <w:tcPr>
            <w:tcW w:w="922" w:type="dxa"/>
            <w:vMerge w:val="continue"/>
            <w:tcBorders>
              <w:top w:val="single" w:color="auto" w:sz="4" w:space="0"/>
              <w:left w:val="single" w:color="auto" w:sz="4" w:space="0"/>
              <w:bottom w:val="single" w:color="auto" w:sz="4" w:space="0"/>
              <w:right w:val="single" w:color="auto" w:sz="4" w:space="0"/>
            </w:tcBorders>
            <w:vAlign w:val="center"/>
          </w:tcPr>
          <w:p w14:paraId="7EC99B8F">
            <w:pPr>
              <w:widowControl/>
              <w:jc w:val="center"/>
              <w:rPr>
                <w:rFonts w:ascii="Times New Roman" w:hAnsi="Times New Roman" w:eastAsia="宋体" w:cs="Times New Roman"/>
                <w:kern w:val="0"/>
                <w:szCs w:val="21"/>
              </w:rPr>
            </w:pPr>
          </w:p>
        </w:tc>
        <w:tc>
          <w:tcPr>
            <w:tcW w:w="1062" w:type="dxa"/>
            <w:vMerge w:val="continue"/>
            <w:tcBorders>
              <w:top w:val="single" w:color="auto" w:sz="4" w:space="0"/>
              <w:left w:val="single" w:color="auto" w:sz="4" w:space="0"/>
              <w:bottom w:val="single" w:color="auto" w:sz="4" w:space="0"/>
              <w:right w:val="single" w:color="auto" w:sz="4" w:space="0"/>
            </w:tcBorders>
            <w:vAlign w:val="center"/>
          </w:tcPr>
          <w:p w14:paraId="54215226">
            <w:pPr>
              <w:widowControl/>
              <w:jc w:val="center"/>
              <w:rPr>
                <w:rFonts w:ascii="Times New Roman" w:hAnsi="Times New Roman" w:eastAsia="宋体" w:cs="Times New Roman"/>
                <w:kern w:val="0"/>
                <w:szCs w:val="21"/>
              </w:rPr>
            </w:pPr>
          </w:p>
        </w:tc>
        <w:tc>
          <w:tcPr>
            <w:tcW w:w="1673" w:type="dxa"/>
            <w:vMerge w:val="continue"/>
            <w:tcBorders>
              <w:top w:val="single" w:color="auto" w:sz="4" w:space="0"/>
              <w:left w:val="single" w:color="auto" w:sz="4" w:space="0"/>
              <w:bottom w:val="single" w:color="auto" w:sz="4" w:space="0"/>
              <w:right w:val="single" w:color="auto" w:sz="4" w:space="0"/>
            </w:tcBorders>
            <w:vAlign w:val="center"/>
          </w:tcPr>
          <w:p w14:paraId="0C6D557A">
            <w:pPr>
              <w:widowControl/>
              <w:jc w:val="center"/>
              <w:rPr>
                <w:rFonts w:ascii="Times New Roman" w:hAnsi="Times New Roman" w:eastAsia="宋体" w:cs="Times New Roman"/>
                <w:kern w:val="0"/>
                <w:szCs w:val="21"/>
              </w:rPr>
            </w:pPr>
          </w:p>
        </w:tc>
      </w:tr>
      <w:tr w14:paraId="3EA2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2" w:type="dxa"/>
            <w:tcBorders>
              <w:top w:val="single" w:color="auto" w:sz="4" w:space="0"/>
              <w:left w:val="single" w:color="auto" w:sz="4" w:space="0"/>
              <w:bottom w:val="single" w:color="auto" w:sz="4" w:space="0"/>
              <w:right w:val="single" w:color="auto" w:sz="4" w:space="0"/>
            </w:tcBorders>
            <w:vAlign w:val="center"/>
          </w:tcPr>
          <w:p w14:paraId="1A5D480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08" w:type="dxa"/>
            <w:tcBorders>
              <w:top w:val="single" w:color="auto" w:sz="4" w:space="0"/>
              <w:left w:val="single" w:color="auto" w:sz="4" w:space="0"/>
              <w:bottom w:val="single" w:color="auto" w:sz="4" w:space="0"/>
              <w:right w:val="single" w:color="auto" w:sz="4" w:space="0"/>
            </w:tcBorders>
            <w:vAlign w:val="center"/>
          </w:tcPr>
          <w:p w14:paraId="504590E9">
            <w:pPr>
              <w:pStyle w:val="41"/>
              <w:spacing w:line="240" w:lineRule="auto"/>
              <w:ind w:firstLine="0" w:firstLineChars="0"/>
              <w:jc w:val="center"/>
              <w:rPr>
                <w:kern w:val="0"/>
                <w:sz w:val="21"/>
              </w:rPr>
            </w:pPr>
            <w:r>
              <w:rPr>
                <w:sz w:val="21"/>
              </w:rPr>
              <w:t>生活污水</w:t>
            </w:r>
          </w:p>
        </w:tc>
        <w:tc>
          <w:tcPr>
            <w:tcW w:w="1350" w:type="dxa"/>
            <w:tcBorders>
              <w:top w:val="single" w:color="auto" w:sz="4" w:space="0"/>
              <w:left w:val="single" w:color="auto" w:sz="4" w:space="0"/>
              <w:bottom w:val="single" w:color="auto" w:sz="4" w:space="0"/>
              <w:right w:val="single" w:color="auto" w:sz="4" w:space="0"/>
            </w:tcBorders>
            <w:vAlign w:val="center"/>
          </w:tcPr>
          <w:p w14:paraId="7777A32A">
            <w:pPr>
              <w:pStyle w:val="41"/>
              <w:spacing w:line="240" w:lineRule="auto"/>
              <w:ind w:firstLine="0" w:firstLineChars="0"/>
              <w:jc w:val="center"/>
              <w:rPr>
                <w:kern w:val="0"/>
                <w:sz w:val="21"/>
              </w:rPr>
            </w:pPr>
            <w:r>
              <w:rPr>
                <w:rFonts w:hint="eastAsia"/>
                <w:sz w:val="21"/>
              </w:rPr>
              <w:t>pH值、</w:t>
            </w:r>
            <w:r>
              <w:rPr>
                <w:sz w:val="21"/>
              </w:rPr>
              <w:t>COD、BOD</w:t>
            </w:r>
            <w:r>
              <w:rPr>
                <w:rFonts w:hint="eastAsia"/>
                <w:sz w:val="21"/>
                <w:vertAlign w:val="subscript"/>
              </w:rPr>
              <w:t>5</w:t>
            </w:r>
            <w:r>
              <w:rPr>
                <w:sz w:val="21"/>
              </w:rPr>
              <w:t>、SS、NH</w:t>
            </w:r>
            <w:r>
              <w:rPr>
                <w:sz w:val="21"/>
                <w:vertAlign w:val="subscript"/>
              </w:rPr>
              <w:t>3</w:t>
            </w:r>
            <w:r>
              <w:rPr>
                <w:sz w:val="21"/>
              </w:rPr>
              <w:t>-N</w:t>
            </w:r>
          </w:p>
        </w:tc>
        <w:tc>
          <w:tcPr>
            <w:tcW w:w="2168" w:type="dxa"/>
            <w:tcBorders>
              <w:top w:val="single" w:color="auto" w:sz="4" w:space="0"/>
              <w:left w:val="single" w:color="auto" w:sz="4" w:space="0"/>
              <w:right w:val="single" w:color="auto" w:sz="4" w:space="0"/>
            </w:tcBorders>
            <w:vAlign w:val="center"/>
          </w:tcPr>
          <w:p w14:paraId="59C27C7B">
            <w:pPr>
              <w:jc w:val="center"/>
              <w:rPr>
                <w:rFonts w:ascii="Times New Roman" w:hAnsi="Times New Roman" w:eastAsia="宋体" w:cs="Times New Roman"/>
                <w:kern w:val="0"/>
                <w:szCs w:val="21"/>
              </w:rPr>
            </w:pPr>
            <w:r>
              <w:rPr>
                <w:rFonts w:ascii="Times New Roman" w:hAnsi="Times New Roman" w:eastAsia="宋体" w:cs="Times New Roman"/>
                <w:kern w:val="0"/>
                <w:szCs w:val="21"/>
              </w:rPr>
              <w:t>化粪池处理后排入</w:t>
            </w:r>
            <w:r>
              <w:rPr>
                <w:rFonts w:hint="eastAsia" w:ascii="Times New Roman" w:hAnsi="Times New Roman" w:eastAsia="宋体" w:cs="Times New Roman"/>
                <w:kern w:val="0"/>
                <w:szCs w:val="21"/>
              </w:rPr>
              <w:t>清丰中州水务有限公司第二污水处理厂</w:t>
            </w:r>
          </w:p>
        </w:tc>
        <w:tc>
          <w:tcPr>
            <w:tcW w:w="2133" w:type="dxa"/>
            <w:tcBorders>
              <w:top w:val="single" w:color="auto" w:sz="4" w:space="0"/>
              <w:left w:val="single" w:color="auto" w:sz="4" w:space="0"/>
              <w:right w:val="single" w:color="auto" w:sz="4" w:space="0"/>
            </w:tcBorders>
            <w:vAlign w:val="center"/>
          </w:tcPr>
          <w:p w14:paraId="49B16AF3">
            <w:pPr>
              <w:jc w:val="center"/>
              <w:rPr>
                <w:rFonts w:ascii="Times New Roman" w:hAnsi="Times New Roman" w:eastAsia="宋体" w:cs="Times New Roman"/>
                <w:kern w:val="0"/>
                <w:szCs w:val="21"/>
              </w:rPr>
            </w:pPr>
            <w:r>
              <w:rPr>
                <w:rFonts w:ascii="Times New Roman" w:hAnsi="Times New Roman" w:cs="Times New Roman"/>
                <w:kern w:val="0"/>
                <w:szCs w:val="21"/>
              </w:rPr>
              <w:t>间歇</w:t>
            </w:r>
            <w:r>
              <w:rPr>
                <w:rFonts w:ascii="Times New Roman" w:hAnsi="Times New Roman" w:eastAsia="宋体" w:cs="Times New Roman"/>
                <w:kern w:val="0"/>
                <w:szCs w:val="21"/>
              </w:rPr>
              <w:t>排放，流量不稳定，但有规律，且不属于周期性规律。</w:t>
            </w:r>
          </w:p>
        </w:tc>
        <w:tc>
          <w:tcPr>
            <w:tcW w:w="1073" w:type="dxa"/>
            <w:tcBorders>
              <w:top w:val="single" w:color="auto" w:sz="4" w:space="0"/>
              <w:left w:val="single" w:color="auto" w:sz="4" w:space="0"/>
              <w:right w:val="single" w:color="auto" w:sz="4" w:space="0"/>
            </w:tcBorders>
            <w:vAlign w:val="center"/>
          </w:tcPr>
          <w:p w14:paraId="495C3FF1">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TW001</w:t>
            </w:r>
          </w:p>
        </w:tc>
        <w:tc>
          <w:tcPr>
            <w:tcW w:w="1085" w:type="dxa"/>
            <w:tcBorders>
              <w:top w:val="single" w:color="auto" w:sz="4" w:space="0"/>
              <w:left w:val="single" w:color="auto" w:sz="4" w:space="0"/>
              <w:right w:val="single" w:color="auto" w:sz="4" w:space="0"/>
            </w:tcBorders>
            <w:vAlign w:val="center"/>
          </w:tcPr>
          <w:p w14:paraId="11273919">
            <w:pPr>
              <w:widowControl/>
              <w:adjustRightInd w:val="0"/>
              <w:snapToGrid w:val="0"/>
              <w:jc w:val="center"/>
              <w:rPr>
                <w:rFonts w:ascii="Times New Roman" w:hAnsi="Times New Roman" w:eastAsia="宋体" w:cs="Times New Roman"/>
                <w:kern w:val="0"/>
                <w:szCs w:val="21"/>
              </w:rPr>
            </w:pPr>
            <w:r>
              <w:rPr>
                <w:rFonts w:ascii="Times New Roman" w:hAnsi="Times New Roman" w:cs="Times New Roman"/>
                <w:kern w:val="0"/>
                <w:szCs w:val="21"/>
              </w:rPr>
              <w:t>化粪池</w:t>
            </w:r>
          </w:p>
        </w:tc>
        <w:tc>
          <w:tcPr>
            <w:tcW w:w="1134" w:type="dxa"/>
            <w:tcBorders>
              <w:top w:val="single" w:color="auto" w:sz="4" w:space="0"/>
              <w:left w:val="single" w:color="auto" w:sz="4" w:space="0"/>
              <w:right w:val="single" w:color="auto" w:sz="4" w:space="0"/>
            </w:tcBorders>
            <w:vAlign w:val="center"/>
          </w:tcPr>
          <w:p w14:paraId="7DA9E043">
            <w:pPr>
              <w:widowControl/>
              <w:adjustRightInd w:val="0"/>
              <w:snapToGrid w:val="0"/>
              <w:jc w:val="center"/>
              <w:rPr>
                <w:rFonts w:ascii="Times New Roman" w:hAnsi="Times New Roman" w:eastAsia="宋体" w:cs="Times New Roman"/>
                <w:kern w:val="0"/>
                <w:szCs w:val="21"/>
              </w:rPr>
            </w:pPr>
            <w:r>
              <w:rPr>
                <w:rFonts w:ascii="Times New Roman" w:hAnsi="Times New Roman" w:cs="Times New Roman"/>
                <w:kern w:val="0"/>
                <w:szCs w:val="21"/>
              </w:rPr>
              <w:t>化粪池</w:t>
            </w:r>
          </w:p>
        </w:tc>
        <w:tc>
          <w:tcPr>
            <w:tcW w:w="922" w:type="dxa"/>
            <w:vMerge w:val="restart"/>
            <w:tcBorders>
              <w:top w:val="single" w:color="auto" w:sz="4" w:space="0"/>
              <w:left w:val="single" w:color="auto" w:sz="4" w:space="0"/>
              <w:right w:val="single" w:color="auto" w:sz="4" w:space="0"/>
            </w:tcBorders>
            <w:vAlign w:val="center"/>
          </w:tcPr>
          <w:p w14:paraId="7B0CCD8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DW001</w:t>
            </w:r>
          </w:p>
        </w:tc>
        <w:tc>
          <w:tcPr>
            <w:tcW w:w="1062" w:type="dxa"/>
            <w:vMerge w:val="restart"/>
            <w:tcBorders>
              <w:top w:val="single" w:color="auto" w:sz="4" w:space="0"/>
              <w:left w:val="single" w:color="auto" w:sz="4" w:space="0"/>
              <w:right w:val="single" w:color="auto" w:sz="4" w:space="0"/>
            </w:tcBorders>
            <w:vAlign w:val="center"/>
          </w:tcPr>
          <w:p w14:paraId="11492400">
            <w:pPr>
              <w:widowControl/>
              <w:adjustRightInd w:val="0"/>
              <w:snapToGrid w:val="0"/>
              <w:jc w:val="center"/>
              <w:rPr>
                <w:rFonts w:ascii="Times New Roman" w:hAnsi="Times New Roman" w:eastAsia="宋体" w:cs="Times New Roman"/>
                <w:snapToGrid w:val="0"/>
                <w:kern w:val="20"/>
                <w:szCs w:val="21"/>
              </w:rPr>
            </w:pP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是</w:t>
            </w:r>
          </w:p>
          <w:p w14:paraId="7564FE17">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sym w:font="Wingdings 2" w:char="F0A3"/>
            </w:r>
            <w:r>
              <w:rPr>
                <w:rFonts w:ascii="Times New Roman" w:hAnsi="Times New Roman" w:eastAsia="宋体" w:cs="Times New Roman"/>
                <w:kern w:val="0"/>
                <w:szCs w:val="21"/>
              </w:rPr>
              <w:t>否</w:t>
            </w:r>
          </w:p>
        </w:tc>
        <w:tc>
          <w:tcPr>
            <w:tcW w:w="1673" w:type="dxa"/>
            <w:vMerge w:val="restart"/>
            <w:tcBorders>
              <w:top w:val="single" w:color="auto" w:sz="4" w:space="0"/>
              <w:left w:val="single" w:color="auto" w:sz="4" w:space="0"/>
              <w:right w:val="single" w:color="auto" w:sz="4" w:space="0"/>
            </w:tcBorders>
            <w:vAlign w:val="center"/>
          </w:tcPr>
          <w:p w14:paraId="4298313C">
            <w:pPr>
              <w:widowControl/>
              <w:adjustRightInd w:val="0"/>
              <w:snapToGrid w:val="0"/>
              <w:jc w:val="center"/>
              <w:rPr>
                <w:rFonts w:ascii="Times New Roman" w:hAnsi="Times New Roman" w:eastAsia="宋体" w:cs="Times New Roman"/>
                <w:snapToGrid w:val="0"/>
                <w:kern w:val="20"/>
                <w:szCs w:val="21"/>
              </w:rPr>
            </w:pP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企业总排</w:t>
            </w:r>
          </w:p>
          <w:p w14:paraId="10227F7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sym w:font="Wingdings 2" w:char="F0A3"/>
            </w:r>
            <w:r>
              <w:rPr>
                <w:rFonts w:ascii="Times New Roman" w:hAnsi="Times New Roman" w:eastAsia="宋体" w:cs="Times New Roman"/>
                <w:kern w:val="0"/>
                <w:szCs w:val="21"/>
              </w:rPr>
              <w:t>雨水排放</w:t>
            </w:r>
          </w:p>
          <w:p w14:paraId="73201F7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sym w:font="Wingdings 2" w:char="F0A3"/>
            </w:r>
            <w:r>
              <w:rPr>
                <w:rFonts w:ascii="Times New Roman" w:hAnsi="Times New Roman" w:eastAsia="宋体" w:cs="Times New Roman"/>
                <w:spacing w:val="-10"/>
                <w:kern w:val="0"/>
                <w:szCs w:val="21"/>
              </w:rPr>
              <w:t>清净下水排放</w:t>
            </w:r>
          </w:p>
          <w:p w14:paraId="67C7273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sym w:font="Wingdings 2" w:char="F0A3"/>
            </w:r>
            <w:r>
              <w:rPr>
                <w:rFonts w:ascii="Times New Roman" w:hAnsi="Times New Roman" w:eastAsia="宋体" w:cs="Times New Roman"/>
                <w:kern w:val="0"/>
                <w:szCs w:val="21"/>
              </w:rPr>
              <w:t>温排水排放</w:t>
            </w:r>
          </w:p>
          <w:p w14:paraId="67800DCC">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sym w:font="Wingdings 2" w:char="F0A3"/>
            </w:r>
            <w:r>
              <w:rPr>
                <w:rFonts w:ascii="Times New Roman" w:hAnsi="Times New Roman" w:eastAsia="宋体" w:cs="Times New Roman"/>
                <w:kern w:val="0"/>
                <w:szCs w:val="21"/>
              </w:rPr>
              <w:t>车间或车间处理设施排放口</w:t>
            </w:r>
          </w:p>
        </w:tc>
      </w:tr>
      <w:tr w14:paraId="233E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2" w:type="dxa"/>
            <w:tcBorders>
              <w:top w:val="single" w:color="auto" w:sz="4" w:space="0"/>
              <w:left w:val="single" w:color="auto" w:sz="4" w:space="0"/>
              <w:bottom w:val="single" w:color="auto" w:sz="4" w:space="0"/>
              <w:right w:val="single" w:color="auto" w:sz="4" w:space="0"/>
            </w:tcBorders>
            <w:vAlign w:val="center"/>
          </w:tcPr>
          <w:p w14:paraId="7136C101">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008" w:type="dxa"/>
            <w:tcBorders>
              <w:top w:val="single" w:color="auto" w:sz="4" w:space="0"/>
              <w:left w:val="single" w:color="auto" w:sz="4" w:space="0"/>
              <w:bottom w:val="single" w:color="auto" w:sz="4" w:space="0"/>
              <w:right w:val="single" w:color="auto" w:sz="4" w:space="0"/>
            </w:tcBorders>
            <w:vAlign w:val="center"/>
          </w:tcPr>
          <w:p w14:paraId="300CB315">
            <w:pPr>
              <w:pStyle w:val="41"/>
              <w:spacing w:line="240" w:lineRule="auto"/>
              <w:ind w:firstLine="0" w:firstLineChars="0"/>
              <w:jc w:val="center"/>
              <w:rPr>
                <w:sz w:val="21"/>
              </w:rPr>
            </w:pPr>
            <w:r>
              <w:rPr>
                <w:rFonts w:hint="eastAsia"/>
                <w:sz w:val="21"/>
              </w:rPr>
              <w:t>水帘废水</w:t>
            </w:r>
          </w:p>
        </w:tc>
        <w:tc>
          <w:tcPr>
            <w:tcW w:w="1350" w:type="dxa"/>
            <w:tcBorders>
              <w:top w:val="single" w:color="auto" w:sz="4" w:space="0"/>
              <w:left w:val="single" w:color="auto" w:sz="4" w:space="0"/>
              <w:bottom w:val="single" w:color="auto" w:sz="4" w:space="0"/>
              <w:right w:val="single" w:color="auto" w:sz="4" w:space="0"/>
            </w:tcBorders>
            <w:vAlign w:val="center"/>
          </w:tcPr>
          <w:p w14:paraId="3867E0DB">
            <w:pPr>
              <w:pStyle w:val="41"/>
              <w:spacing w:line="240" w:lineRule="auto"/>
              <w:ind w:firstLine="0" w:firstLineChars="0"/>
              <w:jc w:val="center"/>
              <w:rPr>
                <w:sz w:val="21"/>
              </w:rPr>
            </w:pPr>
            <w:r>
              <w:rPr>
                <w:rFonts w:hint="eastAsia"/>
                <w:sz w:val="21"/>
              </w:rPr>
              <w:t>pH值、</w:t>
            </w:r>
            <w:r>
              <w:rPr>
                <w:sz w:val="21"/>
              </w:rPr>
              <w:t>COD、SS</w:t>
            </w:r>
            <w:r>
              <w:rPr>
                <w:rFonts w:hint="eastAsia"/>
                <w:sz w:val="21"/>
              </w:rPr>
              <w:t>、氨氮、甲苯、二甲苯</w:t>
            </w:r>
          </w:p>
        </w:tc>
        <w:tc>
          <w:tcPr>
            <w:tcW w:w="2168" w:type="dxa"/>
            <w:tcBorders>
              <w:left w:val="single" w:color="auto" w:sz="4" w:space="0"/>
              <w:right w:val="single" w:color="auto" w:sz="4" w:space="0"/>
            </w:tcBorders>
            <w:vAlign w:val="center"/>
          </w:tcPr>
          <w:p w14:paraId="4988AD79">
            <w:pPr>
              <w:jc w:val="center"/>
              <w:rPr>
                <w:rFonts w:ascii="Times New Roman" w:hAnsi="Times New Roman" w:eastAsia="宋体" w:cs="Times New Roman"/>
                <w:kern w:val="0"/>
                <w:szCs w:val="21"/>
              </w:rPr>
            </w:pPr>
            <w:r>
              <w:rPr>
                <w:rFonts w:ascii="Times New Roman" w:hAnsi="Times New Roman" w:eastAsia="宋体" w:cs="Times New Roman"/>
                <w:kern w:val="0"/>
                <w:szCs w:val="21"/>
              </w:rPr>
              <w:t>厂区污水处理站处理后排入</w:t>
            </w:r>
            <w:r>
              <w:rPr>
                <w:rFonts w:hint="eastAsia" w:ascii="Times New Roman" w:hAnsi="Times New Roman" w:eastAsia="宋体" w:cs="Times New Roman"/>
                <w:kern w:val="0"/>
                <w:szCs w:val="21"/>
              </w:rPr>
              <w:t>清丰中州水务有限公司第二污水处理厂</w:t>
            </w:r>
          </w:p>
        </w:tc>
        <w:tc>
          <w:tcPr>
            <w:tcW w:w="2133" w:type="dxa"/>
            <w:tcBorders>
              <w:left w:val="single" w:color="auto" w:sz="4" w:space="0"/>
              <w:right w:val="single" w:color="auto" w:sz="4" w:space="0"/>
            </w:tcBorders>
            <w:vAlign w:val="center"/>
          </w:tcPr>
          <w:p w14:paraId="0E1FCE54">
            <w:pPr>
              <w:jc w:val="center"/>
              <w:rPr>
                <w:rFonts w:ascii="Times New Roman" w:hAnsi="Times New Roman" w:eastAsia="宋体" w:cs="Times New Roman"/>
                <w:kern w:val="0"/>
                <w:szCs w:val="21"/>
              </w:rPr>
            </w:pPr>
            <w:r>
              <w:rPr>
                <w:rFonts w:ascii="Times New Roman" w:hAnsi="Times New Roman" w:cs="Times New Roman"/>
                <w:kern w:val="0"/>
                <w:szCs w:val="21"/>
              </w:rPr>
              <w:t>间歇</w:t>
            </w:r>
            <w:r>
              <w:rPr>
                <w:rFonts w:ascii="Times New Roman" w:hAnsi="Times New Roman" w:eastAsia="宋体" w:cs="Times New Roman"/>
                <w:kern w:val="0"/>
                <w:szCs w:val="21"/>
              </w:rPr>
              <w:t>排放，流量不稳定，但有规律，且不属于周期性规律。</w:t>
            </w:r>
          </w:p>
        </w:tc>
        <w:tc>
          <w:tcPr>
            <w:tcW w:w="1073" w:type="dxa"/>
            <w:tcBorders>
              <w:left w:val="single" w:color="auto" w:sz="4" w:space="0"/>
              <w:right w:val="single" w:color="auto" w:sz="4" w:space="0"/>
            </w:tcBorders>
            <w:vAlign w:val="center"/>
          </w:tcPr>
          <w:p w14:paraId="56A28DB9">
            <w:pPr>
              <w:adjustRightInd w:val="0"/>
              <w:snapToGrid w:val="0"/>
              <w:jc w:val="center"/>
              <w:rPr>
                <w:rFonts w:ascii="Times New Roman" w:hAnsi="Times New Roman" w:eastAsia="宋体" w:cs="Times New Roman"/>
                <w:kern w:val="0"/>
                <w:szCs w:val="21"/>
              </w:rPr>
            </w:pPr>
            <w:r>
              <w:rPr>
                <w:rFonts w:ascii="Times New Roman" w:hAnsi="Times New Roman" w:cs="Times New Roman"/>
                <w:kern w:val="0"/>
                <w:szCs w:val="21"/>
              </w:rPr>
              <w:t>TW002</w:t>
            </w:r>
          </w:p>
        </w:tc>
        <w:tc>
          <w:tcPr>
            <w:tcW w:w="1085" w:type="dxa"/>
            <w:tcBorders>
              <w:left w:val="single" w:color="auto" w:sz="4" w:space="0"/>
              <w:right w:val="single" w:color="auto" w:sz="4" w:space="0"/>
            </w:tcBorders>
            <w:vAlign w:val="center"/>
          </w:tcPr>
          <w:p w14:paraId="4BD2893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厂区污水站</w:t>
            </w:r>
          </w:p>
        </w:tc>
        <w:tc>
          <w:tcPr>
            <w:tcW w:w="1134" w:type="dxa"/>
            <w:tcBorders>
              <w:left w:val="single" w:color="auto" w:sz="4" w:space="0"/>
              <w:right w:val="single" w:color="auto" w:sz="4" w:space="0"/>
            </w:tcBorders>
            <w:vAlign w:val="center"/>
          </w:tcPr>
          <w:p w14:paraId="31841FAB">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混凝</w:t>
            </w:r>
            <w:r>
              <w:rPr>
                <w:rFonts w:ascii="Times New Roman" w:hAnsi="Times New Roman" w:eastAsia="宋体" w:cs="Times New Roman"/>
                <w:kern w:val="0"/>
                <w:szCs w:val="21"/>
              </w:rPr>
              <w:t>沉淀+fenton氧化处理”</w:t>
            </w:r>
          </w:p>
        </w:tc>
        <w:tc>
          <w:tcPr>
            <w:tcW w:w="922" w:type="dxa"/>
            <w:vMerge w:val="continue"/>
            <w:tcBorders>
              <w:left w:val="single" w:color="auto" w:sz="4" w:space="0"/>
              <w:right w:val="single" w:color="auto" w:sz="4" w:space="0"/>
            </w:tcBorders>
            <w:vAlign w:val="center"/>
          </w:tcPr>
          <w:p w14:paraId="6B5D9636">
            <w:pPr>
              <w:widowControl/>
              <w:jc w:val="center"/>
              <w:rPr>
                <w:rFonts w:ascii="Times New Roman" w:hAnsi="Times New Roman" w:eastAsia="宋体" w:cs="Times New Roman"/>
                <w:kern w:val="0"/>
                <w:szCs w:val="21"/>
              </w:rPr>
            </w:pPr>
          </w:p>
        </w:tc>
        <w:tc>
          <w:tcPr>
            <w:tcW w:w="1062" w:type="dxa"/>
            <w:vMerge w:val="continue"/>
            <w:tcBorders>
              <w:left w:val="single" w:color="auto" w:sz="4" w:space="0"/>
              <w:right w:val="single" w:color="auto" w:sz="4" w:space="0"/>
            </w:tcBorders>
            <w:vAlign w:val="center"/>
          </w:tcPr>
          <w:p w14:paraId="129D8B13">
            <w:pPr>
              <w:jc w:val="center"/>
              <w:rPr>
                <w:rFonts w:ascii="Times New Roman" w:hAnsi="Times New Roman" w:eastAsia="宋体" w:cs="Times New Roman"/>
                <w:kern w:val="0"/>
                <w:szCs w:val="21"/>
              </w:rPr>
            </w:pPr>
          </w:p>
        </w:tc>
        <w:tc>
          <w:tcPr>
            <w:tcW w:w="1673" w:type="dxa"/>
            <w:vMerge w:val="continue"/>
            <w:tcBorders>
              <w:left w:val="single" w:color="auto" w:sz="4" w:space="0"/>
              <w:right w:val="single" w:color="auto" w:sz="4" w:space="0"/>
            </w:tcBorders>
            <w:vAlign w:val="center"/>
          </w:tcPr>
          <w:p w14:paraId="6280F32A">
            <w:pPr>
              <w:widowControl/>
              <w:jc w:val="center"/>
              <w:rPr>
                <w:rFonts w:ascii="Times New Roman" w:hAnsi="Times New Roman" w:eastAsia="宋体" w:cs="Times New Roman"/>
                <w:kern w:val="0"/>
                <w:szCs w:val="21"/>
              </w:rPr>
            </w:pPr>
          </w:p>
        </w:tc>
      </w:tr>
    </w:tbl>
    <w:p w14:paraId="3FA888A6">
      <w:pPr>
        <w:numPr>
          <w:ilvl w:val="0"/>
          <w:numId w:val="56"/>
        </w:numPr>
        <w:autoSpaceDE w:val="0"/>
        <w:autoSpaceDN w:val="0"/>
        <w:adjustRightInd w:val="0"/>
        <w:snapToGrid w:val="0"/>
        <w:jc w:val="center"/>
        <w:rPr>
          <w:rFonts w:ascii="Times New Roman" w:hAnsi="Times New Roman" w:eastAsia="宋体" w:cs="Times New Roman"/>
          <w:b/>
          <w:bCs/>
          <w:kern w:val="28"/>
          <w:szCs w:val="21"/>
        </w:rPr>
      </w:pPr>
      <w:r>
        <w:rPr>
          <w:b/>
          <w:bCs/>
        </w:rPr>
        <w:t xml:space="preserve"> </w:t>
      </w:r>
      <w:r>
        <w:rPr>
          <w:rFonts w:ascii="Times New Roman" w:hAnsi="Times New Roman" w:eastAsia="宋体" w:cs="Times New Roman"/>
          <w:b/>
          <w:bCs/>
          <w:kern w:val="28"/>
          <w:szCs w:val="21"/>
        </w:rPr>
        <w:t xml:space="preserve"> </w:t>
      </w:r>
      <w:r>
        <w:rPr>
          <w:rFonts w:hint="eastAsia" w:cs="Times New Roman"/>
          <w:b/>
          <w:bCs/>
          <w:kern w:val="28"/>
          <w:szCs w:val="21"/>
        </w:rPr>
        <w:t>本项目</w:t>
      </w:r>
      <w:r>
        <w:rPr>
          <w:rFonts w:ascii="Times New Roman" w:hAnsi="Times New Roman" w:eastAsia="宋体" w:cs="Times New Roman"/>
          <w:b/>
          <w:bCs/>
          <w:kern w:val="28"/>
          <w:szCs w:val="21"/>
        </w:rPr>
        <w:t>废水间接排放口基本情况表</w:t>
      </w:r>
    </w:p>
    <w:tbl>
      <w:tblPr>
        <w:tblStyle w:val="30"/>
        <w:tblW w:w="1409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1"/>
        <w:gridCol w:w="1012"/>
        <w:gridCol w:w="1398"/>
        <w:gridCol w:w="1418"/>
        <w:gridCol w:w="1275"/>
        <w:gridCol w:w="1076"/>
        <w:gridCol w:w="1569"/>
        <w:gridCol w:w="730"/>
        <w:gridCol w:w="1093"/>
        <w:gridCol w:w="1558"/>
        <w:gridCol w:w="2400"/>
      </w:tblGrid>
      <w:tr w14:paraId="6B5689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61" w:type="dxa"/>
            <w:vMerge w:val="restart"/>
            <w:tcBorders>
              <w:top w:val="single" w:color="auto" w:sz="4" w:space="0"/>
              <w:left w:val="single" w:color="auto" w:sz="4" w:space="0"/>
              <w:bottom w:val="single" w:color="auto" w:sz="6" w:space="0"/>
              <w:right w:val="single" w:color="auto" w:sz="6" w:space="0"/>
            </w:tcBorders>
            <w:vAlign w:val="center"/>
          </w:tcPr>
          <w:p w14:paraId="0435705D">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1012" w:type="dxa"/>
            <w:vMerge w:val="restart"/>
            <w:tcBorders>
              <w:top w:val="single" w:color="auto" w:sz="4" w:space="0"/>
              <w:left w:val="single" w:color="auto" w:sz="6" w:space="0"/>
              <w:bottom w:val="single" w:color="auto" w:sz="6" w:space="0"/>
              <w:right w:val="single" w:color="auto" w:sz="6" w:space="0"/>
            </w:tcBorders>
            <w:vAlign w:val="center"/>
          </w:tcPr>
          <w:p w14:paraId="675419A3">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排放口编号</w:t>
            </w:r>
          </w:p>
        </w:tc>
        <w:tc>
          <w:tcPr>
            <w:tcW w:w="2816" w:type="dxa"/>
            <w:gridSpan w:val="2"/>
            <w:tcBorders>
              <w:top w:val="single" w:color="auto" w:sz="4" w:space="0"/>
              <w:left w:val="single" w:color="auto" w:sz="6" w:space="0"/>
              <w:bottom w:val="single" w:color="auto" w:sz="6" w:space="0"/>
              <w:right w:val="single" w:color="auto" w:sz="6" w:space="0"/>
            </w:tcBorders>
            <w:vAlign w:val="center"/>
          </w:tcPr>
          <w:p w14:paraId="0C5FE9E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排放口地理坐标</w:t>
            </w:r>
          </w:p>
        </w:tc>
        <w:tc>
          <w:tcPr>
            <w:tcW w:w="1275" w:type="dxa"/>
            <w:vMerge w:val="restart"/>
            <w:tcBorders>
              <w:top w:val="single" w:color="auto" w:sz="4" w:space="0"/>
              <w:left w:val="single" w:color="auto" w:sz="6" w:space="0"/>
              <w:bottom w:val="single" w:color="auto" w:sz="6" w:space="0"/>
              <w:right w:val="single" w:color="auto" w:sz="6" w:space="0"/>
            </w:tcBorders>
            <w:vAlign w:val="center"/>
          </w:tcPr>
          <w:p w14:paraId="6250CAA6">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废水排放量/（</w:t>
            </w:r>
            <w:r>
              <w:rPr>
                <w:rFonts w:hint="eastAsia" w:ascii="Times New Roman" w:hAnsi="Times New Roman" w:eastAsia="宋体" w:cs="Times New Roman"/>
                <w:kern w:val="0"/>
                <w:szCs w:val="21"/>
              </w:rPr>
              <w:t>万</w:t>
            </w:r>
            <w:r>
              <w:rPr>
                <w:rFonts w:ascii="Times New Roman" w:hAnsi="Times New Roman" w:eastAsia="宋体" w:cs="Times New Roman"/>
                <w:kern w:val="0"/>
                <w:szCs w:val="21"/>
              </w:rPr>
              <w:t>t/a）</w:t>
            </w:r>
          </w:p>
        </w:tc>
        <w:tc>
          <w:tcPr>
            <w:tcW w:w="1076" w:type="dxa"/>
            <w:vMerge w:val="restart"/>
            <w:tcBorders>
              <w:top w:val="single" w:color="auto" w:sz="4" w:space="0"/>
              <w:left w:val="single" w:color="auto" w:sz="6" w:space="0"/>
              <w:bottom w:val="single" w:color="auto" w:sz="6" w:space="0"/>
              <w:right w:val="single" w:color="auto" w:sz="6" w:space="0"/>
            </w:tcBorders>
            <w:vAlign w:val="center"/>
          </w:tcPr>
          <w:p w14:paraId="3C14E04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排放去向</w:t>
            </w:r>
          </w:p>
        </w:tc>
        <w:tc>
          <w:tcPr>
            <w:tcW w:w="1569" w:type="dxa"/>
            <w:vMerge w:val="restart"/>
            <w:tcBorders>
              <w:top w:val="single" w:color="auto" w:sz="4" w:space="0"/>
              <w:left w:val="single" w:color="auto" w:sz="6" w:space="0"/>
              <w:bottom w:val="single" w:color="auto" w:sz="6" w:space="0"/>
              <w:right w:val="single" w:color="auto" w:sz="6" w:space="0"/>
            </w:tcBorders>
            <w:vAlign w:val="center"/>
          </w:tcPr>
          <w:p w14:paraId="4B964B45">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排放规律</w:t>
            </w:r>
          </w:p>
        </w:tc>
        <w:tc>
          <w:tcPr>
            <w:tcW w:w="730" w:type="dxa"/>
            <w:vMerge w:val="restart"/>
            <w:tcBorders>
              <w:top w:val="single" w:color="auto" w:sz="4" w:space="0"/>
              <w:left w:val="single" w:color="auto" w:sz="6" w:space="0"/>
              <w:bottom w:val="single" w:color="auto" w:sz="6" w:space="0"/>
              <w:right w:val="single" w:color="auto" w:sz="6" w:space="0"/>
            </w:tcBorders>
            <w:vAlign w:val="center"/>
          </w:tcPr>
          <w:p w14:paraId="354784AD">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间歇排放时段</w:t>
            </w:r>
          </w:p>
        </w:tc>
        <w:tc>
          <w:tcPr>
            <w:tcW w:w="5051" w:type="dxa"/>
            <w:gridSpan w:val="3"/>
            <w:tcBorders>
              <w:top w:val="single" w:color="auto" w:sz="4" w:space="0"/>
              <w:left w:val="single" w:color="auto" w:sz="6" w:space="0"/>
              <w:bottom w:val="single" w:color="auto" w:sz="6" w:space="0"/>
              <w:right w:val="single" w:color="auto" w:sz="4" w:space="0"/>
            </w:tcBorders>
            <w:vAlign w:val="center"/>
          </w:tcPr>
          <w:p w14:paraId="4FB40E6B">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受纳污水处理厂信息</w:t>
            </w:r>
          </w:p>
        </w:tc>
      </w:tr>
      <w:tr w14:paraId="1C9C8A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61" w:type="dxa"/>
            <w:vMerge w:val="continue"/>
            <w:tcBorders>
              <w:top w:val="single" w:color="auto" w:sz="4" w:space="0"/>
              <w:left w:val="single" w:color="auto" w:sz="4" w:space="0"/>
              <w:bottom w:val="single" w:color="auto" w:sz="6" w:space="0"/>
              <w:right w:val="single" w:color="auto" w:sz="6" w:space="0"/>
            </w:tcBorders>
            <w:vAlign w:val="center"/>
          </w:tcPr>
          <w:p w14:paraId="07A1BA17">
            <w:pPr>
              <w:widowControl/>
              <w:jc w:val="center"/>
              <w:rPr>
                <w:rFonts w:ascii="Times New Roman" w:hAnsi="Times New Roman" w:eastAsia="宋体" w:cs="Times New Roman"/>
                <w:kern w:val="0"/>
                <w:szCs w:val="21"/>
              </w:rPr>
            </w:pPr>
          </w:p>
        </w:tc>
        <w:tc>
          <w:tcPr>
            <w:tcW w:w="1012" w:type="dxa"/>
            <w:vMerge w:val="continue"/>
            <w:tcBorders>
              <w:top w:val="single" w:color="auto" w:sz="4" w:space="0"/>
              <w:left w:val="single" w:color="auto" w:sz="6" w:space="0"/>
              <w:bottom w:val="single" w:color="auto" w:sz="6" w:space="0"/>
              <w:right w:val="single" w:color="auto" w:sz="6" w:space="0"/>
            </w:tcBorders>
            <w:vAlign w:val="center"/>
          </w:tcPr>
          <w:p w14:paraId="44C13D1D">
            <w:pPr>
              <w:widowControl/>
              <w:jc w:val="center"/>
              <w:rPr>
                <w:rFonts w:ascii="Times New Roman" w:hAnsi="Times New Roman" w:eastAsia="宋体" w:cs="Times New Roman"/>
                <w:kern w:val="0"/>
                <w:szCs w:val="21"/>
              </w:rPr>
            </w:pPr>
          </w:p>
        </w:tc>
        <w:tc>
          <w:tcPr>
            <w:tcW w:w="1398" w:type="dxa"/>
            <w:tcBorders>
              <w:top w:val="single" w:color="auto" w:sz="6" w:space="0"/>
              <w:left w:val="single" w:color="auto" w:sz="6" w:space="0"/>
              <w:bottom w:val="single" w:color="auto" w:sz="6" w:space="0"/>
              <w:right w:val="single" w:color="auto" w:sz="6" w:space="0"/>
            </w:tcBorders>
            <w:vAlign w:val="center"/>
          </w:tcPr>
          <w:p w14:paraId="23804165">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经度</w:t>
            </w:r>
          </w:p>
        </w:tc>
        <w:tc>
          <w:tcPr>
            <w:tcW w:w="1418" w:type="dxa"/>
            <w:tcBorders>
              <w:top w:val="single" w:color="auto" w:sz="6" w:space="0"/>
              <w:left w:val="single" w:color="auto" w:sz="6" w:space="0"/>
              <w:bottom w:val="single" w:color="auto" w:sz="6" w:space="0"/>
              <w:right w:val="single" w:color="auto" w:sz="6" w:space="0"/>
            </w:tcBorders>
            <w:vAlign w:val="center"/>
          </w:tcPr>
          <w:p w14:paraId="2D9508C7">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纬度</w:t>
            </w:r>
          </w:p>
        </w:tc>
        <w:tc>
          <w:tcPr>
            <w:tcW w:w="1275" w:type="dxa"/>
            <w:vMerge w:val="continue"/>
            <w:tcBorders>
              <w:top w:val="single" w:color="auto" w:sz="4" w:space="0"/>
              <w:left w:val="single" w:color="auto" w:sz="6" w:space="0"/>
              <w:bottom w:val="single" w:color="auto" w:sz="6" w:space="0"/>
              <w:right w:val="single" w:color="auto" w:sz="6" w:space="0"/>
            </w:tcBorders>
            <w:vAlign w:val="center"/>
          </w:tcPr>
          <w:p w14:paraId="2BD2FDD3">
            <w:pPr>
              <w:widowControl/>
              <w:jc w:val="center"/>
              <w:rPr>
                <w:rFonts w:ascii="Times New Roman" w:hAnsi="Times New Roman" w:eastAsia="宋体" w:cs="Times New Roman"/>
                <w:kern w:val="0"/>
                <w:szCs w:val="21"/>
              </w:rPr>
            </w:pPr>
          </w:p>
        </w:tc>
        <w:tc>
          <w:tcPr>
            <w:tcW w:w="1076" w:type="dxa"/>
            <w:vMerge w:val="continue"/>
            <w:tcBorders>
              <w:top w:val="single" w:color="auto" w:sz="4" w:space="0"/>
              <w:left w:val="single" w:color="auto" w:sz="6" w:space="0"/>
              <w:bottom w:val="single" w:color="auto" w:sz="6" w:space="0"/>
              <w:right w:val="single" w:color="auto" w:sz="6" w:space="0"/>
            </w:tcBorders>
            <w:vAlign w:val="center"/>
          </w:tcPr>
          <w:p w14:paraId="54B265D9">
            <w:pPr>
              <w:widowControl/>
              <w:jc w:val="center"/>
              <w:rPr>
                <w:rFonts w:ascii="Times New Roman" w:hAnsi="Times New Roman" w:eastAsia="宋体" w:cs="Times New Roman"/>
                <w:kern w:val="0"/>
                <w:szCs w:val="21"/>
              </w:rPr>
            </w:pPr>
          </w:p>
        </w:tc>
        <w:tc>
          <w:tcPr>
            <w:tcW w:w="1569" w:type="dxa"/>
            <w:vMerge w:val="continue"/>
            <w:tcBorders>
              <w:top w:val="single" w:color="auto" w:sz="4" w:space="0"/>
              <w:left w:val="single" w:color="auto" w:sz="6" w:space="0"/>
              <w:bottom w:val="single" w:color="auto" w:sz="6" w:space="0"/>
              <w:right w:val="single" w:color="auto" w:sz="6" w:space="0"/>
            </w:tcBorders>
            <w:vAlign w:val="center"/>
          </w:tcPr>
          <w:p w14:paraId="26B4C342">
            <w:pPr>
              <w:widowControl/>
              <w:jc w:val="center"/>
              <w:rPr>
                <w:rFonts w:ascii="Times New Roman" w:hAnsi="Times New Roman" w:eastAsia="宋体" w:cs="Times New Roman"/>
                <w:kern w:val="0"/>
                <w:szCs w:val="21"/>
              </w:rPr>
            </w:pPr>
          </w:p>
        </w:tc>
        <w:tc>
          <w:tcPr>
            <w:tcW w:w="730" w:type="dxa"/>
            <w:vMerge w:val="continue"/>
            <w:tcBorders>
              <w:top w:val="single" w:color="auto" w:sz="4" w:space="0"/>
              <w:left w:val="single" w:color="auto" w:sz="6" w:space="0"/>
              <w:bottom w:val="single" w:color="auto" w:sz="6" w:space="0"/>
              <w:right w:val="single" w:color="auto" w:sz="6" w:space="0"/>
            </w:tcBorders>
            <w:vAlign w:val="center"/>
          </w:tcPr>
          <w:p w14:paraId="52D4FF70">
            <w:pPr>
              <w:widowControl/>
              <w:jc w:val="center"/>
              <w:rPr>
                <w:rFonts w:ascii="Times New Roman" w:hAnsi="Times New Roman" w:eastAsia="宋体" w:cs="Times New Roman"/>
                <w:kern w:val="0"/>
                <w:szCs w:val="21"/>
              </w:rPr>
            </w:pPr>
          </w:p>
        </w:tc>
        <w:tc>
          <w:tcPr>
            <w:tcW w:w="1093" w:type="dxa"/>
            <w:tcBorders>
              <w:top w:val="single" w:color="auto" w:sz="6" w:space="0"/>
              <w:left w:val="single" w:color="auto" w:sz="6" w:space="0"/>
              <w:bottom w:val="single" w:color="auto" w:sz="6" w:space="0"/>
              <w:right w:val="single" w:color="auto" w:sz="6" w:space="0"/>
            </w:tcBorders>
            <w:vAlign w:val="center"/>
          </w:tcPr>
          <w:p w14:paraId="1B749A1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名称</w:t>
            </w:r>
          </w:p>
        </w:tc>
        <w:tc>
          <w:tcPr>
            <w:tcW w:w="1558" w:type="dxa"/>
            <w:tcBorders>
              <w:top w:val="single" w:color="auto" w:sz="6" w:space="0"/>
              <w:left w:val="single" w:color="auto" w:sz="6" w:space="0"/>
              <w:bottom w:val="single" w:color="auto" w:sz="6" w:space="0"/>
              <w:right w:val="single" w:color="auto" w:sz="6" w:space="0"/>
            </w:tcBorders>
            <w:vAlign w:val="center"/>
          </w:tcPr>
          <w:p w14:paraId="73958D67">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污染物种类</w:t>
            </w:r>
          </w:p>
        </w:tc>
        <w:tc>
          <w:tcPr>
            <w:tcW w:w="2400" w:type="dxa"/>
            <w:tcBorders>
              <w:top w:val="single" w:color="auto" w:sz="6" w:space="0"/>
              <w:left w:val="single" w:color="auto" w:sz="6" w:space="0"/>
              <w:bottom w:val="single" w:color="auto" w:sz="6" w:space="0"/>
              <w:right w:val="single" w:color="auto" w:sz="4" w:space="0"/>
            </w:tcBorders>
            <w:vAlign w:val="center"/>
          </w:tcPr>
          <w:p w14:paraId="60F150C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国家或地方污染物排放标准浓度限值/(mg/L)</w:t>
            </w:r>
          </w:p>
        </w:tc>
      </w:tr>
      <w:tr w14:paraId="7356B0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1" w:type="dxa"/>
            <w:vMerge w:val="restart"/>
            <w:tcBorders>
              <w:top w:val="single" w:color="auto" w:sz="6" w:space="0"/>
              <w:left w:val="single" w:color="auto" w:sz="4" w:space="0"/>
              <w:right w:val="single" w:color="auto" w:sz="6" w:space="0"/>
            </w:tcBorders>
            <w:vAlign w:val="center"/>
          </w:tcPr>
          <w:p w14:paraId="327AAE31">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012" w:type="dxa"/>
            <w:vMerge w:val="restart"/>
            <w:tcBorders>
              <w:top w:val="single" w:color="auto" w:sz="6" w:space="0"/>
              <w:left w:val="single" w:color="auto" w:sz="6" w:space="0"/>
              <w:right w:val="single" w:color="auto" w:sz="6" w:space="0"/>
            </w:tcBorders>
            <w:vAlign w:val="center"/>
          </w:tcPr>
          <w:p w14:paraId="19192FA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DW001</w:t>
            </w:r>
          </w:p>
        </w:tc>
        <w:tc>
          <w:tcPr>
            <w:tcW w:w="1398" w:type="dxa"/>
            <w:vMerge w:val="restart"/>
            <w:tcBorders>
              <w:top w:val="single" w:color="auto" w:sz="6" w:space="0"/>
              <w:left w:val="single" w:color="auto" w:sz="6" w:space="0"/>
              <w:right w:val="single" w:color="auto" w:sz="6" w:space="0"/>
            </w:tcBorders>
            <w:vAlign w:val="center"/>
          </w:tcPr>
          <w:p w14:paraId="0C4E0A5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115.13829589</w:t>
            </w:r>
          </w:p>
        </w:tc>
        <w:tc>
          <w:tcPr>
            <w:tcW w:w="1418" w:type="dxa"/>
            <w:vMerge w:val="restart"/>
            <w:tcBorders>
              <w:top w:val="single" w:color="auto" w:sz="6" w:space="0"/>
              <w:left w:val="single" w:color="auto" w:sz="6" w:space="0"/>
              <w:right w:val="single" w:color="auto" w:sz="6" w:space="0"/>
            </w:tcBorders>
            <w:vAlign w:val="center"/>
          </w:tcPr>
          <w:p w14:paraId="1D904F7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35.87685426</w:t>
            </w:r>
          </w:p>
        </w:tc>
        <w:tc>
          <w:tcPr>
            <w:tcW w:w="1275" w:type="dxa"/>
            <w:vMerge w:val="restart"/>
            <w:tcBorders>
              <w:top w:val="single" w:color="auto" w:sz="6" w:space="0"/>
              <w:left w:val="single" w:color="auto" w:sz="6" w:space="0"/>
              <w:right w:val="single" w:color="auto" w:sz="6" w:space="0"/>
            </w:tcBorders>
            <w:vAlign w:val="center"/>
          </w:tcPr>
          <w:p w14:paraId="14D97024">
            <w:pPr>
              <w:widowControl/>
              <w:adjustRightInd w:val="0"/>
              <w:snapToGrid w:val="0"/>
              <w:jc w:val="center"/>
              <w:rPr>
                <w:rFonts w:ascii="Times New Roman" w:hAnsi="Times New Roman" w:eastAsia="宋体" w:cs="Times New Roman"/>
                <w:kern w:val="0"/>
                <w:szCs w:val="21"/>
              </w:rPr>
            </w:pPr>
            <w:r>
              <w:rPr>
                <w:rFonts w:hint="eastAsia" w:ascii="Times New Roman" w:hAnsi="Times New Roman" w:cs="Times New Roman"/>
                <w:color w:val="auto"/>
                <w:kern w:val="0"/>
                <w:szCs w:val="21"/>
              </w:rPr>
              <w:t>0.1542</w:t>
            </w:r>
          </w:p>
        </w:tc>
        <w:tc>
          <w:tcPr>
            <w:tcW w:w="1076" w:type="dxa"/>
            <w:vMerge w:val="restart"/>
            <w:tcBorders>
              <w:top w:val="single" w:color="auto" w:sz="6" w:space="0"/>
              <w:left w:val="single" w:color="auto" w:sz="6" w:space="0"/>
              <w:right w:val="single" w:color="auto" w:sz="6" w:space="0"/>
            </w:tcBorders>
            <w:vAlign w:val="center"/>
          </w:tcPr>
          <w:p w14:paraId="6CEE2CE2">
            <w:pPr>
              <w:widowControl/>
              <w:adjustRightInd w:val="0"/>
              <w:snapToGrid w:val="0"/>
              <w:jc w:val="center"/>
              <w:rPr>
                <w:rFonts w:ascii="Times New Roman" w:hAnsi="Times New Roman" w:eastAsia="宋体" w:cs="Times New Roman"/>
                <w:kern w:val="0"/>
                <w:szCs w:val="21"/>
              </w:rPr>
            </w:pPr>
            <w:r>
              <w:rPr>
                <w:rFonts w:hint="eastAsia" w:cs="Times New Roman"/>
                <w:szCs w:val="21"/>
              </w:rPr>
              <w:t>清丰中州水务有限公司第二污水处理厂</w:t>
            </w:r>
          </w:p>
        </w:tc>
        <w:tc>
          <w:tcPr>
            <w:tcW w:w="1569" w:type="dxa"/>
            <w:vMerge w:val="restart"/>
            <w:tcBorders>
              <w:top w:val="single" w:color="auto" w:sz="6" w:space="0"/>
              <w:left w:val="single" w:color="auto" w:sz="6" w:space="0"/>
              <w:right w:val="single" w:color="auto" w:sz="6" w:space="0"/>
            </w:tcBorders>
            <w:vAlign w:val="center"/>
          </w:tcPr>
          <w:p w14:paraId="01C504CC">
            <w:pPr>
              <w:jc w:val="center"/>
              <w:rPr>
                <w:rFonts w:ascii="Times New Roman" w:hAnsi="Times New Roman" w:eastAsia="宋体" w:cs="Times New Roman"/>
                <w:kern w:val="0"/>
                <w:szCs w:val="21"/>
              </w:rPr>
            </w:pPr>
            <w:r>
              <w:rPr>
                <w:rFonts w:ascii="Times New Roman" w:hAnsi="Times New Roman" w:cs="Times New Roman"/>
                <w:kern w:val="0"/>
                <w:szCs w:val="21"/>
              </w:rPr>
              <w:t>间歇</w:t>
            </w:r>
            <w:r>
              <w:rPr>
                <w:rFonts w:ascii="Times New Roman" w:hAnsi="Times New Roman" w:eastAsia="宋体" w:cs="Times New Roman"/>
                <w:kern w:val="0"/>
                <w:szCs w:val="21"/>
              </w:rPr>
              <w:t>排放，流量不稳定，但有规律，且不属于周期性规律。</w:t>
            </w:r>
          </w:p>
        </w:tc>
        <w:tc>
          <w:tcPr>
            <w:tcW w:w="730" w:type="dxa"/>
            <w:vMerge w:val="restart"/>
            <w:tcBorders>
              <w:top w:val="single" w:color="auto" w:sz="6" w:space="0"/>
              <w:left w:val="single" w:color="auto" w:sz="6" w:space="0"/>
              <w:right w:val="single" w:color="auto" w:sz="6" w:space="0"/>
            </w:tcBorders>
            <w:vAlign w:val="center"/>
          </w:tcPr>
          <w:p w14:paraId="26CBCE4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093" w:type="dxa"/>
            <w:vMerge w:val="restart"/>
            <w:tcBorders>
              <w:top w:val="single" w:color="auto" w:sz="6" w:space="0"/>
              <w:left w:val="single" w:color="auto" w:sz="6" w:space="0"/>
              <w:right w:val="single" w:color="auto" w:sz="6" w:space="0"/>
            </w:tcBorders>
            <w:vAlign w:val="center"/>
          </w:tcPr>
          <w:p w14:paraId="5242B926">
            <w:pPr>
              <w:widowControl/>
              <w:adjustRightInd w:val="0"/>
              <w:snapToGrid w:val="0"/>
              <w:jc w:val="center"/>
              <w:rPr>
                <w:rFonts w:ascii="Times New Roman" w:hAnsi="Times New Roman" w:eastAsia="宋体" w:cs="Times New Roman"/>
                <w:kern w:val="0"/>
                <w:szCs w:val="21"/>
              </w:rPr>
            </w:pPr>
            <w:r>
              <w:rPr>
                <w:rFonts w:hint="eastAsia" w:cs="Times New Roman"/>
                <w:szCs w:val="21"/>
              </w:rPr>
              <w:t>清丰中州水务有限公司第二污水处理厂</w:t>
            </w:r>
          </w:p>
        </w:tc>
        <w:tc>
          <w:tcPr>
            <w:tcW w:w="1558" w:type="dxa"/>
            <w:tcBorders>
              <w:top w:val="single" w:color="auto" w:sz="6" w:space="0"/>
              <w:left w:val="single" w:color="auto" w:sz="6" w:space="0"/>
              <w:bottom w:val="single" w:color="auto" w:sz="4" w:space="0"/>
              <w:right w:val="single" w:color="auto" w:sz="6" w:space="0"/>
            </w:tcBorders>
            <w:vAlign w:val="center"/>
          </w:tcPr>
          <w:p w14:paraId="79B5B57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pH值（无量纲）</w:t>
            </w:r>
          </w:p>
        </w:tc>
        <w:tc>
          <w:tcPr>
            <w:tcW w:w="2400" w:type="dxa"/>
            <w:tcBorders>
              <w:top w:val="single" w:color="auto" w:sz="6" w:space="0"/>
              <w:left w:val="single" w:color="auto" w:sz="6" w:space="0"/>
              <w:bottom w:val="single" w:color="auto" w:sz="4" w:space="0"/>
              <w:right w:val="single" w:color="auto" w:sz="4" w:space="0"/>
            </w:tcBorders>
            <w:vAlign w:val="center"/>
          </w:tcPr>
          <w:p w14:paraId="1929747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14:paraId="737762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1" w:type="dxa"/>
            <w:vMerge w:val="continue"/>
            <w:tcBorders>
              <w:left w:val="single" w:color="auto" w:sz="4" w:space="0"/>
              <w:right w:val="single" w:color="auto" w:sz="6" w:space="0"/>
            </w:tcBorders>
            <w:vAlign w:val="center"/>
          </w:tcPr>
          <w:p w14:paraId="3EDA56BE">
            <w:pPr>
              <w:widowControl/>
              <w:adjustRightInd w:val="0"/>
              <w:snapToGrid w:val="0"/>
              <w:jc w:val="center"/>
              <w:rPr>
                <w:rFonts w:ascii="Times New Roman" w:hAnsi="Times New Roman" w:eastAsia="宋体" w:cs="Times New Roman"/>
                <w:kern w:val="0"/>
                <w:szCs w:val="21"/>
              </w:rPr>
            </w:pPr>
          </w:p>
        </w:tc>
        <w:tc>
          <w:tcPr>
            <w:tcW w:w="1012" w:type="dxa"/>
            <w:vMerge w:val="continue"/>
            <w:tcBorders>
              <w:left w:val="single" w:color="auto" w:sz="6" w:space="0"/>
              <w:right w:val="single" w:color="auto" w:sz="6" w:space="0"/>
            </w:tcBorders>
            <w:vAlign w:val="center"/>
          </w:tcPr>
          <w:p w14:paraId="6E25A0CF">
            <w:pPr>
              <w:widowControl/>
              <w:adjustRightInd w:val="0"/>
              <w:snapToGrid w:val="0"/>
              <w:jc w:val="center"/>
              <w:rPr>
                <w:rFonts w:ascii="Times New Roman" w:hAnsi="Times New Roman" w:eastAsia="宋体" w:cs="Times New Roman"/>
                <w:kern w:val="0"/>
                <w:szCs w:val="21"/>
              </w:rPr>
            </w:pPr>
          </w:p>
        </w:tc>
        <w:tc>
          <w:tcPr>
            <w:tcW w:w="1398" w:type="dxa"/>
            <w:vMerge w:val="continue"/>
            <w:tcBorders>
              <w:left w:val="single" w:color="auto" w:sz="6" w:space="0"/>
              <w:right w:val="single" w:color="auto" w:sz="6" w:space="0"/>
            </w:tcBorders>
            <w:vAlign w:val="center"/>
          </w:tcPr>
          <w:p w14:paraId="601A0D16">
            <w:pPr>
              <w:widowControl/>
              <w:adjustRightInd w:val="0"/>
              <w:snapToGrid w:val="0"/>
              <w:jc w:val="center"/>
              <w:rPr>
                <w:rFonts w:ascii="Times New Roman" w:hAnsi="Times New Roman" w:eastAsia="TimesNewRomanPSMT" w:cs="Times New Roman"/>
                <w:szCs w:val="21"/>
              </w:rPr>
            </w:pPr>
          </w:p>
        </w:tc>
        <w:tc>
          <w:tcPr>
            <w:tcW w:w="1418" w:type="dxa"/>
            <w:vMerge w:val="continue"/>
            <w:tcBorders>
              <w:left w:val="single" w:color="auto" w:sz="6" w:space="0"/>
              <w:right w:val="single" w:color="auto" w:sz="6" w:space="0"/>
            </w:tcBorders>
            <w:vAlign w:val="center"/>
          </w:tcPr>
          <w:p w14:paraId="326438F5">
            <w:pPr>
              <w:widowControl/>
              <w:adjustRightInd w:val="0"/>
              <w:snapToGrid w:val="0"/>
              <w:jc w:val="center"/>
              <w:rPr>
                <w:rFonts w:ascii="Times New Roman" w:hAnsi="Times New Roman" w:eastAsia="TimesNewRomanPSMT" w:cs="Times New Roman"/>
                <w:szCs w:val="21"/>
              </w:rPr>
            </w:pPr>
          </w:p>
        </w:tc>
        <w:tc>
          <w:tcPr>
            <w:tcW w:w="1275" w:type="dxa"/>
            <w:vMerge w:val="continue"/>
            <w:tcBorders>
              <w:left w:val="single" w:color="auto" w:sz="6" w:space="0"/>
              <w:right w:val="single" w:color="auto" w:sz="6" w:space="0"/>
            </w:tcBorders>
            <w:vAlign w:val="center"/>
          </w:tcPr>
          <w:p w14:paraId="61FD5503">
            <w:pPr>
              <w:widowControl/>
              <w:adjustRightInd w:val="0"/>
              <w:snapToGrid w:val="0"/>
              <w:jc w:val="center"/>
              <w:rPr>
                <w:rFonts w:ascii="Times New Roman" w:hAnsi="Times New Roman" w:eastAsia="宋体" w:cs="Times New Roman"/>
                <w:kern w:val="0"/>
                <w:szCs w:val="21"/>
              </w:rPr>
            </w:pPr>
          </w:p>
        </w:tc>
        <w:tc>
          <w:tcPr>
            <w:tcW w:w="1076" w:type="dxa"/>
            <w:vMerge w:val="continue"/>
            <w:tcBorders>
              <w:left w:val="single" w:color="auto" w:sz="6" w:space="0"/>
              <w:right w:val="single" w:color="auto" w:sz="6" w:space="0"/>
            </w:tcBorders>
            <w:vAlign w:val="center"/>
          </w:tcPr>
          <w:p w14:paraId="05017028">
            <w:pPr>
              <w:widowControl/>
              <w:adjustRightInd w:val="0"/>
              <w:snapToGrid w:val="0"/>
              <w:jc w:val="center"/>
              <w:rPr>
                <w:rFonts w:ascii="Times New Roman" w:hAnsi="Times New Roman" w:eastAsia="宋体" w:cs="Times New Roman"/>
                <w:kern w:val="0"/>
                <w:szCs w:val="21"/>
              </w:rPr>
            </w:pPr>
          </w:p>
        </w:tc>
        <w:tc>
          <w:tcPr>
            <w:tcW w:w="1569" w:type="dxa"/>
            <w:vMerge w:val="continue"/>
            <w:tcBorders>
              <w:left w:val="single" w:color="auto" w:sz="6" w:space="0"/>
              <w:right w:val="single" w:color="auto" w:sz="6" w:space="0"/>
            </w:tcBorders>
            <w:vAlign w:val="center"/>
          </w:tcPr>
          <w:p w14:paraId="20CB90D9">
            <w:pPr>
              <w:widowControl/>
              <w:adjustRightInd w:val="0"/>
              <w:snapToGrid w:val="0"/>
              <w:jc w:val="center"/>
              <w:rPr>
                <w:rFonts w:ascii="Times New Roman" w:hAnsi="Times New Roman" w:eastAsia="瀹嬩綋" w:cs="Times New Roman"/>
                <w:szCs w:val="21"/>
              </w:rPr>
            </w:pPr>
          </w:p>
        </w:tc>
        <w:tc>
          <w:tcPr>
            <w:tcW w:w="730" w:type="dxa"/>
            <w:vMerge w:val="continue"/>
            <w:tcBorders>
              <w:left w:val="single" w:color="auto" w:sz="6" w:space="0"/>
              <w:right w:val="single" w:color="auto" w:sz="6" w:space="0"/>
            </w:tcBorders>
            <w:vAlign w:val="center"/>
          </w:tcPr>
          <w:p w14:paraId="02CBEAD4">
            <w:pPr>
              <w:widowControl/>
              <w:adjustRightInd w:val="0"/>
              <w:snapToGrid w:val="0"/>
              <w:jc w:val="center"/>
              <w:rPr>
                <w:rFonts w:ascii="Times New Roman" w:hAnsi="Times New Roman" w:eastAsia="宋体" w:cs="Times New Roman"/>
                <w:kern w:val="0"/>
                <w:szCs w:val="21"/>
              </w:rPr>
            </w:pPr>
          </w:p>
        </w:tc>
        <w:tc>
          <w:tcPr>
            <w:tcW w:w="1093" w:type="dxa"/>
            <w:vMerge w:val="continue"/>
            <w:tcBorders>
              <w:left w:val="single" w:color="auto" w:sz="6" w:space="0"/>
              <w:right w:val="single" w:color="auto" w:sz="6" w:space="0"/>
            </w:tcBorders>
            <w:vAlign w:val="center"/>
          </w:tcPr>
          <w:p w14:paraId="465C0330">
            <w:pPr>
              <w:widowControl/>
              <w:adjustRightInd w:val="0"/>
              <w:snapToGrid w:val="0"/>
              <w:jc w:val="center"/>
              <w:rPr>
                <w:rFonts w:ascii="Times New Roman" w:hAnsi="Times New Roman" w:eastAsia="瀹嬩綋" w:cs="Times New Roman"/>
                <w:szCs w:val="21"/>
              </w:rPr>
            </w:pPr>
          </w:p>
        </w:tc>
        <w:tc>
          <w:tcPr>
            <w:tcW w:w="1558" w:type="dxa"/>
            <w:tcBorders>
              <w:top w:val="single" w:color="auto" w:sz="4" w:space="0"/>
              <w:left w:val="single" w:color="auto" w:sz="6" w:space="0"/>
              <w:bottom w:val="single" w:color="auto" w:sz="4" w:space="0"/>
              <w:right w:val="single" w:color="auto" w:sz="6" w:space="0"/>
            </w:tcBorders>
            <w:vAlign w:val="center"/>
          </w:tcPr>
          <w:p w14:paraId="53E75F4A">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COD</w:t>
            </w:r>
          </w:p>
        </w:tc>
        <w:tc>
          <w:tcPr>
            <w:tcW w:w="2400" w:type="dxa"/>
            <w:tcBorders>
              <w:top w:val="single" w:color="auto" w:sz="4" w:space="0"/>
              <w:left w:val="single" w:color="auto" w:sz="6" w:space="0"/>
              <w:bottom w:val="single" w:color="auto" w:sz="4" w:space="0"/>
              <w:right w:val="single" w:color="auto" w:sz="4" w:space="0"/>
            </w:tcBorders>
            <w:vAlign w:val="center"/>
          </w:tcPr>
          <w:p w14:paraId="7F967CE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40</w:t>
            </w:r>
          </w:p>
        </w:tc>
      </w:tr>
      <w:tr w14:paraId="578B94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1" w:type="dxa"/>
            <w:vMerge w:val="continue"/>
            <w:tcBorders>
              <w:left w:val="single" w:color="auto" w:sz="4" w:space="0"/>
              <w:right w:val="single" w:color="auto" w:sz="6" w:space="0"/>
            </w:tcBorders>
            <w:vAlign w:val="center"/>
          </w:tcPr>
          <w:p w14:paraId="6E3ED607">
            <w:pPr>
              <w:widowControl/>
              <w:adjustRightInd w:val="0"/>
              <w:snapToGrid w:val="0"/>
              <w:jc w:val="center"/>
              <w:rPr>
                <w:rFonts w:ascii="Times New Roman" w:hAnsi="Times New Roman" w:eastAsia="宋体" w:cs="Times New Roman"/>
                <w:kern w:val="0"/>
                <w:szCs w:val="21"/>
              </w:rPr>
            </w:pPr>
          </w:p>
        </w:tc>
        <w:tc>
          <w:tcPr>
            <w:tcW w:w="1012" w:type="dxa"/>
            <w:vMerge w:val="continue"/>
            <w:tcBorders>
              <w:left w:val="single" w:color="auto" w:sz="6" w:space="0"/>
              <w:right w:val="single" w:color="auto" w:sz="6" w:space="0"/>
            </w:tcBorders>
            <w:vAlign w:val="center"/>
          </w:tcPr>
          <w:p w14:paraId="368BFCD5">
            <w:pPr>
              <w:widowControl/>
              <w:adjustRightInd w:val="0"/>
              <w:snapToGrid w:val="0"/>
              <w:jc w:val="center"/>
              <w:rPr>
                <w:rFonts w:ascii="Times New Roman" w:hAnsi="Times New Roman" w:eastAsia="宋体" w:cs="Times New Roman"/>
                <w:kern w:val="0"/>
                <w:szCs w:val="21"/>
              </w:rPr>
            </w:pPr>
          </w:p>
        </w:tc>
        <w:tc>
          <w:tcPr>
            <w:tcW w:w="1398" w:type="dxa"/>
            <w:vMerge w:val="continue"/>
            <w:tcBorders>
              <w:left w:val="single" w:color="auto" w:sz="6" w:space="0"/>
              <w:right w:val="single" w:color="auto" w:sz="6" w:space="0"/>
            </w:tcBorders>
            <w:vAlign w:val="center"/>
          </w:tcPr>
          <w:p w14:paraId="602BF97B">
            <w:pPr>
              <w:widowControl/>
              <w:adjustRightInd w:val="0"/>
              <w:snapToGrid w:val="0"/>
              <w:jc w:val="center"/>
              <w:rPr>
                <w:rFonts w:ascii="Times New Roman" w:hAnsi="Times New Roman" w:eastAsia="TimesNewRomanPSMT" w:cs="Times New Roman"/>
                <w:szCs w:val="21"/>
              </w:rPr>
            </w:pPr>
          </w:p>
        </w:tc>
        <w:tc>
          <w:tcPr>
            <w:tcW w:w="1418" w:type="dxa"/>
            <w:vMerge w:val="continue"/>
            <w:tcBorders>
              <w:left w:val="single" w:color="auto" w:sz="6" w:space="0"/>
              <w:right w:val="single" w:color="auto" w:sz="6" w:space="0"/>
            </w:tcBorders>
            <w:vAlign w:val="center"/>
          </w:tcPr>
          <w:p w14:paraId="313A5FC4">
            <w:pPr>
              <w:widowControl/>
              <w:adjustRightInd w:val="0"/>
              <w:snapToGrid w:val="0"/>
              <w:jc w:val="center"/>
              <w:rPr>
                <w:rFonts w:ascii="Times New Roman" w:hAnsi="Times New Roman" w:eastAsia="TimesNewRomanPSMT" w:cs="Times New Roman"/>
                <w:szCs w:val="21"/>
              </w:rPr>
            </w:pPr>
          </w:p>
        </w:tc>
        <w:tc>
          <w:tcPr>
            <w:tcW w:w="1275" w:type="dxa"/>
            <w:vMerge w:val="continue"/>
            <w:tcBorders>
              <w:left w:val="single" w:color="auto" w:sz="6" w:space="0"/>
              <w:right w:val="single" w:color="auto" w:sz="6" w:space="0"/>
            </w:tcBorders>
            <w:vAlign w:val="center"/>
          </w:tcPr>
          <w:p w14:paraId="1B50882D">
            <w:pPr>
              <w:widowControl/>
              <w:adjustRightInd w:val="0"/>
              <w:snapToGrid w:val="0"/>
              <w:jc w:val="center"/>
              <w:rPr>
                <w:rFonts w:ascii="Times New Roman" w:hAnsi="Times New Roman" w:eastAsia="宋体" w:cs="Times New Roman"/>
                <w:kern w:val="0"/>
                <w:szCs w:val="21"/>
              </w:rPr>
            </w:pPr>
          </w:p>
        </w:tc>
        <w:tc>
          <w:tcPr>
            <w:tcW w:w="1076" w:type="dxa"/>
            <w:vMerge w:val="continue"/>
            <w:tcBorders>
              <w:left w:val="single" w:color="auto" w:sz="6" w:space="0"/>
              <w:right w:val="single" w:color="auto" w:sz="6" w:space="0"/>
            </w:tcBorders>
            <w:vAlign w:val="center"/>
          </w:tcPr>
          <w:p w14:paraId="0C34392C">
            <w:pPr>
              <w:widowControl/>
              <w:adjustRightInd w:val="0"/>
              <w:snapToGrid w:val="0"/>
              <w:jc w:val="center"/>
              <w:rPr>
                <w:rFonts w:ascii="Times New Roman" w:hAnsi="Times New Roman" w:eastAsia="宋体" w:cs="Times New Roman"/>
                <w:kern w:val="0"/>
                <w:szCs w:val="21"/>
              </w:rPr>
            </w:pPr>
          </w:p>
        </w:tc>
        <w:tc>
          <w:tcPr>
            <w:tcW w:w="1569" w:type="dxa"/>
            <w:vMerge w:val="continue"/>
            <w:tcBorders>
              <w:left w:val="single" w:color="auto" w:sz="6" w:space="0"/>
              <w:right w:val="single" w:color="auto" w:sz="6" w:space="0"/>
            </w:tcBorders>
            <w:vAlign w:val="center"/>
          </w:tcPr>
          <w:p w14:paraId="630897DF">
            <w:pPr>
              <w:widowControl/>
              <w:adjustRightInd w:val="0"/>
              <w:snapToGrid w:val="0"/>
              <w:jc w:val="center"/>
              <w:rPr>
                <w:rFonts w:ascii="Times New Roman" w:hAnsi="Times New Roman" w:eastAsia="瀹嬩綋" w:cs="Times New Roman"/>
                <w:szCs w:val="21"/>
              </w:rPr>
            </w:pPr>
          </w:p>
        </w:tc>
        <w:tc>
          <w:tcPr>
            <w:tcW w:w="730" w:type="dxa"/>
            <w:vMerge w:val="continue"/>
            <w:tcBorders>
              <w:left w:val="single" w:color="auto" w:sz="6" w:space="0"/>
              <w:right w:val="single" w:color="auto" w:sz="6" w:space="0"/>
            </w:tcBorders>
            <w:vAlign w:val="center"/>
          </w:tcPr>
          <w:p w14:paraId="3BFDACDE">
            <w:pPr>
              <w:widowControl/>
              <w:adjustRightInd w:val="0"/>
              <w:snapToGrid w:val="0"/>
              <w:jc w:val="center"/>
              <w:rPr>
                <w:rFonts w:ascii="Times New Roman" w:hAnsi="Times New Roman" w:eastAsia="宋体" w:cs="Times New Roman"/>
                <w:kern w:val="0"/>
                <w:szCs w:val="21"/>
              </w:rPr>
            </w:pPr>
          </w:p>
        </w:tc>
        <w:tc>
          <w:tcPr>
            <w:tcW w:w="1093" w:type="dxa"/>
            <w:vMerge w:val="continue"/>
            <w:tcBorders>
              <w:left w:val="single" w:color="auto" w:sz="6" w:space="0"/>
              <w:right w:val="single" w:color="auto" w:sz="6" w:space="0"/>
            </w:tcBorders>
            <w:vAlign w:val="center"/>
          </w:tcPr>
          <w:p w14:paraId="7E60A737">
            <w:pPr>
              <w:widowControl/>
              <w:adjustRightInd w:val="0"/>
              <w:snapToGrid w:val="0"/>
              <w:jc w:val="center"/>
              <w:rPr>
                <w:rFonts w:ascii="Times New Roman" w:hAnsi="Times New Roman" w:eastAsia="瀹嬩綋" w:cs="Times New Roman"/>
                <w:szCs w:val="21"/>
              </w:rPr>
            </w:pPr>
          </w:p>
        </w:tc>
        <w:tc>
          <w:tcPr>
            <w:tcW w:w="1558" w:type="dxa"/>
            <w:tcBorders>
              <w:top w:val="single" w:color="auto" w:sz="4" w:space="0"/>
              <w:left w:val="single" w:color="auto" w:sz="6" w:space="0"/>
              <w:bottom w:val="single" w:color="auto" w:sz="4" w:space="0"/>
              <w:right w:val="single" w:color="auto" w:sz="6" w:space="0"/>
            </w:tcBorders>
            <w:vAlign w:val="center"/>
          </w:tcPr>
          <w:p w14:paraId="4DF85A8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氨氮</w:t>
            </w:r>
          </w:p>
        </w:tc>
        <w:tc>
          <w:tcPr>
            <w:tcW w:w="2400" w:type="dxa"/>
            <w:tcBorders>
              <w:top w:val="single" w:color="auto" w:sz="4" w:space="0"/>
              <w:left w:val="single" w:color="auto" w:sz="6" w:space="0"/>
              <w:bottom w:val="single" w:color="auto" w:sz="4" w:space="0"/>
              <w:right w:val="single" w:color="auto" w:sz="4" w:space="0"/>
            </w:tcBorders>
            <w:vAlign w:val="center"/>
          </w:tcPr>
          <w:p w14:paraId="1CDF39F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r>
    </w:tbl>
    <w:p w14:paraId="5AF050DA">
      <w:pPr>
        <w:pStyle w:val="62"/>
        <w:jc w:val="left"/>
        <w:rPr>
          <w:rFonts w:ascii="Times New Roman" w:hAnsi="Times New Roman" w:eastAsia="宋体" w:cs="Times New Roman"/>
          <w:sz w:val="24"/>
          <w:szCs w:val="24"/>
        </w:rPr>
      </w:pPr>
    </w:p>
    <w:p w14:paraId="2519CFC6">
      <w:pPr>
        <w:pStyle w:val="62"/>
        <w:jc w:val="left"/>
        <w:rPr>
          <w:rFonts w:ascii="Times New Roman" w:hAnsi="Times New Roman" w:eastAsia="宋体" w:cs="Times New Roman"/>
          <w:sz w:val="24"/>
          <w:szCs w:val="24"/>
        </w:rPr>
      </w:pPr>
    </w:p>
    <w:p w14:paraId="6ABFFED4">
      <w:pPr>
        <w:pStyle w:val="62"/>
        <w:jc w:val="left"/>
        <w:rPr>
          <w:rFonts w:ascii="Times New Roman" w:hAnsi="Times New Roman" w:eastAsia="宋体" w:cs="Times New Roman"/>
          <w:sz w:val="24"/>
          <w:szCs w:val="24"/>
        </w:rPr>
        <w:sectPr>
          <w:headerReference r:id="rId17" w:type="default"/>
          <w:pgSz w:w="16838" w:h="11906" w:orient="landscape"/>
          <w:pgMar w:top="1800" w:right="1440" w:bottom="1800" w:left="1440" w:header="851" w:footer="992" w:gutter="0"/>
          <w:pgNumType w:fmt="decimal"/>
          <w:cols w:space="425" w:num="1"/>
          <w:docGrid w:type="lines" w:linePitch="312" w:charSpace="0"/>
        </w:sectPr>
      </w:pPr>
    </w:p>
    <w:p w14:paraId="5D067E4F">
      <w:pPr>
        <w:numPr>
          <w:ilvl w:val="0"/>
          <w:numId w:val="56"/>
        </w:numPr>
        <w:autoSpaceDE w:val="0"/>
        <w:autoSpaceDN w:val="0"/>
        <w:adjustRightInd w:val="0"/>
        <w:snapToGrid w:val="0"/>
        <w:jc w:val="center"/>
        <w:rPr>
          <w:rFonts w:ascii="Times New Roman" w:hAnsi="Times New Roman" w:eastAsia="宋体" w:cs="Times New Roman"/>
          <w:b/>
          <w:bCs/>
          <w:kern w:val="28"/>
          <w:szCs w:val="21"/>
        </w:rPr>
      </w:pPr>
      <w:r>
        <w:rPr>
          <w:b/>
          <w:bCs/>
        </w:rPr>
        <w:t xml:space="preserve"> </w:t>
      </w:r>
      <w:r>
        <w:rPr>
          <w:rFonts w:ascii="Times New Roman" w:hAnsi="Times New Roman" w:cs="Times New Roman"/>
          <w:b/>
          <w:bCs/>
          <w:kern w:val="28"/>
          <w:szCs w:val="21"/>
        </w:rPr>
        <w:t xml:space="preserve"> </w:t>
      </w:r>
      <w:r>
        <w:rPr>
          <w:rFonts w:ascii="Times New Roman" w:hAnsi="Times New Roman" w:eastAsia="宋体" w:cs="Times New Roman"/>
          <w:b/>
          <w:bCs/>
          <w:kern w:val="28"/>
          <w:szCs w:val="21"/>
        </w:rPr>
        <w:t xml:space="preserve"> 废水污染物排放执行标准表</w:t>
      </w:r>
    </w:p>
    <w:tbl>
      <w:tblPr>
        <w:tblStyle w:val="30"/>
        <w:tblW w:w="851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6"/>
        <w:gridCol w:w="891"/>
        <w:gridCol w:w="1308"/>
        <w:gridCol w:w="3552"/>
        <w:gridCol w:w="2105"/>
      </w:tblGrid>
      <w:tr w14:paraId="0B5499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56" w:type="dxa"/>
            <w:vMerge w:val="restart"/>
            <w:tcBorders>
              <w:top w:val="single" w:color="auto" w:sz="4" w:space="0"/>
              <w:left w:val="single" w:color="auto" w:sz="4" w:space="0"/>
              <w:bottom w:val="single" w:color="auto" w:sz="6" w:space="0"/>
              <w:right w:val="single" w:color="auto" w:sz="6" w:space="0"/>
            </w:tcBorders>
            <w:vAlign w:val="center"/>
          </w:tcPr>
          <w:p w14:paraId="406E1D0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891" w:type="dxa"/>
            <w:vMerge w:val="restart"/>
            <w:tcBorders>
              <w:top w:val="single" w:color="auto" w:sz="4" w:space="0"/>
              <w:left w:val="single" w:color="auto" w:sz="6" w:space="0"/>
              <w:bottom w:val="single" w:color="auto" w:sz="6" w:space="0"/>
              <w:right w:val="single" w:color="auto" w:sz="6" w:space="0"/>
            </w:tcBorders>
            <w:vAlign w:val="center"/>
          </w:tcPr>
          <w:p w14:paraId="45B81907">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排放口编号</w:t>
            </w:r>
          </w:p>
        </w:tc>
        <w:tc>
          <w:tcPr>
            <w:tcW w:w="1308" w:type="dxa"/>
            <w:vMerge w:val="restart"/>
            <w:tcBorders>
              <w:top w:val="single" w:color="auto" w:sz="4" w:space="0"/>
              <w:left w:val="single" w:color="auto" w:sz="6" w:space="0"/>
              <w:bottom w:val="single" w:color="auto" w:sz="6" w:space="0"/>
              <w:right w:val="single" w:color="auto" w:sz="6" w:space="0"/>
            </w:tcBorders>
            <w:vAlign w:val="center"/>
          </w:tcPr>
          <w:p w14:paraId="0454FC92">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污染物种类</w:t>
            </w:r>
          </w:p>
        </w:tc>
        <w:tc>
          <w:tcPr>
            <w:tcW w:w="5657" w:type="dxa"/>
            <w:gridSpan w:val="2"/>
            <w:tcBorders>
              <w:top w:val="single" w:color="auto" w:sz="4" w:space="0"/>
              <w:left w:val="single" w:color="auto" w:sz="6" w:space="0"/>
              <w:bottom w:val="single" w:color="auto" w:sz="6" w:space="0"/>
              <w:right w:val="single" w:color="auto" w:sz="4" w:space="0"/>
            </w:tcBorders>
            <w:vAlign w:val="center"/>
          </w:tcPr>
          <w:p w14:paraId="576BE05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国家或地方污染物排放标准及其他按规定商定的排放协议</w:t>
            </w:r>
          </w:p>
        </w:tc>
      </w:tr>
      <w:tr w14:paraId="5BD94C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56" w:type="dxa"/>
            <w:vMerge w:val="continue"/>
            <w:tcBorders>
              <w:top w:val="single" w:color="auto" w:sz="4" w:space="0"/>
              <w:left w:val="single" w:color="auto" w:sz="4" w:space="0"/>
              <w:bottom w:val="single" w:color="auto" w:sz="6" w:space="0"/>
              <w:right w:val="single" w:color="auto" w:sz="6" w:space="0"/>
            </w:tcBorders>
            <w:vAlign w:val="center"/>
          </w:tcPr>
          <w:p w14:paraId="271E7BB5">
            <w:pPr>
              <w:widowControl/>
              <w:jc w:val="left"/>
              <w:rPr>
                <w:rFonts w:ascii="Times New Roman" w:hAnsi="Times New Roman" w:eastAsia="宋体" w:cs="Times New Roman"/>
                <w:kern w:val="0"/>
                <w:szCs w:val="21"/>
              </w:rPr>
            </w:pPr>
          </w:p>
        </w:tc>
        <w:tc>
          <w:tcPr>
            <w:tcW w:w="891" w:type="dxa"/>
            <w:vMerge w:val="continue"/>
            <w:tcBorders>
              <w:top w:val="single" w:color="auto" w:sz="4" w:space="0"/>
              <w:left w:val="single" w:color="auto" w:sz="6" w:space="0"/>
              <w:bottom w:val="single" w:color="auto" w:sz="6" w:space="0"/>
              <w:right w:val="single" w:color="auto" w:sz="6" w:space="0"/>
            </w:tcBorders>
            <w:vAlign w:val="center"/>
          </w:tcPr>
          <w:p w14:paraId="40676197">
            <w:pPr>
              <w:widowControl/>
              <w:jc w:val="left"/>
              <w:rPr>
                <w:rFonts w:ascii="Times New Roman" w:hAnsi="Times New Roman" w:eastAsia="宋体" w:cs="Times New Roman"/>
                <w:kern w:val="0"/>
                <w:szCs w:val="21"/>
              </w:rPr>
            </w:pPr>
          </w:p>
        </w:tc>
        <w:tc>
          <w:tcPr>
            <w:tcW w:w="1308" w:type="dxa"/>
            <w:vMerge w:val="continue"/>
            <w:tcBorders>
              <w:top w:val="single" w:color="auto" w:sz="4" w:space="0"/>
              <w:left w:val="single" w:color="auto" w:sz="6" w:space="0"/>
              <w:bottom w:val="single" w:color="auto" w:sz="6" w:space="0"/>
              <w:right w:val="single" w:color="auto" w:sz="6" w:space="0"/>
            </w:tcBorders>
            <w:vAlign w:val="center"/>
          </w:tcPr>
          <w:p w14:paraId="3E355BFC">
            <w:pPr>
              <w:widowControl/>
              <w:jc w:val="left"/>
              <w:rPr>
                <w:rFonts w:ascii="Times New Roman" w:hAnsi="Times New Roman" w:eastAsia="宋体" w:cs="Times New Roman"/>
                <w:kern w:val="0"/>
                <w:szCs w:val="21"/>
              </w:rPr>
            </w:pPr>
          </w:p>
        </w:tc>
        <w:tc>
          <w:tcPr>
            <w:tcW w:w="3552" w:type="dxa"/>
            <w:tcBorders>
              <w:top w:val="single" w:color="auto" w:sz="6" w:space="0"/>
              <w:left w:val="single" w:color="auto" w:sz="6" w:space="0"/>
              <w:bottom w:val="single" w:color="auto" w:sz="6" w:space="0"/>
              <w:right w:val="single" w:color="auto" w:sz="6" w:space="0"/>
            </w:tcBorders>
            <w:vAlign w:val="center"/>
          </w:tcPr>
          <w:p w14:paraId="0FC7A7D2">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名称</w:t>
            </w:r>
          </w:p>
        </w:tc>
        <w:tc>
          <w:tcPr>
            <w:tcW w:w="2105" w:type="dxa"/>
            <w:tcBorders>
              <w:top w:val="single" w:color="auto" w:sz="6" w:space="0"/>
              <w:left w:val="single" w:color="auto" w:sz="6" w:space="0"/>
              <w:bottom w:val="single" w:color="auto" w:sz="6" w:space="0"/>
              <w:right w:val="single" w:color="auto" w:sz="4" w:space="0"/>
            </w:tcBorders>
            <w:vAlign w:val="center"/>
          </w:tcPr>
          <w:p w14:paraId="4C858C90">
            <w:pPr>
              <w:widowControl/>
              <w:adjustRightInd w:val="0"/>
              <w:snapToGrid w:val="0"/>
              <w:jc w:val="center"/>
              <w:rPr>
                <w:rFonts w:ascii="Times New Roman" w:hAnsi="Times New Roman" w:eastAsia="宋体" w:cs="Times New Roman"/>
                <w:b/>
                <w:bCs/>
                <w:kern w:val="0"/>
                <w:szCs w:val="21"/>
              </w:rPr>
            </w:pPr>
            <w:r>
              <w:rPr>
                <w:rFonts w:ascii="Times New Roman" w:hAnsi="Times New Roman" w:eastAsia="宋体" w:cs="Times New Roman"/>
                <w:kern w:val="0"/>
                <w:szCs w:val="21"/>
              </w:rPr>
              <w:t>浓度限值/（mg/L）</w:t>
            </w:r>
          </w:p>
        </w:tc>
      </w:tr>
      <w:tr w14:paraId="3E8E19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56" w:type="dxa"/>
            <w:tcBorders>
              <w:top w:val="single" w:color="auto" w:sz="6" w:space="0"/>
              <w:left w:val="single" w:color="auto" w:sz="4" w:space="0"/>
              <w:bottom w:val="single" w:color="auto" w:sz="6" w:space="0"/>
              <w:right w:val="single" w:color="auto" w:sz="6" w:space="0"/>
            </w:tcBorders>
            <w:vAlign w:val="center"/>
          </w:tcPr>
          <w:p w14:paraId="57F3B90B">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891" w:type="dxa"/>
            <w:vMerge w:val="restart"/>
            <w:tcBorders>
              <w:top w:val="single" w:color="auto" w:sz="6" w:space="0"/>
              <w:left w:val="single" w:color="auto" w:sz="6" w:space="0"/>
              <w:right w:val="single" w:color="auto" w:sz="6" w:space="0"/>
            </w:tcBorders>
            <w:vAlign w:val="center"/>
          </w:tcPr>
          <w:p w14:paraId="0CC5FCB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DW001</w:t>
            </w:r>
          </w:p>
        </w:tc>
        <w:tc>
          <w:tcPr>
            <w:tcW w:w="1308" w:type="dxa"/>
            <w:tcBorders>
              <w:top w:val="single" w:color="auto" w:sz="6" w:space="0"/>
              <w:left w:val="single" w:color="auto" w:sz="6" w:space="0"/>
              <w:bottom w:val="single" w:color="auto" w:sz="6" w:space="0"/>
              <w:right w:val="single" w:color="auto" w:sz="6" w:space="0"/>
            </w:tcBorders>
            <w:vAlign w:val="center"/>
          </w:tcPr>
          <w:p w14:paraId="7209B718">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pH值（无量纲）</w:t>
            </w:r>
          </w:p>
        </w:tc>
        <w:tc>
          <w:tcPr>
            <w:tcW w:w="3552" w:type="dxa"/>
            <w:vMerge w:val="restart"/>
            <w:tcBorders>
              <w:top w:val="single" w:color="auto" w:sz="6" w:space="0"/>
              <w:left w:val="single" w:color="auto" w:sz="6" w:space="0"/>
              <w:right w:val="single" w:color="auto" w:sz="6" w:space="0"/>
            </w:tcBorders>
            <w:vAlign w:val="center"/>
          </w:tcPr>
          <w:p w14:paraId="633B3E5D">
            <w:pPr>
              <w:widowControl/>
              <w:jc w:val="center"/>
              <w:textAlignment w:val="top"/>
              <w:rPr>
                <w:rFonts w:ascii="Times New Roman" w:hAnsi="Times New Roman" w:eastAsia="宋体" w:cs="Times New Roman"/>
                <w:kern w:val="0"/>
                <w:szCs w:val="21"/>
              </w:rPr>
            </w:pPr>
            <w:r>
              <w:rPr>
                <w:rFonts w:hint="eastAsia" w:ascii="Times New Roman" w:hAnsi="Times New Roman" w:eastAsia="宋体" w:cs="Times New Roman"/>
                <w:kern w:val="0"/>
                <w:szCs w:val="21"/>
              </w:rPr>
              <w:t>生活污水经化粪池处理、水帘废水经</w:t>
            </w:r>
            <w:r>
              <w:rPr>
                <w:rFonts w:ascii="Times New Roman" w:hAnsi="Times New Roman" w:eastAsia="宋体" w:cs="Times New Roman"/>
                <w:kern w:val="0"/>
                <w:szCs w:val="21"/>
              </w:rPr>
              <w:t>厂区污水站处理，满足接管标准后</w:t>
            </w:r>
            <w:r>
              <w:rPr>
                <w:rFonts w:hint="eastAsia" w:ascii="Times New Roman" w:hAnsi="Times New Roman" w:eastAsia="宋体" w:cs="Times New Roman"/>
                <w:kern w:val="0"/>
                <w:szCs w:val="21"/>
              </w:rPr>
              <w:t>一并</w:t>
            </w:r>
            <w:r>
              <w:rPr>
                <w:rFonts w:ascii="Times New Roman" w:hAnsi="Times New Roman" w:eastAsia="宋体" w:cs="Times New Roman"/>
                <w:kern w:val="0"/>
                <w:szCs w:val="21"/>
              </w:rPr>
              <w:t>排入</w:t>
            </w:r>
            <w:r>
              <w:rPr>
                <w:rFonts w:hint="eastAsia" w:ascii="Times New Roman" w:hAnsi="Times New Roman" w:eastAsia="宋体" w:cs="Times New Roman"/>
                <w:kern w:val="0"/>
                <w:szCs w:val="21"/>
              </w:rPr>
              <w:t>清丰中州水务有限公司第二污水处理厂</w:t>
            </w:r>
            <w:r>
              <w:rPr>
                <w:rFonts w:ascii="Times New Roman" w:hAnsi="Times New Roman" w:eastAsia="宋体" w:cs="Times New Roman"/>
                <w:kern w:val="0"/>
                <w:szCs w:val="21"/>
              </w:rPr>
              <w:t>集中处理，达标尾水排入</w:t>
            </w:r>
            <w:r>
              <w:rPr>
                <w:rFonts w:hint="eastAsia" w:ascii="Times New Roman" w:hAnsi="Times New Roman" w:eastAsia="宋体" w:cs="Times New Roman"/>
                <w:kern w:val="0"/>
                <w:szCs w:val="21"/>
              </w:rPr>
              <w:t>潴龙河</w:t>
            </w:r>
            <w:r>
              <w:rPr>
                <w:rFonts w:ascii="Times New Roman" w:hAnsi="Times New Roman" w:eastAsia="宋体" w:cs="Times New Roman"/>
                <w:kern w:val="0"/>
                <w:szCs w:val="21"/>
              </w:rPr>
              <w:t>。</w:t>
            </w:r>
          </w:p>
        </w:tc>
        <w:tc>
          <w:tcPr>
            <w:tcW w:w="2105" w:type="dxa"/>
            <w:tcBorders>
              <w:top w:val="single" w:color="auto" w:sz="6" w:space="0"/>
              <w:left w:val="single" w:color="auto" w:sz="6" w:space="0"/>
              <w:bottom w:val="single" w:color="auto" w:sz="6" w:space="0"/>
              <w:right w:val="single" w:color="auto" w:sz="4" w:space="0"/>
            </w:tcBorders>
            <w:vAlign w:val="center"/>
          </w:tcPr>
          <w:p w14:paraId="05977F6E">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6~9</w:t>
            </w:r>
          </w:p>
        </w:tc>
      </w:tr>
      <w:tr w14:paraId="72E7EB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56" w:type="dxa"/>
            <w:tcBorders>
              <w:top w:val="single" w:color="auto" w:sz="6" w:space="0"/>
              <w:left w:val="single" w:color="auto" w:sz="4" w:space="0"/>
              <w:bottom w:val="single" w:color="auto" w:sz="6" w:space="0"/>
              <w:right w:val="single" w:color="auto" w:sz="6" w:space="0"/>
            </w:tcBorders>
            <w:vAlign w:val="center"/>
          </w:tcPr>
          <w:p w14:paraId="143FB2B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891" w:type="dxa"/>
            <w:vMerge w:val="continue"/>
            <w:tcBorders>
              <w:left w:val="single" w:color="auto" w:sz="6" w:space="0"/>
              <w:right w:val="single" w:color="auto" w:sz="6" w:space="0"/>
            </w:tcBorders>
            <w:vAlign w:val="center"/>
          </w:tcPr>
          <w:p w14:paraId="4A6C8731">
            <w:pPr>
              <w:widowControl/>
              <w:adjustRightInd w:val="0"/>
              <w:snapToGrid w:val="0"/>
              <w:jc w:val="center"/>
              <w:rPr>
                <w:rFonts w:ascii="Times New Roman" w:hAnsi="Times New Roman" w:eastAsia="宋体" w:cs="Times New Roman"/>
                <w:kern w:val="0"/>
                <w:szCs w:val="21"/>
              </w:rPr>
            </w:pPr>
          </w:p>
        </w:tc>
        <w:tc>
          <w:tcPr>
            <w:tcW w:w="1308" w:type="dxa"/>
            <w:tcBorders>
              <w:top w:val="single" w:color="auto" w:sz="6" w:space="0"/>
              <w:left w:val="single" w:color="auto" w:sz="6" w:space="0"/>
              <w:bottom w:val="single" w:color="auto" w:sz="6" w:space="0"/>
              <w:right w:val="single" w:color="auto" w:sz="6" w:space="0"/>
            </w:tcBorders>
            <w:vAlign w:val="center"/>
          </w:tcPr>
          <w:p w14:paraId="46CE1868">
            <w:pPr>
              <w:pStyle w:val="39"/>
              <w:jc w:val="center"/>
              <w:rPr>
                <w:rFonts w:ascii="Times New Roman" w:hAnsi="Times New Roman" w:cs="Times New Roman"/>
                <w:color w:val="auto"/>
                <w:sz w:val="21"/>
                <w:szCs w:val="21"/>
                <w:lang w:bidi="ar"/>
              </w:rPr>
            </w:pPr>
            <w:r>
              <w:rPr>
                <w:rFonts w:hint="eastAsia" w:ascii="Times New Roman" w:hAnsi="Times New Roman" w:cs="Times New Roman"/>
                <w:color w:val="auto"/>
                <w:sz w:val="21"/>
                <w:szCs w:val="21"/>
              </w:rPr>
              <w:t>化学需氧量</w:t>
            </w:r>
          </w:p>
        </w:tc>
        <w:tc>
          <w:tcPr>
            <w:tcW w:w="3552" w:type="dxa"/>
            <w:vMerge w:val="continue"/>
            <w:tcBorders>
              <w:left w:val="single" w:color="auto" w:sz="6" w:space="0"/>
              <w:right w:val="single" w:color="auto" w:sz="6" w:space="0"/>
            </w:tcBorders>
            <w:vAlign w:val="center"/>
          </w:tcPr>
          <w:p w14:paraId="3254D92A">
            <w:pPr>
              <w:widowControl/>
              <w:jc w:val="center"/>
              <w:textAlignment w:val="top"/>
              <w:rPr>
                <w:rFonts w:ascii="Times New Roman" w:hAnsi="Times New Roman" w:eastAsia="宋体" w:cs="Times New Roman"/>
                <w:kern w:val="0"/>
                <w:szCs w:val="21"/>
              </w:rPr>
            </w:pPr>
          </w:p>
        </w:tc>
        <w:tc>
          <w:tcPr>
            <w:tcW w:w="2105" w:type="dxa"/>
            <w:tcBorders>
              <w:top w:val="single" w:color="auto" w:sz="6" w:space="0"/>
              <w:left w:val="single" w:color="auto" w:sz="6" w:space="0"/>
              <w:bottom w:val="single" w:color="auto" w:sz="6" w:space="0"/>
              <w:right w:val="single" w:color="auto" w:sz="4" w:space="0"/>
            </w:tcBorders>
            <w:vAlign w:val="center"/>
          </w:tcPr>
          <w:p w14:paraId="43E6FC8C">
            <w:pPr>
              <w:pStyle w:val="39"/>
              <w:jc w:val="center"/>
              <w:rPr>
                <w:rFonts w:ascii="Times New Roman" w:hAnsi="Times New Roman" w:cs="Times New Roman"/>
                <w:color w:val="auto"/>
                <w:sz w:val="21"/>
                <w:szCs w:val="21"/>
                <w:highlight w:val="yellow"/>
                <w:lang w:bidi="ar"/>
              </w:rPr>
            </w:pPr>
            <w:r>
              <w:rPr>
                <w:rFonts w:hint="eastAsia" w:ascii="Times New Roman" w:hAnsi="Times New Roman" w:cs="Times New Roman"/>
                <w:color w:val="auto"/>
                <w:sz w:val="21"/>
                <w:szCs w:val="21"/>
              </w:rPr>
              <w:t>3</w:t>
            </w:r>
            <w:r>
              <w:rPr>
                <w:rFonts w:ascii="Times New Roman" w:hAnsi="Times New Roman" w:cs="Times New Roman"/>
                <w:color w:val="auto"/>
                <w:sz w:val="21"/>
                <w:szCs w:val="21"/>
              </w:rPr>
              <w:t>50</w:t>
            </w:r>
          </w:p>
        </w:tc>
      </w:tr>
      <w:tr w14:paraId="03CCD5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6" w:type="dxa"/>
            <w:tcBorders>
              <w:top w:val="single" w:color="auto" w:sz="6" w:space="0"/>
              <w:left w:val="single" w:color="auto" w:sz="4" w:space="0"/>
              <w:bottom w:val="single" w:color="auto" w:sz="6" w:space="0"/>
              <w:right w:val="single" w:color="auto" w:sz="6" w:space="0"/>
            </w:tcBorders>
            <w:vAlign w:val="center"/>
          </w:tcPr>
          <w:p w14:paraId="0A856CB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891" w:type="dxa"/>
            <w:vMerge w:val="continue"/>
            <w:tcBorders>
              <w:left w:val="single" w:color="auto" w:sz="6" w:space="0"/>
              <w:right w:val="single" w:color="auto" w:sz="6" w:space="0"/>
            </w:tcBorders>
            <w:vAlign w:val="center"/>
          </w:tcPr>
          <w:p w14:paraId="0CFD9BA9">
            <w:pPr>
              <w:widowControl/>
              <w:jc w:val="left"/>
              <w:rPr>
                <w:rFonts w:ascii="Times New Roman" w:hAnsi="Times New Roman" w:eastAsia="宋体" w:cs="Times New Roman"/>
                <w:kern w:val="0"/>
                <w:szCs w:val="21"/>
              </w:rPr>
            </w:pPr>
          </w:p>
        </w:tc>
        <w:tc>
          <w:tcPr>
            <w:tcW w:w="1308" w:type="dxa"/>
            <w:tcBorders>
              <w:top w:val="single" w:color="auto" w:sz="6" w:space="0"/>
              <w:left w:val="single" w:color="auto" w:sz="6" w:space="0"/>
              <w:bottom w:val="single" w:color="auto" w:sz="6" w:space="0"/>
              <w:right w:val="single" w:color="auto" w:sz="6" w:space="0"/>
            </w:tcBorders>
            <w:vAlign w:val="center"/>
          </w:tcPr>
          <w:p w14:paraId="1531B46B">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氨氮</w:t>
            </w:r>
          </w:p>
        </w:tc>
        <w:tc>
          <w:tcPr>
            <w:tcW w:w="3552" w:type="dxa"/>
            <w:vMerge w:val="continue"/>
            <w:tcBorders>
              <w:left w:val="single" w:color="auto" w:sz="6" w:space="0"/>
              <w:right w:val="single" w:color="auto" w:sz="6" w:space="0"/>
            </w:tcBorders>
            <w:vAlign w:val="center"/>
          </w:tcPr>
          <w:p w14:paraId="11D16897">
            <w:pPr>
              <w:widowControl/>
              <w:jc w:val="center"/>
              <w:textAlignment w:val="top"/>
              <w:rPr>
                <w:rFonts w:ascii="Times New Roman" w:hAnsi="Times New Roman" w:eastAsia="宋体" w:cs="Times New Roman"/>
                <w:kern w:val="0"/>
                <w:szCs w:val="21"/>
              </w:rPr>
            </w:pPr>
          </w:p>
        </w:tc>
        <w:tc>
          <w:tcPr>
            <w:tcW w:w="2105" w:type="dxa"/>
            <w:tcBorders>
              <w:top w:val="single" w:color="auto" w:sz="6" w:space="0"/>
              <w:left w:val="single" w:color="auto" w:sz="6" w:space="0"/>
              <w:bottom w:val="single" w:color="auto" w:sz="6" w:space="0"/>
              <w:right w:val="single" w:color="auto" w:sz="4" w:space="0"/>
            </w:tcBorders>
            <w:vAlign w:val="center"/>
          </w:tcPr>
          <w:p w14:paraId="73CDDFB5">
            <w:pPr>
              <w:pStyle w:val="39"/>
              <w:jc w:val="center"/>
              <w:rPr>
                <w:rFonts w:ascii="Times New Roman" w:hAnsi="Times New Roman" w:cs="Times New Roman"/>
                <w:bCs/>
                <w:color w:val="auto"/>
                <w:sz w:val="21"/>
                <w:szCs w:val="21"/>
                <w:highlight w:val="yellow"/>
              </w:rPr>
            </w:pPr>
            <w:r>
              <w:rPr>
                <w:rFonts w:hint="eastAsia" w:ascii="Times New Roman" w:hAnsi="Times New Roman" w:cs="Times New Roman"/>
                <w:color w:val="auto"/>
                <w:sz w:val="21"/>
                <w:szCs w:val="21"/>
              </w:rPr>
              <w:t>30</w:t>
            </w:r>
          </w:p>
        </w:tc>
      </w:tr>
      <w:tr w14:paraId="689F0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6" w:type="dxa"/>
            <w:tcBorders>
              <w:top w:val="single" w:color="auto" w:sz="6" w:space="0"/>
              <w:left w:val="single" w:color="auto" w:sz="4" w:space="0"/>
              <w:bottom w:val="single" w:color="auto" w:sz="6" w:space="0"/>
              <w:right w:val="single" w:color="auto" w:sz="6" w:space="0"/>
            </w:tcBorders>
            <w:vAlign w:val="center"/>
          </w:tcPr>
          <w:p w14:paraId="33FB1F8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891" w:type="dxa"/>
            <w:vMerge w:val="continue"/>
            <w:tcBorders>
              <w:left w:val="single" w:color="auto" w:sz="6" w:space="0"/>
              <w:right w:val="single" w:color="auto" w:sz="6" w:space="0"/>
            </w:tcBorders>
            <w:vAlign w:val="center"/>
          </w:tcPr>
          <w:p w14:paraId="485D9810">
            <w:pPr>
              <w:widowControl/>
              <w:jc w:val="left"/>
              <w:rPr>
                <w:rFonts w:ascii="Times New Roman" w:hAnsi="Times New Roman" w:eastAsia="宋体" w:cs="Times New Roman"/>
                <w:kern w:val="0"/>
                <w:szCs w:val="21"/>
              </w:rPr>
            </w:pPr>
          </w:p>
        </w:tc>
        <w:tc>
          <w:tcPr>
            <w:tcW w:w="1308" w:type="dxa"/>
            <w:tcBorders>
              <w:top w:val="single" w:color="auto" w:sz="6" w:space="0"/>
              <w:left w:val="single" w:color="auto" w:sz="6" w:space="0"/>
              <w:bottom w:val="single" w:color="auto" w:sz="6" w:space="0"/>
              <w:right w:val="single" w:color="auto" w:sz="6" w:space="0"/>
            </w:tcBorders>
            <w:vAlign w:val="center"/>
          </w:tcPr>
          <w:p w14:paraId="4921F2B4">
            <w:pPr>
              <w:pStyle w:val="39"/>
              <w:jc w:val="center"/>
              <w:rPr>
                <w:rFonts w:ascii="Times New Roman" w:hAnsi="Times New Roman" w:cs="Times New Roman"/>
                <w:color w:val="auto"/>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3552" w:type="dxa"/>
            <w:vMerge w:val="continue"/>
            <w:tcBorders>
              <w:left w:val="single" w:color="auto" w:sz="6" w:space="0"/>
              <w:right w:val="single" w:color="auto" w:sz="6" w:space="0"/>
            </w:tcBorders>
            <w:vAlign w:val="center"/>
          </w:tcPr>
          <w:p w14:paraId="05F76121">
            <w:pPr>
              <w:widowControl/>
              <w:jc w:val="center"/>
              <w:textAlignment w:val="top"/>
              <w:rPr>
                <w:rFonts w:ascii="Times New Roman" w:hAnsi="Times New Roman" w:eastAsia="宋体" w:cs="Times New Roman"/>
                <w:kern w:val="0"/>
                <w:szCs w:val="21"/>
              </w:rPr>
            </w:pPr>
          </w:p>
        </w:tc>
        <w:tc>
          <w:tcPr>
            <w:tcW w:w="2105" w:type="dxa"/>
            <w:tcBorders>
              <w:top w:val="single" w:color="auto" w:sz="6" w:space="0"/>
              <w:left w:val="single" w:color="auto" w:sz="6" w:space="0"/>
              <w:bottom w:val="single" w:color="auto" w:sz="6" w:space="0"/>
              <w:right w:val="single" w:color="auto" w:sz="4" w:space="0"/>
            </w:tcBorders>
            <w:vAlign w:val="center"/>
          </w:tcPr>
          <w:p w14:paraId="118DAA2B">
            <w:pPr>
              <w:pStyle w:val="39"/>
              <w:jc w:val="center"/>
              <w:rPr>
                <w:rFonts w:ascii="Times New Roman" w:hAnsi="Times New Roman" w:cs="Times New Roman"/>
                <w:bCs/>
                <w:color w:val="auto"/>
                <w:sz w:val="21"/>
                <w:szCs w:val="21"/>
                <w:highlight w:val="yellow"/>
              </w:rPr>
            </w:pPr>
            <w:r>
              <w:rPr>
                <w:rFonts w:hint="eastAsia" w:ascii="Times New Roman" w:hAnsi="Times New Roman" w:cs="Times New Roman"/>
                <w:color w:val="auto"/>
                <w:sz w:val="21"/>
                <w:szCs w:val="21"/>
              </w:rPr>
              <w:t>170</w:t>
            </w:r>
          </w:p>
        </w:tc>
      </w:tr>
      <w:tr w14:paraId="3DE0F2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6" w:type="dxa"/>
            <w:tcBorders>
              <w:top w:val="single" w:color="auto" w:sz="6" w:space="0"/>
              <w:left w:val="single" w:color="auto" w:sz="4" w:space="0"/>
              <w:bottom w:val="single" w:color="auto" w:sz="6" w:space="0"/>
              <w:right w:val="single" w:color="auto" w:sz="6" w:space="0"/>
            </w:tcBorders>
            <w:vAlign w:val="center"/>
          </w:tcPr>
          <w:p w14:paraId="1E2D87AD">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891" w:type="dxa"/>
            <w:vMerge w:val="continue"/>
            <w:tcBorders>
              <w:left w:val="single" w:color="auto" w:sz="6" w:space="0"/>
              <w:right w:val="single" w:color="auto" w:sz="6" w:space="0"/>
            </w:tcBorders>
            <w:vAlign w:val="center"/>
          </w:tcPr>
          <w:p w14:paraId="1E434A64">
            <w:pPr>
              <w:widowControl/>
              <w:jc w:val="left"/>
              <w:rPr>
                <w:rFonts w:ascii="Times New Roman" w:hAnsi="Times New Roman" w:eastAsia="宋体" w:cs="Times New Roman"/>
                <w:kern w:val="0"/>
                <w:szCs w:val="21"/>
              </w:rPr>
            </w:pPr>
          </w:p>
        </w:tc>
        <w:tc>
          <w:tcPr>
            <w:tcW w:w="1308" w:type="dxa"/>
            <w:tcBorders>
              <w:top w:val="single" w:color="auto" w:sz="6" w:space="0"/>
              <w:left w:val="single" w:color="auto" w:sz="6" w:space="0"/>
              <w:bottom w:val="single" w:color="auto" w:sz="6" w:space="0"/>
              <w:right w:val="single" w:color="auto" w:sz="6" w:space="0"/>
            </w:tcBorders>
            <w:vAlign w:val="center"/>
          </w:tcPr>
          <w:p w14:paraId="686A222A">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SS</w:t>
            </w:r>
          </w:p>
        </w:tc>
        <w:tc>
          <w:tcPr>
            <w:tcW w:w="3552" w:type="dxa"/>
            <w:vMerge w:val="continue"/>
            <w:tcBorders>
              <w:left w:val="single" w:color="auto" w:sz="6" w:space="0"/>
              <w:right w:val="single" w:color="auto" w:sz="6" w:space="0"/>
            </w:tcBorders>
            <w:vAlign w:val="center"/>
          </w:tcPr>
          <w:p w14:paraId="13AA25F0">
            <w:pPr>
              <w:widowControl/>
              <w:jc w:val="center"/>
              <w:textAlignment w:val="top"/>
              <w:rPr>
                <w:rFonts w:ascii="Times New Roman" w:hAnsi="Times New Roman" w:eastAsia="宋体" w:cs="Times New Roman"/>
                <w:kern w:val="0"/>
                <w:szCs w:val="21"/>
              </w:rPr>
            </w:pPr>
          </w:p>
        </w:tc>
        <w:tc>
          <w:tcPr>
            <w:tcW w:w="2105" w:type="dxa"/>
            <w:tcBorders>
              <w:top w:val="single" w:color="auto" w:sz="6" w:space="0"/>
              <w:left w:val="single" w:color="auto" w:sz="6" w:space="0"/>
              <w:bottom w:val="single" w:color="auto" w:sz="6" w:space="0"/>
              <w:right w:val="single" w:color="auto" w:sz="4" w:space="0"/>
            </w:tcBorders>
            <w:vAlign w:val="center"/>
          </w:tcPr>
          <w:p w14:paraId="3DFC1D8F">
            <w:pPr>
              <w:pStyle w:val="39"/>
              <w:jc w:val="center"/>
              <w:rPr>
                <w:rFonts w:ascii="Times New Roman" w:hAnsi="Times New Roman" w:cs="Times New Roman"/>
                <w:bCs/>
                <w:color w:val="auto"/>
                <w:sz w:val="21"/>
                <w:szCs w:val="21"/>
                <w:highlight w:val="yellow"/>
              </w:rPr>
            </w:pPr>
            <w:r>
              <w:rPr>
                <w:rFonts w:hint="eastAsia" w:ascii="Times New Roman" w:hAnsi="Times New Roman" w:cs="Times New Roman"/>
                <w:color w:val="auto"/>
                <w:sz w:val="21"/>
                <w:szCs w:val="21"/>
              </w:rPr>
              <w:t>210</w:t>
            </w:r>
          </w:p>
        </w:tc>
      </w:tr>
      <w:tr w14:paraId="55E9AB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6" w:type="dxa"/>
            <w:tcBorders>
              <w:top w:val="single" w:color="auto" w:sz="6" w:space="0"/>
              <w:left w:val="single" w:color="auto" w:sz="4" w:space="0"/>
              <w:bottom w:val="single" w:color="auto" w:sz="6" w:space="0"/>
              <w:right w:val="single" w:color="auto" w:sz="6" w:space="0"/>
            </w:tcBorders>
            <w:vAlign w:val="center"/>
          </w:tcPr>
          <w:p w14:paraId="7A41591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891" w:type="dxa"/>
            <w:vMerge w:val="continue"/>
            <w:tcBorders>
              <w:left w:val="single" w:color="auto" w:sz="6" w:space="0"/>
              <w:right w:val="single" w:color="auto" w:sz="6" w:space="0"/>
            </w:tcBorders>
            <w:vAlign w:val="center"/>
          </w:tcPr>
          <w:p w14:paraId="0002D18E">
            <w:pPr>
              <w:widowControl/>
              <w:jc w:val="left"/>
              <w:rPr>
                <w:rFonts w:ascii="Times New Roman" w:hAnsi="Times New Roman" w:eastAsia="宋体" w:cs="Times New Roman"/>
                <w:kern w:val="0"/>
                <w:szCs w:val="21"/>
              </w:rPr>
            </w:pPr>
          </w:p>
        </w:tc>
        <w:tc>
          <w:tcPr>
            <w:tcW w:w="1308" w:type="dxa"/>
            <w:tcBorders>
              <w:top w:val="single" w:color="auto" w:sz="6" w:space="0"/>
              <w:left w:val="single" w:color="auto" w:sz="6" w:space="0"/>
              <w:bottom w:val="single" w:color="auto" w:sz="6" w:space="0"/>
              <w:right w:val="single" w:color="auto" w:sz="6" w:space="0"/>
            </w:tcBorders>
            <w:vAlign w:val="center"/>
          </w:tcPr>
          <w:p w14:paraId="71DB6F6E">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甲苯</w:t>
            </w:r>
          </w:p>
        </w:tc>
        <w:tc>
          <w:tcPr>
            <w:tcW w:w="3552" w:type="dxa"/>
            <w:vMerge w:val="continue"/>
            <w:tcBorders>
              <w:left w:val="single" w:color="auto" w:sz="6" w:space="0"/>
              <w:right w:val="single" w:color="auto" w:sz="6" w:space="0"/>
            </w:tcBorders>
            <w:vAlign w:val="center"/>
          </w:tcPr>
          <w:p w14:paraId="4426D18B">
            <w:pPr>
              <w:widowControl/>
              <w:jc w:val="center"/>
              <w:textAlignment w:val="top"/>
              <w:rPr>
                <w:rFonts w:ascii="Times New Roman" w:hAnsi="Times New Roman" w:eastAsia="宋体" w:cs="Times New Roman"/>
                <w:kern w:val="0"/>
                <w:szCs w:val="21"/>
              </w:rPr>
            </w:pPr>
          </w:p>
        </w:tc>
        <w:tc>
          <w:tcPr>
            <w:tcW w:w="2105" w:type="dxa"/>
            <w:tcBorders>
              <w:top w:val="single" w:color="auto" w:sz="6" w:space="0"/>
              <w:left w:val="single" w:color="auto" w:sz="6" w:space="0"/>
              <w:bottom w:val="single" w:color="auto" w:sz="6" w:space="0"/>
              <w:right w:val="single" w:color="auto" w:sz="4" w:space="0"/>
            </w:tcBorders>
            <w:vAlign w:val="center"/>
          </w:tcPr>
          <w:p w14:paraId="7C84142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r w14:paraId="64F16A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6" w:type="dxa"/>
            <w:tcBorders>
              <w:top w:val="single" w:color="auto" w:sz="6" w:space="0"/>
              <w:left w:val="single" w:color="auto" w:sz="4" w:space="0"/>
              <w:bottom w:val="single" w:color="auto" w:sz="6" w:space="0"/>
              <w:right w:val="single" w:color="auto" w:sz="6" w:space="0"/>
            </w:tcBorders>
            <w:vAlign w:val="center"/>
          </w:tcPr>
          <w:p w14:paraId="58C707D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w:t>
            </w:r>
          </w:p>
        </w:tc>
        <w:tc>
          <w:tcPr>
            <w:tcW w:w="891" w:type="dxa"/>
            <w:vMerge w:val="continue"/>
            <w:tcBorders>
              <w:left w:val="single" w:color="auto" w:sz="6" w:space="0"/>
              <w:right w:val="single" w:color="auto" w:sz="6" w:space="0"/>
            </w:tcBorders>
            <w:vAlign w:val="center"/>
          </w:tcPr>
          <w:p w14:paraId="34DF768B">
            <w:pPr>
              <w:widowControl/>
              <w:jc w:val="left"/>
              <w:rPr>
                <w:rFonts w:ascii="Times New Roman" w:hAnsi="Times New Roman" w:eastAsia="宋体" w:cs="Times New Roman"/>
                <w:kern w:val="0"/>
                <w:szCs w:val="21"/>
              </w:rPr>
            </w:pPr>
          </w:p>
        </w:tc>
        <w:tc>
          <w:tcPr>
            <w:tcW w:w="1308" w:type="dxa"/>
            <w:tcBorders>
              <w:top w:val="single" w:color="auto" w:sz="6" w:space="0"/>
              <w:left w:val="single" w:color="auto" w:sz="6" w:space="0"/>
              <w:bottom w:val="single" w:color="auto" w:sz="6" w:space="0"/>
              <w:right w:val="single" w:color="auto" w:sz="6" w:space="0"/>
            </w:tcBorders>
            <w:vAlign w:val="center"/>
          </w:tcPr>
          <w:p w14:paraId="658089F7">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二甲苯</w:t>
            </w:r>
          </w:p>
        </w:tc>
        <w:tc>
          <w:tcPr>
            <w:tcW w:w="3552" w:type="dxa"/>
            <w:vMerge w:val="continue"/>
            <w:tcBorders>
              <w:left w:val="single" w:color="auto" w:sz="6" w:space="0"/>
              <w:right w:val="single" w:color="auto" w:sz="6" w:space="0"/>
            </w:tcBorders>
            <w:vAlign w:val="center"/>
          </w:tcPr>
          <w:p w14:paraId="0689AEDA">
            <w:pPr>
              <w:widowControl/>
              <w:jc w:val="center"/>
              <w:textAlignment w:val="top"/>
              <w:rPr>
                <w:rFonts w:ascii="Times New Roman" w:hAnsi="Times New Roman" w:eastAsia="宋体" w:cs="Times New Roman"/>
                <w:kern w:val="0"/>
                <w:szCs w:val="21"/>
              </w:rPr>
            </w:pPr>
          </w:p>
        </w:tc>
        <w:tc>
          <w:tcPr>
            <w:tcW w:w="2105" w:type="dxa"/>
            <w:tcBorders>
              <w:top w:val="single" w:color="auto" w:sz="6" w:space="0"/>
              <w:left w:val="single" w:color="auto" w:sz="6" w:space="0"/>
              <w:bottom w:val="single" w:color="auto" w:sz="6" w:space="0"/>
              <w:right w:val="single" w:color="auto" w:sz="4" w:space="0"/>
            </w:tcBorders>
            <w:vAlign w:val="center"/>
          </w:tcPr>
          <w:p w14:paraId="1CC2DCD2">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bl>
    <w:p w14:paraId="74B6E02C">
      <w:pPr>
        <w:numPr>
          <w:ilvl w:val="0"/>
          <w:numId w:val="56"/>
        </w:numPr>
        <w:autoSpaceDE w:val="0"/>
        <w:autoSpaceDN w:val="0"/>
        <w:adjustRightInd w:val="0"/>
        <w:snapToGrid w:val="0"/>
        <w:jc w:val="center"/>
        <w:rPr>
          <w:rFonts w:ascii="Times New Roman" w:hAnsi="Times New Roman" w:eastAsia="宋体" w:cs="Times New Roman"/>
          <w:b/>
          <w:bCs/>
          <w:kern w:val="28"/>
          <w:szCs w:val="21"/>
        </w:rPr>
      </w:pPr>
      <w:r>
        <w:rPr>
          <w:b/>
          <w:bCs/>
        </w:rPr>
        <w:t xml:space="preserve"> </w:t>
      </w:r>
      <w:r>
        <w:rPr>
          <w:rFonts w:ascii="Times New Roman" w:hAnsi="Times New Roman" w:eastAsia="宋体" w:cs="Times New Roman"/>
          <w:b/>
          <w:bCs/>
          <w:kern w:val="28"/>
          <w:szCs w:val="21"/>
        </w:rPr>
        <w:t xml:space="preserve"> </w:t>
      </w:r>
      <w:r>
        <w:rPr>
          <w:rFonts w:hint="eastAsia" w:ascii="Times New Roman" w:hAnsi="Times New Roman" w:cs="Times New Roman"/>
          <w:b/>
          <w:bCs/>
          <w:kern w:val="28"/>
          <w:szCs w:val="21"/>
        </w:rPr>
        <w:t>本</w:t>
      </w:r>
      <w:r>
        <w:rPr>
          <w:rFonts w:ascii="Times New Roman" w:hAnsi="Times New Roman" w:cs="Times New Roman"/>
          <w:b/>
          <w:bCs/>
          <w:kern w:val="28"/>
          <w:szCs w:val="21"/>
        </w:rPr>
        <w:t>项目</w:t>
      </w:r>
      <w:r>
        <w:rPr>
          <w:rFonts w:ascii="Times New Roman" w:hAnsi="Times New Roman" w:eastAsia="宋体" w:cs="Times New Roman"/>
          <w:b/>
          <w:bCs/>
          <w:kern w:val="28"/>
          <w:szCs w:val="21"/>
        </w:rPr>
        <w:t>废水污染物排放信息表</w:t>
      </w:r>
    </w:p>
    <w:tbl>
      <w:tblPr>
        <w:tblStyle w:val="30"/>
        <w:tblW w:w="8512" w:type="dxa"/>
        <w:tblInd w:w="0" w:type="dxa"/>
        <w:tblLayout w:type="fixed"/>
        <w:tblCellMar>
          <w:top w:w="0" w:type="dxa"/>
          <w:left w:w="108" w:type="dxa"/>
          <w:bottom w:w="0" w:type="dxa"/>
          <w:right w:w="108" w:type="dxa"/>
        </w:tblCellMar>
      </w:tblPr>
      <w:tblGrid>
        <w:gridCol w:w="1061"/>
        <w:gridCol w:w="1478"/>
        <w:gridCol w:w="1701"/>
        <w:gridCol w:w="1432"/>
        <w:gridCol w:w="1424"/>
        <w:gridCol w:w="1416"/>
      </w:tblGrid>
      <w:tr w14:paraId="6548C59B">
        <w:tblPrEx>
          <w:tblCellMar>
            <w:top w:w="0" w:type="dxa"/>
            <w:left w:w="108" w:type="dxa"/>
            <w:bottom w:w="0" w:type="dxa"/>
            <w:right w:w="108" w:type="dxa"/>
          </w:tblCellMar>
        </w:tblPrEx>
        <w:trPr>
          <w:trHeight w:val="340" w:hRule="atLeast"/>
          <w:tblHeader/>
        </w:trPr>
        <w:tc>
          <w:tcPr>
            <w:tcW w:w="1061" w:type="dxa"/>
            <w:tcBorders>
              <w:top w:val="single" w:color="auto" w:sz="4" w:space="0"/>
              <w:left w:val="single" w:color="auto" w:sz="4" w:space="0"/>
              <w:bottom w:val="single" w:color="auto" w:sz="4" w:space="0"/>
              <w:right w:val="single" w:color="auto" w:sz="4" w:space="0"/>
            </w:tcBorders>
            <w:vAlign w:val="center"/>
          </w:tcPr>
          <w:p w14:paraId="02210981">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序号</w:t>
            </w:r>
          </w:p>
        </w:tc>
        <w:tc>
          <w:tcPr>
            <w:tcW w:w="1478" w:type="dxa"/>
            <w:tcBorders>
              <w:top w:val="single" w:color="auto" w:sz="4" w:space="0"/>
              <w:left w:val="single" w:color="auto" w:sz="4" w:space="0"/>
              <w:bottom w:val="single" w:color="auto" w:sz="4" w:space="0"/>
              <w:right w:val="single" w:color="auto" w:sz="4" w:space="0"/>
            </w:tcBorders>
            <w:vAlign w:val="center"/>
          </w:tcPr>
          <w:p w14:paraId="395587AA">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排放口编号</w:t>
            </w:r>
          </w:p>
        </w:tc>
        <w:tc>
          <w:tcPr>
            <w:tcW w:w="1701" w:type="dxa"/>
            <w:tcBorders>
              <w:top w:val="single" w:color="auto" w:sz="4" w:space="0"/>
              <w:left w:val="single" w:color="auto" w:sz="4" w:space="0"/>
              <w:bottom w:val="single" w:color="auto" w:sz="4" w:space="0"/>
              <w:right w:val="single" w:color="auto" w:sz="4" w:space="0"/>
            </w:tcBorders>
            <w:vAlign w:val="center"/>
          </w:tcPr>
          <w:p w14:paraId="518C037F">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污染物种类</w:t>
            </w:r>
          </w:p>
        </w:tc>
        <w:tc>
          <w:tcPr>
            <w:tcW w:w="1432" w:type="dxa"/>
            <w:tcBorders>
              <w:top w:val="single" w:color="auto" w:sz="4" w:space="0"/>
              <w:left w:val="single" w:color="auto" w:sz="4" w:space="0"/>
              <w:bottom w:val="single" w:color="auto" w:sz="4" w:space="0"/>
              <w:right w:val="single" w:color="auto" w:sz="4" w:space="0"/>
            </w:tcBorders>
            <w:vAlign w:val="center"/>
          </w:tcPr>
          <w:p w14:paraId="6FCE708C">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排放浓度/（mg/L）</w:t>
            </w:r>
          </w:p>
        </w:tc>
        <w:tc>
          <w:tcPr>
            <w:tcW w:w="1424" w:type="dxa"/>
            <w:tcBorders>
              <w:top w:val="single" w:color="auto" w:sz="4" w:space="0"/>
              <w:left w:val="single" w:color="auto" w:sz="4" w:space="0"/>
              <w:bottom w:val="single" w:color="auto" w:sz="4" w:space="0"/>
              <w:right w:val="single" w:color="auto" w:sz="4" w:space="0"/>
            </w:tcBorders>
            <w:vAlign w:val="center"/>
          </w:tcPr>
          <w:p w14:paraId="3A8F7D61">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日排放量/（kg/d）</w:t>
            </w:r>
          </w:p>
        </w:tc>
        <w:tc>
          <w:tcPr>
            <w:tcW w:w="1416" w:type="dxa"/>
            <w:tcBorders>
              <w:top w:val="single" w:color="auto" w:sz="4" w:space="0"/>
              <w:left w:val="single" w:color="auto" w:sz="4" w:space="0"/>
              <w:bottom w:val="single" w:color="auto" w:sz="4" w:space="0"/>
              <w:right w:val="single" w:color="auto" w:sz="4" w:space="0"/>
            </w:tcBorders>
            <w:vAlign w:val="center"/>
          </w:tcPr>
          <w:p w14:paraId="182700BA">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年排放量/（t/a）</w:t>
            </w:r>
          </w:p>
        </w:tc>
      </w:tr>
      <w:tr w14:paraId="25C9351C">
        <w:tblPrEx>
          <w:tblCellMar>
            <w:top w:w="0" w:type="dxa"/>
            <w:left w:w="108" w:type="dxa"/>
            <w:bottom w:w="0" w:type="dxa"/>
            <w:right w:w="108" w:type="dxa"/>
          </w:tblCellMar>
        </w:tblPrEx>
        <w:trPr>
          <w:trHeight w:val="340" w:hRule="atLeast"/>
        </w:trPr>
        <w:tc>
          <w:tcPr>
            <w:tcW w:w="1061" w:type="dxa"/>
            <w:tcBorders>
              <w:top w:val="single" w:color="auto" w:sz="4" w:space="0"/>
              <w:left w:val="single" w:color="auto" w:sz="4" w:space="0"/>
              <w:bottom w:val="single" w:color="auto" w:sz="4" w:space="0"/>
              <w:right w:val="single" w:color="auto" w:sz="4" w:space="0"/>
            </w:tcBorders>
            <w:vAlign w:val="center"/>
          </w:tcPr>
          <w:p w14:paraId="4B4FE91A">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w:t>
            </w:r>
          </w:p>
        </w:tc>
        <w:tc>
          <w:tcPr>
            <w:tcW w:w="1478" w:type="dxa"/>
            <w:vMerge w:val="restart"/>
            <w:tcBorders>
              <w:top w:val="single" w:color="auto" w:sz="4" w:space="0"/>
              <w:left w:val="single" w:color="auto" w:sz="4" w:space="0"/>
              <w:bottom w:val="single" w:color="auto" w:sz="4" w:space="0"/>
              <w:right w:val="single" w:color="auto" w:sz="4" w:space="0"/>
            </w:tcBorders>
            <w:vAlign w:val="center"/>
          </w:tcPr>
          <w:p w14:paraId="1D40BE71">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DW001</w:t>
            </w:r>
          </w:p>
        </w:tc>
        <w:tc>
          <w:tcPr>
            <w:tcW w:w="1701" w:type="dxa"/>
            <w:tcBorders>
              <w:top w:val="single" w:color="auto" w:sz="4" w:space="0"/>
              <w:left w:val="single" w:color="auto" w:sz="4" w:space="0"/>
              <w:bottom w:val="single" w:color="auto" w:sz="4" w:space="0"/>
              <w:right w:val="single" w:color="auto" w:sz="4" w:space="0"/>
            </w:tcBorders>
            <w:vAlign w:val="center"/>
          </w:tcPr>
          <w:p w14:paraId="511FCA28">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化学需氧量</w:t>
            </w:r>
          </w:p>
        </w:tc>
        <w:tc>
          <w:tcPr>
            <w:tcW w:w="1432" w:type="dxa"/>
            <w:tcBorders>
              <w:top w:val="single" w:color="auto" w:sz="4" w:space="0"/>
              <w:left w:val="single" w:color="auto" w:sz="4" w:space="0"/>
              <w:bottom w:val="single" w:color="auto" w:sz="4" w:space="0"/>
              <w:right w:val="single" w:color="auto" w:sz="4" w:space="0"/>
            </w:tcBorders>
            <w:vAlign w:val="center"/>
          </w:tcPr>
          <w:p w14:paraId="63185AD9">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265.63 </w:t>
            </w:r>
          </w:p>
        </w:tc>
        <w:tc>
          <w:tcPr>
            <w:tcW w:w="1424" w:type="dxa"/>
            <w:tcBorders>
              <w:top w:val="single" w:color="auto" w:sz="4" w:space="0"/>
              <w:left w:val="single" w:color="auto" w:sz="4" w:space="0"/>
              <w:bottom w:val="single" w:color="auto" w:sz="4" w:space="0"/>
              <w:right w:val="single" w:color="auto" w:sz="4" w:space="0"/>
            </w:tcBorders>
            <w:vAlign w:val="center"/>
          </w:tcPr>
          <w:p w14:paraId="172AFD5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1.365 </w:t>
            </w:r>
          </w:p>
        </w:tc>
        <w:tc>
          <w:tcPr>
            <w:tcW w:w="1416" w:type="dxa"/>
            <w:tcBorders>
              <w:top w:val="single" w:color="auto" w:sz="4" w:space="0"/>
              <w:left w:val="single" w:color="auto" w:sz="4" w:space="0"/>
              <w:bottom w:val="single" w:color="auto" w:sz="4" w:space="0"/>
              <w:right w:val="single" w:color="auto" w:sz="4" w:space="0"/>
            </w:tcBorders>
            <w:vAlign w:val="center"/>
          </w:tcPr>
          <w:p w14:paraId="2D5AFA0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0.4096</w:t>
            </w:r>
          </w:p>
        </w:tc>
      </w:tr>
      <w:tr w14:paraId="1E0E5069">
        <w:tblPrEx>
          <w:tblCellMar>
            <w:top w:w="0" w:type="dxa"/>
            <w:left w:w="108" w:type="dxa"/>
            <w:bottom w:w="0" w:type="dxa"/>
            <w:right w:w="108" w:type="dxa"/>
          </w:tblCellMar>
        </w:tblPrEx>
        <w:trPr>
          <w:trHeight w:val="340" w:hRule="atLeast"/>
        </w:trPr>
        <w:tc>
          <w:tcPr>
            <w:tcW w:w="1061" w:type="dxa"/>
            <w:tcBorders>
              <w:top w:val="single" w:color="auto" w:sz="4" w:space="0"/>
              <w:left w:val="single" w:color="auto" w:sz="4" w:space="0"/>
              <w:bottom w:val="single" w:color="auto" w:sz="4" w:space="0"/>
              <w:right w:val="single" w:color="auto" w:sz="4" w:space="0"/>
            </w:tcBorders>
            <w:vAlign w:val="center"/>
          </w:tcPr>
          <w:p w14:paraId="767BF9AD">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14:paraId="129E57A7">
            <w:pPr>
              <w:jc w:val="center"/>
              <w:rPr>
                <w:rFonts w:ascii="Times New Roman" w:hAnsi="Times New Roman" w:eastAsia="宋体" w:cs="Times New Roman"/>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677CEEFE">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氨氮</w:t>
            </w:r>
          </w:p>
        </w:tc>
        <w:tc>
          <w:tcPr>
            <w:tcW w:w="1432" w:type="dxa"/>
            <w:tcBorders>
              <w:top w:val="single" w:color="auto" w:sz="4" w:space="0"/>
              <w:left w:val="single" w:color="auto" w:sz="4" w:space="0"/>
              <w:bottom w:val="single" w:color="auto" w:sz="4" w:space="0"/>
              <w:right w:val="single" w:color="auto" w:sz="4" w:space="0"/>
            </w:tcBorders>
            <w:vAlign w:val="center"/>
          </w:tcPr>
          <w:p w14:paraId="0352A70A">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23.87 </w:t>
            </w:r>
          </w:p>
        </w:tc>
        <w:tc>
          <w:tcPr>
            <w:tcW w:w="1424" w:type="dxa"/>
            <w:tcBorders>
              <w:top w:val="single" w:color="auto" w:sz="4" w:space="0"/>
              <w:left w:val="single" w:color="auto" w:sz="4" w:space="0"/>
              <w:bottom w:val="single" w:color="auto" w:sz="4" w:space="0"/>
              <w:right w:val="single" w:color="auto" w:sz="4" w:space="0"/>
            </w:tcBorders>
            <w:vAlign w:val="center"/>
          </w:tcPr>
          <w:p w14:paraId="5373749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0.123 </w:t>
            </w:r>
          </w:p>
        </w:tc>
        <w:tc>
          <w:tcPr>
            <w:tcW w:w="1416" w:type="dxa"/>
            <w:tcBorders>
              <w:top w:val="single" w:color="auto" w:sz="4" w:space="0"/>
              <w:left w:val="single" w:color="auto" w:sz="4" w:space="0"/>
              <w:bottom w:val="single" w:color="auto" w:sz="4" w:space="0"/>
              <w:right w:val="single" w:color="auto" w:sz="4" w:space="0"/>
            </w:tcBorders>
            <w:vAlign w:val="center"/>
          </w:tcPr>
          <w:p w14:paraId="165F5973">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0.0368</w:t>
            </w:r>
          </w:p>
        </w:tc>
      </w:tr>
      <w:tr w14:paraId="5E9F2D58">
        <w:tblPrEx>
          <w:tblCellMar>
            <w:top w:w="0" w:type="dxa"/>
            <w:left w:w="108" w:type="dxa"/>
            <w:bottom w:w="0" w:type="dxa"/>
            <w:right w:w="108" w:type="dxa"/>
          </w:tblCellMar>
        </w:tblPrEx>
        <w:trPr>
          <w:trHeight w:val="340" w:hRule="atLeast"/>
        </w:trPr>
        <w:tc>
          <w:tcPr>
            <w:tcW w:w="1061" w:type="dxa"/>
            <w:tcBorders>
              <w:top w:val="single" w:color="auto" w:sz="4" w:space="0"/>
              <w:left w:val="single" w:color="auto" w:sz="4" w:space="0"/>
              <w:bottom w:val="single" w:color="auto" w:sz="4" w:space="0"/>
              <w:right w:val="single" w:color="auto" w:sz="4" w:space="0"/>
            </w:tcBorders>
            <w:vAlign w:val="center"/>
          </w:tcPr>
          <w:p w14:paraId="4635C517">
            <w:pPr>
              <w:widowControl/>
              <w:jc w:val="center"/>
              <w:textAlignment w:val="center"/>
              <w:rPr>
                <w:rFonts w:ascii="Times New Roman" w:hAnsi="Times New Roman" w:eastAsia="宋体" w:cs="Times New Roman"/>
                <w:kern w:val="0"/>
                <w:szCs w:val="21"/>
                <w:lang w:bidi="ar"/>
              </w:rPr>
            </w:pPr>
            <w:r>
              <w:rPr>
                <w:rFonts w:ascii="Times New Roman" w:hAnsi="Times New Roman" w:cs="Times New Roman"/>
                <w:kern w:val="0"/>
                <w:szCs w:val="21"/>
                <w:lang w:bidi="ar"/>
              </w:rPr>
              <w:t>3</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14:paraId="6197E56C">
            <w:pPr>
              <w:jc w:val="center"/>
              <w:rPr>
                <w:rFonts w:ascii="Times New Roman" w:hAnsi="Times New Roman" w:eastAsia="宋体" w:cs="Times New Roman"/>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41FCE6E3">
            <w:pPr>
              <w:pStyle w:val="39"/>
              <w:jc w:val="center"/>
              <w:rPr>
                <w:rFonts w:ascii="Times New Roman" w:hAnsi="Times New Roman" w:cs="Times New Roman"/>
                <w:color w:val="auto"/>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432" w:type="dxa"/>
            <w:tcBorders>
              <w:top w:val="single" w:color="auto" w:sz="4" w:space="0"/>
              <w:left w:val="single" w:color="auto" w:sz="4" w:space="0"/>
              <w:bottom w:val="single" w:color="auto" w:sz="4" w:space="0"/>
              <w:right w:val="single" w:color="auto" w:sz="4" w:space="0"/>
            </w:tcBorders>
            <w:vAlign w:val="center"/>
          </w:tcPr>
          <w:p w14:paraId="7AABE897">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103.89 </w:t>
            </w:r>
          </w:p>
        </w:tc>
        <w:tc>
          <w:tcPr>
            <w:tcW w:w="1424" w:type="dxa"/>
            <w:tcBorders>
              <w:top w:val="single" w:color="auto" w:sz="4" w:space="0"/>
              <w:left w:val="single" w:color="auto" w:sz="4" w:space="0"/>
              <w:bottom w:val="single" w:color="auto" w:sz="4" w:space="0"/>
              <w:right w:val="single" w:color="auto" w:sz="4" w:space="0"/>
            </w:tcBorders>
            <w:vAlign w:val="center"/>
          </w:tcPr>
          <w:p w14:paraId="7C950201">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0.534 </w:t>
            </w:r>
          </w:p>
        </w:tc>
        <w:tc>
          <w:tcPr>
            <w:tcW w:w="1416" w:type="dxa"/>
            <w:tcBorders>
              <w:top w:val="single" w:color="auto" w:sz="4" w:space="0"/>
              <w:left w:val="single" w:color="auto" w:sz="4" w:space="0"/>
              <w:bottom w:val="single" w:color="auto" w:sz="4" w:space="0"/>
              <w:right w:val="single" w:color="auto" w:sz="4" w:space="0"/>
            </w:tcBorders>
            <w:vAlign w:val="center"/>
          </w:tcPr>
          <w:p w14:paraId="7BCA6918">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0.1602</w:t>
            </w:r>
          </w:p>
        </w:tc>
      </w:tr>
      <w:tr w14:paraId="572B8980">
        <w:tblPrEx>
          <w:tblCellMar>
            <w:top w:w="0" w:type="dxa"/>
            <w:left w:w="108" w:type="dxa"/>
            <w:bottom w:w="0" w:type="dxa"/>
            <w:right w:w="108" w:type="dxa"/>
          </w:tblCellMar>
        </w:tblPrEx>
        <w:trPr>
          <w:trHeight w:val="364" w:hRule="atLeast"/>
        </w:trPr>
        <w:tc>
          <w:tcPr>
            <w:tcW w:w="1061" w:type="dxa"/>
            <w:tcBorders>
              <w:top w:val="single" w:color="auto" w:sz="4" w:space="0"/>
              <w:left w:val="single" w:color="auto" w:sz="4" w:space="0"/>
              <w:bottom w:val="single" w:color="auto" w:sz="4" w:space="0"/>
              <w:right w:val="single" w:color="auto" w:sz="4" w:space="0"/>
            </w:tcBorders>
            <w:vAlign w:val="center"/>
          </w:tcPr>
          <w:p w14:paraId="013CF0CF">
            <w:pPr>
              <w:widowControl/>
              <w:jc w:val="center"/>
              <w:textAlignment w:val="center"/>
              <w:rPr>
                <w:rFonts w:ascii="Times New Roman" w:hAnsi="Times New Roman" w:eastAsia="宋体" w:cs="Times New Roman"/>
                <w:kern w:val="0"/>
                <w:szCs w:val="21"/>
                <w:lang w:bidi="ar"/>
              </w:rPr>
            </w:pPr>
            <w:r>
              <w:rPr>
                <w:rFonts w:ascii="Times New Roman" w:hAnsi="Times New Roman" w:cs="Times New Roman"/>
                <w:kern w:val="0"/>
                <w:szCs w:val="21"/>
                <w:lang w:bidi="ar"/>
              </w:rPr>
              <w:t>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14:paraId="363E58FD">
            <w:pPr>
              <w:jc w:val="center"/>
              <w:rPr>
                <w:rFonts w:ascii="Times New Roman" w:hAnsi="Times New Roman" w:eastAsia="宋体" w:cs="Times New Roman"/>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484D7445">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SS</w:t>
            </w:r>
          </w:p>
        </w:tc>
        <w:tc>
          <w:tcPr>
            <w:tcW w:w="1432" w:type="dxa"/>
            <w:tcBorders>
              <w:top w:val="single" w:color="auto" w:sz="4" w:space="0"/>
              <w:left w:val="single" w:color="auto" w:sz="4" w:space="0"/>
              <w:bottom w:val="single" w:color="auto" w:sz="4" w:space="0"/>
              <w:right w:val="single" w:color="auto" w:sz="4" w:space="0"/>
            </w:tcBorders>
            <w:vAlign w:val="center"/>
          </w:tcPr>
          <w:p w14:paraId="7F3F1E7A">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128.47 </w:t>
            </w:r>
          </w:p>
        </w:tc>
        <w:tc>
          <w:tcPr>
            <w:tcW w:w="1424" w:type="dxa"/>
            <w:tcBorders>
              <w:top w:val="single" w:color="auto" w:sz="4" w:space="0"/>
              <w:left w:val="single" w:color="auto" w:sz="4" w:space="0"/>
              <w:bottom w:val="single" w:color="auto" w:sz="4" w:space="0"/>
              <w:right w:val="single" w:color="auto" w:sz="4" w:space="0"/>
            </w:tcBorders>
            <w:vAlign w:val="center"/>
          </w:tcPr>
          <w:p w14:paraId="5672EEF8">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0.660 </w:t>
            </w:r>
          </w:p>
        </w:tc>
        <w:tc>
          <w:tcPr>
            <w:tcW w:w="1416" w:type="dxa"/>
            <w:tcBorders>
              <w:top w:val="single" w:color="auto" w:sz="4" w:space="0"/>
              <w:left w:val="single" w:color="auto" w:sz="4" w:space="0"/>
              <w:bottom w:val="single" w:color="auto" w:sz="4" w:space="0"/>
              <w:right w:val="single" w:color="auto" w:sz="4" w:space="0"/>
            </w:tcBorders>
            <w:vAlign w:val="center"/>
          </w:tcPr>
          <w:p w14:paraId="0E3D549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0.1981</w:t>
            </w:r>
          </w:p>
        </w:tc>
      </w:tr>
      <w:tr w14:paraId="79C78DF4">
        <w:tblPrEx>
          <w:tblCellMar>
            <w:top w:w="0" w:type="dxa"/>
            <w:left w:w="108" w:type="dxa"/>
            <w:bottom w:w="0" w:type="dxa"/>
            <w:right w:w="108" w:type="dxa"/>
          </w:tblCellMar>
        </w:tblPrEx>
        <w:trPr>
          <w:trHeight w:val="364" w:hRule="atLeast"/>
        </w:trPr>
        <w:tc>
          <w:tcPr>
            <w:tcW w:w="1061" w:type="dxa"/>
            <w:tcBorders>
              <w:top w:val="single" w:color="auto" w:sz="4" w:space="0"/>
              <w:left w:val="single" w:color="auto" w:sz="4" w:space="0"/>
              <w:bottom w:val="single" w:color="auto" w:sz="4" w:space="0"/>
              <w:right w:val="single" w:color="auto" w:sz="4" w:space="0"/>
            </w:tcBorders>
            <w:vAlign w:val="center"/>
          </w:tcPr>
          <w:p w14:paraId="0C3AB242">
            <w:pPr>
              <w:widowControl/>
              <w:jc w:val="center"/>
              <w:textAlignment w:val="center"/>
              <w:rPr>
                <w:rFonts w:ascii="Times New Roman" w:hAnsi="Times New Roman" w:cs="Times New Roman"/>
                <w:kern w:val="0"/>
                <w:szCs w:val="21"/>
                <w:lang w:bidi="ar"/>
              </w:rPr>
            </w:pPr>
            <w:r>
              <w:rPr>
                <w:rFonts w:ascii="Times New Roman" w:hAnsi="Times New Roman" w:cs="Times New Roman"/>
                <w:kern w:val="0"/>
                <w:szCs w:val="21"/>
                <w:lang w:bidi="ar"/>
              </w:rPr>
              <w:t>5</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14:paraId="15054E52">
            <w:pPr>
              <w:jc w:val="center"/>
              <w:rPr>
                <w:rFonts w:ascii="Times New Roman" w:hAnsi="Times New Roman" w:eastAsia="宋体" w:cs="Times New Roman"/>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34388D6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甲苯</w:t>
            </w:r>
          </w:p>
        </w:tc>
        <w:tc>
          <w:tcPr>
            <w:tcW w:w="1432" w:type="dxa"/>
            <w:tcBorders>
              <w:top w:val="single" w:color="auto" w:sz="4" w:space="0"/>
              <w:left w:val="single" w:color="auto" w:sz="4" w:space="0"/>
              <w:bottom w:val="single" w:color="auto" w:sz="4" w:space="0"/>
              <w:right w:val="single" w:color="auto" w:sz="4" w:space="0"/>
            </w:tcBorders>
            <w:vAlign w:val="center"/>
          </w:tcPr>
          <w:p w14:paraId="10EDE14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0.0008 </w:t>
            </w:r>
          </w:p>
        </w:tc>
        <w:tc>
          <w:tcPr>
            <w:tcW w:w="1424" w:type="dxa"/>
            <w:tcBorders>
              <w:top w:val="single" w:color="auto" w:sz="4" w:space="0"/>
              <w:left w:val="single" w:color="auto" w:sz="4" w:space="0"/>
              <w:bottom w:val="single" w:color="auto" w:sz="4" w:space="0"/>
              <w:right w:val="single" w:color="auto" w:sz="4" w:space="0"/>
            </w:tcBorders>
            <w:vAlign w:val="center"/>
          </w:tcPr>
          <w:p w14:paraId="7AE587E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0.004 </w:t>
            </w:r>
            <w:r>
              <w:rPr>
                <w:rFonts w:ascii="Times New Roman" w:hAnsi="Times New Roman" w:cs="Times New Roman"/>
                <w:color w:val="auto"/>
                <w:sz w:val="21"/>
                <w:szCs w:val="21"/>
                <w:lang w:bidi="ar"/>
              </w:rPr>
              <w:t>g/d</w:t>
            </w:r>
          </w:p>
        </w:tc>
        <w:tc>
          <w:tcPr>
            <w:tcW w:w="1416" w:type="dxa"/>
            <w:tcBorders>
              <w:top w:val="single" w:color="auto" w:sz="4" w:space="0"/>
              <w:left w:val="single" w:color="auto" w:sz="4" w:space="0"/>
              <w:bottom w:val="single" w:color="auto" w:sz="4" w:space="0"/>
              <w:right w:val="single" w:color="auto" w:sz="4" w:space="0"/>
            </w:tcBorders>
            <w:vAlign w:val="center"/>
          </w:tcPr>
          <w:p w14:paraId="00C86D40">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cs="Times New Roman"/>
                <w:color w:val="auto"/>
                <w:szCs w:val="21"/>
              </w:rPr>
              <w:t>0.0012kg/a</w:t>
            </w:r>
          </w:p>
        </w:tc>
      </w:tr>
      <w:tr w14:paraId="58E8A32B">
        <w:tblPrEx>
          <w:tblCellMar>
            <w:top w:w="0" w:type="dxa"/>
            <w:left w:w="108" w:type="dxa"/>
            <w:bottom w:w="0" w:type="dxa"/>
            <w:right w:w="108" w:type="dxa"/>
          </w:tblCellMar>
        </w:tblPrEx>
        <w:trPr>
          <w:trHeight w:val="364" w:hRule="atLeast"/>
        </w:trPr>
        <w:tc>
          <w:tcPr>
            <w:tcW w:w="1061" w:type="dxa"/>
            <w:tcBorders>
              <w:top w:val="single" w:color="auto" w:sz="4" w:space="0"/>
              <w:left w:val="single" w:color="auto" w:sz="4" w:space="0"/>
              <w:bottom w:val="single" w:color="auto" w:sz="4" w:space="0"/>
              <w:right w:val="single" w:color="auto" w:sz="4" w:space="0"/>
            </w:tcBorders>
            <w:vAlign w:val="center"/>
          </w:tcPr>
          <w:p w14:paraId="61EF2ADA">
            <w:pPr>
              <w:widowControl/>
              <w:jc w:val="center"/>
              <w:textAlignment w:val="center"/>
              <w:rPr>
                <w:rFonts w:ascii="Times New Roman" w:hAnsi="Times New Roman" w:cs="Times New Roman"/>
                <w:kern w:val="0"/>
                <w:szCs w:val="21"/>
                <w:lang w:bidi="ar"/>
              </w:rPr>
            </w:pPr>
            <w:r>
              <w:rPr>
                <w:rFonts w:ascii="Times New Roman" w:hAnsi="Times New Roman" w:cs="Times New Roman"/>
                <w:kern w:val="0"/>
                <w:szCs w:val="21"/>
                <w:lang w:bidi="ar"/>
              </w:rPr>
              <w:t>6</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14:paraId="30122008">
            <w:pPr>
              <w:jc w:val="center"/>
              <w:rPr>
                <w:rFonts w:ascii="Times New Roman" w:hAnsi="Times New Roman" w:eastAsia="宋体" w:cs="Times New Roman"/>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677D4B4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二甲苯</w:t>
            </w:r>
          </w:p>
        </w:tc>
        <w:tc>
          <w:tcPr>
            <w:tcW w:w="1432" w:type="dxa"/>
            <w:tcBorders>
              <w:top w:val="single" w:color="auto" w:sz="4" w:space="0"/>
              <w:left w:val="single" w:color="auto" w:sz="4" w:space="0"/>
              <w:bottom w:val="single" w:color="auto" w:sz="4" w:space="0"/>
              <w:right w:val="single" w:color="auto" w:sz="4" w:space="0"/>
            </w:tcBorders>
            <w:vAlign w:val="center"/>
          </w:tcPr>
          <w:p w14:paraId="46CCC6B4">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0.0485 </w:t>
            </w:r>
          </w:p>
        </w:tc>
        <w:tc>
          <w:tcPr>
            <w:tcW w:w="1424" w:type="dxa"/>
            <w:tcBorders>
              <w:top w:val="single" w:color="auto" w:sz="4" w:space="0"/>
              <w:left w:val="single" w:color="auto" w:sz="4" w:space="0"/>
              <w:bottom w:val="single" w:color="auto" w:sz="4" w:space="0"/>
              <w:right w:val="single" w:color="auto" w:sz="4" w:space="0"/>
            </w:tcBorders>
            <w:vAlign w:val="center"/>
          </w:tcPr>
          <w:p w14:paraId="6F4BC0E5">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0.249 </w:t>
            </w:r>
            <w:r>
              <w:rPr>
                <w:rFonts w:ascii="Times New Roman" w:hAnsi="Times New Roman" w:cs="Times New Roman"/>
                <w:color w:val="auto"/>
                <w:sz w:val="21"/>
                <w:szCs w:val="21"/>
                <w:lang w:bidi="ar"/>
              </w:rPr>
              <w:t>g/d</w:t>
            </w:r>
          </w:p>
        </w:tc>
        <w:tc>
          <w:tcPr>
            <w:tcW w:w="1416" w:type="dxa"/>
            <w:tcBorders>
              <w:top w:val="single" w:color="auto" w:sz="4" w:space="0"/>
              <w:left w:val="single" w:color="auto" w:sz="4" w:space="0"/>
              <w:bottom w:val="single" w:color="auto" w:sz="4" w:space="0"/>
              <w:right w:val="single" w:color="auto" w:sz="4" w:space="0"/>
            </w:tcBorders>
            <w:vAlign w:val="center"/>
          </w:tcPr>
          <w:p w14:paraId="2EE93B83">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cs="Times New Roman"/>
                <w:color w:val="auto"/>
                <w:szCs w:val="21"/>
              </w:rPr>
              <w:t>0.0748kg/a</w:t>
            </w:r>
          </w:p>
        </w:tc>
      </w:tr>
      <w:tr w14:paraId="751AAF77">
        <w:tblPrEx>
          <w:tblCellMar>
            <w:top w:w="0" w:type="dxa"/>
            <w:left w:w="108" w:type="dxa"/>
            <w:bottom w:w="0" w:type="dxa"/>
            <w:right w:w="108" w:type="dxa"/>
          </w:tblCellMar>
        </w:tblPrEx>
        <w:trPr>
          <w:trHeight w:val="340" w:hRule="atLeast"/>
        </w:trPr>
        <w:tc>
          <w:tcPr>
            <w:tcW w:w="2539" w:type="dxa"/>
            <w:gridSpan w:val="2"/>
            <w:vMerge w:val="restart"/>
            <w:tcBorders>
              <w:top w:val="single" w:color="auto" w:sz="4" w:space="0"/>
              <w:left w:val="single" w:color="auto" w:sz="4" w:space="0"/>
              <w:bottom w:val="single" w:color="auto" w:sz="4" w:space="0"/>
              <w:right w:val="single" w:color="auto" w:sz="4" w:space="0"/>
            </w:tcBorders>
            <w:vAlign w:val="center"/>
          </w:tcPr>
          <w:p w14:paraId="054AAF03">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全厂排放口合计</w:t>
            </w:r>
          </w:p>
        </w:tc>
        <w:tc>
          <w:tcPr>
            <w:tcW w:w="4557" w:type="dxa"/>
            <w:gridSpan w:val="3"/>
            <w:tcBorders>
              <w:top w:val="single" w:color="auto" w:sz="4" w:space="0"/>
              <w:left w:val="single" w:color="auto" w:sz="4" w:space="0"/>
              <w:bottom w:val="single" w:color="auto" w:sz="4" w:space="0"/>
              <w:right w:val="single" w:color="auto" w:sz="4" w:space="0"/>
            </w:tcBorders>
            <w:vAlign w:val="center"/>
          </w:tcPr>
          <w:p w14:paraId="74F7D4F5">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化学需氧量</w:t>
            </w:r>
          </w:p>
        </w:tc>
        <w:tc>
          <w:tcPr>
            <w:tcW w:w="1416" w:type="dxa"/>
            <w:tcBorders>
              <w:top w:val="single" w:color="auto" w:sz="4" w:space="0"/>
              <w:left w:val="single" w:color="auto" w:sz="4" w:space="0"/>
              <w:bottom w:val="single" w:color="auto" w:sz="4" w:space="0"/>
              <w:right w:val="single" w:color="auto" w:sz="4" w:space="0"/>
            </w:tcBorders>
            <w:vAlign w:val="center"/>
          </w:tcPr>
          <w:p w14:paraId="276DFBD1">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0.4096</w:t>
            </w:r>
          </w:p>
        </w:tc>
      </w:tr>
      <w:tr w14:paraId="4C5587BC">
        <w:tblPrEx>
          <w:tblCellMar>
            <w:top w:w="0" w:type="dxa"/>
            <w:left w:w="108" w:type="dxa"/>
            <w:bottom w:w="0" w:type="dxa"/>
            <w:right w:w="108" w:type="dxa"/>
          </w:tblCellMar>
        </w:tblPrEx>
        <w:trPr>
          <w:trHeight w:val="340" w:hRule="atLeast"/>
        </w:trPr>
        <w:tc>
          <w:tcPr>
            <w:tcW w:w="2539" w:type="dxa"/>
            <w:gridSpan w:val="2"/>
            <w:vMerge w:val="continue"/>
            <w:tcBorders>
              <w:top w:val="single" w:color="auto" w:sz="4" w:space="0"/>
              <w:left w:val="single" w:color="auto" w:sz="4" w:space="0"/>
              <w:bottom w:val="single" w:color="auto" w:sz="4" w:space="0"/>
              <w:right w:val="single" w:color="auto" w:sz="4" w:space="0"/>
            </w:tcBorders>
            <w:vAlign w:val="center"/>
          </w:tcPr>
          <w:p w14:paraId="24BAB8F7">
            <w:pPr>
              <w:jc w:val="center"/>
              <w:rPr>
                <w:rFonts w:ascii="Times New Roman" w:hAnsi="Times New Roman" w:eastAsia="宋体" w:cs="Times New Roman"/>
                <w:szCs w:val="21"/>
              </w:rPr>
            </w:pPr>
          </w:p>
        </w:tc>
        <w:tc>
          <w:tcPr>
            <w:tcW w:w="4557" w:type="dxa"/>
            <w:gridSpan w:val="3"/>
            <w:tcBorders>
              <w:top w:val="single" w:color="auto" w:sz="4" w:space="0"/>
              <w:left w:val="single" w:color="auto" w:sz="4" w:space="0"/>
              <w:bottom w:val="single" w:color="auto" w:sz="4" w:space="0"/>
              <w:right w:val="single" w:color="auto" w:sz="4" w:space="0"/>
            </w:tcBorders>
            <w:vAlign w:val="center"/>
          </w:tcPr>
          <w:p w14:paraId="4C854A4E">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氨氮</w:t>
            </w:r>
          </w:p>
        </w:tc>
        <w:tc>
          <w:tcPr>
            <w:tcW w:w="1416" w:type="dxa"/>
            <w:tcBorders>
              <w:top w:val="single" w:color="auto" w:sz="4" w:space="0"/>
              <w:left w:val="single" w:color="auto" w:sz="4" w:space="0"/>
              <w:bottom w:val="single" w:color="auto" w:sz="4" w:space="0"/>
              <w:right w:val="single" w:color="auto" w:sz="4" w:space="0"/>
            </w:tcBorders>
            <w:vAlign w:val="center"/>
          </w:tcPr>
          <w:p w14:paraId="0469B09E">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0.0368</w:t>
            </w:r>
          </w:p>
        </w:tc>
      </w:tr>
      <w:tr w14:paraId="638B6C56">
        <w:tblPrEx>
          <w:tblCellMar>
            <w:top w:w="0" w:type="dxa"/>
            <w:left w:w="108" w:type="dxa"/>
            <w:bottom w:w="0" w:type="dxa"/>
            <w:right w:w="108" w:type="dxa"/>
          </w:tblCellMar>
        </w:tblPrEx>
        <w:trPr>
          <w:trHeight w:val="340" w:hRule="atLeast"/>
        </w:trPr>
        <w:tc>
          <w:tcPr>
            <w:tcW w:w="2539" w:type="dxa"/>
            <w:gridSpan w:val="2"/>
            <w:vMerge w:val="continue"/>
            <w:tcBorders>
              <w:top w:val="single" w:color="auto" w:sz="4" w:space="0"/>
              <w:left w:val="single" w:color="auto" w:sz="4" w:space="0"/>
              <w:bottom w:val="single" w:color="auto" w:sz="4" w:space="0"/>
              <w:right w:val="single" w:color="auto" w:sz="4" w:space="0"/>
            </w:tcBorders>
            <w:vAlign w:val="center"/>
          </w:tcPr>
          <w:p w14:paraId="2B4EE68C">
            <w:pPr>
              <w:jc w:val="center"/>
              <w:rPr>
                <w:rFonts w:ascii="Times New Roman" w:hAnsi="Times New Roman" w:eastAsia="宋体" w:cs="Times New Roman"/>
                <w:szCs w:val="21"/>
              </w:rPr>
            </w:pPr>
          </w:p>
        </w:tc>
        <w:tc>
          <w:tcPr>
            <w:tcW w:w="4557" w:type="dxa"/>
            <w:gridSpan w:val="3"/>
            <w:tcBorders>
              <w:top w:val="single" w:color="auto" w:sz="4" w:space="0"/>
              <w:left w:val="single" w:color="auto" w:sz="4" w:space="0"/>
              <w:bottom w:val="single" w:color="auto" w:sz="4" w:space="0"/>
              <w:right w:val="single" w:color="auto" w:sz="4" w:space="0"/>
            </w:tcBorders>
            <w:vAlign w:val="center"/>
          </w:tcPr>
          <w:p w14:paraId="14334D29">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BOD</w:t>
            </w:r>
            <w:r>
              <w:rPr>
                <w:rFonts w:ascii="Times New Roman" w:hAnsi="Times New Roman" w:cs="Times New Roman"/>
                <w:color w:val="auto"/>
                <w:sz w:val="21"/>
                <w:szCs w:val="21"/>
                <w:vertAlign w:val="subscript"/>
              </w:rPr>
              <w:t>5</w:t>
            </w:r>
          </w:p>
        </w:tc>
        <w:tc>
          <w:tcPr>
            <w:tcW w:w="1416" w:type="dxa"/>
            <w:tcBorders>
              <w:top w:val="single" w:color="auto" w:sz="4" w:space="0"/>
              <w:left w:val="single" w:color="auto" w:sz="4" w:space="0"/>
              <w:bottom w:val="single" w:color="auto" w:sz="4" w:space="0"/>
              <w:right w:val="single" w:color="auto" w:sz="4" w:space="0"/>
            </w:tcBorders>
            <w:vAlign w:val="center"/>
          </w:tcPr>
          <w:p w14:paraId="5A1BA5D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0.1602</w:t>
            </w:r>
          </w:p>
        </w:tc>
      </w:tr>
      <w:tr w14:paraId="3C59A194">
        <w:tblPrEx>
          <w:tblCellMar>
            <w:top w:w="0" w:type="dxa"/>
            <w:left w:w="108" w:type="dxa"/>
            <w:bottom w:w="0" w:type="dxa"/>
            <w:right w:w="108" w:type="dxa"/>
          </w:tblCellMar>
        </w:tblPrEx>
        <w:trPr>
          <w:trHeight w:val="340" w:hRule="atLeast"/>
        </w:trPr>
        <w:tc>
          <w:tcPr>
            <w:tcW w:w="2539" w:type="dxa"/>
            <w:gridSpan w:val="2"/>
            <w:vMerge w:val="continue"/>
            <w:tcBorders>
              <w:top w:val="single" w:color="auto" w:sz="4" w:space="0"/>
              <w:left w:val="single" w:color="auto" w:sz="4" w:space="0"/>
              <w:bottom w:val="single" w:color="auto" w:sz="4" w:space="0"/>
              <w:right w:val="single" w:color="auto" w:sz="4" w:space="0"/>
            </w:tcBorders>
            <w:vAlign w:val="center"/>
          </w:tcPr>
          <w:p w14:paraId="53E5E37B">
            <w:pPr>
              <w:jc w:val="center"/>
              <w:rPr>
                <w:rFonts w:ascii="Times New Roman" w:hAnsi="Times New Roman" w:eastAsia="宋体" w:cs="Times New Roman"/>
                <w:szCs w:val="21"/>
              </w:rPr>
            </w:pPr>
          </w:p>
        </w:tc>
        <w:tc>
          <w:tcPr>
            <w:tcW w:w="4557" w:type="dxa"/>
            <w:gridSpan w:val="3"/>
            <w:tcBorders>
              <w:top w:val="single" w:color="auto" w:sz="4" w:space="0"/>
              <w:left w:val="single" w:color="auto" w:sz="4" w:space="0"/>
              <w:bottom w:val="single" w:color="auto" w:sz="4" w:space="0"/>
              <w:right w:val="single" w:color="auto" w:sz="4" w:space="0"/>
            </w:tcBorders>
            <w:vAlign w:val="center"/>
          </w:tcPr>
          <w:p w14:paraId="2BD11703">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SS</w:t>
            </w:r>
          </w:p>
        </w:tc>
        <w:tc>
          <w:tcPr>
            <w:tcW w:w="1416" w:type="dxa"/>
            <w:tcBorders>
              <w:top w:val="single" w:color="auto" w:sz="4" w:space="0"/>
              <w:left w:val="single" w:color="auto" w:sz="4" w:space="0"/>
              <w:bottom w:val="single" w:color="auto" w:sz="4" w:space="0"/>
              <w:right w:val="single" w:color="auto" w:sz="4" w:space="0"/>
            </w:tcBorders>
            <w:vAlign w:val="center"/>
          </w:tcPr>
          <w:p w14:paraId="39CC6BAE">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0.1981</w:t>
            </w:r>
          </w:p>
        </w:tc>
      </w:tr>
      <w:tr w14:paraId="5EC1EEDA">
        <w:tblPrEx>
          <w:tblCellMar>
            <w:top w:w="0" w:type="dxa"/>
            <w:left w:w="108" w:type="dxa"/>
            <w:bottom w:w="0" w:type="dxa"/>
            <w:right w:w="108" w:type="dxa"/>
          </w:tblCellMar>
        </w:tblPrEx>
        <w:trPr>
          <w:trHeight w:val="340" w:hRule="atLeast"/>
        </w:trPr>
        <w:tc>
          <w:tcPr>
            <w:tcW w:w="2539" w:type="dxa"/>
            <w:gridSpan w:val="2"/>
            <w:vMerge w:val="continue"/>
            <w:tcBorders>
              <w:top w:val="single" w:color="auto" w:sz="4" w:space="0"/>
              <w:left w:val="single" w:color="auto" w:sz="4" w:space="0"/>
              <w:bottom w:val="single" w:color="auto" w:sz="4" w:space="0"/>
              <w:right w:val="single" w:color="auto" w:sz="4" w:space="0"/>
            </w:tcBorders>
            <w:vAlign w:val="center"/>
          </w:tcPr>
          <w:p w14:paraId="2432CA01">
            <w:pPr>
              <w:jc w:val="center"/>
              <w:rPr>
                <w:rFonts w:ascii="Times New Roman" w:hAnsi="Times New Roman" w:eastAsia="宋体" w:cs="Times New Roman"/>
                <w:szCs w:val="21"/>
              </w:rPr>
            </w:pPr>
          </w:p>
        </w:tc>
        <w:tc>
          <w:tcPr>
            <w:tcW w:w="4557" w:type="dxa"/>
            <w:gridSpan w:val="3"/>
            <w:tcBorders>
              <w:top w:val="single" w:color="auto" w:sz="4" w:space="0"/>
              <w:left w:val="single" w:color="auto" w:sz="4" w:space="0"/>
              <w:bottom w:val="single" w:color="auto" w:sz="4" w:space="0"/>
              <w:right w:val="single" w:color="auto" w:sz="4" w:space="0"/>
            </w:tcBorders>
            <w:vAlign w:val="center"/>
          </w:tcPr>
          <w:p w14:paraId="1EFD01A6">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甲苯</w:t>
            </w:r>
          </w:p>
        </w:tc>
        <w:tc>
          <w:tcPr>
            <w:tcW w:w="1416" w:type="dxa"/>
            <w:tcBorders>
              <w:top w:val="single" w:color="auto" w:sz="4" w:space="0"/>
              <w:left w:val="single" w:color="auto" w:sz="4" w:space="0"/>
              <w:bottom w:val="single" w:color="auto" w:sz="4" w:space="0"/>
              <w:right w:val="single" w:color="auto" w:sz="4" w:space="0"/>
            </w:tcBorders>
            <w:vAlign w:val="center"/>
          </w:tcPr>
          <w:p w14:paraId="05C02F1A">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cs="Times New Roman"/>
                <w:color w:val="auto"/>
                <w:szCs w:val="21"/>
              </w:rPr>
              <w:t>0.0012kg/a</w:t>
            </w:r>
          </w:p>
        </w:tc>
      </w:tr>
      <w:tr w14:paraId="31958A9D">
        <w:tblPrEx>
          <w:tblCellMar>
            <w:top w:w="0" w:type="dxa"/>
            <w:left w:w="108" w:type="dxa"/>
            <w:bottom w:w="0" w:type="dxa"/>
            <w:right w:w="108" w:type="dxa"/>
          </w:tblCellMar>
        </w:tblPrEx>
        <w:trPr>
          <w:trHeight w:val="340" w:hRule="atLeast"/>
        </w:trPr>
        <w:tc>
          <w:tcPr>
            <w:tcW w:w="2539" w:type="dxa"/>
            <w:gridSpan w:val="2"/>
            <w:vMerge w:val="continue"/>
            <w:tcBorders>
              <w:top w:val="single" w:color="auto" w:sz="4" w:space="0"/>
              <w:left w:val="single" w:color="auto" w:sz="4" w:space="0"/>
              <w:bottom w:val="single" w:color="auto" w:sz="4" w:space="0"/>
              <w:right w:val="single" w:color="auto" w:sz="4" w:space="0"/>
            </w:tcBorders>
            <w:vAlign w:val="center"/>
          </w:tcPr>
          <w:p w14:paraId="71A09B12">
            <w:pPr>
              <w:jc w:val="center"/>
              <w:rPr>
                <w:rFonts w:ascii="Times New Roman" w:hAnsi="Times New Roman" w:eastAsia="宋体" w:cs="Times New Roman"/>
                <w:szCs w:val="21"/>
              </w:rPr>
            </w:pPr>
          </w:p>
        </w:tc>
        <w:tc>
          <w:tcPr>
            <w:tcW w:w="4557" w:type="dxa"/>
            <w:gridSpan w:val="3"/>
            <w:tcBorders>
              <w:top w:val="single" w:color="auto" w:sz="4" w:space="0"/>
              <w:left w:val="single" w:color="auto" w:sz="4" w:space="0"/>
              <w:bottom w:val="single" w:color="auto" w:sz="4" w:space="0"/>
              <w:right w:val="single" w:color="auto" w:sz="4" w:space="0"/>
            </w:tcBorders>
            <w:vAlign w:val="center"/>
          </w:tcPr>
          <w:p w14:paraId="1945B481">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二甲苯</w:t>
            </w:r>
          </w:p>
        </w:tc>
        <w:tc>
          <w:tcPr>
            <w:tcW w:w="1416" w:type="dxa"/>
            <w:tcBorders>
              <w:top w:val="single" w:color="auto" w:sz="4" w:space="0"/>
              <w:left w:val="single" w:color="auto" w:sz="4" w:space="0"/>
              <w:bottom w:val="single" w:color="auto" w:sz="4" w:space="0"/>
              <w:right w:val="single" w:color="auto" w:sz="4" w:space="0"/>
            </w:tcBorders>
            <w:vAlign w:val="center"/>
          </w:tcPr>
          <w:p w14:paraId="6C8BD3A4">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cs="Times New Roman"/>
                <w:color w:val="auto"/>
                <w:szCs w:val="21"/>
              </w:rPr>
              <w:t>0.0748kg/a</w:t>
            </w:r>
          </w:p>
        </w:tc>
      </w:tr>
    </w:tbl>
    <w:p w14:paraId="697F5EFA">
      <w:pPr>
        <w:widowControl/>
        <w:tabs>
          <w:tab w:val="left" w:pos="1260"/>
        </w:tabs>
        <w:autoSpaceDE w:val="0"/>
        <w:autoSpaceDN w:val="0"/>
        <w:adjustRightIn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注：排放浓度、日排放量、年排放量均为企业总排口的量，日排放量为按全年3</w:t>
      </w:r>
      <w:r>
        <w:rPr>
          <w:rFonts w:hint="eastAsia" w:ascii="Times New Roman" w:hAnsi="Times New Roman" w:eastAsia="宋体" w:cs="Times New Roman"/>
          <w:kern w:val="0"/>
          <w:sz w:val="18"/>
          <w:szCs w:val="18"/>
        </w:rPr>
        <w:t>0</w:t>
      </w:r>
      <w:r>
        <w:rPr>
          <w:rFonts w:ascii="Times New Roman" w:hAnsi="Times New Roman" w:cs="Times New Roman"/>
          <w:kern w:val="0"/>
          <w:sz w:val="18"/>
          <w:szCs w:val="18"/>
        </w:rPr>
        <w:t>0</w:t>
      </w:r>
      <w:r>
        <w:rPr>
          <w:rFonts w:ascii="Times New Roman" w:hAnsi="Times New Roman" w:eastAsia="宋体" w:cs="Times New Roman"/>
          <w:kern w:val="0"/>
          <w:sz w:val="18"/>
          <w:szCs w:val="18"/>
        </w:rPr>
        <w:t>天计算的平均排放量。</w:t>
      </w:r>
    </w:p>
    <w:p w14:paraId="74D19442">
      <w:pPr>
        <w:keepNext/>
        <w:keepLines/>
        <w:numPr>
          <w:ilvl w:val="2"/>
          <w:numId w:val="54"/>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污水处理设施非正常工况影响分析</w:t>
      </w:r>
    </w:p>
    <w:p w14:paraId="688BECA2">
      <w:pPr>
        <w:spacing w:line="360" w:lineRule="auto"/>
        <w:ind w:firstLine="480" w:firstLineChars="200"/>
        <w:rPr>
          <w:rFonts w:ascii="Times New Roman" w:hAnsi="Times New Roman" w:eastAsia="宋体" w:cs="Times New Roman"/>
          <w:bCs/>
          <w:kern w:val="0"/>
          <w:sz w:val="24"/>
        </w:rPr>
      </w:pPr>
      <w:r>
        <w:rPr>
          <w:rFonts w:hint="eastAsia" w:ascii="宋体" w:hAnsi="宋体" w:eastAsia="宋体" w:cs="宋体"/>
          <w:sz w:val="24"/>
        </w:rPr>
        <w:t>生活污水经厂区内的化粪池处理、水帘废水经厂区污水站处理后，满足接管标准排入清丰中州水务有限公司第二污水处理厂进一步处理，达标尾水排入潴龙河。</w:t>
      </w:r>
    </w:p>
    <w:p w14:paraId="4C307FF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当污水处理站发生事故排放或运行管理不当可会对厂区内的污水处理系统和生产造成冲击，影响其正常运行。为降低上述事故排放对厂区生产的影响，建设单位需采取如下措施：</w:t>
      </w:r>
    </w:p>
    <w:p w14:paraId="4CE1EB05">
      <w:pPr>
        <w:widowControl/>
        <w:numPr>
          <w:ilvl w:val="0"/>
          <w:numId w:val="57"/>
        </w:num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厂区污水总排口设置切换阀，一旦发生污水事故排放，立即切换阀门，使事故排放废水进入厂区内的事故应急池；</w:t>
      </w:r>
    </w:p>
    <w:p w14:paraId="45B4FE19">
      <w:pPr>
        <w:widowControl/>
        <w:numPr>
          <w:ilvl w:val="0"/>
          <w:numId w:val="57"/>
        </w:num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本项目须设置有效容积不小于</w:t>
      </w:r>
      <w:r>
        <w:rPr>
          <w:rFonts w:hint="eastAsia" w:ascii="Times New Roman" w:hAnsi="Times New Roman" w:eastAsia="宋体" w:cs="Times New Roman"/>
          <w:sz w:val="24"/>
        </w:rPr>
        <w:t>30</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的事故应急池，并配套相应的厂区事故废水管网；</w:t>
      </w:r>
    </w:p>
    <w:p w14:paraId="2BC235D0">
      <w:pPr>
        <w:widowControl/>
        <w:numPr>
          <w:ilvl w:val="0"/>
          <w:numId w:val="57"/>
        </w:num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污水处理站一旦发生事故排放，全厂立即停产，并查明事故原因，待污水处理站恢复正常运营后方可正常生产；</w:t>
      </w:r>
    </w:p>
    <w:p w14:paraId="1AEE6348">
      <w:pPr>
        <w:widowControl/>
        <w:numPr>
          <w:ilvl w:val="0"/>
          <w:numId w:val="57"/>
        </w:num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待污水处理站正常运行后，事故应急池内的废水应逐步送至污水处理站进行预处理，确保不能对污水处理站造成负荷冲击。</w:t>
      </w:r>
    </w:p>
    <w:p w14:paraId="5D3CE531">
      <w:pPr>
        <w:numPr>
          <w:ilvl w:val="0"/>
          <w:numId w:val="56"/>
        </w:numPr>
        <w:autoSpaceDE w:val="0"/>
        <w:autoSpaceDN w:val="0"/>
        <w:adjustRightInd w:val="0"/>
        <w:snapToGrid w:val="0"/>
        <w:jc w:val="center"/>
        <w:rPr>
          <w:rFonts w:ascii="Times New Roman" w:hAnsi="Times New Roman" w:eastAsia="宋体" w:cs="Times New Roman"/>
          <w:b/>
          <w:szCs w:val="22"/>
        </w:rPr>
      </w:pPr>
      <w:r>
        <w:rPr>
          <w:b/>
          <w:bCs/>
        </w:rPr>
        <w:t xml:space="preserve">  </w:t>
      </w:r>
      <w:r>
        <w:rPr>
          <w:rFonts w:ascii="Times New Roman" w:hAnsi="Times New Roman" w:eastAsia="宋体" w:cs="Times New Roman"/>
          <w:b/>
          <w:szCs w:val="22"/>
        </w:rPr>
        <w:t>建设项目水环境影响评价自查表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75"/>
        <w:gridCol w:w="1642"/>
        <w:gridCol w:w="878"/>
        <w:gridCol w:w="291"/>
        <w:gridCol w:w="781"/>
        <w:gridCol w:w="610"/>
        <w:gridCol w:w="491"/>
        <w:gridCol w:w="300"/>
        <w:gridCol w:w="576"/>
        <w:gridCol w:w="435"/>
        <w:gridCol w:w="917"/>
      </w:tblGrid>
      <w:tr w14:paraId="554B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01" w:type="dxa"/>
            <w:gridSpan w:val="2"/>
            <w:tcBorders>
              <w:top w:val="single" w:color="auto" w:sz="4" w:space="0"/>
              <w:left w:val="single" w:color="auto" w:sz="4" w:space="0"/>
              <w:bottom w:val="single" w:color="auto" w:sz="4" w:space="0"/>
              <w:right w:val="single" w:color="auto" w:sz="4" w:space="0"/>
            </w:tcBorders>
            <w:vAlign w:val="center"/>
          </w:tcPr>
          <w:p w14:paraId="2B51B666">
            <w:pPr>
              <w:autoSpaceDE w:val="0"/>
              <w:autoSpaceDN w:val="0"/>
              <w:adjustRightInd w:val="0"/>
              <w:jc w:val="center"/>
              <w:rPr>
                <w:rFonts w:ascii="Times New Roman" w:hAnsi="Times New Roman" w:eastAsia="宋体" w:cs="Times New Roman"/>
                <w:bCs/>
                <w:kern w:val="0"/>
                <w:sz w:val="24"/>
              </w:rPr>
            </w:pPr>
            <w:r>
              <w:rPr>
                <w:rFonts w:ascii="Times New Roman" w:hAnsi="Times New Roman" w:eastAsia="宋体" w:cs="Times New Roman"/>
                <w:bCs/>
                <w:kern w:val="0"/>
                <w:szCs w:val="21"/>
              </w:rPr>
              <w:t>工作内容</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47010704">
            <w:pPr>
              <w:autoSpaceDE w:val="0"/>
              <w:autoSpaceDN w:val="0"/>
              <w:adjustRightInd w:val="0"/>
              <w:jc w:val="center"/>
              <w:rPr>
                <w:rFonts w:ascii="Times New Roman" w:hAnsi="Times New Roman" w:eastAsia="宋体" w:cs="Times New Roman"/>
                <w:bCs/>
                <w:kern w:val="0"/>
                <w:sz w:val="24"/>
              </w:rPr>
            </w:pPr>
            <w:r>
              <w:rPr>
                <w:rFonts w:ascii="Times New Roman" w:hAnsi="Times New Roman" w:eastAsia="宋体" w:cs="Times New Roman"/>
                <w:bCs/>
                <w:kern w:val="0"/>
                <w:szCs w:val="21"/>
              </w:rPr>
              <w:t>自查项目</w:t>
            </w:r>
          </w:p>
        </w:tc>
      </w:tr>
      <w:tr w14:paraId="0CAD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6CD4ED41">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影响识别</w:t>
            </w:r>
          </w:p>
        </w:tc>
        <w:tc>
          <w:tcPr>
            <w:tcW w:w="1175" w:type="dxa"/>
            <w:tcBorders>
              <w:top w:val="single" w:color="auto" w:sz="4" w:space="0"/>
              <w:left w:val="single" w:color="auto" w:sz="4" w:space="0"/>
              <w:bottom w:val="single" w:color="auto" w:sz="4" w:space="0"/>
              <w:right w:val="single" w:color="auto" w:sz="4" w:space="0"/>
            </w:tcBorders>
            <w:vAlign w:val="center"/>
          </w:tcPr>
          <w:p w14:paraId="5F8A6502">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影响类型</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7B8B8F66">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水污染影响型</w:t>
            </w:r>
            <w:r>
              <w:rPr>
                <w:rFonts w:hint="eastAsia" w:ascii="Times New Roman" w:hAnsi="Times New Roman" w:eastAsia="宋体" w:cs="Times New Roman"/>
                <w:kern w:val="0"/>
                <w:szCs w:val="21"/>
              </w:rPr>
              <w:sym w:font="Wingdings 2" w:char="0052"/>
            </w:r>
            <w:r>
              <w:rPr>
                <w:rFonts w:ascii="Times New Roman" w:hAnsi="Times New Roman" w:eastAsia="宋体" w:cs="Times New Roman"/>
                <w:kern w:val="0"/>
                <w:szCs w:val="21"/>
              </w:rPr>
              <w:t>；水文要素影响型□</w:t>
            </w:r>
          </w:p>
        </w:tc>
      </w:tr>
      <w:tr w14:paraId="7653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759D170">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7FC6C628">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水环境保护目标</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210CA038">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饮用水水源保护区□；饮用水取水口□；涉水的自然保护区□；重要湿地□；重点保护与珍稀水生生物的栖息地□；重要水生生物的自然产卵场及索饵场、越冬场和洄游通道、天然渔场等渔业水体□；涉水的风景名胜区□；其他</w:t>
            </w:r>
            <w:r>
              <w:rPr>
                <w:rFonts w:hint="eastAsia" w:ascii="Times New Roman" w:hAnsi="Times New Roman" w:eastAsia="宋体" w:cs="Times New Roman"/>
                <w:kern w:val="0"/>
                <w:szCs w:val="21"/>
              </w:rPr>
              <w:sym w:font="Wingdings 2" w:char="0052"/>
            </w:r>
          </w:p>
        </w:tc>
      </w:tr>
      <w:tr w14:paraId="352C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5B060FB">
            <w:pPr>
              <w:widowControl/>
              <w:jc w:val="left"/>
              <w:rPr>
                <w:rFonts w:ascii="Times New Roman" w:hAnsi="Times New Roman" w:eastAsia="宋体" w:cs="Times New Roman"/>
                <w:kern w:val="0"/>
                <w:szCs w:val="21"/>
              </w:rPr>
            </w:pPr>
          </w:p>
        </w:tc>
        <w:tc>
          <w:tcPr>
            <w:tcW w:w="1175" w:type="dxa"/>
            <w:vMerge w:val="restart"/>
            <w:tcBorders>
              <w:top w:val="single" w:color="auto" w:sz="4" w:space="0"/>
              <w:left w:val="single" w:color="auto" w:sz="4" w:space="0"/>
              <w:bottom w:val="single" w:color="auto" w:sz="4" w:space="0"/>
              <w:right w:val="single" w:color="auto" w:sz="4" w:space="0"/>
            </w:tcBorders>
            <w:vAlign w:val="center"/>
          </w:tcPr>
          <w:p w14:paraId="7783E93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影响途径</w:t>
            </w:r>
          </w:p>
        </w:tc>
        <w:tc>
          <w:tcPr>
            <w:tcW w:w="3592" w:type="dxa"/>
            <w:gridSpan w:val="4"/>
            <w:tcBorders>
              <w:top w:val="single" w:color="auto" w:sz="4" w:space="0"/>
              <w:left w:val="single" w:color="auto" w:sz="4" w:space="0"/>
              <w:bottom w:val="single" w:color="auto" w:sz="4" w:space="0"/>
              <w:right w:val="single" w:color="auto" w:sz="4" w:space="0"/>
            </w:tcBorders>
            <w:vAlign w:val="center"/>
          </w:tcPr>
          <w:p w14:paraId="30F75FC2">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水污染影响型</w:t>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1C63AA8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水文要素影响型</w:t>
            </w:r>
          </w:p>
        </w:tc>
      </w:tr>
      <w:tr w14:paraId="2EBB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34CD1B1">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72F30EF1">
            <w:pPr>
              <w:widowControl/>
              <w:jc w:val="left"/>
              <w:rPr>
                <w:rFonts w:ascii="Times New Roman" w:hAnsi="Times New Roman" w:eastAsia="宋体" w:cs="Times New Roman"/>
                <w:kern w:val="0"/>
                <w:szCs w:val="21"/>
              </w:rPr>
            </w:pPr>
          </w:p>
        </w:tc>
        <w:tc>
          <w:tcPr>
            <w:tcW w:w="3592" w:type="dxa"/>
            <w:gridSpan w:val="4"/>
            <w:tcBorders>
              <w:top w:val="single" w:color="auto" w:sz="4" w:space="0"/>
              <w:left w:val="single" w:color="auto" w:sz="4" w:space="0"/>
              <w:bottom w:val="single" w:color="auto" w:sz="4" w:space="0"/>
              <w:right w:val="single" w:color="auto" w:sz="4" w:space="0"/>
            </w:tcBorders>
            <w:vAlign w:val="center"/>
          </w:tcPr>
          <w:p w14:paraId="22F57632">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直接排放□；间接排放</w:t>
            </w:r>
            <w:r>
              <w:rPr>
                <w:rFonts w:hint="eastAsia" w:ascii="Times New Roman" w:hAnsi="Times New Roman" w:eastAsia="宋体" w:cs="Times New Roman"/>
                <w:kern w:val="0"/>
                <w:szCs w:val="21"/>
              </w:rPr>
              <w:sym w:font="Wingdings 2" w:char="0052"/>
            </w:r>
            <w:r>
              <w:rPr>
                <w:rFonts w:ascii="Times New Roman" w:hAnsi="Times New Roman" w:eastAsia="宋体" w:cs="Times New Roman"/>
                <w:kern w:val="0"/>
                <w:szCs w:val="21"/>
              </w:rPr>
              <w:t>；其他□</w:t>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2A2EFD02">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水温□；径流□；水域面积□</w:t>
            </w:r>
          </w:p>
        </w:tc>
      </w:tr>
      <w:tr w14:paraId="5BB1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3C2EA9F">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4C18D187">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影响因子</w:t>
            </w:r>
          </w:p>
        </w:tc>
        <w:tc>
          <w:tcPr>
            <w:tcW w:w="3592" w:type="dxa"/>
            <w:gridSpan w:val="4"/>
            <w:tcBorders>
              <w:top w:val="single" w:color="auto" w:sz="4" w:space="0"/>
              <w:left w:val="single" w:color="auto" w:sz="4" w:space="0"/>
              <w:bottom w:val="single" w:color="auto" w:sz="4" w:space="0"/>
              <w:right w:val="single" w:color="auto" w:sz="4" w:space="0"/>
            </w:tcBorders>
            <w:vAlign w:val="center"/>
          </w:tcPr>
          <w:p w14:paraId="2EB72B19">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持久性污染物□；有毒有害污染物□；非持久性污染物</w:t>
            </w:r>
            <w:r>
              <w:rPr>
                <w:rFonts w:hint="eastAsia" w:ascii="Times New Roman" w:hAnsi="Times New Roman" w:eastAsia="宋体" w:cs="Times New Roman"/>
                <w:kern w:val="0"/>
                <w:szCs w:val="21"/>
              </w:rPr>
              <w:sym w:font="Wingdings 2" w:char="0052"/>
            </w:r>
            <w:r>
              <w:rPr>
                <w:rFonts w:ascii="Times New Roman" w:hAnsi="Times New Roman" w:eastAsia="宋体" w:cs="Times New Roman"/>
                <w:kern w:val="0"/>
                <w:szCs w:val="21"/>
              </w:rPr>
              <w:t>；pH值□；热污染□；富营养化□；其他□</w:t>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6DDEC38F">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水温□；水位（水深）□；流速□；流量□；其他□</w:t>
            </w:r>
          </w:p>
        </w:tc>
      </w:tr>
      <w:tr w14:paraId="7F1C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gridSpan w:val="2"/>
            <w:vMerge w:val="restart"/>
            <w:tcBorders>
              <w:top w:val="single" w:color="auto" w:sz="4" w:space="0"/>
              <w:left w:val="single" w:color="auto" w:sz="4" w:space="0"/>
              <w:bottom w:val="single" w:color="auto" w:sz="4" w:space="0"/>
              <w:right w:val="single" w:color="auto" w:sz="4" w:space="0"/>
            </w:tcBorders>
            <w:vAlign w:val="center"/>
          </w:tcPr>
          <w:p w14:paraId="62E982C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评价等级</w:t>
            </w:r>
          </w:p>
        </w:tc>
        <w:tc>
          <w:tcPr>
            <w:tcW w:w="3592" w:type="dxa"/>
            <w:gridSpan w:val="4"/>
            <w:tcBorders>
              <w:top w:val="single" w:color="auto" w:sz="4" w:space="0"/>
              <w:left w:val="single" w:color="auto" w:sz="4" w:space="0"/>
              <w:bottom w:val="single" w:color="auto" w:sz="4" w:space="0"/>
              <w:right w:val="single" w:color="auto" w:sz="4" w:space="0"/>
            </w:tcBorders>
            <w:vAlign w:val="center"/>
          </w:tcPr>
          <w:p w14:paraId="320A280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水污染影响型</w:t>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5022EFC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水文要素影响型</w:t>
            </w:r>
          </w:p>
        </w:tc>
      </w:tr>
      <w:tr w14:paraId="06F5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gridSpan w:val="2"/>
            <w:vMerge w:val="continue"/>
            <w:tcBorders>
              <w:top w:val="single" w:color="auto" w:sz="4" w:space="0"/>
              <w:left w:val="single" w:color="auto" w:sz="4" w:space="0"/>
              <w:bottom w:val="single" w:color="auto" w:sz="4" w:space="0"/>
              <w:right w:val="single" w:color="auto" w:sz="4" w:space="0"/>
            </w:tcBorders>
            <w:vAlign w:val="center"/>
          </w:tcPr>
          <w:p w14:paraId="20DDA1BF">
            <w:pPr>
              <w:widowControl/>
              <w:jc w:val="left"/>
              <w:rPr>
                <w:rFonts w:ascii="Times New Roman" w:hAnsi="Times New Roman" w:eastAsia="宋体" w:cs="Times New Roman"/>
                <w:kern w:val="0"/>
                <w:szCs w:val="21"/>
              </w:rPr>
            </w:pPr>
          </w:p>
        </w:tc>
        <w:tc>
          <w:tcPr>
            <w:tcW w:w="3592" w:type="dxa"/>
            <w:gridSpan w:val="4"/>
            <w:tcBorders>
              <w:top w:val="single" w:color="auto" w:sz="4" w:space="0"/>
              <w:left w:val="single" w:color="auto" w:sz="4" w:space="0"/>
              <w:bottom w:val="single" w:color="auto" w:sz="4" w:space="0"/>
              <w:right w:val="single" w:color="auto" w:sz="4" w:space="0"/>
            </w:tcBorders>
            <w:vAlign w:val="center"/>
          </w:tcPr>
          <w:p w14:paraId="7A0152AB">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一级□；二级□；三级 A□；三级 B</w:t>
            </w:r>
            <w:r>
              <w:rPr>
                <w:rFonts w:hint="eastAsia" w:ascii="Times New Roman" w:hAnsi="Times New Roman" w:eastAsia="宋体" w:cs="Times New Roman"/>
                <w:kern w:val="0"/>
                <w:szCs w:val="21"/>
              </w:rPr>
              <w:sym w:font="Wingdings 2" w:char="0052"/>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3D7F6FB6">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一级□；二级□；三级□</w:t>
            </w:r>
          </w:p>
        </w:tc>
      </w:tr>
      <w:tr w14:paraId="53C6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09662437">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现状调查</w:t>
            </w:r>
          </w:p>
        </w:tc>
        <w:tc>
          <w:tcPr>
            <w:tcW w:w="1175" w:type="dxa"/>
            <w:vMerge w:val="restart"/>
            <w:tcBorders>
              <w:top w:val="single" w:color="auto" w:sz="4" w:space="0"/>
              <w:left w:val="single" w:color="auto" w:sz="4" w:space="0"/>
              <w:bottom w:val="single" w:color="auto" w:sz="4" w:space="0"/>
              <w:right w:val="single" w:color="auto" w:sz="4" w:space="0"/>
            </w:tcBorders>
            <w:vAlign w:val="center"/>
          </w:tcPr>
          <w:p w14:paraId="510CF576">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区域污染源</w:t>
            </w:r>
          </w:p>
        </w:tc>
        <w:tc>
          <w:tcPr>
            <w:tcW w:w="3592" w:type="dxa"/>
            <w:gridSpan w:val="4"/>
            <w:tcBorders>
              <w:top w:val="single" w:color="auto" w:sz="4" w:space="0"/>
              <w:left w:val="single" w:color="auto" w:sz="4" w:space="0"/>
              <w:bottom w:val="single" w:color="auto" w:sz="4" w:space="0"/>
              <w:right w:val="single" w:color="auto" w:sz="4" w:space="0"/>
            </w:tcBorders>
            <w:vAlign w:val="center"/>
          </w:tcPr>
          <w:p w14:paraId="078D4FF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调查项目</w:t>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0984B70D">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数据来源</w:t>
            </w:r>
          </w:p>
        </w:tc>
      </w:tr>
      <w:tr w14:paraId="465B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EF76E7A">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12DCCD83">
            <w:pPr>
              <w:widowControl/>
              <w:jc w:val="left"/>
              <w:rPr>
                <w:rFonts w:ascii="Times New Roman" w:hAnsi="Times New Roman" w:eastAsia="宋体" w:cs="Times New Roman"/>
                <w:kern w:val="0"/>
                <w:szCs w:val="21"/>
              </w:rPr>
            </w:pPr>
          </w:p>
        </w:tc>
        <w:tc>
          <w:tcPr>
            <w:tcW w:w="2520" w:type="dxa"/>
            <w:gridSpan w:val="2"/>
            <w:tcBorders>
              <w:top w:val="single" w:color="auto" w:sz="4" w:space="0"/>
              <w:left w:val="single" w:color="auto" w:sz="4" w:space="0"/>
              <w:bottom w:val="single" w:color="auto" w:sz="4" w:space="0"/>
              <w:right w:val="single" w:color="auto" w:sz="4" w:space="0"/>
            </w:tcBorders>
            <w:vAlign w:val="center"/>
          </w:tcPr>
          <w:p w14:paraId="067F7895">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已建□；在建□；拟建□；其他□</w:t>
            </w:r>
          </w:p>
        </w:tc>
        <w:tc>
          <w:tcPr>
            <w:tcW w:w="1072" w:type="dxa"/>
            <w:gridSpan w:val="2"/>
            <w:tcBorders>
              <w:top w:val="single" w:color="auto" w:sz="4" w:space="0"/>
              <w:left w:val="single" w:color="auto" w:sz="4" w:space="0"/>
              <w:bottom w:val="single" w:color="auto" w:sz="4" w:space="0"/>
              <w:right w:val="single" w:color="auto" w:sz="4" w:space="0"/>
            </w:tcBorders>
            <w:vAlign w:val="center"/>
          </w:tcPr>
          <w:p w14:paraId="3145BEC3">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拟替代的污染源□</w:t>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4898156D">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排污许可证□；环评□；环保验收□；既有实测□；现场监测□；入河排放口数据□；其他□</w:t>
            </w:r>
          </w:p>
        </w:tc>
      </w:tr>
      <w:tr w14:paraId="55C4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DE19EE5">
            <w:pPr>
              <w:widowControl/>
              <w:jc w:val="left"/>
              <w:rPr>
                <w:rFonts w:ascii="Times New Roman" w:hAnsi="Times New Roman" w:eastAsia="宋体" w:cs="Times New Roman"/>
                <w:kern w:val="0"/>
                <w:szCs w:val="21"/>
              </w:rPr>
            </w:pPr>
          </w:p>
        </w:tc>
        <w:tc>
          <w:tcPr>
            <w:tcW w:w="1175" w:type="dxa"/>
            <w:vMerge w:val="restart"/>
            <w:tcBorders>
              <w:top w:val="single" w:color="auto" w:sz="4" w:space="0"/>
              <w:left w:val="single" w:color="auto" w:sz="4" w:space="0"/>
              <w:bottom w:val="single" w:color="auto" w:sz="4" w:space="0"/>
              <w:right w:val="single" w:color="auto" w:sz="4" w:space="0"/>
            </w:tcBorders>
            <w:vAlign w:val="center"/>
          </w:tcPr>
          <w:p w14:paraId="0AC87433">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受影响水体水环境质量</w:t>
            </w:r>
          </w:p>
        </w:tc>
        <w:tc>
          <w:tcPr>
            <w:tcW w:w="3592" w:type="dxa"/>
            <w:gridSpan w:val="4"/>
            <w:tcBorders>
              <w:top w:val="single" w:color="auto" w:sz="4" w:space="0"/>
              <w:left w:val="single" w:color="auto" w:sz="4" w:space="0"/>
              <w:bottom w:val="single" w:color="auto" w:sz="4" w:space="0"/>
              <w:right w:val="single" w:color="auto" w:sz="4" w:space="0"/>
            </w:tcBorders>
            <w:vAlign w:val="center"/>
          </w:tcPr>
          <w:p w14:paraId="4481CEE1">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调查时期</w:t>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3E33AA86">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数据来源</w:t>
            </w:r>
          </w:p>
        </w:tc>
      </w:tr>
      <w:tr w14:paraId="7ADF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45A58DC">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65CDB510">
            <w:pPr>
              <w:widowControl/>
              <w:jc w:val="left"/>
              <w:rPr>
                <w:rFonts w:ascii="Times New Roman" w:hAnsi="Times New Roman" w:eastAsia="宋体" w:cs="Times New Roman"/>
                <w:kern w:val="0"/>
                <w:szCs w:val="21"/>
              </w:rPr>
            </w:pPr>
          </w:p>
        </w:tc>
        <w:tc>
          <w:tcPr>
            <w:tcW w:w="3592" w:type="dxa"/>
            <w:gridSpan w:val="4"/>
            <w:tcBorders>
              <w:top w:val="single" w:color="auto" w:sz="4" w:space="0"/>
              <w:left w:val="single" w:color="auto" w:sz="4" w:space="0"/>
              <w:bottom w:val="single" w:color="auto" w:sz="4" w:space="0"/>
              <w:right w:val="single" w:color="auto" w:sz="4" w:space="0"/>
            </w:tcBorders>
            <w:vAlign w:val="center"/>
          </w:tcPr>
          <w:p w14:paraId="0FBBB318">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丰水期</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；平水期□；枯水期</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；冰封期□</w:t>
            </w:r>
          </w:p>
          <w:p w14:paraId="575297B7">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春季</w:t>
            </w:r>
            <w:r>
              <w:rPr>
                <w:rFonts w:hint="eastAsia" w:ascii="Times New Roman" w:hAnsi="Times New Roman" w:eastAsia="宋体" w:cs="Times New Roman"/>
                <w:kern w:val="0"/>
                <w:szCs w:val="21"/>
              </w:rPr>
              <w:sym w:font="Wingdings 2" w:char="00A3"/>
            </w:r>
            <w:r>
              <w:rPr>
                <w:rFonts w:ascii="Times New Roman" w:hAnsi="Times New Roman" w:eastAsia="宋体" w:cs="Times New Roman"/>
                <w:kern w:val="0"/>
                <w:szCs w:val="21"/>
              </w:rPr>
              <w:t>；夏季</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；秋季</w:t>
            </w:r>
            <w:r>
              <w:rPr>
                <w:rFonts w:ascii="Times New Roman" w:hAnsi="Times New Roman" w:eastAsia="宋体" w:cs="Times New Roman"/>
                <w:kern w:val="0"/>
                <w:szCs w:val="21"/>
              </w:rPr>
              <w:sym w:font="Wingdings 2" w:char="F0A3"/>
            </w:r>
            <w:r>
              <w:rPr>
                <w:rFonts w:ascii="Times New Roman" w:hAnsi="Times New Roman" w:eastAsia="宋体" w:cs="Times New Roman"/>
                <w:kern w:val="0"/>
                <w:szCs w:val="21"/>
              </w:rPr>
              <w:t>；冬季</w:t>
            </w:r>
            <w:r>
              <w:rPr>
                <w:rFonts w:ascii="Times New Roman" w:hAnsi="Times New Roman" w:eastAsia="宋体" w:cs="Times New Roman"/>
                <w:kern w:val="0"/>
                <w:szCs w:val="21"/>
              </w:rPr>
              <w:sym w:font="Wingdings 2" w:char="00A3"/>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74D9447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生态环境保护主管部门</w:t>
            </w: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；补充监测</w:t>
            </w:r>
            <w:r>
              <w:rPr>
                <w:rFonts w:hint="eastAsia" w:ascii="Times New Roman" w:hAnsi="Times New Roman" w:eastAsia="宋体" w:cs="Times New Roman"/>
                <w:kern w:val="0"/>
                <w:szCs w:val="21"/>
              </w:rPr>
              <w:sym w:font="Wingdings 2" w:char="0052"/>
            </w:r>
            <w:r>
              <w:rPr>
                <w:rFonts w:ascii="Times New Roman" w:hAnsi="Times New Roman" w:eastAsia="宋体" w:cs="Times New Roman"/>
                <w:kern w:val="0"/>
                <w:szCs w:val="21"/>
              </w:rPr>
              <w:t>；其他□</w:t>
            </w:r>
          </w:p>
        </w:tc>
      </w:tr>
      <w:tr w14:paraId="3C2D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4F1E051">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10F9FE8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区域水资源开发利用状况</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0D8EF9C0">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未开发</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；开发量40%以下□；开发量40%以上□</w:t>
            </w:r>
          </w:p>
        </w:tc>
      </w:tr>
      <w:tr w14:paraId="03C6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6BCDB31">
            <w:pPr>
              <w:widowControl/>
              <w:jc w:val="left"/>
              <w:rPr>
                <w:rFonts w:ascii="Times New Roman" w:hAnsi="Times New Roman" w:eastAsia="宋体" w:cs="Times New Roman"/>
                <w:kern w:val="0"/>
                <w:szCs w:val="21"/>
              </w:rPr>
            </w:pPr>
          </w:p>
        </w:tc>
        <w:tc>
          <w:tcPr>
            <w:tcW w:w="1175" w:type="dxa"/>
            <w:vMerge w:val="restart"/>
            <w:tcBorders>
              <w:top w:val="single" w:color="auto" w:sz="4" w:space="0"/>
              <w:left w:val="single" w:color="auto" w:sz="4" w:space="0"/>
              <w:bottom w:val="single" w:color="auto" w:sz="4" w:space="0"/>
              <w:right w:val="single" w:color="auto" w:sz="4" w:space="0"/>
            </w:tcBorders>
            <w:vAlign w:val="center"/>
          </w:tcPr>
          <w:p w14:paraId="43CDA970">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水文情势调查</w:t>
            </w:r>
          </w:p>
        </w:tc>
        <w:tc>
          <w:tcPr>
            <w:tcW w:w="3592" w:type="dxa"/>
            <w:gridSpan w:val="4"/>
            <w:tcBorders>
              <w:top w:val="single" w:color="auto" w:sz="4" w:space="0"/>
              <w:left w:val="single" w:color="auto" w:sz="4" w:space="0"/>
              <w:bottom w:val="single" w:color="auto" w:sz="4" w:space="0"/>
              <w:right w:val="single" w:color="auto" w:sz="4" w:space="0"/>
            </w:tcBorders>
            <w:vAlign w:val="center"/>
          </w:tcPr>
          <w:p w14:paraId="759F789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调查时期</w:t>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13D35C92">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数据来源</w:t>
            </w:r>
          </w:p>
        </w:tc>
      </w:tr>
      <w:tr w14:paraId="2E44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06EDC3D">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385BC34D">
            <w:pPr>
              <w:widowControl/>
              <w:jc w:val="left"/>
              <w:rPr>
                <w:rFonts w:ascii="Times New Roman" w:hAnsi="Times New Roman" w:eastAsia="宋体" w:cs="Times New Roman"/>
                <w:kern w:val="0"/>
                <w:szCs w:val="21"/>
              </w:rPr>
            </w:pPr>
          </w:p>
        </w:tc>
        <w:tc>
          <w:tcPr>
            <w:tcW w:w="3592" w:type="dxa"/>
            <w:gridSpan w:val="4"/>
            <w:tcBorders>
              <w:top w:val="single" w:color="auto" w:sz="4" w:space="0"/>
              <w:left w:val="single" w:color="auto" w:sz="4" w:space="0"/>
              <w:bottom w:val="single" w:color="auto" w:sz="4" w:space="0"/>
              <w:right w:val="single" w:color="auto" w:sz="4" w:space="0"/>
            </w:tcBorders>
            <w:vAlign w:val="center"/>
          </w:tcPr>
          <w:p w14:paraId="54FBC8BB">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丰水期□；平水期□；枯水期□；冰封期□</w:t>
            </w:r>
          </w:p>
          <w:p w14:paraId="6813C633">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春季□；夏季□；秋季□；冬季□</w:t>
            </w:r>
          </w:p>
        </w:tc>
        <w:tc>
          <w:tcPr>
            <w:tcW w:w="3329" w:type="dxa"/>
            <w:gridSpan w:val="6"/>
            <w:tcBorders>
              <w:top w:val="single" w:color="auto" w:sz="4" w:space="0"/>
              <w:left w:val="single" w:color="auto" w:sz="4" w:space="0"/>
              <w:bottom w:val="single" w:color="auto" w:sz="4" w:space="0"/>
              <w:right w:val="single" w:color="auto" w:sz="4" w:space="0"/>
            </w:tcBorders>
            <w:vAlign w:val="center"/>
          </w:tcPr>
          <w:p w14:paraId="14A631A3">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水行政主管部门□；补充监测□；其他□</w:t>
            </w:r>
          </w:p>
        </w:tc>
      </w:tr>
      <w:tr w14:paraId="7F02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3A22E34">
            <w:pPr>
              <w:widowControl/>
              <w:jc w:val="left"/>
              <w:rPr>
                <w:rFonts w:ascii="Times New Roman" w:hAnsi="Times New Roman" w:eastAsia="宋体" w:cs="Times New Roman"/>
                <w:kern w:val="0"/>
                <w:szCs w:val="21"/>
              </w:rPr>
            </w:pPr>
          </w:p>
        </w:tc>
        <w:tc>
          <w:tcPr>
            <w:tcW w:w="1175" w:type="dxa"/>
            <w:vMerge w:val="restart"/>
            <w:tcBorders>
              <w:top w:val="single" w:color="auto" w:sz="4" w:space="0"/>
              <w:left w:val="single" w:color="auto" w:sz="4" w:space="0"/>
              <w:bottom w:val="single" w:color="auto" w:sz="4" w:space="0"/>
              <w:right w:val="single" w:color="auto" w:sz="4" w:space="0"/>
            </w:tcBorders>
            <w:vAlign w:val="center"/>
          </w:tcPr>
          <w:p w14:paraId="4E38DFA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补充监测</w:t>
            </w:r>
          </w:p>
        </w:tc>
        <w:tc>
          <w:tcPr>
            <w:tcW w:w="2811" w:type="dxa"/>
            <w:gridSpan w:val="3"/>
            <w:tcBorders>
              <w:top w:val="single" w:color="auto" w:sz="4" w:space="0"/>
              <w:left w:val="single" w:color="auto" w:sz="4" w:space="0"/>
              <w:bottom w:val="single" w:color="auto" w:sz="4" w:space="0"/>
              <w:right w:val="single" w:color="auto" w:sz="4" w:space="0"/>
            </w:tcBorders>
            <w:vAlign w:val="center"/>
          </w:tcPr>
          <w:p w14:paraId="7B8FDA5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监测时期</w:t>
            </w:r>
          </w:p>
        </w:tc>
        <w:tc>
          <w:tcPr>
            <w:tcW w:w="2182" w:type="dxa"/>
            <w:gridSpan w:val="4"/>
            <w:tcBorders>
              <w:top w:val="single" w:color="auto" w:sz="4" w:space="0"/>
              <w:left w:val="single" w:color="auto" w:sz="4" w:space="0"/>
              <w:bottom w:val="single" w:color="auto" w:sz="4" w:space="0"/>
              <w:right w:val="single" w:color="auto" w:sz="4" w:space="0"/>
            </w:tcBorders>
            <w:vAlign w:val="center"/>
          </w:tcPr>
          <w:p w14:paraId="7209EFF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监测因子</w:t>
            </w:r>
          </w:p>
        </w:tc>
        <w:tc>
          <w:tcPr>
            <w:tcW w:w="1928" w:type="dxa"/>
            <w:gridSpan w:val="3"/>
            <w:tcBorders>
              <w:top w:val="single" w:color="auto" w:sz="4" w:space="0"/>
              <w:left w:val="single" w:color="auto" w:sz="4" w:space="0"/>
              <w:bottom w:val="single" w:color="auto" w:sz="4" w:space="0"/>
              <w:right w:val="single" w:color="auto" w:sz="4" w:space="0"/>
            </w:tcBorders>
            <w:vAlign w:val="center"/>
          </w:tcPr>
          <w:p w14:paraId="6F652028">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监测断面或点位</w:t>
            </w:r>
          </w:p>
        </w:tc>
      </w:tr>
      <w:tr w14:paraId="6C12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B7EF42E">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00D3D48D">
            <w:pPr>
              <w:widowControl/>
              <w:jc w:val="left"/>
              <w:rPr>
                <w:rFonts w:ascii="Times New Roman" w:hAnsi="Times New Roman" w:eastAsia="宋体" w:cs="Times New Roman"/>
                <w:kern w:val="0"/>
                <w:szCs w:val="21"/>
              </w:rPr>
            </w:pPr>
          </w:p>
        </w:tc>
        <w:tc>
          <w:tcPr>
            <w:tcW w:w="2811" w:type="dxa"/>
            <w:gridSpan w:val="3"/>
            <w:tcBorders>
              <w:top w:val="single" w:color="auto" w:sz="4" w:space="0"/>
              <w:left w:val="single" w:color="auto" w:sz="4" w:space="0"/>
              <w:bottom w:val="single" w:color="auto" w:sz="4" w:space="0"/>
              <w:right w:val="single" w:color="auto" w:sz="4" w:space="0"/>
            </w:tcBorders>
            <w:vAlign w:val="center"/>
          </w:tcPr>
          <w:p w14:paraId="6665538E">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丰水期□；平水期□；枯水期</w:t>
            </w: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；冰封期□</w:t>
            </w:r>
          </w:p>
          <w:p w14:paraId="046BBF2B">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春季</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；夏季</w:t>
            </w:r>
            <w:r>
              <w:rPr>
                <w:rFonts w:hint="eastAsia" w:ascii="Times New Roman" w:hAnsi="Times New Roman" w:eastAsia="宋体" w:cs="Times New Roman"/>
                <w:kern w:val="0"/>
                <w:szCs w:val="21"/>
              </w:rPr>
              <w:sym w:font="Wingdings 2" w:char="00A3"/>
            </w:r>
            <w:r>
              <w:rPr>
                <w:rFonts w:ascii="Times New Roman" w:hAnsi="Times New Roman" w:eastAsia="宋体" w:cs="Times New Roman"/>
                <w:kern w:val="0"/>
                <w:szCs w:val="21"/>
              </w:rPr>
              <w:t>；秋季□；冬季</w:t>
            </w:r>
            <w:r>
              <w:rPr>
                <w:rFonts w:ascii="Times New Roman" w:hAnsi="Times New Roman" w:eastAsia="宋体" w:cs="Times New Roman"/>
                <w:kern w:val="0"/>
                <w:szCs w:val="21"/>
              </w:rPr>
              <w:sym w:font="Wingdings 2" w:char="00A3"/>
            </w:r>
          </w:p>
        </w:tc>
        <w:tc>
          <w:tcPr>
            <w:tcW w:w="2182" w:type="dxa"/>
            <w:gridSpan w:val="4"/>
            <w:tcBorders>
              <w:top w:val="single" w:color="auto" w:sz="4" w:space="0"/>
              <w:left w:val="single" w:color="auto" w:sz="4" w:space="0"/>
              <w:bottom w:val="single" w:color="auto" w:sz="4" w:space="0"/>
              <w:right w:val="single" w:color="auto" w:sz="4" w:space="0"/>
            </w:tcBorders>
            <w:vAlign w:val="center"/>
          </w:tcPr>
          <w:p w14:paraId="53B68464">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szCs w:val="21"/>
              </w:rPr>
              <w:t>pH值、悬浮物、化学需氧量、五日生化需氧量、氨氮、</w:t>
            </w:r>
            <w:r>
              <w:rPr>
                <w:rFonts w:hint="eastAsia" w:ascii="Times New Roman" w:hAnsi="Times New Roman" w:eastAsia="宋体" w:cs="Times New Roman"/>
                <w:kern w:val="0"/>
                <w:szCs w:val="21"/>
              </w:rPr>
              <w:t>）</w:t>
            </w:r>
          </w:p>
        </w:tc>
        <w:tc>
          <w:tcPr>
            <w:tcW w:w="1928" w:type="dxa"/>
            <w:gridSpan w:val="3"/>
            <w:tcBorders>
              <w:top w:val="single" w:color="auto" w:sz="4" w:space="0"/>
              <w:left w:val="single" w:color="auto" w:sz="4" w:space="0"/>
              <w:bottom w:val="single" w:color="auto" w:sz="4" w:space="0"/>
              <w:right w:val="single" w:color="auto" w:sz="4" w:space="0"/>
            </w:tcBorders>
            <w:vAlign w:val="center"/>
          </w:tcPr>
          <w:p w14:paraId="13F57F6E">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监测断面或点位个数（</w:t>
            </w:r>
            <w:r>
              <w:rPr>
                <w:rFonts w:hint="eastAsia" w:cs="Times New Roman"/>
                <w:kern w:val="0"/>
                <w:szCs w:val="21"/>
              </w:rPr>
              <w:t>3</w:t>
            </w:r>
            <w:r>
              <w:rPr>
                <w:rFonts w:ascii="Times New Roman" w:hAnsi="Times New Roman" w:eastAsia="宋体" w:cs="Times New Roman"/>
                <w:kern w:val="0"/>
                <w:szCs w:val="21"/>
              </w:rPr>
              <w:t>个）</w:t>
            </w:r>
          </w:p>
        </w:tc>
      </w:tr>
      <w:tr w14:paraId="2B22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0B73E12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现状评价</w:t>
            </w:r>
          </w:p>
        </w:tc>
        <w:tc>
          <w:tcPr>
            <w:tcW w:w="1175" w:type="dxa"/>
            <w:tcBorders>
              <w:top w:val="single" w:color="auto" w:sz="4" w:space="0"/>
              <w:left w:val="single" w:color="auto" w:sz="4" w:space="0"/>
              <w:bottom w:val="single" w:color="auto" w:sz="4" w:space="0"/>
              <w:right w:val="single" w:color="auto" w:sz="4" w:space="0"/>
            </w:tcBorders>
            <w:vAlign w:val="center"/>
          </w:tcPr>
          <w:p w14:paraId="355D71F1">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评价范围</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45865A6B">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河流：长度（）km；湖库、河口及近岸海域：面积（）km</w:t>
            </w:r>
            <w:r>
              <w:rPr>
                <w:rFonts w:ascii="Times New Roman" w:hAnsi="Times New Roman" w:eastAsia="宋体" w:cs="Times New Roman"/>
                <w:kern w:val="0"/>
                <w:szCs w:val="21"/>
                <w:vertAlign w:val="superscript"/>
              </w:rPr>
              <w:t>2</w:t>
            </w:r>
          </w:p>
        </w:tc>
      </w:tr>
      <w:tr w14:paraId="28AD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32D5FF4">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5C7D6273">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评价因子</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5A12E4C0">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（pH值、悬浮物、化学需氧量、五日生化需氧量、氨氮）</w:t>
            </w:r>
          </w:p>
        </w:tc>
      </w:tr>
      <w:tr w14:paraId="0EAA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FC1EA13">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46A2EFAF">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评价标准</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30CAA45C">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河流、湖库、河口：</w:t>
            </w:r>
            <w:r>
              <w:rPr>
                <w:rFonts w:hint="eastAsia" w:ascii="宋体" w:hAnsi="宋体" w:eastAsia="宋体" w:cs="宋体"/>
                <w:kern w:val="0"/>
                <w:szCs w:val="21"/>
              </w:rPr>
              <w:t>Ⅰ</w:t>
            </w:r>
            <w:r>
              <w:rPr>
                <w:rFonts w:ascii="Times New Roman" w:hAnsi="Times New Roman" w:eastAsia="宋体" w:cs="Times New Roman"/>
                <w:kern w:val="0"/>
                <w:szCs w:val="21"/>
              </w:rPr>
              <w:t>类□；</w:t>
            </w:r>
            <w:r>
              <w:rPr>
                <w:rFonts w:hint="eastAsia" w:ascii="宋体" w:hAnsi="宋体" w:eastAsia="宋体" w:cs="宋体"/>
                <w:kern w:val="0"/>
                <w:szCs w:val="21"/>
              </w:rPr>
              <w:t>Ⅱ</w:t>
            </w:r>
            <w:r>
              <w:rPr>
                <w:rFonts w:ascii="Times New Roman" w:hAnsi="Times New Roman" w:eastAsia="宋体" w:cs="Times New Roman"/>
                <w:kern w:val="0"/>
                <w:szCs w:val="21"/>
              </w:rPr>
              <w:t>类</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w:t>
            </w:r>
            <w:r>
              <w:rPr>
                <w:rFonts w:hint="eastAsia" w:ascii="宋体" w:hAnsi="宋体" w:eastAsia="宋体" w:cs="宋体"/>
                <w:kern w:val="0"/>
                <w:szCs w:val="21"/>
              </w:rPr>
              <w:t>Ⅲ</w:t>
            </w:r>
            <w:r>
              <w:rPr>
                <w:rFonts w:ascii="Times New Roman" w:hAnsi="Times New Roman" w:eastAsia="宋体" w:cs="Times New Roman"/>
                <w:kern w:val="0"/>
                <w:szCs w:val="21"/>
              </w:rPr>
              <w:t>类</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w:t>
            </w:r>
            <w:r>
              <w:rPr>
                <w:rFonts w:hint="eastAsia" w:ascii="宋体" w:hAnsi="宋体" w:eastAsia="宋体" w:cs="宋体"/>
                <w:kern w:val="0"/>
                <w:szCs w:val="21"/>
              </w:rPr>
              <w:t>Ⅳ</w:t>
            </w:r>
            <w:r>
              <w:rPr>
                <w:rFonts w:ascii="Times New Roman" w:hAnsi="Times New Roman" w:eastAsia="宋体" w:cs="Times New Roman"/>
                <w:kern w:val="0"/>
                <w:szCs w:val="21"/>
              </w:rPr>
              <w:t>类</w:t>
            </w: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w:t>
            </w:r>
            <w:r>
              <w:rPr>
                <w:rFonts w:hint="eastAsia" w:ascii="宋体" w:hAnsi="宋体" w:eastAsia="宋体" w:cs="宋体"/>
                <w:kern w:val="0"/>
                <w:szCs w:val="21"/>
              </w:rPr>
              <w:t>Ⅴ</w:t>
            </w:r>
            <w:r>
              <w:rPr>
                <w:rFonts w:ascii="Times New Roman" w:hAnsi="Times New Roman" w:eastAsia="宋体" w:cs="Times New Roman"/>
                <w:kern w:val="0"/>
                <w:szCs w:val="21"/>
              </w:rPr>
              <w:t>类</w:t>
            </w:r>
            <w:r>
              <w:rPr>
                <w:rFonts w:ascii="Times New Roman" w:hAnsi="Times New Roman" w:eastAsia="宋体" w:cs="Times New Roman"/>
                <w:kern w:val="0"/>
                <w:szCs w:val="21"/>
              </w:rPr>
              <w:sym w:font="Wingdings 2" w:char="00A3"/>
            </w:r>
          </w:p>
          <w:p w14:paraId="2B9E4509">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近岸海域：第一类□；第二类</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；第三类</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；第四类□</w:t>
            </w:r>
          </w:p>
          <w:p w14:paraId="6A238737">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规划年评价标准（）</w:t>
            </w:r>
          </w:p>
        </w:tc>
      </w:tr>
      <w:tr w14:paraId="51FA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4CD3BA7">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0B9EBD8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评价时期</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2ECB79DB">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丰水期</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；平水期□；枯水期</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；冰封期□</w:t>
            </w:r>
          </w:p>
          <w:p w14:paraId="16E6805C">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春季</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；夏季</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；秋季□；冬季</w:t>
            </w:r>
            <w:r>
              <w:rPr>
                <w:rFonts w:ascii="Times New Roman" w:hAnsi="Times New Roman" w:eastAsia="宋体" w:cs="Times New Roman"/>
                <w:kern w:val="0"/>
                <w:szCs w:val="21"/>
              </w:rPr>
              <w:sym w:font="Wingdings 2" w:char="00A3"/>
            </w:r>
          </w:p>
        </w:tc>
      </w:tr>
      <w:tr w14:paraId="3CE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0EC4937">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60003BFE">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评价结论</w:t>
            </w:r>
          </w:p>
        </w:tc>
        <w:tc>
          <w:tcPr>
            <w:tcW w:w="6004" w:type="dxa"/>
            <w:gridSpan w:val="9"/>
            <w:tcBorders>
              <w:top w:val="single" w:color="auto" w:sz="4" w:space="0"/>
              <w:left w:val="single" w:color="auto" w:sz="4" w:space="0"/>
              <w:bottom w:val="single" w:color="auto" w:sz="4" w:space="0"/>
              <w:right w:val="single" w:color="auto" w:sz="4" w:space="0"/>
            </w:tcBorders>
            <w:vAlign w:val="center"/>
          </w:tcPr>
          <w:p w14:paraId="6202C3AD">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水环境功能区或水功能区、近岸海域环境功能区水质达标状况</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：达标</w:t>
            </w:r>
            <w:r>
              <w:rPr>
                <w:rFonts w:hint="eastAsia" w:ascii="Times New Roman" w:hAnsi="Times New Roman" w:eastAsia="宋体" w:cs="Times New Roman"/>
                <w:kern w:val="0"/>
                <w:szCs w:val="21"/>
              </w:rPr>
              <w:sym w:font="Wingdings 2" w:char="00A3"/>
            </w:r>
            <w:r>
              <w:rPr>
                <w:rFonts w:ascii="Times New Roman" w:hAnsi="Times New Roman" w:eastAsia="宋体" w:cs="Times New Roman"/>
                <w:kern w:val="0"/>
                <w:szCs w:val="21"/>
              </w:rPr>
              <w:t>；不达标□</w:t>
            </w:r>
          </w:p>
          <w:p w14:paraId="1FB161AA">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水环境控制单元或断面水质达标状况□：达标</w:t>
            </w:r>
            <w:r>
              <w:rPr>
                <w:rFonts w:hint="eastAsia" w:ascii="Times New Roman" w:hAnsi="Times New Roman" w:eastAsia="宋体" w:cs="Times New Roman"/>
                <w:kern w:val="0"/>
                <w:szCs w:val="21"/>
              </w:rPr>
              <w:sym w:font="Wingdings 2" w:char="00A3"/>
            </w:r>
            <w:r>
              <w:rPr>
                <w:rFonts w:ascii="Times New Roman" w:hAnsi="Times New Roman" w:eastAsia="宋体" w:cs="Times New Roman"/>
                <w:kern w:val="0"/>
                <w:szCs w:val="21"/>
              </w:rPr>
              <w:t>；不达标□</w:t>
            </w:r>
          </w:p>
          <w:p w14:paraId="1C0A8AC5">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水环境保护目标质量状况□：达标</w:t>
            </w: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；不达标□</w:t>
            </w:r>
          </w:p>
          <w:p w14:paraId="69BC6EF9">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对照断面、控制断面等代表性断面的水质状况□：达标</w:t>
            </w: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；不达标□</w:t>
            </w:r>
          </w:p>
          <w:p w14:paraId="6889308D">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底泥污染评价</w:t>
            </w:r>
            <w:r>
              <w:rPr>
                <w:rFonts w:hint="eastAsia" w:ascii="Times New Roman" w:hAnsi="Times New Roman" w:eastAsia="宋体" w:cs="Times New Roman"/>
                <w:kern w:val="0"/>
                <w:szCs w:val="21"/>
              </w:rPr>
              <w:sym w:font="Wingdings 2" w:char="00A3"/>
            </w:r>
          </w:p>
          <w:p w14:paraId="018614C1">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水资源与开发利用程度及其水文情势评价□</w:t>
            </w:r>
          </w:p>
          <w:p w14:paraId="64CB55F3">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水环境质量回顾评价□</w:t>
            </w:r>
          </w:p>
          <w:p w14:paraId="0F6A20DD">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流域（区域）水环境（包括水能资源）与开发利用总体状况、生态流量管理要求与现状满足程度、建设项目占用水域空间的水流状况与河湖演变状况□</w:t>
            </w:r>
          </w:p>
          <w:p w14:paraId="222E0808">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依托污水处理设施稳定达标排放评价</w:t>
            </w:r>
            <w:r>
              <w:rPr>
                <w:rFonts w:hint="eastAsia" w:ascii="Times New Roman" w:hAnsi="Times New Roman" w:eastAsia="宋体" w:cs="Times New Roman"/>
                <w:kern w:val="0"/>
                <w:szCs w:val="21"/>
              </w:rPr>
              <w:sym w:font="Wingdings 2" w:char="0052"/>
            </w:r>
          </w:p>
        </w:tc>
        <w:tc>
          <w:tcPr>
            <w:tcW w:w="917" w:type="dxa"/>
            <w:tcBorders>
              <w:top w:val="single" w:color="auto" w:sz="4" w:space="0"/>
              <w:left w:val="single" w:color="auto" w:sz="4" w:space="0"/>
              <w:bottom w:val="single" w:color="auto" w:sz="4" w:space="0"/>
              <w:right w:val="single" w:color="auto" w:sz="4" w:space="0"/>
            </w:tcBorders>
            <w:vAlign w:val="center"/>
          </w:tcPr>
          <w:p w14:paraId="07FEBFAE">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达标区</w:t>
            </w:r>
            <w:r>
              <w:rPr>
                <w:rFonts w:hint="eastAsia" w:ascii="Times New Roman" w:hAnsi="Times New Roman" w:eastAsia="宋体" w:cs="Times New Roman"/>
                <w:kern w:val="0"/>
                <w:szCs w:val="21"/>
              </w:rPr>
              <w:sym w:font="Wingdings 2" w:char="00A3"/>
            </w:r>
          </w:p>
          <w:p w14:paraId="611CA21A">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不达标区□</w:t>
            </w:r>
          </w:p>
        </w:tc>
      </w:tr>
      <w:tr w14:paraId="3DB6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558A1FAD">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影响预测</w:t>
            </w:r>
          </w:p>
        </w:tc>
        <w:tc>
          <w:tcPr>
            <w:tcW w:w="1175" w:type="dxa"/>
            <w:tcBorders>
              <w:top w:val="single" w:color="auto" w:sz="4" w:space="0"/>
              <w:left w:val="single" w:color="auto" w:sz="4" w:space="0"/>
              <w:bottom w:val="single" w:color="auto" w:sz="4" w:space="0"/>
              <w:right w:val="single" w:color="auto" w:sz="4" w:space="0"/>
            </w:tcBorders>
            <w:vAlign w:val="center"/>
          </w:tcPr>
          <w:p w14:paraId="408CF993">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预测范围</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31B1C8F1">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河流：长度（）km；湖库、河口及近岸海域：面积（）km</w:t>
            </w:r>
            <w:r>
              <w:rPr>
                <w:rFonts w:ascii="Times New Roman" w:hAnsi="Times New Roman" w:eastAsia="宋体" w:cs="Times New Roman"/>
                <w:kern w:val="0"/>
                <w:szCs w:val="21"/>
                <w:vertAlign w:val="superscript"/>
              </w:rPr>
              <w:t>2</w:t>
            </w:r>
          </w:p>
        </w:tc>
      </w:tr>
      <w:tr w14:paraId="122B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B4EB939">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067A8D7B">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预测因子</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4DC2AF19">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r w14:paraId="1181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A836036">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0A41934E">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预测时期</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5FF07081">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丰水期□；平水期□；枯水期□；冰封期□</w:t>
            </w:r>
          </w:p>
          <w:p w14:paraId="59085D36">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春季□；夏季□；秋季□；冬季□</w:t>
            </w:r>
          </w:p>
          <w:p w14:paraId="50DC4D23">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设计水文条件□</w:t>
            </w:r>
          </w:p>
        </w:tc>
      </w:tr>
      <w:tr w14:paraId="102F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75599E2">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7C386C9B">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预测情景</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385FD767">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建设期□；生产运行期□；服务期满后□</w:t>
            </w:r>
          </w:p>
          <w:p w14:paraId="77F3C311">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正常工况□；非正常工况□</w:t>
            </w:r>
          </w:p>
          <w:p w14:paraId="70D0DF61">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污染控制和减缓措施方案□</w:t>
            </w:r>
          </w:p>
          <w:p w14:paraId="21D87186">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区（流）域环境质量改善目标要求情景□</w:t>
            </w:r>
          </w:p>
        </w:tc>
      </w:tr>
      <w:tr w14:paraId="2F06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0B130010">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3177DFA1">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预测方法</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209502EB">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数值解□；解析解□；其他□</w:t>
            </w:r>
          </w:p>
          <w:p w14:paraId="2FF6290C">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导则推荐模式□；其他□</w:t>
            </w:r>
          </w:p>
        </w:tc>
      </w:tr>
      <w:tr w14:paraId="29D5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4CD3B401">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影响评价</w:t>
            </w:r>
          </w:p>
        </w:tc>
        <w:tc>
          <w:tcPr>
            <w:tcW w:w="1175" w:type="dxa"/>
            <w:tcBorders>
              <w:top w:val="single" w:color="auto" w:sz="4" w:space="0"/>
              <w:left w:val="single" w:color="auto" w:sz="4" w:space="0"/>
              <w:bottom w:val="single" w:color="auto" w:sz="4" w:space="0"/>
              <w:right w:val="single" w:color="auto" w:sz="4" w:space="0"/>
            </w:tcBorders>
            <w:vAlign w:val="center"/>
          </w:tcPr>
          <w:p w14:paraId="6AE11A9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水污染控制和水环境影响减缓措施有效性评价</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26723A42">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区（流）域水环境质量改善目标</w:t>
            </w: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；替代削减源□</w:t>
            </w:r>
          </w:p>
        </w:tc>
      </w:tr>
      <w:tr w14:paraId="73E2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762ED01">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5EEAD0B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水环境影响评价</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289CFB11">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排放口混合区外满足水环境管理要求□</w:t>
            </w:r>
          </w:p>
          <w:p w14:paraId="0FE1969F">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水环境功能区或水功能区、近岸海域环境功能区水质达标</w:t>
            </w:r>
            <w:r>
              <w:rPr>
                <w:rFonts w:hint="eastAsia" w:ascii="Times New Roman" w:hAnsi="Times New Roman" w:eastAsia="宋体" w:cs="Times New Roman"/>
                <w:kern w:val="0"/>
                <w:szCs w:val="21"/>
              </w:rPr>
              <w:sym w:font="Wingdings 2" w:char="0052"/>
            </w:r>
          </w:p>
          <w:p w14:paraId="6FB1A054">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满足水环境保护目标水域水环境质量要求</w:t>
            </w:r>
            <w:r>
              <w:rPr>
                <w:rFonts w:hint="eastAsia" w:ascii="Times New Roman" w:hAnsi="Times New Roman" w:eastAsia="宋体" w:cs="Times New Roman"/>
                <w:kern w:val="0"/>
                <w:szCs w:val="21"/>
              </w:rPr>
              <w:sym w:font="Wingdings 2" w:char="0052"/>
            </w:r>
          </w:p>
          <w:p w14:paraId="773888E6">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水环境控制单元或断面水质达标</w:t>
            </w:r>
            <w:r>
              <w:rPr>
                <w:rFonts w:hint="eastAsia" w:ascii="Times New Roman" w:hAnsi="Times New Roman" w:eastAsia="宋体" w:cs="Times New Roman"/>
                <w:kern w:val="0"/>
                <w:szCs w:val="21"/>
              </w:rPr>
              <w:t>□</w:t>
            </w:r>
          </w:p>
          <w:p w14:paraId="31066607">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满足重点水污染物排放总量控制指标要求，重点行业建设项目，主要污染物排放满足等量或减量替代要求□</w:t>
            </w:r>
          </w:p>
          <w:p w14:paraId="09E1CAC5">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满足区（流）域水环境质量改善目标要求□</w:t>
            </w:r>
          </w:p>
          <w:p w14:paraId="773DADCD">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水文要素影响型建设项目同时应包括水文情势变化评价、主要水文特征值影响评价、生态流量符合性评价□</w:t>
            </w:r>
          </w:p>
          <w:p w14:paraId="4FB4D4F9">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对于新设或调整入河（湖库、近岸海域）排放口的建设项目，应包括排放口设置的环境合理性评价□</w:t>
            </w:r>
          </w:p>
          <w:p w14:paraId="05BA3411">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满足生态保护红线、水环境质量底线、资源利用上线和环境准入清单管理要求</w:t>
            </w:r>
            <w:r>
              <w:rPr>
                <w:rFonts w:ascii="Times New Roman" w:hAnsi="Times New Roman" w:eastAsia="宋体" w:cs="Times New Roman"/>
                <w:kern w:val="0"/>
                <w:szCs w:val="21"/>
              </w:rPr>
              <w:sym w:font="Wingdings 2" w:char="00A3"/>
            </w:r>
          </w:p>
        </w:tc>
      </w:tr>
      <w:tr w14:paraId="5ECB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7384966">
            <w:pPr>
              <w:widowControl/>
              <w:jc w:val="left"/>
              <w:rPr>
                <w:rFonts w:ascii="Times New Roman" w:hAnsi="Times New Roman" w:eastAsia="宋体" w:cs="Times New Roman"/>
                <w:kern w:val="0"/>
                <w:szCs w:val="21"/>
              </w:rPr>
            </w:pPr>
          </w:p>
        </w:tc>
        <w:tc>
          <w:tcPr>
            <w:tcW w:w="1175" w:type="dxa"/>
            <w:vMerge w:val="restart"/>
            <w:tcBorders>
              <w:top w:val="single" w:color="auto" w:sz="4" w:space="0"/>
              <w:left w:val="single" w:color="auto" w:sz="4" w:space="0"/>
              <w:bottom w:val="single" w:color="auto" w:sz="4" w:space="0"/>
              <w:right w:val="single" w:color="auto" w:sz="4" w:space="0"/>
            </w:tcBorders>
            <w:vAlign w:val="center"/>
          </w:tcPr>
          <w:p w14:paraId="5C34F7D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污染源排放量核算</w:t>
            </w:r>
          </w:p>
        </w:tc>
        <w:tc>
          <w:tcPr>
            <w:tcW w:w="1642" w:type="dxa"/>
            <w:tcBorders>
              <w:top w:val="single" w:color="auto" w:sz="4" w:space="0"/>
              <w:left w:val="single" w:color="auto" w:sz="4" w:space="0"/>
              <w:bottom w:val="single" w:color="auto" w:sz="4" w:space="0"/>
              <w:right w:val="single" w:color="auto" w:sz="4" w:space="0"/>
            </w:tcBorders>
            <w:vAlign w:val="center"/>
          </w:tcPr>
          <w:p w14:paraId="0382358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污染物名称</w:t>
            </w:r>
          </w:p>
        </w:tc>
        <w:tc>
          <w:tcPr>
            <w:tcW w:w="2560" w:type="dxa"/>
            <w:gridSpan w:val="4"/>
            <w:tcBorders>
              <w:top w:val="single" w:color="auto" w:sz="4" w:space="0"/>
              <w:left w:val="single" w:color="auto" w:sz="4" w:space="0"/>
              <w:bottom w:val="single" w:color="auto" w:sz="4" w:space="0"/>
              <w:right w:val="single" w:color="auto" w:sz="4" w:space="0"/>
            </w:tcBorders>
            <w:vAlign w:val="center"/>
          </w:tcPr>
          <w:p w14:paraId="6F7D923F">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排放量（t/a）</w:t>
            </w:r>
          </w:p>
        </w:tc>
        <w:tc>
          <w:tcPr>
            <w:tcW w:w="2719" w:type="dxa"/>
            <w:gridSpan w:val="5"/>
            <w:tcBorders>
              <w:top w:val="single" w:color="auto" w:sz="4" w:space="0"/>
              <w:left w:val="single" w:color="auto" w:sz="4" w:space="0"/>
              <w:bottom w:val="single" w:color="auto" w:sz="4" w:space="0"/>
              <w:right w:val="single" w:color="auto" w:sz="4" w:space="0"/>
            </w:tcBorders>
            <w:vAlign w:val="center"/>
          </w:tcPr>
          <w:p w14:paraId="69E7A85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排放浓度（mg/L）</w:t>
            </w:r>
          </w:p>
        </w:tc>
      </w:tr>
      <w:tr w14:paraId="2B69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1F360F1">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23E7EB7A">
            <w:pPr>
              <w:widowControl/>
              <w:jc w:val="left"/>
              <w:rPr>
                <w:rFonts w:ascii="Times New Roman" w:hAnsi="Times New Roman" w:eastAsia="宋体" w:cs="Times New Roman"/>
                <w:kern w:val="0"/>
                <w:szCs w:val="21"/>
              </w:rPr>
            </w:pPr>
          </w:p>
        </w:tc>
        <w:tc>
          <w:tcPr>
            <w:tcW w:w="1642" w:type="dxa"/>
            <w:tcBorders>
              <w:top w:val="single" w:color="auto" w:sz="4" w:space="0"/>
              <w:left w:val="single" w:color="auto" w:sz="4" w:space="0"/>
              <w:right w:val="single" w:color="auto" w:sz="4" w:space="0"/>
            </w:tcBorders>
            <w:vAlign w:val="center"/>
          </w:tcPr>
          <w:p w14:paraId="75285F9A">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COD</w:t>
            </w:r>
          </w:p>
        </w:tc>
        <w:tc>
          <w:tcPr>
            <w:tcW w:w="2560" w:type="dxa"/>
            <w:gridSpan w:val="4"/>
            <w:tcBorders>
              <w:top w:val="single" w:color="auto" w:sz="4" w:space="0"/>
              <w:left w:val="single" w:color="auto" w:sz="4" w:space="0"/>
              <w:bottom w:val="single" w:color="auto" w:sz="4" w:space="0"/>
              <w:right w:val="single" w:color="auto" w:sz="4" w:space="0"/>
            </w:tcBorders>
            <w:vAlign w:val="center"/>
          </w:tcPr>
          <w:p w14:paraId="1D04FD86">
            <w:pPr>
              <w:pStyle w:val="39"/>
              <w:jc w:val="center"/>
              <w:rPr>
                <w:rFonts w:ascii="Times New Roman" w:hAnsi="Times New Roman" w:cs="Times New Roman"/>
                <w:color w:val="0000FF"/>
                <w:sz w:val="21"/>
                <w:szCs w:val="21"/>
                <w:u w:val="single"/>
              </w:rPr>
            </w:pPr>
            <w:r>
              <w:rPr>
                <w:rFonts w:hint="eastAsia" w:ascii="Times New Roman" w:hAnsi="Times New Roman" w:cs="Times New Roman"/>
                <w:color w:val="auto"/>
                <w:sz w:val="21"/>
                <w:szCs w:val="21"/>
              </w:rPr>
              <w:t>0.4096</w:t>
            </w:r>
          </w:p>
        </w:tc>
        <w:tc>
          <w:tcPr>
            <w:tcW w:w="2719" w:type="dxa"/>
            <w:gridSpan w:val="5"/>
            <w:tcBorders>
              <w:top w:val="single" w:color="auto" w:sz="4" w:space="0"/>
              <w:left w:val="single" w:color="auto" w:sz="4" w:space="0"/>
              <w:bottom w:val="single" w:color="auto" w:sz="4" w:space="0"/>
              <w:right w:val="single" w:color="auto" w:sz="4" w:space="0"/>
            </w:tcBorders>
            <w:vAlign w:val="center"/>
          </w:tcPr>
          <w:p w14:paraId="271C9081">
            <w:pPr>
              <w:pStyle w:val="39"/>
              <w:jc w:val="center"/>
              <w:rPr>
                <w:rFonts w:ascii="Times New Roman" w:hAnsi="Times New Roman" w:cs="Times New Roman"/>
                <w:color w:val="0000FF"/>
                <w:sz w:val="21"/>
                <w:szCs w:val="21"/>
                <w:u w:val="single"/>
              </w:rPr>
            </w:pPr>
            <w:r>
              <w:rPr>
                <w:rFonts w:hint="eastAsia" w:ascii="Times New Roman" w:hAnsi="Times New Roman" w:cs="Times New Roman"/>
                <w:color w:val="auto"/>
                <w:sz w:val="21"/>
                <w:szCs w:val="21"/>
              </w:rPr>
              <w:t xml:space="preserve">265.63 </w:t>
            </w:r>
          </w:p>
        </w:tc>
      </w:tr>
      <w:tr w14:paraId="3904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561AE68">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32EFE675">
            <w:pPr>
              <w:widowControl/>
              <w:jc w:val="left"/>
              <w:rPr>
                <w:rFonts w:ascii="Times New Roman" w:hAnsi="Times New Roman" w:eastAsia="宋体" w:cs="Times New Roman"/>
                <w:kern w:val="0"/>
                <w:szCs w:val="21"/>
              </w:rPr>
            </w:pPr>
          </w:p>
        </w:tc>
        <w:tc>
          <w:tcPr>
            <w:tcW w:w="1642" w:type="dxa"/>
            <w:tcBorders>
              <w:top w:val="single" w:color="auto" w:sz="4" w:space="0"/>
              <w:left w:val="single" w:color="auto" w:sz="4" w:space="0"/>
              <w:right w:val="single" w:color="auto" w:sz="4" w:space="0"/>
            </w:tcBorders>
            <w:vAlign w:val="center"/>
          </w:tcPr>
          <w:p w14:paraId="4A5FA7BC">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c>
          <w:tcPr>
            <w:tcW w:w="2560" w:type="dxa"/>
            <w:gridSpan w:val="4"/>
            <w:tcBorders>
              <w:top w:val="single" w:color="auto" w:sz="4" w:space="0"/>
              <w:left w:val="single" w:color="auto" w:sz="4" w:space="0"/>
              <w:bottom w:val="single" w:color="auto" w:sz="4" w:space="0"/>
              <w:right w:val="single" w:color="auto" w:sz="4" w:space="0"/>
            </w:tcBorders>
            <w:vAlign w:val="center"/>
          </w:tcPr>
          <w:p w14:paraId="6FA46ADE">
            <w:pPr>
              <w:pStyle w:val="39"/>
              <w:jc w:val="center"/>
              <w:rPr>
                <w:rFonts w:ascii="Times New Roman" w:hAnsi="Times New Roman" w:cs="Times New Roman"/>
                <w:color w:val="0000FF"/>
                <w:sz w:val="21"/>
                <w:szCs w:val="21"/>
                <w:u w:val="single"/>
              </w:rPr>
            </w:pPr>
            <w:r>
              <w:rPr>
                <w:rFonts w:hint="eastAsia" w:ascii="Times New Roman" w:hAnsi="Times New Roman" w:cs="Times New Roman"/>
                <w:color w:val="auto"/>
                <w:sz w:val="21"/>
                <w:szCs w:val="21"/>
              </w:rPr>
              <w:t>0.0368</w:t>
            </w:r>
          </w:p>
        </w:tc>
        <w:tc>
          <w:tcPr>
            <w:tcW w:w="2719" w:type="dxa"/>
            <w:gridSpan w:val="5"/>
            <w:tcBorders>
              <w:top w:val="single" w:color="auto" w:sz="4" w:space="0"/>
              <w:left w:val="single" w:color="auto" w:sz="4" w:space="0"/>
              <w:bottom w:val="single" w:color="auto" w:sz="4" w:space="0"/>
              <w:right w:val="single" w:color="auto" w:sz="4" w:space="0"/>
            </w:tcBorders>
            <w:vAlign w:val="center"/>
          </w:tcPr>
          <w:p w14:paraId="0B5B9D9A">
            <w:pPr>
              <w:pStyle w:val="39"/>
              <w:jc w:val="center"/>
              <w:rPr>
                <w:rFonts w:ascii="Times New Roman" w:hAnsi="Times New Roman" w:cs="Times New Roman"/>
                <w:color w:val="0000FF"/>
                <w:sz w:val="21"/>
                <w:szCs w:val="21"/>
                <w:u w:val="single"/>
              </w:rPr>
            </w:pPr>
            <w:r>
              <w:rPr>
                <w:rFonts w:hint="eastAsia" w:ascii="Times New Roman" w:hAnsi="Times New Roman" w:cs="Times New Roman"/>
                <w:color w:val="auto"/>
                <w:sz w:val="21"/>
                <w:szCs w:val="21"/>
              </w:rPr>
              <w:t xml:space="preserve">23.87 </w:t>
            </w:r>
          </w:p>
        </w:tc>
      </w:tr>
      <w:tr w14:paraId="6237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44346DD">
            <w:pPr>
              <w:widowControl/>
              <w:jc w:val="left"/>
              <w:rPr>
                <w:rFonts w:ascii="Times New Roman" w:hAnsi="Times New Roman" w:eastAsia="宋体" w:cs="Times New Roman"/>
                <w:kern w:val="0"/>
                <w:szCs w:val="21"/>
              </w:rPr>
            </w:pPr>
          </w:p>
        </w:tc>
        <w:tc>
          <w:tcPr>
            <w:tcW w:w="1175" w:type="dxa"/>
            <w:vMerge w:val="restart"/>
            <w:tcBorders>
              <w:top w:val="single" w:color="auto" w:sz="4" w:space="0"/>
              <w:left w:val="single" w:color="auto" w:sz="4" w:space="0"/>
              <w:bottom w:val="single" w:color="auto" w:sz="4" w:space="0"/>
              <w:right w:val="single" w:color="auto" w:sz="4" w:space="0"/>
            </w:tcBorders>
            <w:vAlign w:val="center"/>
          </w:tcPr>
          <w:p w14:paraId="65435A27">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替代源排放情况</w:t>
            </w:r>
          </w:p>
        </w:tc>
        <w:tc>
          <w:tcPr>
            <w:tcW w:w="1642" w:type="dxa"/>
            <w:tcBorders>
              <w:top w:val="single" w:color="auto" w:sz="4" w:space="0"/>
              <w:left w:val="single" w:color="auto" w:sz="4" w:space="0"/>
              <w:bottom w:val="single" w:color="auto" w:sz="4" w:space="0"/>
              <w:right w:val="single" w:color="auto" w:sz="4" w:space="0"/>
            </w:tcBorders>
            <w:vAlign w:val="center"/>
          </w:tcPr>
          <w:p w14:paraId="247AA58E">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污染源名称</w:t>
            </w:r>
          </w:p>
        </w:tc>
        <w:tc>
          <w:tcPr>
            <w:tcW w:w="1169" w:type="dxa"/>
            <w:gridSpan w:val="2"/>
            <w:tcBorders>
              <w:top w:val="single" w:color="auto" w:sz="4" w:space="0"/>
              <w:left w:val="single" w:color="auto" w:sz="4" w:space="0"/>
              <w:bottom w:val="single" w:color="auto" w:sz="4" w:space="0"/>
              <w:right w:val="single" w:color="auto" w:sz="4" w:space="0"/>
            </w:tcBorders>
            <w:vAlign w:val="center"/>
          </w:tcPr>
          <w:p w14:paraId="1D2CD024">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排污许可证编号</w:t>
            </w:r>
          </w:p>
        </w:tc>
        <w:tc>
          <w:tcPr>
            <w:tcW w:w="1391" w:type="dxa"/>
            <w:gridSpan w:val="2"/>
            <w:tcBorders>
              <w:top w:val="single" w:color="auto" w:sz="4" w:space="0"/>
              <w:left w:val="single" w:color="auto" w:sz="4" w:space="0"/>
              <w:bottom w:val="single" w:color="auto" w:sz="4" w:space="0"/>
              <w:right w:val="single" w:color="auto" w:sz="4" w:space="0"/>
            </w:tcBorders>
            <w:vAlign w:val="center"/>
          </w:tcPr>
          <w:p w14:paraId="0FFBE72B">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污染物名称</w:t>
            </w:r>
          </w:p>
        </w:tc>
        <w:tc>
          <w:tcPr>
            <w:tcW w:w="1367" w:type="dxa"/>
            <w:gridSpan w:val="3"/>
            <w:tcBorders>
              <w:top w:val="single" w:color="auto" w:sz="4" w:space="0"/>
              <w:left w:val="single" w:color="auto" w:sz="4" w:space="0"/>
              <w:bottom w:val="single" w:color="auto" w:sz="4" w:space="0"/>
              <w:right w:val="single" w:color="auto" w:sz="4" w:space="0"/>
            </w:tcBorders>
            <w:vAlign w:val="center"/>
          </w:tcPr>
          <w:p w14:paraId="50CADDD4">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排放量（t/a）</w:t>
            </w:r>
          </w:p>
        </w:tc>
        <w:tc>
          <w:tcPr>
            <w:tcW w:w="1352" w:type="dxa"/>
            <w:gridSpan w:val="2"/>
            <w:tcBorders>
              <w:top w:val="single" w:color="auto" w:sz="4" w:space="0"/>
              <w:left w:val="single" w:color="auto" w:sz="4" w:space="0"/>
              <w:bottom w:val="single" w:color="auto" w:sz="4" w:space="0"/>
              <w:right w:val="single" w:color="auto" w:sz="4" w:space="0"/>
            </w:tcBorders>
            <w:vAlign w:val="center"/>
          </w:tcPr>
          <w:p w14:paraId="0DACDA4E">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排放浓度（mg/L）</w:t>
            </w:r>
          </w:p>
        </w:tc>
      </w:tr>
      <w:tr w14:paraId="0873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0269862B">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08AE2512">
            <w:pPr>
              <w:widowControl/>
              <w:jc w:val="left"/>
              <w:rPr>
                <w:rFonts w:ascii="Times New Roman" w:hAnsi="Times New Roman" w:eastAsia="宋体" w:cs="Times New Roman"/>
                <w:kern w:val="0"/>
                <w:szCs w:val="21"/>
              </w:rPr>
            </w:pPr>
          </w:p>
        </w:tc>
        <w:tc>
          <w:tcPr>
            <w:tcW w:w="1642" w:type="dxa"/>
            <w:tcBorders>
              <w:top w:val="single" w:color="auto" w:sz="4" w:space="0"/>
              <w:left w:val="single" w:color="auto" w:sz="4" w:space="0"/>
              <w:bottom w:val="single" w:color="auto" w:sz="4" w:space="0"/>
              <w:right w:val="single" w:color="auto" w:sz="4" w:space="0"/>
            </w:tcBorders>
            <w:vAlign w:val="center"/>
          </w:tcPr>
          <w:p w14:paraId="3EF52883">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169" w:type="dxa"/>
            <w:gridSpan w:val="2"/>
            <w:tcBorders>
              <w:top w:val="single" w:color="auto" w:sz="4" w:space="0"/>
              <w:left w:val="single" w:color="auto" w:sz="4" w:space="0"/>
              <w:bottom w:val="single" w:color="auto" w:sz="4" w:space="0"/>
              <w:right w:val="single" w:color="auto" w:sz="4" w:space="0"/>
            </w:tcBorders>
            <w:vAlign w:val="center"/>
          </w:tcPr>
          <w:p w14:paraId="6BB93257">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391" w:type="dxa"/>
            <w:gridSpan w:val="2"/>
            <w:tcBorders>
              <w:top w:val="single" w:color="auto" w:sz="4" w:space="0"/>
              <w:left w:val="single" w:color="auto" w:sz="4" w:space="0"/>
              <w:bottom w:val="single" w:color="auto" w:sz="4" w:space="0"/>
              <w:right w:val="single" w:color="auto" w:sz="4" w:space="0"/>
            </w:tcBorders>
            <w:vAlign w:val="center"/>
          </w:tcPr>
          <w:p w14:paraId="12F01C5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367" w:type="dxa"/>
            <w:gridSpan w:val="3"/>
            <w:tcBorders>
              <w:top w:val="single" w:color="auto" w:sz="4" w:space="0"/>
              <w:left w:val="single" w:color="auto" w:sz="4" w:space="0"/>
              <w:bottom w:val="single" w:color="auto" w:sz="4" w:space="0"/>
              <w:right w:val="single" w:color="auto" w:sz="4" w:space="0"/>
            </w:tcBorders>
            <w:vAlign w:val="center"/>
          </w:tcPr>
          <w:p w14:paraId="480DF61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352" w:type="dxa"/>
            <w:gridSpan w:val="2"/>
            <w:tcBorders>
              <w:top w:val="single" w:color="auto" w:sz="4" w:space="0"/>
              <w:left w:val="single" w:color="auto" w:sz="4" w:space="0"/>
              <w:bottom w:val="single" w:color="auto" w:sz="4" w:space="0"/>
              <w:right w:val="single" w:color="auto" w:sz="4" w:space="0"/>
            </w:tcBorders>
            <w:vAlign w:val="center"/>
          </w:tcPr>
          <w:p w14:paraId="3E67B380">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14:paraId="4BBB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03BE00CE">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33256238">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生态流量确定</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5C1C92D9">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生态流量：一般水期（）m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/s；鱼类繁殖期（）m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/s；其他（）m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/s</w:t>
            </w:r>
          </w:p>
          <w:p w14:paraId="4821D90B">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生态水位：一般水期（）m；鱼类繁殖期（）m；其他（）m</w:t>
            </w:r>
          </w:p>
        </w:tc>
      </w:tr>
      <w:tr w14:paraId="33ED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7E7C467D">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防治措施</w:t>
            </w:r>
          </w:p>
        </w:tc>
        <w:tc>
          <w:tcPr>
            <w:tcW w:w="1175" w:type="dxa"/>
            <w:tcBorders>
              <w:top w:val="single" w:color="auto" w:sz="4" w:space="0"/>
              <w:left w:val="single" w:color="auto" w:sz="4" w:space="0"/>
              <w:bottom w:val="single" w:color="auto" w:sz="4" w:space="0"/>
              <w:right w:val="single" w:color="auto" w:sz="4" w:space="0"/>
            </w:tcBorders>
            <w:vAlign w:val="center"/>
          </w:tcPr>
          <w:p w14:paraId="50942346">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环保措施</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0C11172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污水处理设施</w:t>
            </w: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；水文减缓设施□；生态流量保障措施；区域削减□；依托其他工程措施</w:t>
            </w:r>
            <w:r>
              <w:rPr>
                <w:rFonts w:hint="eastAsia" w:ascii="Segoe UI Symbol" w:hAnsi="Segoe UI Symbol" w:eastAsia="宋体" w:cs="Segoe UI Symbol"/>
                <w:kern w:val="0"/>
                <w:szCs w:val="21"/>
              </w:rPr>
              <w:sym w:font="Wingdings 2" w:char="00A3"/>
            </w:r>
            <w:r>
              <w:rPr>
                <w:rFonts w:ascii="Times New Roman" w:hAnsi="Times New Roman" w:eastAsia="宋体" w:cs="Times New Roman"/>
                <w:kern w:val="0"/>
                <w:szCs w:val="21"/>
              </w:rPr>
              <w:t>；其他□</w:t>
            </w:r>
          </w:p>
        </w:tc>
      </w:tr>
      <w:tr w14:paraId="5C13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1BAD371">
            <w:pPr>
              <w:widowControl/>
              <w:jc w:val="left"/>
              <w:rPr>
                <w:rFonts w:ascii="Times New Roman" w:hAnsi="Times New Roman" w:eastAsia="宋体" w:cs="Times New Roman"/>
                <w:kern w:val="0"/>
                <w:szCs w:val="21"/>
              </w:rPr>
            </w:pPr>
          </w:p>
        </w:tc>
        <w:tc>
          <w:tcPr>
            <w:tcW w:w="1175" w:type="dxa"/>
            <w:vMerge w:val="restart"/>
            <w:tcBorders>
              <w:top w:val="single" w:color="auto" w:sz="4" w:space="0"/>
              <w:left w:val="single" w:color="auto" w:sz="4" w:space="0"/>
              <w:bottom w:val="single" w:color="auto" w:sz="4" w:space="0"/>
              <w:right w:val="single" w:color="auto" w:sz="4" w:space="0"/>
            </w:tcBorders>
            <w:vAlign w:val="center"/>
          </w:tcPr>
          <w:p w14:paraId="720EEE57">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监测计划</w:t>
            </w:r>
          </w:p>
        </w:tc>
        <w:tc>
          <w:tcPr>
            <w:tcW w:w="2811" w:type="dxa"/>
            <w:gridSpan w:val="3"/>
            <w:tcBorders>
              <w:top w:val="single" w:color="auto" w:sz="4" w:space="0"/>
              <w:left w:val="single" w:color="auto" w:sz="4" w:space="0"/>
              <w:bottom w:val="single" w:color="auto" w:sz="4" w:space="0"/>
              <w:right w:val="single" w:color="auto" w:sz="4" w:space="0"/>
            </w:tcBorders>
            <w:vAlign w:val="center"/>
          </w:tcPr>
          <w:p w14:paraId="24C412B2">
            <w:pPr>
              <w:autoSpaceDE w:val="0"/>
              <w:autoSpaceDN w:val="0"/>
              <w:adjustRightInd w:val="0"/>
              <w:jc w:val="center"/>
              <w:rPr>
                <w:rFonts w:ascii="Times New Roman" w:hAnsi="Times New Roman" w:eastAsia="宋体" w:cs="Times New Roman"/>
                <w:kern w:val="0"/>
                <w:szCs w:val="21"/>
              </w:rPr>
            </w:pP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3F3E2013">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环境质量</w:t>
            </w:r>
          </w:p>
        </w:tc>
        <w:tc>
          <w:tcPr>
            <w:tcW w:w="2228" w:type="dxa"/>
            <w:gridSpan w:val="4"/>
            <w:tcBorders>
              <w:top w:val="single" w:color="auto" w:sz="4" w:space="0"/>
              <w:left w:val="single" w:color="auto" w:sz="4" w:space="0"/>
              <w:bottom w:val="single" w:color="auto" w:sz="4" w:space="0"/>
              <w:right w:val="single" w:color="auto" w:sz="4" w:space="0"/>
            </w:tcBorders>
            <w:vAlign w:val="center"/>
          </w:tcPr>
          <w:p w14:paraId="3BB9C4D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污染源</w:t>
            </w:r>
          </w:p>
        </w:tc>
      </w:tr>
      <w:tr w14:paraId="02E2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E40CA0C">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2DEE4C8F">
            <w:pPr>
              <w:widowControl/>
              <w:jc w:val="left"/>
              <w:rPr>
                <w:rFonts w:ascii="Times New Roman" w:hAnsi="Times New Roman" w:eastAsia="宋体" w:cs="Times New Roman"/>
                <w:kern w:val="0"/>
                <w:szCs w:val="21"/>
              </w:rPr>
            </w:pPr>
          </w:p>
        </w:tc>
        <w:tc>
          <w:tcPr>
            <w:tcW w:w="2811" w:type="dxa"/>
            <w:gridSpan w:val="3"/>
            <w:tcBorders>
              <w:top w:val="single" w:color="auto" w:sz="4" w:space="0"/>
              <w:left w:val="single" w:color="auto" w:sz="4" w:space="0"/>
              <w:bottom w:val="single" w:color="auto" w:sz="4" w:space="0"/>
              <w:right w:val="single" w:color="auto" w:sz="4" w:space="0"/>
            </w:tcBorders>
            <w:vAlign w:val="center"/>
          </w:tcPr>
          <w:p w14:paraId="1BABB46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监测方式</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6874C27E">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手动</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；自动</w:t>
            </w:r>
            <w:r>
              <w:rPr>
                <w:rFonts w:ascii="Times New Roman" w:hAnsi="Times New Roman" w:eastAsia="宋体" w:cs="Times New Roman"/>
                <w:kern w:val="0"/>
                <w:szCs w:val="21"/>
              </w:rPr>
              <w:sym w:font="Wingdings 2" w:char="00A3"/>
            </w:r>
            <w:r>
              <w:rPr>
                <w:rFonts w:ascii="Times New Roman" w:hAnsi="Times New Roman" w:eastAsia="宋体" w:cs="Times New Roman"/>
                <w:kern w:val="0"/>
                <w:szCs w:val="21"/>
              </w:rPr>
              <w:t>；无监测</w:t>
            </w:r>
            <w:r>
              <w:rPr>
                <w:rFonts w:ascii="Times New Roman" w:hAnsi="Times New Roman" w:eastAsia="宋体" w:cs="Times New Roman"/>
                <w:kern w:val="0"/>
                <w:szCs w:val="21"/>
              </w:rPr>
              <w:sym w:font="Wingdings 2" w:char="0052"/>
            </w:r>
          </w:p>
        </w:tc>
        <w:tc>
          <w:tcPr>
            <w:tcW w:w="2228" w:type="dxa"/>
            <w:gridSpan w:val="4"/>
            <w:tcBorders>
              <w:top w:val="single" w:color="auto" w:sz="4" w:space="0"/>
              <w:left w:val="single" w:color="auto" w:sz="4" w:space="0"/>
              <w:bottom w:val="single" w:color="auto" w:sz="4" w:space="0"/>
              <w:right w:val="single" w:color="auto" w:sz="4" w:space="0"/>
            </w:tcBorders>
            <w:vAlign w:val="center"/>
          </w:tcPr>
          <w:p w14:paraId="18B3E13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手动</w:t>
            </w: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；自动</w:t>
            </w:r>
            <w:r>
              <w:rPr>
                <w:rFonts w:ascii="Times New Roman" w:hAnsi="Times New Roman" w:eastAsia="宋体" w:cs="Times New Roman"/>
                <w:kern w:val="0"/>
                <w:szCs w:val="21"/>
              </w:rPr>
              <w:sym w:font="Wingdings 2" w:char="0052"/>
            </w:r>
            <w:r>
              <w:rPr>
                <w:rFonts w:ascii="Times New Roman" w:hAnsi="Times New Roman" w:eastAsia="宋体" w:cs="Times New Roman"/>
                <w:kern w:val="0"/>
                <w:szCs w:val="21"/>
              </w:rPr>
              <w:t>；无监测□</w:t>
            </w:r>
          </w:p>
        </w:tc>
      </w:tr>
      <w:tr w14:paraId="6B47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FC8731A">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0B170222">
            <w:pPr>
              <w:widowControl/>
              <w:jc w:val="left"/>
              <w:rPr>
                <w:rFonts w:ascii="Times New Roman" w:hAnsi="Times New Roman" w:eastAsia="宋体" w:cs="Times New Roman"/>
                <w:kern w:val="0"/>
                <w:szCs w:val="21"/>
              </w:rPr>
            </w:pPr>
          </w:p>
        </w:tc>
        <w:tc>
          <w:tcPr>
            <w:tcW w:w="2811" w:type="dxa"/>
            <w:gridSpan w:val="3"/>
            <w:tcBorders>
              <w:top w:val="single" w:color="auto" w:sz="4" w:space="0"/>
              <w:left w:val="single" w:color="auto" w:sz="4" w:space="0"/>
              <w:bottom w:val="single" w:color="auto" w:sz="4" w:space="0"/>
              <w:right w:val="single" w:color="auto" w:sz="4" w:space="0"/>
            </w:tcBorders>
            <w:vAlign w:val="center"/>
          </w:tcPr>
          <w:p w14:paraId="43DFFACB">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监测点位</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4940F96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228" w:type="dxa"/>
            <w:gridSpan w:val="4"/>
            <w:tcBorders>
              <w:top w:val="single" w:color="auto" w:sz="4" w:space="0"/>
              <w:left w:val="single" w:color="auto" w:sz="4" w:space="0"/>
              <w:bottom w:val="single" w:color="auto" w:sz="4" w:space="0"/>
              <w:right w:val="single" w:color="auto" w:sz="4" w:space="0"/>
            </w:tcBorders>
            <w:vAlign w:val="center"/>
          </w:tcPr>
          <w:p w14:paraId="3FFF144B">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r>
      <w:tr w14:paraId="3AA5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C7EBAC7">
            <w:pPr>
              <w:widowControl/>
              <w:jc w:val="left"/>
              <w:rPr>
                <w:rFonts w:ascii="Times New Roman" w:hAnsi="Times New Roman" w:eastAsia="宋体" w:cs="Times New Roman"/>
                <w:kern w:val="0"/>
                <w:szCs w:val="21"/>
              </w:rPr>
            </w:pPr>
          </w:p>
        </w:tc>
        <w:tc>
          <w:tcPr>
            <w:tcW w:w="1175" w:type="dxa"/>
            <w:vMerge w:val="continue"/>
            <w:tcBorders>
              <w:top w:val="single" w:color="auto" w:sz="4" w:space="0"/>
              <w:left w:val="single" w:color="auto" w:sz="4" w:space="0"/>
              <w:bottom w:val="single" w:color="auto" w:sz="4" w:space="0"/>
              <w:right w:val="single" w:color="auto" w:sz="4" w:space="0"/>
            </w:tcBorders>
            <w:vAlign w:val="center"/>
          </w:tcPr>
          <w:p w14:paraId="0C361A4D">
            <w:pPr>
              <w:widowControl/>
              <w:jc w:val="left"/>
              <w:rPr>
                <w:rFonts w:ascii="Times New Roman" w:hAnsi="Times New Roman" w:eastAsia="宋体" w:cs="Times New Roman"/>
                <w:kern w:val="0"/>
                <w:szCs w:val="21"/>
              </w:rPr>
            </w:pPr>
          </w:p>
        </w:tc>
        <w:tc>
          <w:tcPr>
            <w:tcW w:w="2811" w:type="dxa"/>
            <w:gridSpan w:val="3"/>
            <w:tcBorders>
              <w:top w:val="single" w:color="auto" w:sz="4" w:space="0"/>
              <w:left w:val="single" w:color="auto" w:sz="4" w:space="0"/>
              <w:bottom w:val="single" w:color="auto" w:sz="4" w:space="0"/>
              <w:right w:val="single" w:color="auto" w:sz="4" w:space="0"/>
            </w:tcBorders>
            <w:vAlign w:val="center"/>
          </w:tcPr>
          <w:p w14:paraId="14196007">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监测因子</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67CDEE4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228" w:type="dxa"/>
            <w:gridSpan w:val="4"/>
            <w:tcBorders>
              <w:top w:val="single" w:color="auto" w:sz="4" w:space="0"/>
              <w:left w:val="single" w:color="auto" w:sz="4" w:space="0"/>
              <w:bottom w:val="single" w:color="auto" w:sz="4" w:space="0"/>
              <w:right w:val="single" w:color="auto" w:sz="4" w:space="0"/>
            </w:tcBorders>
            <w:vAlign w:val="center"/>
          </w:tcPr>
          <w:p w14:paraId="0A429141">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pH值、悬浮物、化学需氧量、五日生化需氧量、氨氮</w:t>
            </w:r>
          </w:p>
        </w:tc>
      </w:tr>
      <w:tr w14:paraId="50FA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309049BA">
            <w:pPr>
              <w:widowControl/>
              <w:jc w:val="left"/>
              <w:rPr>
                <w:rFonts w:ascii="Times New Roman" w:hAnsi="Times New Roman" w:eastAsia="宋体" w:cs="Times New Roman"/>
                <w:kern w:val="0"/>
                <w:szCs w:val="21"/>
              </w:rPr>
            </w:pPr>
          </w:p>
        </w:tc>
        <w:tc>
          <w:tcPr>
            <w:tcW w:w="1175" w:type="dxa"/>
            <w:tcBorders>
              <w:top w:val="single" w:color="auto" w:sz="4" w:space="0"/>
              <w:left w:val="single" w:color="auto" w:sz="4" w:space="0"/>
              <w:bottom w:val="single" w:color="auto" w:sz="4" w:space="0"/>
              <w:right w:val="single" w:color="auto" w:sz="4" w:space="0"/>
            </w:tcBorders>
            <w:vAlign w:val="center"/>
          </w:tcPr>
          <w:p w14:paraId="03BF869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污染物排放清单</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301020C3">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sym w:font="Wingdings 2" w:char="0052"/>
            </w:r>
          </w:p>
        </w:tc>
      </w:tr>
      <w:tr w14:paraId="7BC3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gridSpan w:val="2"/>
            <w:tcBorders>
              <w:top w:val="single" w:color="auto" w:sz="4" w:space="0"/>
              <w:left w:val="single" w:color="auto" w:sz="4" w:space="0"/>
              <w:bottom w:val="single" w:color="auto" w:sz="4" w:space="0"/>
              <w:right w:val="single" w:color="auto" w:sz="4" w:space="0"/>
            </w:tcBorders>
            <w:vAlign w:val="center"/>
          </w:tcPr>
          <w:p w14:paraId="0667988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评价结论</w:t>
            </w:r>
          </w:p>
        </w:tc>
        <w:tc>
          <w:tcPr>
            <w:tcW w:w="6921" w:type="dxa"/>
            <w:gridSpan w:val="10"/>
            <w:tcBorders>
              <w:top w:val="single" w:color="auto" w:sz="4" w:space="0"/>
              <w:left w:val="single" w:color="auto" w:sz="4" w:space="0"/>
              <w:bottom w:val="single" w:color="auto" w:sz="4" w:space="0"/>
              <w:right w:val="single" w:color="auto" w:sz="4" w:space="0"/>
            </w:tcBorders>
            <w:vAlign w:val="center"/>
          </w:tcPr>
          <w:p w14:paraId="615F2776">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可以接受</w:t>
            </w:r>
            <w:r>
              <w:rPr>
                <w:rFonts w:ascii="Segoe UI Symbol" w:hAnsi="Segoe UI Symbol" w:eastAsia="MS Gothic" w:cs="Segoe UI Symbol"/>
                <w:kern w:val="0"/>
                <w:szCs w:val="21"/>
              </w:rPr>
              <w:t>☑</w:t>
            </w:r>
            <w:r>
              <w:rPr>
                <w:rFonts w:ascii="Times New Roman" w:hAnsi="Times New Roman" w:eastAsia="宋体" w:cs="Times New Roman"/>
                <w:kern w:val="0"/>
                <w:szCs w:val="21"/>
              </w:rPr>
              <w:t>；不可以接受□</w:t>
            </w:r>
          </w:p>
        </w:tc>
      </w:tr>
      <w:tr w14:paraId="2FF8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12"/>
            <w:tcBorders>
              <w:top w:val="single" w:color="auto" w:sz="4" w:space="0"/>
              <w:left w:val="single" w:color="auto" w:sz="4" w:space="0"/>
              <w:bottom w:val="single" w:color="auto" w:sz="4" w:space="0"/>
              <w:right w:val="single" w:color="auto" w:sz="4" w:space="0"/>
            </w:tcBorders>
            <w:vAlign w:val="center"/>
          </w:tcPr>
          <w:p w14:paraId="0FB8B21A">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注：“□”为勾选项，可√；“（）”为内容填写项；“备注”为其他补充内容。</w:t>
            </w:r>
          </w:p>
        </w:tc>
      </w:tr>
    </w:tbl>
    <w:p w14:paraId="26FBAB83">
      <w:pPr>
        <w:pStyle w:val="3"/>
        <w:numPr>
          <w:ilvl w:val="1"/>
          <w:numId w:val="58"/>
        </w:numPr>
      </w:pPr>
      <w:bookmarkStart w:id="220" w:name="_Toc12895"/>
      <w:bookmarkStart w:id="221" w:name="_Toc12861"/>
      <w:r>
        <w:rPr>
          <w:rFonts w:hint="eastAsia"/>
        </w:rPr>
        <w:t>运营期环境空气影响预测与评价</w:t>
      </w:r>
      <w:bookmarkEnd w:id="220"/>
      <w:bookmarkEnd w:id="221"/>
    </w:p>
    <w:p w14:paraId="48184643">
      <w:pPr>
        <w:pStyle w:val="4"/>
        <w:numPr>
          <w:ilvl w:val="2"/>
          <w:numId w:val="58"/>
        </w:numPr>
      </w:pPr>
      <w:r>
        <w:t>评价区域近20年气相资料统计</w:t>
      </w:r>
    </w:p>
    <w:p w14:paraId="2D0F5375">
      <w:pPr>
        <w:pStyle w:val="18"/>
        <w:autoSpaceDE/>
        <w:autoSpaceDN/>
        <w:adjustRightInd/>
        <w:spacing w:line="360" w:lineRule="auto"/>
        <w:ind w:left="0" w:right="0" w:firstLine="472" w:firstLineChars="200"/>
        <w:rPr>
          <w:rFonts w:ascii="Times New Roman" w:hAnsi="Times New Roman" w:eastAsia="宋体" w:cs="Times New Roman"/>
          <w:bCs/>
          <w:sz w:val="24"/>
        </w:rPr>
      </w:pPr>
      <w:r>
        <w:rPr>
          <w:rFonts w:ascii="Times New Roman" w:hAnsi="Times New Roman" w:eastAsia="宋体" w:cs="Times New Roman"/>
          <w:bCs/>
          <w:spacing w:val="-2"/>
          <w:sz w:val="24"/>
        </w:rPr>
        <w:t>地面气象资料来源于濮阳市气象观测站（编号54900），</w:t>
      </w:r>
      <w:r>
        <w:rPr>
          <w:rFonts w:ascii="Times New Roman" w:hAnsi="Times New Roman" w:eastAsia="宋体" w:cs="Times New Roman"/>
          <w:bCs/>
          <w:sz w:val="24"/>
        </w:rPr>
        <w:t>站点经纬度：115.0317E，35.6967N，海拔高度54m。本项目距该气象站约东北33.4km，受相同气候系统的影响和控制，其常规气象资料可以反映项目区域的基本气候特征。</w:t>
      </w:r>
    </w:p>
    <w:p w14:paraId="7CB34351">
      <w:pPr>
        <w:spacing w:line="360" w:lineRule="auto"/>
        <w:ind w:firstLine="480" w:firstLineChars="200"/>
        <w:rPr>
          <w:rFonts w:ascii="Times New Roman" w:hAnsi="Times New Roman" w:eastAsia="宋体" w:cs="Times New Roman"/>
          <w:sz w:val="24"/>
          <w:szCs w:val="22"/>
          <w:lang w:bidi="ar"/>
        </w:rPr>
      </w:pPr>
      <w:r>
        <w:rPr>
          <w:rFonts w:ascii="Times New Roman" w:hAnsi="Times New Roman" w:eastAsia="宋体" w:cs="Times New Roman"/>
          <w:bCs/>
          <w:sz w:val="24"/>
        </w:rPr>
        <w:t>濮阳市位于中纬度地带，常年直接受东南季风环流的控制和影响，属暖温带半湿润季风型大陆性气候。特点是四季分明，春季干旱多风沙，夏季炎热雨量大，秋季晴和日照长，冬季干旱少雨雪。</w:t>
      </w:r>
    </w:p>
    <w:p w14:paraId="1BF32979">
      <w:pPr>
        <w:spacing w:line="360" w:lineRule="auto"/>
        <w:ind w:firstLine="480" w:firstLineChars="200"/>
        <w:rPr>
          <w:rFonts w:ascii="Times New Roman" w:hAnsi="Times New Roman" w:eastAsia="宋体" w:cs="Times New Roman"/>
          <w:sz w:val="24"/>
          <w:szCs w:val="22"/>
          <w:lang w:bidi="ar"/>
        </w:rPr>
      </w:pPr>
      <w:r>
        <w:rPr>
          <w:rFonts w:ascii="Times New Roman" w:hAnsi="Times New Roman" w:eastAsia="宋体" w:cs="Times New Roman"/>
          <w:sz w:val="24"/>
          <w:szCs w:val="22"/>
          <w:lang w:bidi="ar"/>
        </w:rPr>
        <w:t>（1）温度、降水</w:t>
      </w:r>
    </w:p>
    <w:p w14:paraId="77622427">
      <w:pPr>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根据该地近二十年气象资料（</w:t>
      </w:r>
      <w:r>
        <w:rPr>
          <w:rFonts w:ascii="Times New Roman" w:hAnsi="Times New Roman" w:eastAsia="宋体" w:cs="Times New Roman"/>
          <w:bCs/>
          <w:sz w:val="24"/>
        </w:rPr>
        <w:t>2002―2021</w:t>
      </w:r>
      <w:r>
        <w:rPr>
          <w:rFonts w:hint="eastAsia" w:ascii="Times New Roman" w:hAnsi="Times New Roman" w:eastAsia="宋体" w:cs="Times New Roman"/>
          <w:bCs/>
          <w:sz w:val="24"/>
        </w:rPr>
        <w:t>年）统计结果表明，多年平均气温</w:t>
      </w:r>
      <w:r>
        <w:rPr>
          <w:rFonts w:ascii="Times New Roman" w:hAnsi="Times New Roman" w:eastAsia="宋体" w:cs="Times New Roman"/>
          <w:bCs/>
          <w:sz w:val="24"/>
        </w:rPr>
        <w:t>14.3</w:t>
      </w:r>
      <w:r>
        <w:rPr>
          <w:rFonts w:hint="eastAsia" w:ascii="Times New Roman" w:hAnsi="Times New Roman" w:eastAsia="宋体" w:cs="Times New Roman"/>
          <w:bCs/>
          <w:sz w:val="24"/>
        </w:rPr>
        <w:t>℃，极端最低气温</w:t>
      </w:r>
      <w:r>
        <w:rPr>
          <w:rFonts w:ascii="Times New Roman" w:hAnsi="Times New Roman" w:eastAsia="宋体" w:cs="Times New Roman"/>
          <w:bCs/>
          <w:sz w:val="24"/>
        </w:rPr>
        <w:t>-17.1</w:t>
      </w:r>
      <w:r>
        <w:rPr>
          <w:rFonts w:hint="eastAsia" w:ascii="Times New Roman" w:hAnsi="Times New Roman" w:eastAsia="宋体" w:cs="Times New Roman"/>
          <w:bCs/>
          <w:sz w:val="24"/>
        </w:rPr>
        <w:t>℃（出现在</w:t>
      </w:r>
      <w:r>
        <w:rPr>
          <w:rFonts w:ascii="Times New Roman" w:hAnsi="Times New Roman" w:eastAsia="宋体" w:cs="Times New Roman"/>
          <w:bCs/>
          <w:sz w:val="24"/>
        </w:rPr>
        <w:t>2021.1.7</w:t>
      </w:r>
      <w:r>
        <w:rPr>
          <w:rFonts w:hint="eastAsia" w:ascii="Times New Roman" w:hAnsi="Times New Roman" w:eastAsia="宋体" w:cs="Times New Roman"/>
          <w:bCs/>
          <w:sz w:val="24"/>
        </w:rPr>
        <w:t>），极端最高气温为</w:t>
      </w:r>
      <w:r>
        <w:rPr>
          <w:rFonts w:ascii="Times New Roman" w:hAnsi="Times New Roman" w:eastAsia="宋体" w:cs="Times New Roman"/>
          <w:bCs/>
          <w:sz w:val="24"/>
        </w:rPr>
        <w:t>41.4</w:t>
      </w:r>
      <w:r>
        <w:rPr>
          <w:rFonts w:hint="eastAsia" w:ascii="Times New Roman" w:hAnsi="Times New Roman" w:eastAsia="宋体" w:cs="Times New Roman"/>
          <w:bCs/>
          <w:sz w:val="24"/>
        </w:rPr>
        <w:t>℃（出现在</w:t>
      </w:r>
      <w:r>
        <w:rPr>
          <w:rFonts w:ascii="Times New Roman" w:hAnsi="Times New Roman" w:eastAsia="宋体" w:cs="Times New Roman"/>
          <w:bCs/>
          <w:sz w:val="24"/>
        </w:rPr>
        <w:t>2009.6.25</w:t>
      </w:r>
      <w:r>
        <w:rPr>
          <w:rFonts w:hint="eastAsia" w:ascii="Times New Roman" w:hAnsi="Times New Roman" w:eastAsia="宋体" w:cs="Times New Roman"/>
          <w:bCs/>
          <w:sz w:val="24"/>
        </w:rPr>
        <w:t>）。年平均日照时数</w:t>
      </w:r>
      <w:r>
        <w:rPr>
          <w:rFonts w:ascii="Times New Roman" w:hAnsi="Times New Roman" w:eastAsia="宋体" w:cs="Times New Roman"/>
          <w:bCs/>
          <w:sz w:val="24"/>
        </w:rPr>
        <w:t>2135.8h</w:t>
      </w:r>
      <w:r>
        <w:rPr>
          <w:rFonts w:hint="eastAsia" w:ascii="Times New Roman" w:hAnsi="Times New Roman" w:eastAsia="宋体" w:cs="Times New Roman"/>
          <w:bCs/>
          <w:sz w:val="24"/>
        </w:rPr>
        <w:t>；全年霜爆天数</w:t>
      </w:r>
      <w:r>
        <w:rPr>
          <w:rFonts w:ascii="Times New Roman" w:hAnsi="Times New Roman" w:eastAsia="宋体" w:cs="Times New Roman"/>
          <w:bCs/>
          <w:sz w:val="24"/>
        </w:rPr>
        <w:t>17.6</w:t>
      </w:r>
      <w:r>
        <w:rPr>
          <w:rFonts w:hint="eastAsia" w:ascii="Times New Roman" w:hAnsi="Times New Roman" w:eastAsia="宋体" w:cs="Times New Roman"/>
          <w:bCs/>
          <w:sz w:val="24"/>
        </w:rPr>
        <w:t>天。多年平均降水量</w:t>
      </w:r>
      <w:r>
        <w:rPr>
          <w:rFonts w:ascii="Times New Roman" w:hAnsi="Times New Roman" w:eastAsia="宋体" w:cs="Times New Roman"/>
          <w:bCs/>
          <w:sz w:val="24"/>
        </w:rPr>
        <w:t>657.9mm</w:t>
      </w:r>
      <w:r>
        <w:rPr>
          <w:rFonts w:hint="eastAsia" w:ascii="Times New Roman" w:hAnsi="Times New Roman" w:eastAsia="宋体" w:cs="Times New Roman"/>
          <w:bCs/>
          <w:sz w:val="24"/>
        </w:rPr>
        <w:t>之间，最大日降水量</w:t>
      </w:r>
      <w:r>
        <w:rPr>
          <w:rFonts w:ascii="Times New Roman" w:hAnsi="Times New Roman" w:eastAsia="宋体" w:cs="Times New Roman"/>
          <w:bCs/>
          <w:sz w:val="24"/>
        </w:rPr>
        <w:t>147mm</w:t>
      </w:r>
      <w:r>
        <w:rPr>
          <w:rFonts w:hint="eastAsia" w:ascii="Times New Roman" w:hAnsi="Times New Roman" w:eastAsia="宋体" w:cs="Times New Roman"/>
          <w:bCs/>
          <w:sz w:val="24"/>
        </w:rPr>
        <w:t>（出现在</w:t>
      </w:r>
      <w:r>
        <w:rPr>
          <w:rFonts w:ascii="Times New Roman" w:hAnsi="Times New Roman" w:eastAsia="宋体" w:cs="Times New Roman"/>
          <w:bCs/>
          <w:sz w:val="24"/>
        </w:rPr>
        <w:t>2010.9.7</w:t>
      </w:r>
      <w:r>
        <w:rPr>
          <w:rFonts w:hint="eastAsia" w:ascii="Times New Roman" w:hAnsi="Times New Roman" w:eastAsia="宋体" w:cs="Times New Roman"/>
          <w:bCs/>
          <w:sz w:val="24"/>
        </w:rPr>
        <w:t>），最小年降水量</w:t>
      </w:r>
      <w:r>
        <w:rPr>
          <w:rFonts w:ascii="Times New Roman" w:hAnsi="Times New Roman" w:eastAsia="宋体" w:cs="Times New Roman"/>
          <w:bCs/>
          <w:sz w:val="24"/>
        </w:rPr>
        <w:t>413.7mm</w:t>
      </w:r>
      <w:r>
        <w:rPr>
          <w:rFonts w:hint="eastAsia" w:ascii="Times New Roman" w:hAnsi="Times New Roman" w:eastAsia="宋体" w:cs="Times New Roman"/>
          <w:bCs/>
          <w:sz w:val="24"/>
        </w:rPr>
        <w:t>（出现在</w:t>
      </w:r>
      <w:r>
        <w:rPr>
          <w:rFonts w:ascii="Times New Roman" w:hAnsi="Times New Roman" w:eastAsia="宋体" w:cs="Times New Roman"/>
          <w:bCs/>
          <w:sz w:val="24"/>
        </w:rPr>
        <w:t>2012</w:t>
      </w:r>
      <w:r>
        <w:rPr>
          <w:rFonts w:hint="eastAsia" w:ascii="Times New Roman" w:hAnsi="Times New Roman" w:eastAsia="宋体" w:cs="Times New Roman"/>
          <w:bCs/>
          <w:sz w:val="24"/>
        </w:rPr>
        <w:t>年）。</w:t>
      </w:r>
    </w:p>
    <w:p w14:paraId="275E6704">
      <w:pPr>
        <w:numPr>
          <w:ilvl w:val="0"/>
          <w:numId w:val="59"/>
        </w:numPr>
        <w:autoSpaceDE w:val="0"/>
        <w:autoSpaceDN w:val="0"/>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 xml:space="preserve">  濮阳市近20年气象要素统计表</w:t>
      </w:r>
    </w:p>
    <w:tbl>
      <w:tblPr>
        <w:tblStyle w:val="30"/>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4"/>
        <w:gridCol w:w="545"/>
        <w:gridCol w:w="557"/>
        <w:gridCol w:w="557"/>
        <w:gridCol w:w="557"/>
        <w:gridCol w:w="557"/>
        <w:gridCol w:w="557"/>
        <w:gridCol w:w="557"/>
        <w:gridCol w:w="557"/>
        <w:gridCol w:w="557"/>
        <w:gridCol w:w="557"/>
        <w:gridCol w:w="557"/>
        <w:gridCol w:w="557"/>
        <w:gridCol w:w="557"/>
        <w:gridCol w:w="562"/>
      </w:tblGrid>
      <w:tr w14:paraId="7159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1219" w:type="dxa"/>
            <w:gridSpan w:val="2"/>
            <w:tcBorders>
              <w:tl2br w:val="nil"/>
              <w:tr2bl w:val="nil"/>
            </w:tcBorders>
            <w:vAlign w:val="center"/>
          </w:tcPr>
          <w:p w14:paraId="02D4DA4C">
            <w:pPr>
              <w:jc w:val="center"/>
              <w:rPr>
                <w:rFonts w:ascii="Times New Roman" w:hAnsi="Times New Roman" w:cs="Times New Roman"/>
                <w:szCs w:val="21"/>
              </w:rPr>
            </w:pPr>
            <w:r>
              <w:rPr>
                <w:rFonts w:ascii="Times New Roman" w:hAnsi="Times New Roman" w:cs="Times New Roman"/>
                <w:szCs w:val="21"/>
              </w:rPr>
              <w:t>月份</w:t>
            </w:r>
          </w:p>
        </w:tc>
        <w:tc>
          <w:tcPr>
            <w:tcW w:w="557" w:type="dxa"/>
            <w:tcBorders>
              <w:tl2br w:val="nil"/>
              <w:tr2bl w:val="nil"/>
            </w:tcBorders>
            <w:vAlign w:val="center"/>
          </w:tcPr>
          <w:p w14:paraId="01D7DE32">
            <w:pPr>
              <w:jc w:val="center"/>
              <w:rPr>
                <w:rFonts w:ascii="Times New Roman" w:hAnsi="Times New Roman" w:cs="Times New Roman"/>
                <w:szCs w:val="21"/>
              </w:rPr>
            </w:pPr>
            <w:r>
              <w:rPr>
                <w:rFonts w:ascii="Times New Roman" w:hAnsi="Times New Roman" w:cs="Times New Roman"/>
                <w:szCs w:val="21"/>
              </w:rPr>
              <w:t>1</w:t>
            </w:r>
          </w:p>
        </w:tc>
        <w:tc>
          <w:tcPr>
            <w:tcW w:w="557" w:type="dxa"/>
            <w:tcBorders>
              <w:tl2br w:val="nil"/>
              <w:tr2bl w:val="nil"/>
            </w:tcBorders>
            <w:vAlign w:val="center"/>
          </w:tcPr>
          <w:p w14:paraId="3F9A0973">
            <w:pPr>
              <w:jc w:val="center"/>
              <w:rPr>
                <w:rFonts w:ascii="Times New Roman" w:hAnsi="Times New Roman" w:cs="Times New Roman"/>
                <w:szCs w:val="21"/>
              </w:rPr>
            </w:pPr>
            <w:r>
              <w:rPr>
                <w:rFonts w:ascii="Times New Roman" w:hAnsi="Times New Roman" w:cs="Times New Roman"/>
                <w:szCs w:val="21"/>
              </w:rPr>
              <w:t>2</w:t>
            </w:r>
          </w:p>
        </w:tc>
        <w:tc>
          <w:tcPr>
            <w:tcW w:w="557" w:type="dxa"/>
            <w:tcBorders>
              <w:tl2br w:val="nil"/>
              <w:tr2bl w:val="nil"/>
            </w:tcBorders>
            <w:vAlign w:val="center"/>
          </w:tcPr>
          <w:p w14:paraId="2DDCC5C4">
            <w:pPr>
              <w:jc w:val="center"/>
              <w:rPr>
                <w:rFonts w:ascii="Times New Roman" w:hAnsi="Times New Roman" w:cs="Times New Roman"/>
                <w:szCs w:val="21"/>
              </w:rPr>
            </w:pPr>
            <w:r>
              <w:rPr>
                <w:rFonts w:ascii="Times New Roman" w:hAnsi="Times New Roman" w:cs="Times New Roman"/>
                <w:szCs w:val="21"/>
              </w:rPr>
              <w:t>3</w:t>
            </w:r>
          </w:p>
        </w:tc>
        <w:tc>
          <w:tcPr>
            <w:tcW w:w="557" w:type="dxa"/>
            <w:tcBorders>
              <w:tl2br w:val="nil"/>
              <w:tr2bl w:val="nil"/>
            </w:tcBorders>
            <w:vAlign w:val="center"/>
          </w:tcPr>
          <w:p w14:paraId="2B15B010">
            <w:pPr>
              <w:jc w:val="center"/>
              <w:rPr>
                <w:rFonts w:ascii="Times New Roman" w:hAnsi="Times New Roman" w:cs="Times New Roman"/>
                <w:szCs w:val="21"/>
              </w:rPr>
            </w:pPr>
            <w:r>
              <w:rPr>
                <w:rFonts w:ascii="Times New Roman" w:hAnsi="Times New Roman" w:cs="Times New Roman"/>
                <w:szCs w:val="21"/>
              </w:rPr>
              <w:t>4</w:t>
            </w:r>
          </w:p>
        </w:tc>
        <w:tc>
          <w:tcPr>
            <w:tcW w:w="557" w:type="dxa"/>
            <w:tcBorders>
              <w:tl2br w:val="nil"/>
              <w:tr2bl w:val="nil"/>
            </w:tcBorders>
            <w:vAlign w:val="center"/>
          </w:tcPr>
          <w:p w14:paraId="76ADA083">
            <w:pPr>
              <w:jc w:val="center"/>
              <w:rPr>
                <w:rFonts w:ascii="Times New Roman" w:hAnsi="Times New Roman" w:cs="Times New Roman"/>
                <w:szCs w:val="21"/>
              </w:rPr>
            </w:pPr>
            <w:r>
              <w:rPr>
                <w:rFonts w:ascii="Times New Roman" w:hAnsi="Times New Roman" w:cs="Times New Roman"/>
                <w:szCs w:val="21"/>
              </w:rPr>
              <w:t>5</w:t>
            </w:r>
          </w:p>
        </w:tc>
        <w:tc>
          <w:tcPr>
            <w:tcW w:w="557" w:type="dxa"/>
            <w:tcBorders>
              <w:tl2br w:val="nil"/>
              <w:tr2bl w:val="nil"/>
            </w:tcBorders>
            <w:vAlign w:val="center"/>
          </w:tcPr>
          <w:p w14:paraId="79B14423">
            <w:pPr>
              <w:jc w:val="center"/>
              <w:rPr>
                <w:rFonts w:ascii="Times New Roman" w:hAnsi="Times New Roman" w:cs="Times New Roman"/>
                <w:szCs w:val="21"/>
              </w:rPr>
            </w:pPr>
            <w:r>
              <w:rPr>
                <w:rFonts w:ascii="Times New Roman" w:hAnsi="Times New Roman" w:cs="Times New Roman"/>
                <w:szCs w:val="21"/>
              </w:rPr>
              <w:t>6</w:t>
            </w:r>
          </w:p>
        </w:tc>
        <w:tc>
          <w:tcPr>
            <w:tcW w:w="557" w:type="dxa"/>
            <w:tcBorders>
              <w:tl2br w:val="nil"/>
              <w:tr2bl w:val="nil"/>
            </w:tcBorders>
            <w:vAlign w:val="center"/>
          </w:tcPr>
          <w:p w14:paraId="460A0BC5">
            <w:pPr>
              <w:jc w:val="center"/>
              <w:rPr>
                <w:rFonts w:ascii="Times New Roman" w:hAnsi="Times New Roman" w:cs="Times New Roman"/>
                <w:szCs w:val="21"/>
              </w:rPr>
            </w:pPr>
            <w:r>
              <w:rPr>
                <w:rFonts w:ascii="Times New Roman" w:hAnsi="Times New Roman" w:cs="Times New Roman"/>
                <w:szCs w:val="21"/>
              </w:rPr>
              <w:t>7</w:t>
            </w:r>
          </w:p>
        </w:tc>
        <w:tc>
          <w:tcPr>
            <w:tcW w:w="557" w:type="dxa"/>
            <w:tcBorders>
              <w:tl2br w:val="nil"/>
              <w:tr2bl w:val="nil"/>
            </w:tcBorders>
            <w:vAlign w:val="center"/>
          </w:tcPr>
          <w:p w14:paraId="3CA5F61B">
            <w:pPr>
              <w:jc w:val="center"/>
              <w:rPr>
                <w:rFonts w:ascii="Times New Roman" w:hAnsi="Times New Roman" w:cs="Times New Roman"/>
                <w:szCs w:val="21"/>
              </w:rPr>
            </w:pPr>
            <w:r>
              <w:rPr>
                <w:rFonts w:ascii="Times New Roman" w:hAnsi="Times New Roman" w:cs="Times New Roman"/>
                <w:szCs w:val="21"/>
              </w:rPr>
              <w:t>8</w:t>
            </w:r>
          </w:p>
        </w:tc>
        <w:tc>
          <w:tcPr>
            <w:tcW w:w="557" w:type="dxa"/>
            <w:tcBorders>
              <w:tl2br w:val="nil"/>
              <w:tr2bl w:val="nil"/>
            </w:tcBorders>
            <w:vAlign w:val="center"/>
          </w:tcPr>
          <w:p w14:paraId="25F15D44">
            <w:pPr>
              <w:jc w:val="center"/>
              <w:rPr>
                <w:rFonts w:ascii="Times New Roman" w:hAnsi="Times New Roman" w:cs="Times New Roman"/>
                <w:szCs w:val="21"/>
              </w:rPr>
            </w:pPr>
            <w:r>
              <w:rPr>
                <w:rFonts w:ascii="Times New Roman" w:hAnsi="Times New Roman" w:cs="Times New Roman"/>
                <w:szCs w:val="21"/>
              </w:rPr>
              <w:t>9</w:t>
            </w:r>
          </w:p>
        </w:tc>
        <w:tc>
          <w:tcPr>
            <w:tcW w:w="557" w:type="dxa"/>
            <w:tcBorders>
              <w:tl2br w:val="nil"/>
              <w:tr2bl w:val="nil"/>
            </w:tcBorders>
            <w:vAlign w:val="center"/>
          </w:tcPr>
          <w:p w14:paraId="35CB03B0">
            <w:pPr>
              <w:jc w:val="center"/>
              <w:rPr>
                <w:rFonts w:ascii="Times New Roman" w:hAnsi="Times New Roman" w:cs="Times New Roman"/>
                <w:szCs w:val="21"/>
              </w:rPr>
            </w:pPr>
            <w:r>
              <w:rPr>
                <w:rFonts w:ascii="Times New Roman" w:hAnsi="Times New Roman" w:cs="Times New Roman"/>
                <w:szCs w:val="21"/>
              </w:rPr>
              <w:t>10</w:t>
            </w:r>
          </w:p>
        </w:tc>
        <w:tc>
          <w:tcPr>
            <w:tcW w:w="557" w:type="dxa"/>
            <w:tcBorders>
              <w:tl2br w:val="nil"/>
              <w:tr2bl w:val="nil"/>
            </w:tcBorders>
            <w:vAlign w:val="center"/>
          </w:tcPr>
          <w:p w14:paraId="27584DD1">
            <w:pPr>
              <w:jc w:val="center"/>
              <w:rPr>
                <w:rFonts w:ascii="Times New Roman" w:hAnsi="Times New Roman" w:cs="Times New Roman"/>
                <w:szCs w:val="21"/>
              </w:rPr>
            </w:pPr>
            <w:r>
              <w:rPr>
                <w:rFonts w:ascii="Times New Roman" w:hAnsi="Times New Roman" w:cs="Times New Roman"/>
                <w:szCs w:val="21"/>
              </w:rPr>
              <w:t>11</w:t>
            </w:r>
          </w:p>
        </w:tc>
        <w:tc>
          <w:tcPr>
            <w:tcW w:w="557" w:type="dxa"/>
            <w:tcBorders>
              <w:tl2br w:val="nil"/>
              <w:tr2bl w:val="nil"/>
            </w:tcBorders>
            <w:vAlign w:val="center"/>
          </w:tcPr>
          <w:p w14:paraId="5FDCBD08">
            <w:pPr>
              <w:jc w:val="center"/>
              <w:rPr>
                <w:rFonts w:ascii="Times New Roman" w:hAnsi="Times New Roman" w:cs="Times New Roman"/>
                <w:szCs w:val="21"/>
              </w:rPr>
            </w:pPr>
            <w:r>
              <w:rPr>
                <w:rFonts w:ascii="Times New Roman" w:hAnsi="Times New Roman" w:cs="Times New Roman"/>
                <w:szCs w:val="21"/>
              </w:rPr>
              <w:t>12</w:t>
            </w:r>
          </w:p>
        </w:tc>
        <w:tc>
          <w:tcPr>
            <w:tcW w:w="562" w:type="dxa"/>
            <w:tcBorders>
              <w:tl2br w:val="nil"/>
              <w:tr2bl w:val="nil"/>
            </w:tcBorders>
            <w:vAlign w:val="center"/>
          </w:tcPr>
          <w:p w14:paraId="005BE745">
            <w:pPr>
              <w:jc w:val="center"/>
              <w:rPr>
                <w:rFonts w:ascii="Times New Roman" w:hAnsi="Times New Roman" w:cs="Times New Roman"/>
                <w:szCs w:val="21"/>
              </w:rPr>
            </w:pPr>
            <w:r>
              <w:rPr>
                <w:rFonts w:ascii="Times New Roman" w:hAnsi="Times New Roman" w:cs="Times New Roman"/>
                <w:szCs w:val="21"/>
              </w:rPr>
              <w:t>全年</w:t>
            </w:r>
          </w:p>
        </w:tc>
      </w:tr>
      <w:tr w14:paraId="59B4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674" w:type="dxa"/>
            <w:vMerge w:val="restart"/>
            <w:tcBorders>
              <w:tl2br w:val="nil"/>
              <w:tr2bl w:val="nil"/>
            </w:tcBorders>
            <w:vAlign w:val="center"/>
          </w:tcPr>
          <w:p w14:paraId="450E31F5">
            <w:pPr>
              <w:jc w:val="center"/>
              <w:rPr>
                <w:rFonts w:ascii="Times New Roman" w:hAnsi="Times New Roman" w:cs="Times New Roman"/>
                <w:szCs w:val="21"/>
              </w:rPr>
            </w:pPr>
            <w:r>
              <w:rPr>
                <w:rFonts w:ascii="Times New Roman" w:hAnsi="Times New Roman" w:cs="Times New Roman"/>
                <w:szCs w:val="21"/>
              </w:rPr>
              <w:t>气温</w:t>
            </w:r>
          </w:p>
          <w:p w14:paraId="75A37A98">
            <w:pPr>
              <w:jc w:val="center"/>
              <w:rPr>
                <w:rFonts w:ascii="Times New Roman" w:hAnsi="Times New Roman" w:cs="Times New Roman"/>
                <w:szCs w:val="21"/>
              </w:rPr>
            </w:pPr>
            <w:r>
              <w:rPr>
                <w:rFonts w:ascii="Times New Roman" w:hAnsi="Times New Roman" w:cs="Times New Roman"/>
                <w:szCs w:val="21"/>
              </w:rPr>
              <w:t>（℃）</w:t>
            </w:r>
          </w:p>
        </w:tc>
        <w:tc>
          <w:tcPr>
            <w:tcW w:w="545" w:type="dxa"/>
            <w:tcBorders>
              <w:tl2br w:val="nil"/>
              <w:tr2bl w:val="nil"/>
            </w:tcBorders>
            <w:vAlign w:val="center"/>
          </w:tcPr>
          <w:p w14:paraId="425B9B4A">
            <w:pPr>
              <w:jc w:val="center"/>
              <w:rPr>
                <w:rFonts w:ascii="Times New Roman" w:hAnsi="Times New Roman" w:cs="Times New Roman"/>
                <w:szCs w:val="21"/>
              </w:rPr>
            </w:pPr>
            <w:r>
              <w:rPr>
                <w:rFonts w:ascii="Times New Roman" w:hAnsi="Times New Roman" w:cs="Times New Roman"/>
                <w:szCs w:val="21"/>
              </w:rPr>
              <w:t>平均</w:t>
            </w:r>
          </w:p>
        </w:tc>
        <w:tc>
          <w:tcPr>
            <w:tcW w:w="557" w:type="dxa"/>
            <w:tcBorders>
              <w:tl2br w:val="nil"/>
              <w:tr2bl w:val="nil"/>
            </w:tcBorders>
            <w:vAlign w:val="center"/>
          </w:tcPr>
          <w:p w14:paraId="2616A9F1">
            <w:pPr>
              <w:jc w:val="center"/>
              <w:rPr>
                <w:rFonts w:ascii="Times New Roman" w:hAnsi="Times New Roman" w:cs="Times New Roman"/>
                <w:szCs w:val="21"/>
              </w:rPr>
            </w:pPr>
            <w:r>
              <w:rPr>
                <w:rFonts w:ascii="Times New Roman" w:hAnsi="Times New Roman" w:cs="Times New Roman"/>
                <w:szCs w:val="21"/>
              </w:rPr>
              <w:t>-1.6</w:t>
            </w:r>
          </w:p>
        </w:tc>
        <w:tc>
          <w:tcPr>
            <w:tcW w:w="557" w:type="dxa"/>
            <w:tcBorders>
              <w:tl2br w:val="nil"/>
              <w:tr2bl w:val="nil"/>
            </w:tcBorders>
            <w:vAlign w:val="center"/>
          </w:tcPr>
          <w:p w14:paraId="1A3CDD5C">
            <w:pPr>
              <w:jc w:val="center"/>
              <w:rPr>
                <w:rFonts w:ascii="Times New Roman" w:hAnsi="Times New Roman" w:cs="Times New Roman"/>
                <w:szCs w:val="21"/>
              </w:rPr>
            </w:pPr>
            <w:r>
              <w:rPr>
                <w:rFonts w:ascii="Times New Roman" w:hAnsi="Times New Roman" w:cs="Times New Roman"/>
                <w:szCs w:val="21"/>
              </w:rPr>
              <w:t>1.5</w:t>
            </w:r>
          </w:p>
        </w:tc>
        <w:tc>
          <w:tcPr>
            <w:tcW w:w="557" w:type="dxa"/>
            <w:tcBorders>
              <w:tl2br w:val="nil"/>
              <w:tr2bl w:val="nil"/>
            </w:tcBorders>
            <w:vAlign w:val="center"/>
          </w:tcPr>
          <w:p w14:paraId="1185E4CB">
            <w:pPr>
              <w:jc w:val="center"/>
              <w:rPr>
                <w:rFonts w:ascii="Times New Roman" w:hAnsi="Times New Roman" w:cs="Times New Roman"/>
                <w:szCs w:val="21"/>
              </w:rPr>
            </w:pPr>
            <w:r>
              <w:rPr>
                <w:rFonts w:ascii="Times New Roman" w:hAnsi="Times New Roman" w:cs="Times New Roman"/>
                <w:szCs w:val="21"/>
              </w:rPr>
              <w:t>7.3</w:t>
            </w:r>
          </w:p>
        </w:tc>
        <w:tc>
          <w:tcPr>
            <w:tcW w:w="557" w:type="dxa"/>
            <w:tcBorders>
              <w:tl2br w:val="nil"/>
              <w:tr2bl w:val="nil"/>
            </w:tcBorders>
            <w:vAlign w:val="center"/>
          </w:tcPr>
          <w:p w14:paraId="7B929D1F">
            <w:pPr>
              <w:jc w:val="center"/>
              <w:rPr>
                <w:rFonts w:ascii="Times New Roman" w:hAnsi="Times New Roman" w:cs="Times New Roman"/>
                <w:szCs w:val="21"/>
              </w:rPr>
            </w:pPr>
            <w:r>
              <w:rPr>
                <w:rFonts w:ascii="Times New Roman" w:hAnsi="Times New Roman" w:cs="Times New Roman"/>
                <w:szCs w:val="21"/>
              </w:rPr>
              <w:t>14.8</w:t>
            </w:r>
          </w:p>
        </w:tc>
        <w:tc>
          <w:tcPr>
            <w:tcW w:w="557" w:type="dxa"/>
            <w:tcBorders>
              <w:tl2br w:val="nil"/>
              <w:tr2bl w:val="nil"/>
            </w:tcBorders>
            <w:vAlign w:val="center"/>
          </w:tcPr>
          <w:p w14:paraId="392A8F0F">
            <w:pPr>
              <w:jc w:val="center"/>
              <w:rPr>
                <w:rFonts w:ascii="Times New Roman" w:hAnsi="Times New Roman" w:cs="Times New Roman"/>
                <w:szCs w:val="21"/>
              </w:rPr>
            </w:pPr>
            <w:r>
              <w:rPr>
                <w:rFonts w:ascii="Times New Roman" w:hAnsi="Times New Roman" w:cs="Times New Roman"/>
                <w:szCs w:val="21"/>
              </w:rPr>
              <w:t>20.2</w:t>
            </w:r>
          </w:p>
        </w:tc>
        <w:tc>
          <w:tcPr>
            <w:tcW w:w="557" w:type="dxa"/>
            <w:tcBorders>
              <w:tl2br w:val="nil"/>
              <w:tr2bl w:val="nil"/>
            </w:tcBorders>
            <w:vAlign w:val="center"/>
          </w:tcPr>
          <w:p w14:paraId="06ACE4BD">
            <w:pPr>
              <w:jc w:val="center"/>
              <w:rPr>
                <w:rFonts w:ascii="Times New Roman" w:hAnsi="Times New Roman" w:cs="Times New Roman"/>
                <w:szCs w:val="21"/>
              </w:rPr>
            </w:pPr>
            <w:r>
              <w:rPr>
                <w:rFonts w:ascii="Times New Roman" w:hAnsi="Times New Roman" w:cs="Times New Roman"/>
                <w:szCs w:val="21"/>
              </w:rPr>
              <w:t>25.3</w:t>
            </w:r>
          </w:p>
        </w:tc>
        <w:tc>
          <w:tcPr>
            <w:tcW w:w="557" w:type="dxa"/>
            <w:tcBorders>
              <w:tl2br w:val="nil"/>
              <w:tr2bl w:val="nil"/>
            </w:tcBorders>
            <w:vAlign w:val="center"/>
          </w:tcPr>
          <w:p w14:paraId="2B21DD1F">
            <w:pPr>
              <w:jc w:val="center"/>
              <w:rPr>
                <w:rFonts w:ascii="Times New Roman" w:hAnsi="Times New Roman" w:cs="Times New Roman"/>
                <w:szCs w:val="21"/>
              </w:rPr>
            </w:pPr>
            <w:r>
              <w:rPr>
                <w:rFonts w:ascii="Times New Roman" w:hAnsi="Times New Roman" w:cs="Times New Roman"/>
                <w:szCs w:val="21"/>
              </w:rPr>
              <w:t>26.8</w:t>
            </w:r>
          </w:p>
        </w:tc>
        <w:tc>
          <w:tcPr>
            <w:tcW w:w="557" w:type="dxa"/>
            <w:tcBorders>
              <w:tl2br w:val="nil"/>
              <w:tr2bl w:val="nil"/>
            </w:tcBorders>
            <w:vAlign w:val="center"/>
          </w:tcPr>
          <w:p w14:paraId="36A441DD">
            <w:pPr>
              <w:jc w:val="center"/>
              <w:rPr>
                <w:rFonts w:ascii="Times New Roman" w:hAnsi="Times New Roman" w:cs="Times New Roman"/>
                <w:szCs w:val="21"/>
              </w:rPr>
            </w:pPr>
            <w:r>
              <w:rPr>
                <w:rFonts w:ascii="Times New Roman" w:hAnsi="Times New Roman" w:cs="Times New Roman"/>
                <w:szCs w:val="21"/>
              </w:rPr>
              <w:t>25.5</w:t>
            </w:r>
          </w:p>
        </w:tc>
        <w:tc>
          <w:tcPr>
            <w:tcW w:w="557" w:type="dxa"/>
            <w:tcBorders>
              <w:tl2br w:val="nil"/>
              <w:tr2bl w:val="nil"/>
            </w:tcBorders>
            <w:vAlign w:val="center"/>
          </w:tcPr>
          <w:p w14:paraId="4AB49715">
            <w:pPr>
              <w:jc w:val="center"/>
              <w:rPr>
                <w:rFonts w:ascii="Times New Roman" w:hAnsi="Times New Roman" w:cs="Times New Roman"/>
                <w:szCs w:val="21"/>
              </w:rPr>
            </w:pPr>
            <w:r>
              <w:rPr>
                <w:rFonts w:ascii="Times New Roman" w:hAnsi="Times New Roman" w:cs="Times New Roman"/>
                <w:szCs w:val="21"/>
              </w:rPr>
              <w:t>20.7</w:t>
            </w:r>
          </w:p>
        </w:tc>
        <w:tc>
          <w:tcPr>
            <w:tcW w:w="557" w:type="dxa"/>
            <w:tcBorders>
              <w:tl2br w:val="nil"/>
              <w:tr2bl w:val="nil"/>
            </w:tcBorders>
            <w:vAlign w:val="center"/>
          </w:tcPr>
          <w:p w14:paraId="6C820D17">
            <w:pPr>
              <w:jc w:val="center"/>
              <w:rPr>
                <w:rFonts w:ascii="Times New Roman" w:hAnsi="Times New Roman" w:cs="Times New Roman"/>
                <w:szCs w:val="21"/>
              </w:rPr>
            </w:pPr>
            <w:r>
              <w:rPr>
                <w:rFonts w:ascii="Times New Roman" w:hAnsi="Times New Roman" w:cs="Times New Roman"/>
                <w:szCs w:val="21"/>
              </w:rPr>
              <w:t>14.5</w:t>
            </w:r>
          </w:p>
        </w:tc>
        <w:tc>
          <w:tcPr>
            <w:tcW w:w="557" w:type="dxa"/>
            <w:tcBorders>
              <w:tl2br w:val="nil"/>
              <w:tr2bl w:val="nil"/>
            </w:tcBorders>
            <w:vAlign w:val="center"/>
          </w:tcPr>
          <w:p w14:paraId="71D7B7D8">
            <w:pPr>
              <w:jc w:val="center"/>
              <w:rPr>
                <w:rFonts w:ascii="Times New Roman" w:hAnsi="Times New Roman" w:cs="Times New Roman"/>
                <w:szCs w:val="21"/>
              </w:rPr>
            </w:pPr>
            <w:r>
              <w:rPr>
                <w:rFonts w:ascii="Times New Roman" w:hAnsi="Times New Roman" w:cs="Times New Roman"/>
                <w:szCs w:val="21"/>
              </w:rPr>
              <w:t>6.7</w:t>
            </w:r>
          </w:p>
        </w:tc>
        <w:tc>
          <w:tcPr>
            <w:tcW w:w="557" w:type="dxa"/>
            <w:tcBorders>
              <w:tl2br w:val="nil"/>
              <w:tr2bl w:val="nil"/>
            </w:tcBorders>
            <w:vAlign w:val="center"/>
          </w:tcPr>
          <w:p w14:paraId="3A7AA68B">
            <w:pPr>
              <w:jc w:val="center"/>
              <w:rPr>
                <w:rFonts w:ascii="Times New Roman" w:hAnsi="Times New Roman" w:cs="Times New Roman"/>
                <w:szCs w:val="21"/>
              </w:rPr>
            </w:pPr>
            <w:r>
              <w:rPr>
                <w:rFonts w:ascii="Times New Roman" w:hAnsi="Times New Roman" w:cs="Times New Roman"/>
                <w:szCs w:val="21"/>
              </w:rPr>
              <w:t>0.6</w:t>
            </w:r>
          </w:p>
        </w:tc>
        <w:tc>
          <w:tcPr>
            <w:tcW w:w="562" w:type="dxa"/>
            <w:tcBorders>
              <w:tl2br w:val="nil"/>
              <w:tr2bl w:val="nil"/>
            </w:tcBorders>
            <w:vAlign w:val="center"/>
          </w:tcPr>
          <w:p w14:paraId="00107B94">
            <w:pPr>
              <w:jc w:val="center"/>
              <w:rPr>
                <w:rFonts w:ascii="Times New Roman" w:hAnsi="Times New Roman" w:cs="Times New Roman"/>
                <w:szCs w:val="21"/>
              </w:rPr>
            </w:pPr>
            <w:r>
              <w:rPr>
                <w:rFonts w:ascii="Times New Roman" w:hAnsi="Times New Roman" w:cs="Times New Roman"/>
                <w:szCs w:val="21"/>
              </w:rPr>
              <w:t>13.5</w:t>
            </w:r>
          </w:p>
        </w:tc>
      </w:tr>
      <w:tr w14:paraId="3706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4" w:hRule="atLeast"/>
          <w:jc w:val="center"/>
        </w:trPr>
        <w:tc>
          <w:tcPr>
            <w:tcW w:w="674" w:type="dxa"/>
            <w:vMerge w:val="continue"/>
            <w:tcBorders>
              <w:tl2br w:val="nil"/>
              <w:tr2bl w:val="nil"/>
            </w:tcBorders>
            <w:vAlign w:val="center"/>
          </w:tcPr>
          <w:p w14:paraId="37F045E2">
            <w:pPr>
              <w:jc w:val="center"/>
              <w:rPr>
                <w:rFonts w:ascii="Times New Roman" w:hAnsi="Times New Roman" w:cs="Times New Roman"/>
                <w:szCs w:val="21"/>
              </w:rPr>
            </w:pPr>
          </w:p>
        </w:tc>
        <w:tc>
          <w:tcPr>
            <w:tcW w:w="545" w:type="dxa"/>
            <w:tcBorders>
              <w:tl2br w:val="nil"/>
              <w:tr2bl w:val="nil"/>
            </w:tcBorders>
            <w:vAlign w:val="center"/>
          </w:tcPr>
          <w:p w14:paraId="7AF405BA">
            <w:pPr>
              <w:jc w:val="center"/>
              <w:rPr>
                <w:rFonts w:ascii="Times New Roman" w:hAnsi="Times New Roman" w:cs="Times New Roman"/>
                <w:szCs w:val="21"/>
              </w:rPr>
            </w:pPr>
            <w:r>
              <w:rPr>
                <w:rFonts w:ascii="Times New Roman" w:hAnsi="Times New Roman" w:cs="Times New Roman"/>
                <w:szCs w:val="21"/>
              </w:rPr>
              <w:t>极端最高</w:t>
            </w:r>
          </w:p>
        </w:tc>
        <w:tc>
          <w:tcPr>
            <w:tcW w:w="557" w:type="dxa"/>
            <w:tcBorders>
              <w:tl2br w:val="nil"/>
              <w:tr2bl w:val="nil"/>
            </w:tcBorders>
            <w:vAlign w:val="center"/>
          </w:tcPr>
          <w:p w14:paraId="1BB7FCD5">
            <w:pPr>
              <w:jc w:val="center"/>
              <w:rPr>
                <w:rFonts w:ascii="Times New Roman" w:hAnsi="Times New Roman" w:cs="Times New Roman"/>
                <w:szCs w:val="21"/>
              </w:rPr>
            </w:pPr>
            <w:r>
              <w:rPr>
                <w:rFonts w:ascii="Times New Roman" w:hAnsi="Times New Roman" w:cs="Times New Roman"/>
                <w:szCs w:val="21"/>
              </w:rPr>
              <w:t>17.7</w:t>
            </w:r>
          </w:p>
        </w:tc>
        <w:tc>
          <w:tcPr>
            <w:tcW w:w="557" w:type="dxa"/>
            <w:tcBorders>
              <w:tl2br w:val="nil"/>
              <w:tr2bl w:val="nil"/>
            </w:tcBorders>
            <w:vAlign w:val="center"/>
          </w:tcPr>
          <w:p w14:paraId="5C192F69">
            <w:pPr>
              <w:jc w:val="center"/>
              <w:rPr>
                <w:rFonts w:ascii="Times New Roman" w:hAnsi="Times New Roman" w:cs="Times New Roman"/>
                <w:szCs w:val="21"/>
              </w:rPr>
            </w:pPr>
            <w:r>
              <w:rPr>
                <w:rFonts w:ascii="Times New Roman" w:hAnsi="Times New Roman" w:cs="Times New Roman"/>
                <w:szCs w:val="21"/>
              </w:rPr>
              <w:t>24.6</w:t>
            </w:r>
          </w:p>
        </w:tc>
        <w:tc>
          <w:tcPr>
            <w:tcW w:w="557" w:type="dxa"/>
            <w:tcBorders>
              <w:tl2br w:val="nil"/>
              <w:tr2bl w:val="nil"/>
            </w:tcBorders>
            <w:vAlign w:val="center"/>
          </w:tcPr>
          <w:p w14:paraId="017BCD9E">
            <w:pPr>
              <w:jc w:val="center"/>
              <w:rPr>
                <w:rFonts w:ascii="Times New Roman" w:hAnsi="Times New Roman" w:cs="Times New Roman"/>
                <w:szCs w:val="21"/>
              </w:rPr>
            </w:pPr>
            <w:r>
              <w:rPr>
                <w:rFonts w:ascii="Times New Roman" w:hAnsi="Times New Roman" w:cs="Times New Roman"/>
                <w:szCs w:val="21"/>
              </w:rPr>
              <w:t>27.6</w:t>
            </w:r>
          </w:p>
        </w:tc>
        <w:tc>
          <w:tcPr>
            <w:tcW w:w="557" w:type="dxa"/>
            <w:tcBorders>
              <w:tl2br w:val="nil"/>
              <w:tr2bl w:val="nil"/>
            </w:tcBorders>
            <w:vAlign w:val="center"/>
          </w:tcPr>
          <w:p w14:paraId="4323C623">
            <w:pPr>
              <w:jc w:val="center"/>
              <w:rPr>
                <w:rFonts w:ascii="Times New Roman" w:hAnsi="Times New Roman" w:cs="Times New Roman"/>
                <w:szCs w:val="21"/>
              </w:rPr>
            </w:pPr>
            <w:r>
              <w:rPr>
                <w:rFonts w:ascii="Times New Roman" w:hAnsi="Times New Roman" w:cs="Times New Roman"/>
                <w:szCs w:val="21"/>
              </w:rPr>
              <w:t>33.2</w:t>
            </w:r>
          </w:p>
        </w:tc>
        <w:tc>
          <w:tcPr>
            <w:tcW w:w="557" w:type="dxa"/>
            <w:tcBorders>
              <w:tl2br w:val="nil"/>
              <w:tr2bl w:val="nil"/>
            </w:tcBorders>
            <w:vAlign w:val="center"/>
          </w:tcPr>
          <w:p w14:paraId="72127A83">
            <w:pPr>
              <w:jc w:val="center"/>
              <w:rPr>
                <w:rFonts w:ascii="Times New Roman" w:hAnsi="Times New Roman" w:cs="Times New Roman"/>
                <w:szCs w:val="21"/>
              </w:rPr>
            </w:pPr>
            <w:r>
              <w:rPr>
                <w:rFonts w:ascii="Times New Roman" w:hAnsi="Times New Roman" w:cs="Times New Roman"/>
                <w:szCs w:val="21"/>
              </w:rPr>
              <w:t>38.4</w:t>
            </w:r>
          </w:p>
        </w:tc>
        <w:tc>
          <w:tcPr>
            <w:tcW w:w="557" w:type="dxa"/>
            <w:tcBorders>
              <w:tl2br w:val="nil"/>
              <w:tr2bl w:val="nil"/>
            </w:tcBorders>
            <w:vAlign w:val="center"/>
          </w:tcPr>
          <w:p w14:paraId="079653DD">
            <w:pPr>
              <w:jc w:val="center"/>
              <w:rPr>
                <w:rFonts w:ascii="Times New Roman" w:hAnsi="Times New Roman" w:cs="Times New Roman"/>
                <w:szCs w:val="21"/>
              </w:rPr>
            </w:pPr>
            <w:r>
              <w:rPr>
                <w:rFonts w:ascii="Times New Roman" w:hAnsi="Times New Roman" w:cs="Times New Roman"/>
                <w:szCs w:val="21"/>
              </w:rPr>
              <w:t>41.0</w:t>
            </w:r>
          </w:p>
        </w:tc>
        <w:tc>
          <w:tcPr>
            <w:tcW w:w="557" w:type="dxa"/>
            <w:tcBorders>
              <w:tl2br w:val="nil"/>
              <w:tr2bl w:val="nil"/>
            </w:tcBorders>
            <w:vAlign w:val="center"/>
          </w:tcPr>
          <w:p w14:paraId="31F467E1">
            <w:pPr>
              <w:jc w:val="center"/>
              <w:rPr>
                <w:rFonts w:ascii="Times New Roman" w:hAnsi="Times New Roman" w:cs="Times New Roman"/>
                <w:szCs w:val="21"/>
              </w:rPr>
            </w:pPr>
            <w:r>
              <w:rPr>
                <w:rFonts w:ascii="Times New Roman" w:hAnsi="Times New Roman" w:cs="Times New Roman"/>
                <w:szCs w:val="21"/>
              </w:rPr>
              <w:t>41.0</w:t>
            </w:r>
          </w:p>
        </w:tc>
        <w:tc>
          <w:tcPr>
            <w:tcW w:w="557" w:type="dxa"/>
            <w:tcBorders>
              <w:tl2br w:val="nil"/>
              <w:tr2bl w:val="nil"/>
            </w:tcBorders>
            <w:vAlign w:val="center"/>
          </w:tcPr>
          <w:p w14:paraId="1D1C016D">
            <w:pPr>
              <w:jc w:val="center"/>
              <w:rPr>
                <w:rFonts w:ascii="Times New Roman" w:hAnsi="Times New Roman" w:cs="Times New Roman"/>
                <w:szCs w:val="21"/>
              </w:rPr>
            </w:pPr>
            <w:r>
              <w:rPr>
                <w:rFonts w:ascii="Times New Roman" w:hAnsi="Times New Roman" w:cs="Times New Roman"/>
                <w:szCs w:val="21"/>
              </w:rPr>
              <w:t>37.3</w:t>
            </w:r>
          </w:p>
        </w:tc>
        <w:tc>
          <w:tcPr>
            <w:tcW w:w="557" w:type="dxa"/>
            <w:tcBorders>
              <w:tl2br w:val="nil"/>
              <w:tr2bl w:val="nil"/>
            </w:tcBorders>
            <w:vAlign w:val="center"/>
          </w:tcPr>
          <w:p w14:paraId="21240938">
            <w:pPr>
              <w:jc w:val="center"/>
              <w:rPr>
                <w:rFonts w:ascii="Times New Roman" w:hAnsi="Times New Roman" w:cs="Times New Roman"/>
                <w:szCs w:val="21"/>
              </w:rPr>
            </w:pPr>
            <w:r>
              <w:rPr>
                <w:rFonts w:ascii="Times New Roman" w:hAnsi="Times New Roman" w:cs="Times New Roman"/>
                <w:szCs w:val="21"/>
              </w:rPr>
              <w:t>36.4</w:t>
            </w:r>
          </w:p>
        </w:tc>
        <w:tc>
          <w:tcPr>
            <w:tcW w:w="557" w:type="dxa"/>
            <w:tcBorders>
              <w:tl2br w:val="nil"/>
              <w:tr2bl w:val="nil"/>
            </w:tcBorders>
            <w:vAlign w:val="center"/>
          </w:tcPr>
          <w:p w14:paraId="18ED810F">
            <w:pPr>
              <w:jc w:val="center"/>
              <w:rPr>
                <w:rFonts w:ascii="Times New Roman" w:hAnsi="Times New Roman" w:cs="Times New Roman"/>
                <w:szCs w:val="21"/>
              </w:rPr>
            </w:pPr>
            <w:r>
              <w:rPr>
                <w:rFonts w:ascii="Times New Roman" w:hAnsi="Times New Roman" w:cs="Times New Roman"/>
                <w:szCs w:val="21"/>
              </w:rPr>
              <w:t>34.7</w:t>
            </w:r>
          </w:p>
        </w:tc>
        <w:tc>
          <w:tcPr>
            <w:tcW w:w="557" w:type="dxa"/>
            <w:tcBorders>
              <w:tl2br w:val="nil"/>
              <w:tr2bl w:val="nil"/>
            </w:tcBorders>
            <w:vAlign w:val="center"/>
          </w:tcPr>
          <w:p w14:paraId="57A8E244">
            <w:pPr>
              <w:jc w:val="center"/>
              <w:rPr>
                <w:rFonts w:ascii="Times New Roman" w:hAnsi="Times New Roman" w:cs="Times New Roman"/>
                <w:szCs w:val="21"/>
              </w:rPr>
            </w:pPr>
            <w:r>
              <w:rPr>
                <w:rFonts w:ascii="Times New Roman" w:hAnsi="Times New Roman" w:cs="Times New Roman"/>
                <w:szCs w:val="21"/>
              </w:rPr>
              <w:t>26.8</w:t>
            </w:r>
          </w:p>
        </w:tc>
        <w:tc>
          <w:tcPr>
            <w:tcW w:w="557" w:type="dxa"/>
            <w:tcBorders>
              <w:tl2br w:val="nil"/>
              <w:tr2bl w:val="nil"/>
            </w:tcBorders>
            <w:vAlign w:val="center"/>
          </w:tcPr>
          <w:p w14:paraId="0F03B4A9">
            <w:pPr>
              <w:jc w:val="center"/>
              <w:rPr>
                <w:rFonts w:ascii="Times New Roman" w:hAnsi="Times New Roman" w:cs="Times New Roman"/>
                <w:szCs w:val="21"/>
              </w:rPr>
            </w:pPr>
            <w:r>
              <w:rPr>
                <w:rFonts w:ascii="Times New Roman" w:hAnsi="Times New Roman" w:cs="Times New Roman"/>
                <w:szCs w:val="21"/>
              </w:rPr>
              <w:t>22.9</w:t>
            </w:r>
          </w:p>
        </w:tc>
        <w:tc>
          <w:tcPr>
            <w:tcW w:w="562" w:type="dxa"/>
            <w:tcBorders>
              <w:tl2br w:val="nil"/>
              <w:tr2bl w:val="nil"/>
            </w:tcBorders>
            <w:vAlign w:val="center"/>
          </w:tcPr>
          <w:p w14:paraId="5A505B97">
            <w:pPr>
              <w:jc w:val="center"/>
              <w:rPr>
                <w:rFonts w:ascii="Times New Roman" w:hAnsi="Times New Roman" w:cs="Times New Roman"/>
                <w:szCs w:val="21"/>
              </w:rPr>
            </w:pPr>
            <w:r>
              <w:rPr>
                <w:rFonts w:ascii="Times New Roman" w:hAnsi="Times New Roman" w:cs="Times New Roman"/>
                <w:szCs w:val="21"/>
              </w:rPr>
              <w:t>41.0</w:t>
            </w:r>
          </w:p>
        </w:tc>
      </w:tr>
      <w:tr w14:paraId="1BA6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4" w:hRule="atLeast"/>
          <w:jc w:val="center"/>
        </w:trPr>
        <w:tc>
          <w:tcPr>
            <w:tcW w:w="674" w:type="dxa"/>
            <w:vMerge w:val="continue"/>
            <w:tcBorders>
              <w:tl2br w:val="nil"/>
              <w:tr2bl w:val="nil"/>
            </w:tcBorders>
            <w:vAlign w:val="center"/>
          </w:tcPr>
          <w:p w14:paraId="5E64BAEF">
            <w:pPr>
              <w:jc w:val="center"/>
              <w:rPr>
                <w:rFonts w:ascii="Times New Roman" w:hAnsi="Times New Roman" w:cs="Times New Roman"/>
                <w:szCs w:val="21"/>
              </w:rPr>
            </w:pPr>
          </w:p>
        </w:tc>
        <w:tc>
          <w:tcPr>
            <w:tcW w:w="545" w:type="dxa"/>
            <w:tcBorders>
              <w:tl2br w:val="nil"/>
              <w:tr2bl w:val="nil"/>
            </w:tcBorders>
            <w:vAlign w:val="center"/>
          </w:tcPr>
          <w:p w14:paraId="6B8C89B9">
            <w:pPr>
              <w:jc w:val="center"/>
              <w:rPr>
                <w:rFonts w:ascii="Times New Roman" w:hAnsi="Times New Roman" w:cs="Times New Roman"/>
                <w:szCs w:val="21"/>
              </w:rPr>
            </w:pPr>
            <w:r>
              <w:rPr>
                <w:rFonts w:ascii="Times New Roman" w:hAnsi="Times New Roman" w:cs="Times New Roman"/>
                <w:szCs w:val="21"/>
              </w:rPr>
              <w:t>极端最低</w:t>
            </w:r>
          </w:p>
        </w:tc>
        <w:tc>
          <w:tcPr>
            <w:tcW w:w="557" w:type="dxa"/>
            <w:tcBorders>
              <w:tl2br w:val="nil"/>
              <w:tr2bl w:val="nil"/>
            </w:tcBorders>
            <w:vAlign w:val="center"/>
          </w:tcPr>
          <w:p w14:paraId="54247D78">
            <w:pPr>
              <w:jc w:val="center"/>
              <w:rPr>
                <w:rFonts w:ascii="Times New Roman" w:hAnsi="Times New Roman" w:cs="Times New Roman"/>
                <w:szCs w:val="21"/>
              </w:rPr>
            </w:pPr>
            <w:r>
              <w:rPr>
                <w:rFonts w:ascii="Times New Roman" w:hAnsi="Times New Roman" w:cs="Times New Roman"/>
                <w:szCs w:val="21"/>
              </w:rPr>
              <w:t>-20.0</w:t>
            </w:r>
          </w:p>
        </w:tc>
        <w:tc>
          <w:tcPr>
            <w:tcW w:w="557" w:type="dxa"/>
            <w:tcBorders>
              <w:tl2br w:val="nil"/>
              <w:tr2bl w:val="nil"/>
            </w:tcBorders>
            <w:vAlign w:val="center"/>
          </w:tcPr>
          <w:p w14:paraId="3B67006E">
            <w:pPr>
              <w:jc w:val="center"/>
              <w:rPr>
                <w:rFonts w:ascii="Times New Roman" w:hAnsi="Times New Roman" w:cs="Times New Roman"/>
                <w:szCs w:val="21"/>
              </w:rPr>
            </w:pPr>
            <w:r>
              <w:rPr>
                <w:rFonts w:ascii="Times New Roman" w:hAnsi="Times New Roman" w:cs="Times New Roman"/>
                <w:szCs w:val="21"/>
              </w:rPr>
              <w:t>-16.7</w:t>
            </w:r>
          </w:p>
        </w:tc>
        <w:tc>
          <w:tcPr>
            <w:tcW w:w="557" w:type="dxa"/>
            <w:tcBorders>
              <w:tl2br w:val="nil"/>
              <w:tr2bl w:val="nil"/>
            </w:tcBorders>
            <w:vAlign w:val="center"/>
          </w:tcPr>
          <w:p w14:paraId="67E6D8C0">
            <w:pPr>
              <w:jc w:val="center"/>
              <w:rPr>
                <w:rFonts w:ascii="Times New Roman" w:hAnsi="Times New Roman" w:cs="Times New Roman"/>
                <w:szCs w:val="21"/>
              </w:rPr>
            </w:pPr>
            <w:r>
              <w:rPr>
                <w:rFonts w:ascii="Times New Roman" w:hAnsi="Times New Roman" w:cs="Times New Roman"/>
                <w:szCs w:val="21"/>
              </w:rPr>
              <w:t>-8.5</w:t>
            </w:r>
          </w:p>
        </w:tc>
        <w:tc>
          <w:tcPr>
            <w:tcW w:w="557" w:type="dxa"/>
            <w:tcBorders>
              <w:tl2br w:val="nil"/>
              <w:tr2bl w:val="nil"/>
            </w:tcBorders>
            <w:vAlign w:val="center"/>
          </w:tcPr>
          <w:p w14:paraId="342502A2">
            <w:pPr>
              <w:jc w:val="center"/>
              <w:rPr>
                <w:rFonts w:ascii="Times New Roman" w:hAnsi="Times New Roman" w:cs="Times New Roman"/>
                <w:szCs w:val="21"/>
              </w:rPr>
            </w:pPr>
            <w:r>
              <w:rPr>
                <w:rFonts w:ascii="Times New Roman" w:hAnsi="Times New Roman" w:cs="Times New Roman"/>
                <w:szCs w:val="21"/>
              </w:rPr>
              <w:t>-2.9</w:t>
            </w:r>
          </w:p>
        </w:tc>
        <w:tc>
          <w:tcPr>
            <w:tcW w:w="557" w:type="dxa"/>
            <w:tcBorders>
              <w:tl2br w:val="nil"/>
              <w:tr2bl w:val="nil"/>
            </w:tcBorders>
            <w:vAlign w:val="center"/>
          </w:tcPr>
          <w:p w14:paraId="7A3960E0">
            <w:pPr>
              <w:jc w:val="center"/>
              <w:rPr>
                <w:rFonts w:ascii="Times New Roman" w:hAnsi="Times New Roman" w:cs="Times New Roman"/>
                <w:szCs w:val="21"/>
              </w:rPr>
            </w:pPr>
            <w:r>
              <w:rPr>
                <w:rFonts w:ascii="Times New Roman" w:hAnsi="Times New Roman" w:cs="Times New Roman"/>
                <w:szCs w:val="21"/>
              </w:rPr>
              <w:t>3.8</w:t>
            </w:r>
          </w:p>
        </w:tc>
        <w:tc>
          <w:tcPr>
            <w:tcW w:w="557" w:type="dxa"/>
            <w:tcBorders>
              <w:tl2br w:val="nil"/>
              <w:tr2bl w:val="nil"/>
            </w:tcBorders>
            <w:vAlign w:val="center"/>
          </w:tcPr>
          <w:p w14:paraId="2594FB11">
            <w:pPr>
              <w:jc w:val="center"/>
              <w:rPr>
                <w:rFonts w:ascii="Times New Roman" w:hAnsi="Times New Roman" w:cs="Times New Roman"/>
                <w:szCs w:val="21"/>
              </w:rPr>
            </w:pPr>
            <w:r>
              <w:rPr>
                <w:rFonts w:ascii="Times New Roman" w:hAnsi="Times New Roman" w:cs="Times New Roman"/>
                <w:szCs w:val="21"/>
              </w:rPr>
              <w:t>10.4</w:t>
            </w:r>
          </w:p>
        </w:tc>
        <w:tc>
          <w:tcPr>
            <w:tcW w:w="557" w:type="dxa"/>
            <w:tcBorders>
              <w:tl2br w:val="nil"/>
              <w:tr2bl w:val="nil"/>
            </w:tcBorders>
            <w:vAlign w:val="center"/>
          </w:tcPr>
          <w:p w14:paraId="5A0E81E5">
            <w:pPr>
              <w:jc w:val="center"/>
              <w:rPr>
                <w:rFonts w:ascii="Times New Roman" w:hAnsi="Times New Roman" w:cs="Times New Roman"/>
                <w:szCs w:val="21"/>
              </w:rPr>
            </w:pPr>
            <w:r>
              <w:rPr>
                <w:rFonts w:ascii="Times New Roman" w:hAnsi="Times New Roman" w:cs="Times New Roman"/>
                <w:szCs w:val="21"/>
              </w:rPr>
              <w:t>15.8</w:t>
            </w:r>
          </w:p>
        </w:tc>
        <w:tc>
          <w:tcPr>
            <w:tcW w:w="557" w:type="dxa"/>
            <w:tcBorders>
              <w:tl2br w:val="nil"/>
              <w:tr2bl w:val="nil"/>
            </w:tcBorders>
            <w:vAlign w:val="center"/>
          </w:tcPr>
          <w:p w14:paraId="42D3D33F">
            <w:pPr>
              <w:jc w:val="center"/>
              <w:rPr>
                <w:rFonts w:ascii="Times New Roman" w:hAnsi="Times New Roman" w:cs="Times New Roman"/>
                <w:szCs w:val="21"/>
              </w:rPr>
            </w:pPr>
            <w:r>
              <w:rPr>
                <w:rFonts w:ascii="Times New Roman" w:hAnsi="Times New Roman" w:cs="Times New Roman"/>
                <w:szCs w:val="21"/>
              </w:rPr>
              <w:t>13.7</w:t>
            </w:r>
          </w:p>
        </w:tc>
        <w:tc>
          <w:tcPr>
            <w:tcW w:w="557" w:type="dxa"/>
            <w:tcBorders>
              <w:tl2br w:val="nil"/>
              <w:tr2bl w:val="nil"/>
            </w:tcBorders>
            <w:vAlign w:val="center"/>
          </w:tcPr>
          <w:p w14:paraId="143AADFC">
            <w:pPr>
              <w:jc w:val="center"/>
              <w:rPr>
                <w:rFonts w:ascii="Times New Roman" w:hAnsi="Times New Roman" w:cs="Times New Roman"/>
                <w:szCs w:val="21"/>
              </w:rPr>
            </w:pPr>
            <w:r>
              <w:rPr>
                <w:rFonts w:ascii="Times New Roman" w:hAnsi="Times New Roman" w:cs="Times New Roman"/>
                <w:szCs w:val="21"/>
              </w:rPr>
              <w:t>4.1</w:t>
            </w:r>
          </w:p>
        </w:tc>
        <w:tc>
          <w:tcPr>
            <w:tcW w:w="557" w:type="dxa"/>
            <w:tcBorders>
              <w:tl2br w:val="nil"/>
              <w:tr2bl w:val="nil"/>
            </w:tcBorders>
            <w:vAlign w:val="center"/>
          </w:tcPr>
          <w:p w14:paraId="17BD09CF">
            <w:pPr>
              <w:jc w:val="center"/>
              <w:rPr>
                <w:rFonts w:ascii="Times New Roman" w:hAnsi="Times New Roman" w:cs="Times New Roman"/>
                <w:szCs w:val="21"/>
              </w:rPr>
            </w:pPr>
            <w:r>
              <w:rPr>
                <w:rFonts w:ascii="Times New Roman" w:hAnsi="Times New Roman" w:cs="Times New Roman"/>
                <w:szCs w:val="21"/>
              </w:rPr>
              <w:t>-1.9</w:t>
            </w:r>
          </w:p>
        </w:tc>
        <w:tc>
          <w:tcPr>
            <w:tcW w:w="557" w:type="dxa"/>
            <w:tcBorders>
              <w:tl2br w:val="nil"/>
              <w:tr2bl w:val="nil"/>
            </w:tcBorders>
            <w:vAlign w:val="center"/>
          </w:tcPr>
          <w:p w14:paraId="761783BB">
            <w:pPr>
              <w:jc w:val="center"/>
              <w:rPr>
                <w:rFonts w:ascii="Times New Roman" w:hAnsi="Times New Roman" w:cs="Times New Roman"/>
                <w:szCs w:val="21"/>
              </w:rPr>
            </w:pPr>
            <w:r>
              <w:rPr>
                <w:rFonts w:ascii="Times New Roman" w:hAnsi="Times New Roman" w:cs="Times New Roman"/>
                <w:szCs w:val="21"/>
              </w:rPr>
              <w:t>-18.4</w:t>
            </w:r>
          </w:p>
        </w:tc>
        <w:tc>
          <w:tcPr>
            <w:tcW w:w="557" w:type="dxa"/>
            <w:tcBorders>
              <w:tl2br w:val="nil"/>
              <w:tr2bl w:val="nil"/>
            </w:tcBorders>
            <w:vAlign w:val="center"/>
          </w:tcPr>
          <w:p w14:paraId="7269F806">
            <w:pPr>
              <w:jc w:val="center"/>
              <w:rPr>
                <w:rFonts w:ascii="Times New Roman" w:hAnsi="Times New Roman" w:cs="Times New Roman"/>
                <w:szCs w:val="21"/>
              </w:rPr>
            </w:pPr>
            <w:r>
              <w:rPr>
                <w:rFonts w:ascii="Times New Roman" w:hAnsi="Times New Roman" w:cs="Times New Roman"/>
                <w:szCs w:val="21"/>
              </w:rPr>
              <w:t>-20.7</w:t>
            </w:r>
          </w:p>
        </w:tc>
        <w:tc>
          <w:tcPr>
            <w:tcW w:w="562" w:type="dxa"/>
            <w:tcBorders>
              <w:tl2br w:val="nil"/>
              <w:tr2bl w:val="nil"/>
            </w:tcBorders>
            <w:vAlign w:val="center"/>
          </w:tcPr>
          <w:p w14:paraId="5D138928">
            <w:pPr>
              <w:jc w:val="center"/>
              <w:rPr>
                <w:rFonts w:ascii="Times New Roman" w:hAnsi="Times New Roman" w:cs="Times New Roman"/>
                <w:szCs w:val="21"/>
              </w:rPr>
            </w:pPr>
            <w:r>
              <w:rPr>
                <w:rFonts w:ascii="Times New Roman" w:hAnsi="Times New Roman" w:cs="Times New Roman"/>
                <w:szCs w:val="21"/>
              </w:rPr>
              <w:t>-20.7</w:t>
            </w:r>
          </w:p>
        </w:tc>
      </w:tr>
      <w:tr w14:paraId="0EDC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4" w:hRule="atLeast"/>
          <w:jc w:val="center"/>
        </w:trPr>
        <w:tc>
          <w:tcPr>
            <w:tcW w:w="674" w:type="dxa"/>
            <w:tcBorders>
              <w:tl2br w:val="nil"/>
              <w:tr2bl w:val="nil"/>
            </w:tcBorders>
            <w:vAlign w:val="center"/>
          </w:tcPr>
          <w:p w14:paraId="2B2E029F">
            <w:pPr>
              <w:jc w:val="center"/>
              <w:rPr>
                <w:rFonts w:ascii="Times New Roman" w:hAnsi="Times New Roman" w:cs="Times New Roman"/>
                <w:szCs w:val="21"/>
              </w:rPr>
            </w:pPr>
            <w:r>
              <w:rPr>
                <w:rFonts w:ascii="Times New Roman" w:hAnsi="Times New Roman" w:cs="Times New Roman"/>
                <w:szCs w:val="21"/>
              </w:rPr>
              <w:t>气压（hPa）</w:t>
            </w:r>
          </w:p>
        </w:tc>
        <w:tc>
          <w:tcPr>
            <w:tcW w:w="545" w:type="dxa"/>
            <w:tcBorders>
              <w:tl2br w:val="nil"/>
              <w:tr2bl w:val="nil"/>
            </w:tcBorders>
            <w:vAlign w:val="center"/>
          </w:tcPr>
          <w:p w14:paraId="09609FA9">
            <w:pPr>
              <w:jc w:val="center"/>
              <w:rPr>
                <w:rFonts w:ascii="Times New Roman" w:hAnsi="Times New Roman" w:cs="Times New Roman"/>
                <w:szCs w:val="21"/>
              </w:rPr>
            </w:pPr>
            <w:r>
              <w:rPr>
                <w:rFonts w:ascii="Times New Roman" w:hAnsi="Times New Roman" w:cs="Times New Roman"/>
                <w:szCs w:val="21"/>
              </w:rPr>
              <w:t>平均</w:t>
            </w:r>
          </w:p>
        </w:tc>
        <w:tc>
          <w:tcPr>
            <w:tcW w:w="557" w:type="dxa"/>
            <w:tcBorders>
              <w:tl2br w:val="nil"/>
              <w:tr2bl w:val="nil"/>
            </w:tcBorders>
            <w:vAlign w:val="center"/>
          </w:tcPr>
          <w:p w14:paraId="2C1A69A8">
            <w:pPr>
              <w:jc w:val="center"/>
              <w:rPr>
                <w:rFonts w:ascii="Times New Roman" w:hAnsi="Times New Roman" w:cs="Times New Roman"/>
                <w:szCs w:val="21"/>
              </w:rPr>
            </w:pPr>
            <w:r>
              <w:rPr>
                <w:rFonts w:ascii="Times New Roman" w:hAnsi="Times New Roman" w:cs="Times New Roman"/>
                <w:szCs w:val="21"/>
              </w:rPr>
              <w:t>1021.7</w:t>
            </w:r>
          </w:p>
        </w:tc>
        <w:tc>
          <w:tcPr>
            <w:tcW w:w="557" w:type="dxa"/>
            <w:tcBorders>
              <w:tl2br w:val="nil"/>
              <w:tr2bl w:val="nil"/>
            </w:tcBorders>
            <w:vAlign w:val="center"/>
          </w:tcPr>
          <w:p w14:paraId="1E861652">
            <w:pPr>
              <w:jc w:val="center"/>
              <w:rPr>
                <w:rFonts w:ascii="Times New Roman" w:hAnsi="Times New Roman" w:cs="Times New Roman"/>
                <w:szCs w:val="21"/>
              </w:rPr>
            </w:pPr>
            <w:r>
              <w:rPr>
                <w:rFonts w:ascii="Times New Roman" w:hAnsi="Times New Roman" w:cs="Times New Roman"/>
                <w:szCs w:val="21"/>
              </w:rPr>
              <w:t>1019.4</w:t>
            </w:r>
          </w:p>
        </w:tc>
        <w:tc>
          <w:tcPr>
            <w:tcW w:w="557" w:type="dxa"/>
            <w:tcBorders>
              <w:tl2br w:val="nil"/>
              <w:tr2bl w:val="nil"/>
            </w:tcBorders>
            <w:vAlign w:val="center"/>
          </w:tcPr>
          <w:p w14:paraId="1CC023E7">
            <w:pPr>
              <w:jc w:val="center"/>
              <w:rPr>
                <w:rFonts w:ascii="Times New Roman" w:hAnsi="Times New Roman" w:cs="Times New Roman"/>
                <w:szCs w:val="21"/>
              </w:rPr>
            </w:pPr>
            <w:r>
              <w:rPr>
                <w:rFonts w:ascii="Times New Roman" w:hAnsi="Times New Roman" w:cs="Times New Roman"/>
                <w:szCs w:val="21"/>
              </w:rPr>
              <w:t>1015.1</w:t>
            </w:r>
          </w:p>
        </w:tc>
        <w:tc>
          <w:tcPr>
            <w:tcW w:w="557" w:type="dxa"/>
            <w:tcBorders>
              <w:tl2br w:val="nil"/>
              <w:tr2bl w:val="nil"/>
            </w:tcBorders>
            <w:vAlign w:val="center"/>
          </w:tcPr>
          <w:p w14:paraId="36ABFA64">
            <w:pPr>
              <w:jc w:val="center"/>
              <w:rPr>
                <w:rFonts w:ascii="Times New Roman" w:hAnsi="Times New Roman" w:cs="Times New Roman"/>
                <w:szCs w:val="21"/>
              </w:rPr>
            </w:pPr>
            <w:r>
              <w:rPr>
                <w:rFonts w:ascii="Times New Roman" w:hAnsi="Times New Roman" w:cs="Times New Roman"/>
                <w:szCs w:val="21"/>
              </w:rPr>
              <w:t>1008.4</w:t>
            </w:r>
          </w:p>
        </w:tc>
        <w:tc>
          <w:tcPr>
            <w:tcW w:w="557" w:type="dxa"/>
            <w:tcBorders>
              <w:tl2br w:val="nil"/>
              <w:tr2bl w:val="nil"/>
            </w:tcBorders>
            <w:vAlign w:val="center"/>
          </w:tcPr>
          <w:p w14:paraId="5D8B001F">
            <w:pPr>
              <w:jc w:val="center"/>
              <w:rPr>
                <w:rFonts w:ascii="Times New Roman" w:hAnsi="Times New Roman" w:cs="Times New Roman"/>
                <w:szCs w:val="21"/>
              </w:rPr>
            </w:pPr>
            <w:r>
              <w:rPr>
                <w:rFonts w:ascii="Times New Roman" w:hAnsi="Times New Roman" w:cs="Times New Roman"/>
                <w:szCs w:val="21"/>
              </w:rPr>
              <w:t>1004.2</w:t>
            </w:r>
          </w:p>
        </w:tc>
        <w:tc>
          <w:tcPr>
            <w:tcW w:w="557" w:type="dxa"/>
            <w:tcBorders>
              <w:tl2br w:val="nil"/>
              <w:tr2bl w:val="nil"/>
            </w:tcBorders>
            <w:vAlign w:val="center"/>
          </w:tcPr>
          <w:p w14:paraId="53DB8BA3">
            <w:pPr>
              <w:jc w:val="center"/>
              <w:rPr>
                <w:rFonts w:ascii="Times New Roman" w:hAnsi="Times New Roman" w:cs="Times New Roman"/>
                <w:szCs w:val="21"/>
              </w:rPr>
            </w:pPr>
            <w:r>
              <w:rPr>
                <w:rFonts w:ascii="Times New Roman" w:hAnsi="Times New Roman" w:cs="Times New Roman"/>
                <w:szCs w:val="21"/>
              </w:rPr>
              <w:t>999.1</w:t>
            </w:r>
          </w:p>
        </w:tc>
        <w:tc>
          <w:tcPr>
            <w:tcW w:w="557" w:type="dxa"/>
            <w:tcBorders>
              <w:tl2br w:val="nil"/>
              <w:tr2bl w:val="nil"/>
            </w:tcBorders>
            <w:vAlign w:val="center"/>
          </w:tcPr>
          <w:p w14:paraId="5A38C96D">
            <w:pPr>
              <w:jc w:val="center"/>
              <w:rPr>
                <w:rFonts w:ascii="Times New Roman" w:hAnsi="Times New Roman" w:cs="Times New Roman"/>
                <w:szCs w:val="21"/>
              </w:rPr>
            </w:pPr>
            <w:r>
              <w:rPr>
                <w:rFonts w:ascii="Times New Roman" w:hAnsi="Times New Roman" w:cs="Times New Roman"/>
                <w:szCs w:val="21"/>
              </w:rPr>
              <w:t>997.3</w:t>
            </w:r>
          </w:p>
        </w:tc>
        <w:tc>
          <w:tcPr>
            <w:tcW w:w="557" w:type="dxa"/>
            <w:tcBorders>
              <w:tl2br w:val="nil"/>
              <w:tr2bl w:val="nil"/>
            </w:tcBorders>
            <w:vAlign w:val="center"/>
          </w:tcPr>
          <w:p w14:paraId="33F0705D">
            <w:pPr>
              <w:jc w:val="center"/>
              <w:rPr>
                <w:rFonts w:ascii="Times New Roman" w:hAnsi="Times New Roman" w:cs="Times New Roman"/>
                <w:szCs w:val="21"/>
              </w:rPr>
            </w:pPr>
            <w:r>
              <w:rPr>
                <w:rFonts w:ascii="Times New Roman" w:hAnsi="Times New Roman" w:cs="Times New Roman"/>
                <w:szCs w:val="21"/>
              </w:rPr>
              <w:t>1001.0</w:t>
            </w:r>
          </w:p>
        </w:tc>
        <w:tc>
          <w:tcPr>
            <w:tcW w:w="557" w:type="dxa"/>
            <w:tcBorders>
              <w:tl2br w:val="nil"/>
              <w:tr2bl w:val="nil"/>
            </w:tcBorders>
            <w:vAlign w:val="center"/>
          </w:tcPr>
          <w:p w14:paraId="0D7877A5">
            <w:pPr>
              <w:jc w:val="center"/>
              <w:rPr>
                <w:rFonts w:ascii="Times New Roman" w:hAnsi="Times New Roman" w:cs="Times New Roman"/>
                <w:szCs w:val="21"/>
              </w:rPr>
            </w:pPr>
            <w:r>
              <w:rPr>
                <w:rFonts w:ascii="Times New Roman" w:hAnsi="Times New Roman" w:cs="Times New Roman"/>
                <w:szCs w:val="21"/>
              </w:rPr>
              <w:t>1008.4</w:t>
            </w:r>
          </w:p>
        </w:tc>
        <w:tc>
          <w:tcPr>
            <w:tcW w:w="557" w:type="dxa"/>
            <w:tcBorders>
              <w:tl2br w:val="nil"/>
              <w:tr2bl w:val="nil"/>
            </w:tcBorders>
            <w:vAlign w:val="center"/>
          </w:tcPr>
          <w:p w14:paraId="4EDD3CD5">
            <w:pPr>
              <w:jc w:val="center"/>
              <w:rPr>
                <w:rFonts w:ascii="Times New Roman" w:hAnsi="Times New Roman" w:cs="Times New Roman"/>
                <w:szCs w:val="21"/>
              </w:rPr>
            </w:pPr>
            <w:r>
              <w:rPr>
                <w:rFonts w:ascii="Times New Roman" w:hAnsi="Times New Roman" w:cs="Times New Roman"/>
                <w:szCs w:val="21"/>
              </w:rPr>
              <w:t>1014.7</w:t>
            </w:r>
          </w:p>
        </w:tc>
        <w:tc>
          <w:tcPr>
            <w:tcW w:w="557" w:type="dxa"/>
            <w:tcBorders>
              <w:tl2br w:val="nil"/>
              <w:tr2bl w:val="nil"/>
            </w:tcBorders>
            <w:vAlign w:val="center"/>
          </w:tcPr>
          <w:p w14:paraId="3CACC9E1">
            <w:pPr>
              <w:jc w:val="center"/>
              <w:rPr>
                <w:rFonts w:ascii="Times New Roman" w:hAnsi="Times New Roman" w:cs="Times New Roman"/>
                <w:szCs w:val="21"/>
              </w:rPr>
            </w:pPr>
            <w:r>
              <w:rPr>
                <w:rFonts w:ascii="Times New Roman" w:hAnsi="Times New Roman" w:cs="Times New Roman"/>
                <w:szCs w:val="21"/>
              </w:rPr>
              <w:t>1019.1</w:t>
            </w:r>
          </w:p>
        </w:tc>
        <w:tc>
          <w:tcPr>
            <w:tcW w:w="557" w:type="dxa"/>
            <w:tcBorders>
              <w:tl2br w:val="nil"/>
              <w:tr2bl w:val="nil"/>
            </w:tcBorders>
            <w:vAlign w:val="center"/>
          </w:tcPr>
          <w:p w14:paraId="0E5E9335">
            <w:pPr>
              <w:jc w:val="center"/>
              <w:rPr>
                <w:rFonts w:ascii="Times New Roman" w:hAnsi="Times New Roman" w:eastAsia="宋体" w:cs="Times New Roman"/>
                <w:szCs w:val="21"/>
              </w:rPr>
            </w:pPr>
            <w:r>
              <w:rPr>
                <w:rFonts w:ascii="Times New Roman" w:hAnsi="Times New Roman" w:cs="Times New Roman"/>
                <w:szCs w:val="21"/>
              </w:rPr>
              <w:t>1021.6</w:t>
            </w:r>
          </w:p>
        </w:tc>
        <w:tc>
          <w:tcPr>
            <w:tcW w:w="562" w:type="dxa"/>
            <w:tcBorders>
              <w:tl2br w:val="nil"/>
              <w:tr2bl w:val="nil"/>
            </w:tcBorders>
            <w:vAlign w:val="center"/>
          </w:tcPr>
          <w:p w14:paraId="40762C9C">
            <w:pPr>
              <w:jc w:val="center"/>
              <w:rPr>
                <w:rFonts w:ascii="Times New Roman" w:hAnsi="Times New Roman" w:eastAsia="宋体" w:cs="Times New Roman"/>
                <w:szCs w:val="21"/>
              </w:rPr>
            </w:pPr>
            <w:r>
              <w:rPr>
                <w:rFonts w:ascii="Times New Roman" w:hAnsi="Times New Roman" w:cs="Times New Roman"/>
                <w:szCs w:val="21"/>
              </w:rPr>
              <w:t>1010.8</w:t>
            </w:r>
          </w:p>
        </w:tc>
      </w:tr>
      <w:tr w14:paraId="7915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4" w:hRule="atLeast"/>
          <w:jc w:val="center"/>
        </w:trPr>
        <w:tc>
          <w:tcPr>
            <w:tcW w:w="674" w:type="dxa"/>
            <w:tcBorders>
              <w:tl2br w:val="nil"/>
              <w:tr2bl w:val="nil"/>
            </w:tcBorders>
            <w:vAlign w:val="center"/>
          </w:tcPr>
          <w:p w14:paraId="31462976">
            <w:pPr>
              <w:jc w:val="center"/>
              <w:rPr>
                <w:rFonts w:ascii="Times New Roman" w:hAnsi="Times New Roman" w:cs="Times New Roman"/>
                <w:szCs w:val="21"/>
              </w:rPr>
            </w:pPr>
            <w:r>
              <w:rPr>
                <w:rFonts w:ascii="Times New Roman" w:hAnsi="Times New Roman" w:cs="Times New Roman"/>
                <w:szCs w:val="21"/>
              </w:rPr>
              <w:t>相对湿度（%）</w:t>
            </w:r>
          </w:p>
        </w:tc>
        <w:tc>
          <w:tcPr>
            <w:tcW w:w="545" w:type="dxa"/>
            <w:tcBorders>
              <w:tl2br w:val="nil"/>
              <w:tr2bl w:val="nil"/>
            </w:tcBorders>
            <w:vAlign w:val="center"/>
          </w:tcPr>
          <w:p w14:paraId="7AEC682D">
            <w:pPr>
              <w:jc w:val="center"/>
              <w:rPr>
                <w:rFonts w:ascii="Times New Roman" w:hAnsi="Times New Roman" w:cs="Times New Roman"/>
                <w:szCs w:val="21"/>
              </w:rPr>
            </w:pPr>
            <w:r>
              <w:rPr>
                <w:rFonts w:ascii="Times New Roman" w:hAnsi="Times New Roman" w:cs="Times New Roman"/>
                <w:szCs w:val="21"/>
              </w:rPr>
              <w:t>平均</w:t>
            </w:r>
          </w:p>
        </w:tc>
        <w:tc>
          <w:tcPr>
            <w:tcW w:w="557" w:type="dxa"/>
            <w:tcBorders>
              <w:tl2br w:val="nil"/>
              <w:tr2bl w:val="nil"/>
            </w:tcBorders>
            <w:vAlign w:val="center"/>
          </w:tcPr>
          <w:p w14:paraId="5D9D5796">
            <w:pPr>
              <w:jc w:val="center"/>
              <w:rPr>
                <w:rFonts w:ascii="Times New Roman" w:hAnsi="Times New Roman" w:cs="Times New Roman"/>
                <w:szCs w:val="21"/>
              </w:rPr>
            </w:pPr>
            <w:r>
              <w:rPr>
                <w:rFonts w:ascii="Times New Roman" w:hAnsi="Times New Roman" w:cs="Times New Roman"/>
                <w:szCs w:val="21"/>
              </w:rPr>
              <w:t>66</w:t>
            </w:r>
          </w:p>
        </w:tc>
        <w:tc>
          <w:tcPr>
            <w:tcW w:w="557" w:type="dxa"/>
            <w:tcBorders>
              <w:tl2br w:val="nil"/>
              <w:tr2bl w:val="nil"/>
            </w:tcBorders>
            <w:vAlign w:val="center"/>
          </w:tcPr>
          <w:p w14:paraId="59CF8338">
            <w:pPr>
              <w:jc w:val="center"/>
              <w:rPr>
                <w:rFonts w:ascii="Times New Roman" w:hAnsi="Times New Roman" w:cs="Times New Roman"/>
                <w:szCs w:val="21"/>
              </w:rPr>
            </w:pPr>
            <w:r>
              <w:rPr>
                <w:rFonts w:ascii="Times New Roman" w:hAnsi="Times New Roman" w:cs="Times New Roman"/>
                <w:szCs w:val="21"/>
              </w:rPr>
              <w:t>63</w:t>
            </w:r>
          </w:p>
        </w:tc>
        <w:tc>
          <w:tcPr>
            <w:tcW w:w="557" w:type="dxa"/>
            <w:tcBorders>
              <w:tl2br w:val="nil"/>
              <w:tr2bl w:val="nil"/>
            </w:tcBorders>
            <w:vAlign w:val="center"/>
          </w:tcPr>
          <w:p w14:paraId="0A71C82C">
            <w:pPr>
              <w:jc w:val="center"/>
              <w:rPr>
                <w:rFonts w:ascii="Times New Roman" w:hAnsi="Times New Roman" w:cs="Times New Roman"/>
                <w:szCs w:val="21"/>
              </w:rPr>
            </w:pPr>
            <w:r>
              <w:rPr>
                <w:rFonts w:ascii="Times New Roman" w:hAnsi="Times New Roman" w:cs="Times New Roman"/>
                <w:szCs w:val="21"/>
              </w:rPr>
              <w:t>64</w:t>
            </w:r>
          </w:p>
        </w:tc>
        <w:tc>
          <w:tcPr>
            <w:tcW w:w="557" w:type="dxa"/>
            <w:tcBorders>
              <w:tl2br w:val="nil"/>
              <w:tr2bl w:val="nil"/>
            </w:tcBorders>
            <w:vAlign w:val="center"/>
          </w:tcPr>
          <w:p w14:paraId="34F07C09">
            <w:pPr>
              <w:jc w:val="center"/>
              <w:rPr>
                <w:rFonts w:ascii="Times New Roman" w:hAnsi="Times New Roman" w:cs="Times New Roman"/>
                <w:szCs w:val="21"/>
              </w:rPr>
            </w:pPr>
            <w:r>
              <w:rPr>
                <w:rFonts w:ascii="Times New Roman" w:hAnsi="Times New Roman" w:cs="Times New Roman"/>
                <w:szCs w:val="21"/>
              </w:rPr>
              <w:t>64</w:t>
            </w:r>
          </w:p>
        </w:tc>
        <w:tc>
          <w:tcPr>
            <w:tcW w:w="557" w:type="dxa"/>
            <w:tcBorders>
              <w:tl2br w:val="nil"/>
              <w:tr2bl w:val="nil"/>
            </w:tcBorders>
            <w:vAlign w:val="center"/>
          </w:tcPr>
          <w:p w14:paraId="7AA5C19F">
            <w:pPr>
              <w:jc w:val="center"/>
              <w:rPr>
                <w:rFonts w:ascii="Times New Roman" w:hAnsi="Times New Roman" w:cs="Times New Roman"/>
                <w:szCs w:val="21"/>
              </w:rPr>
            </w:pPr>
            <w:r>
              <w:rPr>
                <w:rFonts w:ascii="Times New Roman" w:hAnsi="Times New Roman" w:cs="Times New Roman"/>
                <w:szCs w:val="21"/>
              </w:rPr>
              <w:t>67</w:t>
            </w:r>
          </w:p>
        </w:tc>
        <w:tc>
          <w:tcPr>
            <w:tcW w:w="557" w:type="dxa"/>
            <w:tcBorders>
              <w:tl2br w:val="nil"/>
              <w:tr2bl w:val="nil"/>
            </w:tcBorders>
            <w:vAlign w:val="center"/>
          </w:tcPr>
          <w:p w14:paraId="21E587C0">
            <w:pPr>
              <w:jc w:val="center"/>
              <w:rPr>
                <w:rFonts w:ascii="Times New Roman" w:hAnsi="Times New Roman" w:cs="Times New Roman"/>
                <w:szCs w:val="21"/>
              </w:rPr>
            </w:pPr>
            <w:r>
              <w:rPr>
                <w:rFonts w:ascii="Times New Roman" w:hAnsi="Times New Roman" w:cs="Times New Roman"/>
                <w:szCs w:val="21"/>
              </w:rPr>
              <w:t>65</w:t>
            </w:r>
          </w:p>
        </w:tc>
        <w:tc>
          <w:tcPr>
            <w:tcW w:w="557" w:type="dxa"/>
            <w:tcBorders>
              <w:tl2br w:val="nil"/>
              <w:tr2bl w:val="nil"/>
            </w:tcBorders>
            <w:vAlign w:val="center"/>
          </w:tcPr>
          <w:p w14:paraId="1E5BFC3D">
            <w:pPr>
              <w:jc w:val="center"/>
              <w:rPr>
                <w:rFonts w:ascii="Times New Roman" w:hAnsi="Times New Roman" w:cs="Times New Roman"/>
                <w:szCs w:val="21"/>
              </w:rPr>
            </w:pPr>
            <w:r>
              <w:rPr>
                <w:rFonts w:ascii="Times New Roman" w:hAnsi="Times New Roman" w:cs="Times New Roman"/>
                <w:szCs w:val="21"/>
              </w:rPr>
              <w:t>81</w:t>
            </w:r>
          </w:p>
        </w:tc>
        <w:tc>
          <w:tcPr>
            <w:tcW w:w="557" w:type="dxa"/>
            <w:tcBorders>
              <w:tl2br w:val="nil"/>
              <w:tr2bl w:val="nil"/>
            </w:tcBorders>
            <w:vAlign w:val="center"/>
          </w:tcPr>
          <w:p w14:paraId="7FE77D6C">
            <w:pPr>
              <w:jc w:val="center"/>
              <w:rPr>
                <w:rFonts w:ascii="Times New Roman" w:hAnsi="Times New Roman" w:cs="Times New Roman"/>
                <w:szCs w:val="21"/>
              </w:rPr>
            </w:pPr>
            <w:r>
              <w:rPr>
                <w:rFonts w:ascii="Times New Roman" w:hAnsi="Times New Roman" w:cs="Times New Roman"/>
                <w:szCs w:val="21"/>
              </w:rPr>
              <w:t>83</w:t>
            </w:r>
          </w:p>
        </w:tc>
        <w:tc>
          <w:tcPr>
            <w:tcW w:w="557" w:type="dxa"/>
            <w:tcBorders>
              <w:tl2br w:val="nil"/>
              <w:tr2bl w:val="nil"/>
            </w:tcBorders>
            <w:vAlign w:val="center"/>
          </w:tcPr>
          <w:p w14:paraId="3DE4F5A2">
            <w:pPr>
              <w:jc w:val="center"/>
              <w:rPr>
                <w:rFonts w:ascii="Times New Roman" w:hAnsi="Times New Roman" w:cs="Times New Roman"/>
                <w:szCs w:val="21"/>
              </w:rPr>
            </w:pPr>
            <w:r>
              <w:rPr>
                <w:rFonts w:ascii="Times New Roman" w:hAnsi="Times New Roman" w:cs="Times New Roman"/>
                <w:szCs w:val="21"/>
              </w:rPr>
              <w:t>78</w:t>
            </w:r>
          </w:p>
        </w:tc>
        <w:tc>
          <w:tcPr>
            <w:tcW w:w="557" w:type="dxa"/>
            <w:tcBorders>
              <w:tl2br w:val="nil"/>
              <w:tr2bl w:val="nil"/>
            </w:tcBorders>
            <w:vAlign w:val="center"/>
          </w:tcPr>
          <w:p w14:paraId="3BACBE73">
            <w:pPr>
              <w:jc w:val="center"/>
              <w:rPr>
                <w:rFonts w:ascii="Times New Roman" w:hAnsi="Times New Roman" w:cs="Times New Roman"/>
                <w:szCs w:val="21"/>
              </w:rPr>
            </w:pPr>
            <w:r>
              <w:rPr>
                <w:rFonts w:ascii="Times New Roman" w:hAnsi="Times New Roman" w:cs="Times New Roman"/>
                <w:szCs w:val="21"/>
              </w:rPr>
              <w:t>74</w:t>
            </w:r>
          </w:p>
        </w:tc>
        <w:tc>
          <w:tcPr>
            <w:tcW w:w="557" w:type="dxa"/>
            <w:tcBorders>
              <w:tl2br w:val="nil"/>
              <w:tr2bl w:val="nil"/>
            </w:tcBorders>
            <w:vAlign w:val="center"/>
          </w:tcPr>
          <w:p w14:paraId="19122195">
            <w:pPr>
              <w:jc w:val="center"/>
              <w:rPr>
                <w:rFonts w:ascii="Times New Roman" w:hAnsi="Times New Roman" w:cs="Times New Roman"/>
                <w:szCs w:val="21"/>
              </w:rPr>
            </w:pPr>
            <w:r>
              <w:rPr>
                <w:rFonts w:ascii="Times New Roman" w:hAnsi="Times New Roman" w:cs="Times New Roman"/>
                <w:szCs w:val="21"/>
              </w:rPr>
              <w:t>73</w:t>
            </w:r>
          </w:p>
        </w:tc>
        <w:tc>
          <w:tcPr>
            <w:tcW w:w="557" w:type="dxa"/>
            <w:tcBorders>
              <w:tl2br w:val="nil"/>
              <w:tr2bl w:val="nil"/>
            </w:tcBorders>
            <w:vAlign w:val="center"/>
          </w:tcPr>
          <w:p w14:paraId="4973FA42">
            <w:pPr>
              <w:jc w:val="center"/>
              <w:rPr>
                <w:rFonts w:ascii="Times New Roman" w:hAnsi="Times New Roman" w:cs="Times New Roman"/>
                <w:szCs w:val="21"/>
              </w:rPr>
            </w:pPr>
            <w:r>
              <w:rPr>
                <w:rFonts w:ascii="Times New Roman" w:hAnsi="Times New Roman" w:cs="Times New Roman"/>
                <w:szCs w:val="21"/>
              </w:rPr>
              <w:t>69</w:t>
            </w:r>
          </w:p>
        </w:tc>
        <w:tc>
          <w:tcPr>
            <w:tcW w:w="562" w:type="dxa"/>
            <w:tcBorders>
              <w:tl2br w:val="nil"/>
              <w:tr2bl w:val="nil"/>
            </w:tcBorders>
            <w:vAlign w:val="center"/>
          </w:tcPr>
          <w:p w14:paraId="196BAA64">
            <w:pPr>
              <w:jc w:val="center"/>
              <w:rPr>
                <w:rFonts w:ascii="Times New Roman" w:hAnsi="Times New Roman" w:eastAsia="宋体" w:cs="Times New Roman"/>
                <w:szCs w:val="21"/>
              </w:rPr>
            </w:pPr>
            <w:r>
              <w:rPr>
                <w:rFonts w:ascii="Times New Roman" w:hAnsi="Times New Roman" w:cs="Times New Roman"/>
                <w:szCs w:val="21"/>
              </w:rPr>
              <w:t>71</w:t>
            </w:r>
          </w:p>
        </w:tc>
      </w:tr>
      <w:tr w14:paraId="577E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4" w:hRule="atLeast"/>
          <w:jc w:val="center"/>
        </w:trPr>
        <w:tc>
          <w:tcPr>
            <w:tcW w:w="674" w:type="dxa"/>
            <w:tcBorders>
              <w:tl2br w:val="nil"/>
              <w:tr2bl w:val="nil"/>
            </w:tcBorders>
            <w:vAlign w:val="center"/>
          </w:tcPr>
          <w:p w14:paraId="650CCECF">
            <w:pPr>
              <w:jc w:val="center"/>
              <w:rPr>
                <w:rFonts w:ascii="Times New Roman" w:hAnsi="Times New Roman" w:cs="Times New Roman"/>
                <w:szCs w:val="21"/>
              </w:rPr>
            </w:pPr>
            <w:r>
              <w:rPr>
                <w:rFonts w:ascii="Times New Roman" w:hAnsi="Times New Roman" w:cs="Times New Roman"/>
                <w:szCs w:val="21"/>
              </w:rPr>
              <w:t>降水量（mm）</w:t>
            </w:r>
          </w:p>
        </w:tc>
        <w:tc>
          <w:tcPr>
            <w:tcW w:w="545" w:type="dxa"/>
            <w:tcBorders>
              <w:tl2br w:val="nil"/>
              <w:tr2bl w:val="nil"/>
            </w:tcBorders>
            <w:vAlign w:val="center"/>
          </w:tcPr>
          <w:p w14:paraId="729A47DC">
            <w:pPr>
              <w:jc w:val="center"/>
              <w:rPr>
                <w:rFonts w:ascii="Times New Roman" w:hAnsi="Times New Roman" w:cs="Times New Roman"/>
                <w:szCs w:val="21"/>
              </w:rPr>
            </w:pPr>
            <w:r>
              <w:rPr>
                <w:rFonts w:ascii="Times New Roman" w:hAnsi="Times New Roman" w:cs="Times New Roman"/>
                <w:szCs w:val="21"/>
              </w:rPr>
              <w:t>平均</w:t>
            </w:r>
          </w:p>
        </w:tc>
        <w:tc>
          <w:tcPr>
            <w:tcW w:w="557" w:type="dxa"/>
            <w:tcBorders>
              <w:tl2br w:val="nil"/>
              <w:tr2bl w:val="nil"/>
            </w:tcBorders>
            <w:vAlign w:val="center"/>
          </w:tcPr>
          <w:p w14:paraId="202B53B6">
            <w:pPr>
              <w:jc w:val="center"/>
              <w:rPr>
                <w:rFonts w:ascii="Times New Roman" w:hAnsi="Times New Roman" w:cs="Times New Roman"/>
                <w:szCs w:val="21"/>
              </w:rPr>
            </w:pPr>
            <w:r>
              <w:rPr>
                <w:rFonts w:ascii="Times New Roman" w:hAnsi="Times New Roman" w:cs="Times New Roman"/>
                <w:szCs w:val="21"/>
              </w:rPr>
              <w:t>5.8</w:t>
            </w:r>
          </w:p>
        </w:tc>
        <w:tc>
          <w:tcPr>
            <w:tcW w:w="557" w:type="dxa"/>
            <w:tcBorders>
              <w:tl2br w:val="nil"/>
              <w:tr2bl w:val="nil"/>
            </w:tcBorders>
            <w:vAlign w:val="center"/>
          </w:tcPr>
          <w:p w14:paraId="74D38CDC">
            <w:pPr>
              <w:jc w:val="center"/>
              <w:rPr>
                <w:rFonts w:ascii="Times New Roman" w:hAnsi="Times New Roman" w:cs="Times New Roman"/>
                <w:szCs w:val="21"/>
              </w:rPr>
            </w:pPr>
            <w:r>
              <w:rPr>
                <w:rFonts w:ascii="Times New Roman" w:hAnsi="Times New Roman" w:cs="Times New Roman"/>
                <w:szCs w:val="21"/>
              </w:rPr>
              <w:t>8.6</w:t>
            </w:r>
          </w:p>
        </w:tc>
        <w:tc>
          <w:tcPr>
            <w:tcW w:w="557" w:type="dxa"/>
            <w:tcBorders>
              <w:tl2br w:val="nil"/>
              <w:tr2bl w:val="nil"/>
            </w:tcBorders>
            <w:vAlign w:val="center"/>
          </w:tcPr>
          <w:p w14:paraId="26CAC4A9">
            <w:pPr>
              <w:jc w:val="center"/>
              <w:rPr>
                <w:rFonts w:ascii="Times New Roman" w:hAnsi="Times New Roman" w:cs="Times New Roman"/>
                <w:szCs w:val="21"/>
              </w:rPr>
            </w:pPr>
            <w:r>
              <w:rPr>
                <w:rFonts w:ascii="Times New Roman" w:hAnsi="Times New Roman" w:cs="Times New Roman"/>
                <w:szCs w:val="21"/>
              </w:rPr>
              <w:t>23.3</w:t>
            </w:r>
          </w:p>
        </w:tc>
        <w:tc>
          <w:tcPr>
            <w:tcW w:w="557" w:type="dxa"/>
            <w:tcBorders>
              <w:tl2br w:val="nil"/>
              <w:tr2bl w:val="nil"/>
            </w:tcBorders>
            <w:vAlign w:val="center"/>
          </w:tcPr>
          <w:p w14:paraId="3720664A">
            <w:pPr>
              <w:jc w:val="center"/>
              <w:rPr>
                <w:rFonts w:ascii="Times New Roman" w:hAnsi="Times New Roman" w:cs="Times New Roman"/>
                <w:szCs w:val="21"/>
              </w:rPr>
            </w:pPr>
            <w:r>
              <w:rPr>
                <w:rFonts w:ascii="Times New Roman" w:hAnsi="Times New Roman" w:cs="Times New Roman"/>
                <w:szCs w:val="21"/>
              </w:rPr>
              <w:t>27.0</w:t>
            </w:r>
          </w:p>
        </w:tc>
        <w:tc>
          <w:tcPr>
            <w:tcW w:w="557" w:type="dxa"/>
            <w:tcBorders>
              <w:tl2br w:val="nil"/>
              <w:tr2bl w:val="nil"/>
            </w:tcBorders>
            <w:vAlign w:val="center"/>
          </w:tcPr>
          <w:p w14:paraId="373EFF4F">
            <w:pPr>
              <w:jc w:val="center"/>
              <w:rPr>
                <w:rFonts w:ascii="Times New Roman" w:hAnsi="Times New Roman" w:cs="Times New Roman"/>
                <w:szCs w:val="21"/>
              </w:rPr>
            </w:pPr>
            <w:r>
              <w:rPr>
                <w:rFonts w:ascii="Times New Roman" w:hAnsi="Times New Roman" w:cs="Times New Roman"/>
                <w:szCs w:val="21"/>
              </w:rPr>
              <w:t>50.0</w:t>
            </w:r>
          </w:p>
        </w:tc>
        <w:tc>
          <w:tcPr>
            <w:tcW w:w="557" w:type="dxa"/>
            <w:tcBorders>
              <w:tl2br w:val="nil"/>
              <w:tr2bl w:val="nil"/>
            </w:tcBorders>
            <w:vAlign w:val="center"/>
          </w:tcPr>
          <w:p w14:paraId="31ACB6E1">
            <w:pPr>
              <w:jc w:val="center"/>
              <w:rPr>
                <w:rFonts w:ascii="Times New Roman" w:hAnsi="Times New Roman" w:cs="Times New Roman"/>
                <w:szCs w:val="21"/>
              </w:rPr>
            </w:pPr>
            <w:r>
              <w:rPr>
                <w:rFonts w:ascii="Times New Roman" w:hAnsi="Times New Roman" w:cs="Times New Roman"/>
                <w:szCs w:val="21"/>
              </w:rPr>
              <w:t>70.1</w:t>
            </w:r>
          </w:p>
        </w:tc>
        <w:tc>
          <w:tcPr>
            <w:tcW w:w="557" w:type="dxa"/>
            <w:tcBorders>
              <w:tl2br w:val="nil"/>
              <w:tr2bl w:val="nil"/>
            </w:tcBorders>
            <w:vAlign w:val="center"/>
          </w:tcPr>
          <w:p w14:paraId="404082DC">
            <w:pPr>
              <w:jc w:val="center"/>
              <w:rPr>
                <w:rFonts w:ascii="Times New Roman" w:hAnsi="Times New Roman" w:cs="Times New Roman"/>
                <w:szCs w:val="21"/>
              </w:rPr>
            </w:pPr>
            <w:r>
              <w:rPr>
                <w:rFonts w:ascii="Times New Roman" w:hAnsi="Times New Roman" w:cs="Times New Roman"/>
                <w:szCs w:val="21"/>
              </w:rPr>
              <w:t>161.6</w:t>
            </w:r>
          </w:p>
        </w:tc>
        <w:tc>
          <w:tcPr>
            <w:tcW w:w="557" w:type="dxa"/>
            <w:tcBorders>
              <w:tl2br w:val="nil"/>
              <w:tr2bl w:val="nil"/>
            </w:tcBorders>
            <w:vAlign w:val="center"/>
          </w:tcPr>
          <w:p w14:paraId="42A4C9D1">
            <w:pPr>
              <w:jc w:val="center"/>
              <w:rPr>
                <w:rFonts w:ascii="Times New Roman" w:hAnsi="Times New Roman" w:cs="Times New Roman"/>
                <w:szCs w:val="21"/>
              </w:rPr>
            </w:pPr>
            <w:r>
              <w:rPr>
                <w:rFonts w:ascii="Times New Roman" w:hAnsi="Times New Roman" w:cs="Times New Roman"/>
                <w:szCs w:val="21"/>
              </w:rPr>
              <w:t>113.0</w:t>
            </w:r>
          </w:p>
        </w:tc>
        <w:tc>
          <w:tcPr>
            <w:tcW w:w="557" w:type="dxa"/>
            <w:tcBorders>
              <w:tl2br w:val="nil"/>
              <w:tr2bl w:val="nil"/>
            </w:tcBorders>
            <w:vAlign w:val="center"/>
          </w:tcPr>
          <w:p w14:paraId="56288FA6">
            <w:pPr>
              <w:jc w:val="center"/>
              <w:rPr>
                <w:rFonts w:ascii="Times New Roman" w:hAnsi="Times New Roman" w:cs="Times New Roman"/>
                <w:szCs w:val="21"/>
              </w:rPr>
            </w:pPr>
            <w:r>
              <w:rPr>
                <w:rFonts w:ascii="Times New Roman" w:hAnsi="Times New Roman" w:cs="Times New Roman"/>
                <w:szCs w:val="21"/>
              </w:rPr>
              <w:t>51.7</w:t>
            </w:r>
          </w:p>
        </w:tc>
        <w:tc>
          <w:tcPr>
            <w:tcW w:w="557" w:type="dxa"/>
            <w:tcBorders>
              <w:tl2br w:val="nil"/>
              <w:tr2bl w:val="nil"/>
            </w:tcBorders>
            <w:vAlign w:val="center"/>
          </w:tcPr>
          <w:p w14:paraId="29A310BF">
            <w:pPr>
              <w:jc w:val="center"/>
              <w:rPr>
                <w:rFonts w:ascii="Times New Roman" w:hAnsi="Times New Roman" w:cs="Times New Roman"/>
                <w:szCs w:val="21"/>
              </w:rPr>
            </w:pPr>
            <w:r>
              <w:rPr>
                <w:rFonts w:ascii="Times New Roman" w:hAnsi="Times New Roman" w:cs="Times New Roman"/>
                <w:szCs w:val="21"/>
              </w:rPr>
              <w:t>37.6</w:t>
            </w:r>
          </w:p>
        </w:tc>
        <w:tc>
          <w:tcPr>
            <w:tcW w:w="557" w:type="dxa"/>
            <w:tcBorders>
              <w:tl2br w:val="nil"/>
              <w:tr2bl w:val="nil"/>
            </w:tcBorders>
            <w:vAlign w:val="center"/>
          </w:tcPr>
          <w:p w14:paraId="12E44C9E">
            <w:pPr>
              <w:jc w:val="center"/>
              <w:rPr>
                <w:rFonts w:ascii="Times New Roman" w:hAnsi="Times New Roman" w:cs="Times New Roman"/>
                <w:szCs w:val="21"/>
              </w:rPr>
            </w:pPr>
            <w:r>
              <w:rPr>
                <w:rFonts w:ascii="Times New Roman" w:hAnsi="Times New Roman" w:cs="Times New Roman"/>
                <w:szCs w:val="21"/>
              </w:rPr>
              <w:t>16.3</w:t>
            </w:r>
          </w:p>
        </w:tc>
        <w:tc>
          <w:tcPr>
            <w:tcW w:w="557" w:type="dxa"/>
            <w:tcBorders>
              <w:tl2br w:val="nil"/>
              <w:tr2bl w:val="nil"/>
            </w:tcBorders>
            <w:vAlign w:val="center"/>
          </w:tcPr>
          <w:p w14:paraId="2E193BF9">
            <w:pPr>
              <w:jc w:val="center"/>
              <w:rPr>
                <w:rFonts w:ascii="Times New Roman" w:hAnsi="Times New Roman" w:cs="Times New Roman"/>
                <w:szCs w:val="21"/>
              </w:rPr>
            </w:pPr>
            <w:r>
              <w:rPr>
                <w:rFonts w:ascii="Times New Roman" w:hAnsi="Times New Roman" w:cs="Times New Roman"/>
                <w:szCs w:val="21"/>
              </w:rPr>
              <w:t>6.9</w:t>
            </w:r>
          </w:p>
        </w:tc>
        <w:tc>
          <w:tcPr>
            <w:tcW w:w="562" w:type="dxa"/>
            <w:tcBorders>
              <w:tl2br w:val="nil"/>
              <w:tr2bl w:val="nil"/>
            </w:tcBorders>
            <w:vAlign w:val="center"/>
          </w:tcPr>
          <w:p w14:paraId="65CF56B8">
            <w:pPr>
              <w:jc w:val="center"/>
              <w:rPr>
                <w:rFonts w:ascii="Times New Roman" w:hAnsi="Times New Roman" w:eastAsia="宋体" w:cs="Times New Roman"/>
                <w:szCs w:val="21"/>
              </w:rPr>
            </w:pPr>
            <w:r>
              <w:rPr>
                <w:rFonts w:ascii="Times New Roman" w:hAnsi="Times New Roman" w:cs="Times New Roman"/>
                <w:szCs w:val="21"/>
              </w:rPr>
              <w:t>571.8</w:t>
            </w:r>
          </w:p>
        </w:tc>
      </w:tr>
      <w:tr w14:paraId="2327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63" w:hRule="atLeast"/>
          <w:jc w:val="center"/>
        </w:trPr>
        <w:tc>
          <w:tcPr>
            <w:tcW w:w="674" w:type="dxa"/>
            <w:tcBorders>
              <w:tl2br w:val="nil"/>
              <w:tr2bl w:val="nil"/>
            </w:tcBorders>
            <w:vAlign w:val="center"/>
          </w:tcPr>
          <w:p w14:paraId="1B3B5A8E">
            <w:pPr>
              <w:jc w:val="center"/>
              <w:rPr>
                <w:rFonts w:ascii="Times New Roman" w:hAnsi="Times New Roman" w:cs="Times New Roman"/>
                <w:szCs w:val="21"/>
              </w:rPr>
            </w:pPr>
            <w:r>
              <w:rPr>
                <w:rFonts w:ascii="Times New Roman" w:hAnsi="Times New Roman" w:cs="Times New Roman"/>
                <w:szCs w:val="21"/>
              </w:rPr>
              <w:t>蒸发量（mm）</w:t>
            </w:r>
          </w:p>
        </w:tc>
        <w:tc>
          <w:tcPr>
            <w:tcW w:w="545" w:type="dxa"/>
            <w:tcBorders>
              <w:tl2br w:val="nil"/>
              <w:tr2bl w:val="nil"/>
            </w:tcBorders>
            <w:vAlign w:val="center"/>
          </w:tcPr>
          <w:p w14:paraId="230C43A1">
            <w:pPr>
              <w:jc w:val="center"/>
              <w:rPr>
                <w:rFonts w:ascii="Times New Roman" w:hAnsi="Times New Roman" w:cs="Times New Roman"/>
                <w:szCs w:val="21"/>
              </w:rPr>
            </w:pPr>
            <w:r>
              <w:rPr>
                <w:rFonts w:ascii="Times New Roman" w:hAnsi="Times New Roman" w:cs="Times New Roman"/>
                <w:szCs w:val="21"/>
              </w:rPr>
              <w:t>平均</w:t>
            </w:r>
          </w:p>
        </w:tc>
        <w:tc>
          <w:tcPr>
            <w:tcW w:w="557" w:type="dxa"/>
            <w:tcBorders>
              <w:tl2br w:val="nil"/>
              <w:tr2bl w:val="nil"/>
            </w:tcBorders>
            <w:vAlign w:val="center"/>
          </w:tcPr>
          <w:p w14:paraId="263C8BF2">
            <w:pPr>
              <w:jc w:val="center"/>
              <w:textAlignment w:val="bottom"/>
              <w:rPr>
                <w:rFonts w:ascii="Times New Roman" w:hAnsi="Times New Roman" w:cs="Times New Roman"/>
                <w:szCs w:val="21"/>
              </w:rPr>
            </w:pPr>
            <w:r>
              <w:rPr>
                <w:rFonts w:ascii="Times New Roman" w:hAnsi="Times New Roman" w:cs="Times New Roman"/>
                <w:szCs w:val="21"/>
              </w:rPr>
              <w:t>36.1</w:t>
            </w:r>
          </w:p>
        </w:tc>
        <w:tc>
          <w:tcPr>
            <w:tcW w:w="557" w:type="dxa"/>
            <w:tcBorders>
              <w:tl2br w:val="nil"/>
              <w:tr2bl w:val="nil"/>
            </w:tcBorders>
            <w:vAlign w:val="center"/>
          </w:tcPr>
          <w:p w14:paraId="5B068669">
            <w:pPr>
              <w:jc w:val="center"/>
              <w:textAlignment w:val="bottom"/>
              <w:rPr>
                <w:rFonts w:ascii="Times New Roman" w:hAnsi="Times New Roman" w:cs="Times New Roman"/>
                <w:szCs w:val="21"/>
              </w:rPr>
            </w:pPr>
            <w:r>
              <w:rPr>
                <w:rFonts w:ascii="Times New Roman" w:hAnsi="Times New Roman" w:cs="Times New Roman"/>
                <w:szCs w:val="21"/>
              </w:rPr>
              <w:t>60.1</w:t>
            </w:r>
          </w:p>
        </w:tc>
        <w:tc>
          <w:tcPr>
            <w:tcW w:w="557" w:type="dxa"/>
            <w:tcBorders>
              <w:tl2br w:val="nil"/>
              <w:tr2bl w:val="nil"/>
            </w:tcBorders>
            <w:vAlign w:val="center"/>
          </w:tcPr>
          <w:p w14:paraId="16518D7A">
            <w:pPr>
              <w:jc w:val="center"/>
              <w:textAlignment w:val="bottom"/>
              <w:rPr>
                <w:rFonts w:ascii="Times New Roman" w:hAnsi="Times New Roman" w:cs="Times New Roman"/>
                <w:szCs w:val="21"/>
              </w:rPr>
            </w:pPr>
            <w:r>
              <w:rPr>
                <w:rFonts w:ascii="Times New Roman" w:hAnsi="Times New Roman" w:cs="Times New Roman"/>
                <w:szCs w:val="21"/>
              </w:rPr>
              <w:t>115.0</w:t>
            </w:r>
          </w:p>
        </w:tc>
        <w:tc>
          <w:tcPr>
            <w:tcW w:w="557" w:type="dxa"/>
            <w:tcBorders>
              <w:tl2br w:val="nil"/>
              <w:tr2bl w:val="nil"/>
            </w:tcBorders>
            <w:vAlign w:val="center"/>
          </w:tcPr>
          <w:p w14:paraId="0AEFAC78">
            <w:pPr>
              <w:jc w:val="center"/>
              <w:textAlignment w:val="bottom"/>
              <w:rPr>
                <w:rFonts w:ascii="Times New Roman" w:hAnsi="Times New Roman" w:cs="Times New Roman"/>
                <w:szCs w:val="21"/>
              </w:rPr>
            </w:pPr>
            <w:r>
              <w:rPr>
                <w:rFonts w:ascii="Times New Roman" w:hAnsi="Times New Roman" w:cs="Times New Roman"/>
                <w:szCs w:val="21"/>
              </w:rPr>
              <w:t>175.1</w:t>
            </w:r>
          </w:p>
        </w:tc>
        <w:tc>
          <w:tcPr>
            <w:tcW w:w="557" w:type="dxa"/>
            <w:tcBorders>
              <w:tl2br w:val="nil"/>
              <w:tr2bl w:val="nil"/>
            </w:tcBorders>
            <w:vAlign w:val="center"/>
          </w:tcPr>
          <w:p w14:paraId="7C7685A0">
            <w:pPr>
              <w:jc w:val="center"/>
              <w:textAlignment w:val="bottom"/>
              <w:rPr>
                <w:rFonts w:ascii="Times New Roman" w:hAnsi="Times New Roman" w:cs="Times New Roman"/>
                <w:szCs w:val="21"/>
              </w:rPr>
            </w:pPr>
            <w:r>
              <w:rPr>
                <w:rFonts w:ascii="Times New Roman" w:hAnsi="Times New Roman" w:cs="Times New Roman"/>
                <w:szCs w:val="21"/>
              </w:rPr>
              <w:t>214.0</w:t>
            </w:r>
          </w:p>
        </w:tc>
        <w:tc>
          <w:tcPr>
            <w:tcW w:w="557" w:type="dxa"/>
            <w:tcBorders>
              <w:tl2br w:val="nil"/>
              <w:tr2bl w:val="nil"/>
            </w:tcBorders>
            <w:vAlign w:val="center"/>
          </w:tcPr>
          <w:p w14:paraId="5339192A">
            <w:pPr>
              <w:jc w:val="center"/>
              <w:textAlignment w:val="bottom"/>
              <w:rPr>
                <w:rFonts w:ascii="Times New Roman" w:hAnsi="Times New Roman" w:cs="Times New Roman"/>
                <w:szCs w:val="21"/>
              </w:rPr>
            </w:pPr>
            <w:r>
              <w:rPr>
                <w:rFonts w:ascii="Times New Roman" w:hAnsi="Times New Roman" w:cs="Times New Roman"/>
                <w:szCs w:val="21"/>
              </w:rPr>
              <w:t>244.1</w:t>
            </w:r>
          </w:p>
        </w:tc>
        <w:tc>
          <w:tcPr>
            <w:tcW w:w="557" w:type="dxa"/>
            <w:tcBorders>
              <w:tl2br w:val="nil"/>
              <w:tr2bl w:val="nil"/>
            </w:tcBorders>
            <w:vAlign w:val="center"/>
          </w:tcPr>
          <w:p w14:paraId="42CAD501">
            <w:pPr>
              <w:jc w:val="center"/>
              <w:textAlignment w:val="bottom"/>
              <w:rPr>
                <w:rFonts w:ascii="Times New Roman" w:hAnsi="Times New Roman" w:cs="Times New Roman"/>
                <w:szCs w:val="21"/>
              </w:rPr>
            </w:pPr>
            <w:r>
              <w:rPr>
                <w:rFonts w:ascii="Times New Roman" w:hAnsi="Times New Roman" w:cs="Times New Roman"/>
                <w:szCs w:val="21"/>
              </w:rPr>
              <w:t>187.4</w:t>
            </w:r>
          </w:p>
        </w:tc>
        <w:tc>
          <w:tcPr>
            <w:tcW w:w="557" w:type="dxa"/>
            <w:tcBorders>
              <w:tl2br w:val="nil"/>
              <w:tr2bl w:val="nil"/>
            </w:tcBorders>
            <w:vAlign w:val="center"/>
          </w:tcPr>
          <w:p w14:paraId="6AFE71FE">
            <w:pPr>
              <w:jc w:val="center"/>
              <w:textAlignment w:val="bottom"/>
              <w:rPr>
                <w:rFonts w:ascii="Times New Roman" w:hAnsi="Times New Roman" w:cs="Times New Roman"/>
                <w:szCs w:val="21"/>
              </w:rPr>
            </w:pPr>
            <w:r>
              <w:rPr>
                <w:rFonts w:ascii="Times New Roman" w:hAnsi="Times New Roman" w:cs="Times New Roman"/>
                <w:szCs w:val="21"/>
              </w:rPr>
              <w:t>162.5</w:t>
            </w:r>
          </w:p>
        </w:tc>
        <w:tc>
          <w:tcPr>
            <w:tcW w:w="557" w:type="dxa"/>
            <w:tcBorders>
              <w:tl2br w:val="nil"/>
              <w:tr2bl w:val="nil"/>
            </w:tcBorders>
            <w:vAlign w:val="center"/>
          </w:tcPr>
          <w:p w14:paraId="520C21FA">
            <w:pPr>
              <w:jc w:val="center"/>
              <w:textAlignment w:val="bottom"/>
              <w:rPr>
                <w:rFonts w:ascii="Times New Roman" w:hAnsi="Times New Roman" w:cs="Times New Roman"/>
                <w:szCs w:val="21"/>
              </w:rPr>
            </w:pPr>
            <w:r>
              <w:rPr>
                <w:rFonts w:ascii="Times New Roman" w:hAnsi="Times New Roman" w:cs="Times New Roman"/>
                <w:szCs w:val="21"/>
              </w:rPr>
              <w:t>134.6</w:t>
            </w:r>
          </w:p>
        </w:tc>
        <w:tc>
          <w:tcPr>
            <w:tcW w:w="557" w:type="dxa"/>
            <w:tcBorders>
              <w:tl2br w:val="nil"/>
              <w:tr2bl w:val="nil"/>
            </w:tcBorders>
            <w:vAlign w:val="center"/>
          </w:tcPr>
          <w:p w14:paraId="71A425DC">
            <w:pPr>
              <w:jc w:val="center"/>
              <w:textAlignment w:val="bottom"/>
              <w:rPr>
                <w:rFonts w:ascii="Times New Roman" w:hAnsi="Times New Roman" w:cs="Times New Roman"/>
                <w:szCs w:val="21"/>
              </w:rPr>
            </w:pPr>
            <w:r>
              <w:rPr>
                <w:rFonts w:ascii="Times New Roman" w:hAnsi="Times New Roman" w:cs="Times New Roman"/>
                <w:szCs w:val="21"/>
              </w:rPr>
              <w:t>103.0</w:t>
            </w:r>
          </w:p>
        </w:tc>
        <w:tc>
          <w:tcPr>
            <w:tcW w:w="557" w:type="dxa"/>
            <w:tcBorders>
              <w:tl2br w:val="nil"/>
              <w:tr2bl w:val="nil"/>
            </w:tcBorders>
            <w:vAlign w:val="center"/>
          </w:tcPr>
          <w:p w14:paraId="1B22E2FF">
            <w:pPr>
              <w:jc w:val="center"/>
              <w:textAlignment w:val="bottom"/>
              <w:rPr>
                <w:rFonts w:ascii="Times New Roman" w:hAnsi="Times New Roman" w:cs="Times New Roman"/>
                <w:szCs w:val="21"/>
              </w:rPr>
            </w:pPr>
            <w:r>
              <w:rPr>
                <w:rFonts w:ascii="Times New Roman" w:hAnsi="Times New Roman" w:cs="Times New Roman"/>
                <w:szCs w:val="21"/>
              </w:rPr>
              <w:t>58.0</w:t>
            </w:r>
          </w:p>
        </w:tc>
        <w:tc>
          <w:tcPr>
            <w:tcW w:w="557" w:type="dxa"/>
            <w:tcBorders>
              <w:tl2br w:val="nil"/>
              <w:tr2bl w:val="nil"/>
            </w:tcBorders>
            <w:vAlign w:val="center"/>
          </w:tcPr>
          <w:p w14:paraId="4A10AD42">
            <w:pPr>
              <w:jc w:val="center"/>
              <w:textAlignment w:val="bottom"/>
              <w:rPr>
                <w:rFonts w:ascii="Times New Roman" w:hAnsi="Times New Roman" w:cs="Times New Roman"/>
                <w:szCs w:val="21"/>
              </w:rPr>
            </w:pPr>
            <w:r>
              <w:rPr>
                <w:rFonts w:ascii="Times New Roman" w:hAnsi="Times New Roman" w:cs="Times New Roman"/>
                <w:szCs w:val="21"/>
              </w:rPr>
              <w:t>38.3</w:t>
            </w:r>
          </w:p>
        </w:tc>
        <w:tc>
          <w:tcPr>
            <w:tcW w:w="562" w:type="dxa"/>
            <w:tcBorders>
              <w:tl2br w:val="nil"/>
              <w:tr2bl w:val="nil"/>
            </w:tcBorders>
            <w:vAlign w:val="center"/>
          </w:tcPr>
          <w:p w14:paraId="652935E0">
            <w:pPr>
              <w:jc w:val="center"/>
              <w:textAlignment w:val="bottom"/>
              <w:rPr>
                <w:rFonts w:ascii="Times New Roman" w:hAnsi="Times New Roman" w:eastAsia="宋体" w:cs="Times New Roman"/>
                <w:szCs w:val="21"/>
              </w:rPr>
            </w:pPr>
            <w:r>
              <w:rPr>
                <w:rFonts w:ascii="Times New Roman" w:hAnsi="Times New Roman" w:cs="Times New Roman"/>
                <w:szCs w:val="21"/>
              </w:rPr>
              <w:t>1530.2</w:t>
            </w:r>
          </w:p>
        </w:tc>
      </w:tr>
    </w:tbl>
    <w:p w14:paraId="42627107">
      <w:pPr>
        <w:spacing w:line="360" w:lineRule="auto"/>
        <w:ind w:firstLine="480" w:firstLineChars="200"/>
        <w:rPr>
          <w:rFonts w:ascii="Times New Roman" w:hAnsi="Times New Roman" w:eastAsia="宋体" w:cs="Times New Roman"/>
          <w:sz w:val="24"/>
          <w:szCs w:val="22"/>
          <w:lang w:bidi="ar"/>
        </w:rPr>
      </w:pPr>
      <w:r>
        <w:rPr>
          <w:rFonts w:ascii="Times New Roman" w:hAnsi="Times New Roman" w:eastAsia="宋体" w:cs="Times New Roman"/>
          <w:sz w:val="24"/>
          <w:szCs w:val="22"/>
          <w:lang w:bidi="ar"/>
        </w:rPr>
        <w:t>（2）风速</w:t>
      </w:r>
    </w:p>
    <w:p w14:paraId="10D4AE37">
      <w:pPr>
        <w:spacing w:line="360" w:lineRule="auto"/>
        <w:ind w:firstLine="480" w:firstLineChars="200"/>
        <w:rPr>
          <w:rFonts w:ascii="Times New Roman" w:hAnsi="Times New Roman" w:eastAsia="宋体" w:cs="Times New Roman"/>
          <w:sz w:val="24"/>
          <w:szCs w:val="22"/>
          <w:lang w:bidi="ar"/>
        </w:rPr>
      </w:pPr>
      <w:r>
        <w:rPr>
          <w:rFonts w:ascii="Times New Roman" w:hAnsi="Times New Roman" w:eastAsia="宋体" w:cs="Times New Roman"/>
          <w:sz w:val="24"/>
          <w:szCs w:val="22"/>
          <w:lang w:bidi="ar"/>
        </w:rPr>
        <w:t>当地近二十年风速统计情况见下表。</w:t>
      </w:r>
    </w:p>
    <w:p w14:paraId="0895D76A">
      <w:pPr>
        <w:numPr>
          <w:ilvl w:val="0"/>
          <w:numId w:val="59"/>
        </w:numPr>
        <w:autoSpaceDE w:val="0"/>
        <w:autoSpaceDN w:val="0"/>
        <w:adjustRightInd w:val="0"/>
        <w:snapToGrid w:val="0"/>
        <w:jc w:val="center"/>
        <w:rPr>
          <w:rFonts w:ascii="Times New Roman" w:hAnsi="Times New Roman" w:eastAsia="宋体" w:cs="Times New Roman"/>
          <w:b/>
          <w:sz w:val="24"/>
        </w:rPr>
      </w:pPr>
      <w:r>
        <w:rPr>
          <w:rFonts w:hint="eastAsia" w:ascii="Times New Roman" w:hAnsi="Times New Roman" w:eastAsia="宋体" w:cs="Times New Roman"/>
          <w:b/>
          <w:sz w:val="24"/>
        </w:rPr>
        <w:t xml:space="preserve">  </w:t>
      </w:r>
      <w:r>
        <w:rPr>
          <w:rFonts w:ascii="Times New Roman" w:hAnsi="Times New Roman" w:eastAsia="宋体" w:cs="Times New Roman"/>
          <w:b/>
          <w:sz w:val="24"/>
        </w:rPr>
        <w:t>当地多年各风向平均风速</w:t>
      </w:r>
      <w:r>
        <w:rPr>
          <w:rFonts w:ascii="Times New Roman" w:hAnsi="Times New Roman" w:eastAsia="宋体" w:cs="Times New Roman"/>
          <w:b/>
          <w:sz w:val="24"/>
        </w:rPr>
        <w:tab/>
      </w:r>
      <w:r>
        <w:rPr>
          <w:rFonts w:ascii="Times New Roman" w:hAnsi="Times New Roman" w:eastAsia="宋体" w:cs="Times New Roman"/>
          <w:b/>
          <w:sz w:val="24"/>
        </w:rPr>
        <w:t>单位：m/s</w:t>
      </w:r>
    </w:p>
    <w:tbl>
      <w:tblPr>
        <w:tblStyle w:val="30"/>
        <w:tblW w:w="8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455"/>
        <w:gridCol w:w="455"/>
        <w:gridCol w:w="458"/>
        <w:gridCol w:w="458"/>
        <w:gridCol w:w="458"/>
        <w:gridCol w:w="456"/>
        <w:gridCol w:w="456"/>
        <w:gridCol w:w="456"/>
        <w:gridCol w:w="456"/>
        <w:gridCol w:w="456"/>
        <w:gridCol w:w="431"/>
        <w:gridCol w:w="524"/>
        <w:gridCol w:w="279"/>
        <w:gridCol w:w="559"/>
        <w:gridCol w:w="378"/>
        <w:gridCol w:w="512"/>
        <w:gridCol w:w="506"/>
      </w:tblGrid>
      <w:tr w14:paraId="1A0BE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5" w:type="dxa"/>
            <w:tcBorders>
              <w:tl2br w:val="nil"/>
              <w:tr2bl w:val="nil"/>
            </w:tcBorders>
            <w:vAlign w:val="center"/>
          </w:tcPr>
          <w:p w14:paraId="524789D7">
            <w:pPr>
              <w:jc w:val="center"/>
              <w:rPr>
                <w:rFonts w:ascii="Times New Roman" w:hAnsi="Times New Roman" w:eastAsia="宋体" w:cs="Times New Roman"/>
                <w:szCs w:val="21"/>
                <w:lang w:bidi="ar"/>
              </w:rPr>
            </w:pPr>
            <w:r>
              <w:rPr>
                <w:rFonts w:ascii="Times New Roman" w:hAnsi="Times New Roman" w:eastAsia="宋体" w:cs="Times New Roman"/>
                <w:szCs w:val="21"/>
                <w:lang w:bidi="ar"/>
              </w:rPr>
              <w:t>风向</w:t>
            </w:r>
          </w:p>
        </w:tc>
        <w:tc>
          <w:tcPr>
            <w:tcW w:w="455" w:type="dxa"/>
            <w:tcBorders>
              <w:tl2br w:val="nil"/>
              <w:tr2bl w:val="nil"/>
            </w:tcBorders>
            <w:vAlign w:val="center"/>
          </w:tcPr>
          <w:p w14:paraId="3C83D75E">
            <w:pPr>
              <w:jc w:val="center"/>
              <w:rPr>
                <w:rFonts w:ascii="Times New Roman" w:hAnsi="Times New Roman" w:eastAsia="宋体" w:cs="Times New Roman"/>
                <w:szCs w:val="21"/>
                <w:lang w:bidi="ar"/>
              </w:rPr>
            </w:pPr>
            <w:r>
              <w:rPr>
                <w:rFonts w:ascii="Times New Roman" w:hAnsi="Times New Roman" w:eastAsia="宋体" w:cs="Times New Roman"/>
                <w:szCs w:val="21"/>
                <w:lang w:bidi="ar"/>
              </w:rPr>
              <w:t>N</w:t>
            </w:r>
          </w:p>
        </w:tc>
        <w:tc>
          <w:tcPr>
            <w:tcW w:w="455" w:type="dxa"/>
            <w:tcBorders>
              <w:tl2br w:val="nil"/>
              <w:tr2bl w:val="nil"/>
            </w:tcBorders>
            <w:vAlign w:val="center"/>
          </w:tcPr>
          <w:p w14:paraId="29A9338A">
            <w:pPr>
              <w:jc w:val="center"/>
              <w:rPr>
                <w:rFonts w:ascii="Times New Roman" w:hAnsi="Times New Roman" w:eastAsia="宋体" w:cs="Times New Roman"/>
                <w:szCs w:val="21"/>
                <w:lang w:bidi="ar"/>
              </w:rPr>
            </w:pPr>
            <w:r>
              <w:rPr>
                <w:rFonts w:ascii="Times New Roman" w:hAnsi="Times New Roman" w:eastAsia="宋体" w:cs="Times New Roman"/>
                <w:szCs w:val="21"/>
                <w:lang w:bidi="ar"/>
              </w:rPr>
              <w:t>NNE</w:t>
            </w:r>
          </w:p>
        </w:tc>
        <w:tc>
          <w:tcPr>
            <w:tcW w:w="458" w:type="dxa"/>
            <w:tcBorders>
              <w:tl2br w:val="nil"/>
              <w:tr2bl w:val="nil"/>
            </w:tcBorders>
            <w:vAlign w:val="center"/>
          </w:tcPr>
          <w:p w14:paraId="17A92A7C">
            <w:pPr>
              <w:jc w:val="center"/>
              <w:rPr>
                <w:rFonts w:ascii="Times New Roman" w:hAnsi="Times New Roman" w:eastAsia="宋体" w:cs="Times New Roman"/>
                <w:szCs w:val="21"/>
                <w:lang w:bidi="ar"/>
              </w:rPr>
            </w:pPr>
            <w:r>
              <w:rPr>
                <w:rFonts w:ascii="Times New Roman" w:hAnsi="Times New Roman" w:eastAsia="宋体" w:cs="Times New Roman"/>
                <w:szCs w:val="21"/>
                <w:lang w:bidi="ar"/>
              </w:rPr>
              <w:t>NE</w:t>
            </w:r>
          </w:p>
        </w:tc>
        <w:tc>
          <w:tcPr>
            <w:tcW w:w="458" w:type="dxa"/>
            <w:tcBorders>
              <w:tl2br w:val="nil"/>
              <w:tr2bl w:val="nil"/>
            </w:tcBorders>
            <w:vAlign w:val="center"/>
          </w:tcPr>
          <w:p w14:paraId="01011A30">
            <w:pPr>
              <w:jc w:val="center"/>
              <w:rPr>
                <w:rFonts w:ascii="Times New Roman" w:hAnsi="Times New Roman" w:eastAsia="宋体" w:cs="Times New Roman"/>
                <w:szCs w:val="21"/>
                <w:lang w:bidi="ar"/>
              </w:rPr>
            </w:pPr>
            <w:r>
              <w:rPr>
                <w:rFonts w:ascii="Times New Roman" w:hAnsi="Times New Roman" w:eastAsia="宋体" w:cs="Times New Roman"/>
                <w:szCs w:val="21"/>
                <w:lang w:bidi="ar"/>
              </w:rPr>
              <w:t>ENE</w:t>
            </w:r>
          </w:p>
        </w:tc>
        <w:tc>
          <w:tcPr>
            <w:tcW w:w="458" w:type="dxa"/>
            <w:tcBorders>
              <w:tl2br w:val="nil"/>
              <w:tr2bl w:val="nil"/>
            </w:tcBorders>
            <w:vAlign w:val="center"/>
          </w:tcPr>
          <w:p w14:paraId="3EC48FF6">
            <w:pPr>
              <w:jc w:val="center"/>
              <w:rPr>
                <w:rFonts w:ascii="Times New Roman" w:hAnsi="Times New Roman" w:eastAsia="宋体" w:cs="Times New Roman"/>
                <w:szCs w:val="21"/>
                <w:lang w:bidi="ar"/>
              </w:rPr>
            </w:pPr>
            <w:r>
              <w:rPr>
                <w:rFonts w:ascii="Times New Roman" w:hAnsi="Times New Roman" w:eastAsia="宋体" w:cs="Times New Roman"/>
                <w:szCs w:val="21"/>
                <w:lang w:bidi="ar"/>
              </w:rPr>
              <w:t>E</w:t>
            </w:r>
          </w:p>
        </w:tc>
        <w:tc>
          <w:tcPr>
            <w:tcW w:w="456" w:type="dxa"/>
            <w:tcBorders>
              <w:tl2br w:val="nil"/>
              <w:tr2bl w:val="nil"/>
            </w:tcBorders>
            <w:vAlign w:val="center"/>
          </w:tcPr>
          <w:p w14:paraId="12351E8E">
            <w:pPr>
              <w:jc w:val="center"/>
              <w:rPr>
                <w:rFonts w:ascii="Times New Roman" w:hAnsi="Times New Roman" w:eastAsia="宋体" w:cs="Times New Roman"/>
                <w:szCs w:val="21"/>
                <w:lang w:bidi="ar"/>
              </w:rPr>
            </w:pPr>
            <w:r>
              <w:rPr>
                <w:rFonts w:ascii="Times New Roman" w:hAnsi="Times New Roman" w:eastAsia="宋体" w:cs="Times New Roman"/>
                <w:szCs w:val="21"/>
                <w:lang w:bidi="ar"/>
              </w:rPr>
              <w:t>ESE</w:t>
            </w:r>
          </w:p>
        </w:tc>
        <w:tc>
          <w:tcPr>
            <w:tcW w:w="456" w:type="dxa"/>
            <w:tcBorders>
              <w:tl2br w:val="nil"/>
              <w:tr2bl w:val="nil"/>
            </w:tcBorders>
            <w:vAlign w:val="center"/>
          </w:tcPr>
          <w:p w14:paraId="6809E982">
            <w:pPr>
              <w:jc w:val="center"/>
              <w:rPr>
                <w:rFonts w:ascii="Times New Roman" w:hAnsi="Times New Roman" w:eastAsia="宋体" w:cs="Times New Roman"/>
                <w:szCs w:val="21"/>
                <w:lang w:bidi="ar"/>
              </w:rPr>
            </w:pPr>
            <w:r>
              <w:rPr>
                <w:rFonts w:ascii="Times New Roman" w:hAnsi="Times New Roman" w:eastAsia="宋体" w:cs="Times New Roman"/>
                <w:szCs w:val="21"/>
                <w:lang w:bidi="ar"/>
              </w:rPr>
              <w:t>SE</w:t>
            </w:r>
          </w:p>
        </w:tc>
        <w:tc>
          <w:tcPr>
            <w:tcW w:w="456" w:type="dxa"/>
            <w:tcBorders>
              <w:tl2br w:val="nil"/>
              <w:tr2bl w:val="nil"/>
            </w:tcBorders>
            <w:vAlign w:val="center"/>
          </w:tcPr>
          <w:p w14:paraId="10568921">
            <w:pPr>
              <w:jc w:val="center"/>
              <w:rPr>
                <w:rFonts w:ascii="Times New Roman" w:hAnsi="Times New Roman" w:eastAsia="宋体" w:cs="Times New Roman"/>
                <w:szCs w:val="21"/>
                <w:lang w:bidi="ar"/>
              </w:rPr>
            </w:pPr>
            <w:r>
              <w:rPr>
                <w:rFonts w:ascii="Times New Roman" w:hAnsi="Times New Roman" w:eastAsia="宋体" w:cs="Times New Roman"/>
                <w:szCs w:val="21"/>
                <w:lang w:bidi="ar"/>
              </w:rPr>
              <w:t>SSE</w:t>
            </w:r>
          </w:p>
        </w:tc>
        <w:tc>
          <w:tcPr>
            <w:tcW w:w="456" w:type="dxa"/>
            <w:tcBorders>
              <w:tl2br w:val="nil"/>
              <w:tr2bl w:val="nil"/>
            </w:tcBorders>
            <w:vAlign w:val="center"/>
          </w:tcPr>
          <w:p w14:paraId="0AAC8ABD">
            <w:pPr>
              <w:jc w:val="center"/>
              <w:rPr>
                <w:rFonts w:ascii="Times New Roman" w:hAnsi="Times New Roman" w:eastAsia="宋体" w:cs="Times New Roman"/>
                <w:szCs w:val="21"/>
                <w:lang w:bidi="ar"/>
              </w:rPr>
            </w:pPr>
            <w:r>
              <w:rPr>
                <w:rFonts w:ascii="Times New Roman" w:hAnsi="Times New Roman" w:eastAsia="宋体" w:cs="Times New Roman"/>
                <w:szCs w:val="21"/>
                <w:lang w:bidi="ar"/>
              </w:rPr>
              <w:t>S</w:t>
            </w:r>
          </w:p>
        </w:tc>
        <w:tc>
          <w:tcPr>
            <w:tcW w:w="456" w:type="dxa"/>
            <w:tcBorders>
              <w:tl2br w:val="nil"/>
              <w:tr2bl w:val="nil"/>
            </w:tcBorders>
            <w:vAlign w:val="center"/>
          </w:tcPr>
          <w:p w14:paraId="50A66938">
            <w:pPr>
              <w:jc w:val="center"/>
              <w:rPr>
                <w:rFonts w:ascii="Times New Roman" w:hAnsi="Times New Roman" w:eastAsia="宋体" w:cs="Times New Roman"/>
                <w:szCs w:val="21"/>
                <w:lang w:bidi="ar"/>
              </w:rPr>
            </w:pPr>
            <w:r>
              <w:rPr>
                <w:rFonts w:ascii="Times New Roman" w:hAnsi="Times New Roman" w:eastAsia="宋体" w:cs="Times New Roman"/>
                <w:szCs w:val="21"/>
                <w:lang w:bidi="ar"/>
              </w:rPr>
              <w:t>SSW</w:t>
            </w:r>
          </w:p>
        </w:tc>
        <w:tc>
          <w:tcPr>
            <w:tcW w:w="431" w:type="dxa"/>
            <w:tcBorders>
              <w:tl2br w:val="nil"/>
              <w:tr2bl w:val="nil"/>
            </w:tcBorders>
            <w:vAlign w:val="center"/>
          </w:tcPr>
          <w:p w14:paraId="5ADD049C">
            <w:pPr>
              <w:jc w:val="center"/>
              <w:rPr>
                <w:rFonts w:ascii="Times New Roman" w:hAnsi="Times New Roman" w:eastAsia="宋体" w:cs="Times New Roman"/>
                <w:szCs w:val="21"/>
                <w:lang w:bidi="ar"/>
              </w:rPr>
            </w:pPr>
            <w:r>
              <w:rPr>
                <w:rFonts w:ascii="Times New Roman" w:hAnsi="Times New Roman" w:eastAsia="宋体" w:cs="Times New Roman"/>
                <w:szCs w:val="21"/>
                <w:lang w:bidi="ar"/>
              </w:rPr>
              <w:t>SW</w:t>
            </w:r>
          </w:p>
        </w:tc>
        <w:tc>
          <w:tcPr>
            <w:tcW w:w="524" w:type="dxa"/>
            <w:tcBorders>
              <w:tl2br w:val="nil"/>
              <w:tr2bl w:val="nil"/>
            </w:tcBorders>
            <w:vAlign w:val="center"/>
          </w:tcPr>
          <w:p w14:paraId="20C5FC2F">
            <w:pPr>
              <w:jc w:val="center"/>
              <w:rPr>
                <w:rFonts w:ascii="Times New Roman" w:hAnsi="Times New Roman" w:eastAsia="宋体" w:cs="Times New Roman"/>
                <w:szCs w:val="21"/>
                <w:lang w:bidi="ar"/>
              </w:rPr>
            </w:pPr>
            <w:r>
              <w:rPr>
                <w:rFonts w:ascii="Times New Roman" w:hAnsi="Times New Roman" w:eastAsia="宋体" w:cs="Times New Roman"/>
                <w:szCs w:val="21"/>
                <w:lang w:bidi="ar"/>
              </w:rPr>
              <w:t>WSW</w:t>
            </w:r>
          </w:p>
        </w:tc>
        <w:tc>
          <w:tcPr>
            <w:tcW w:w="279" w:type="dxa"/>
            <w:tcBorders>
              <w:tl2br w:val="nil"/>
              <w:tr2bl w:val="nil"/>
            </w:tcBorders>
            <w:vAlign w:val="center"/>
          </w:tcPr>
          <w:p w14:paraId="1D7167FB">
            <w:pPr>
              <w:jc w:val="center"/>
              <w:rPr>
                <w:rFonts w:ascii="Times New Roman" w:hAnsi="Times New Roman" w:eastAsia="宋体" w:cs="Times New Roman"/>
                <w:szCs w:val="21"/>
                <w:lang w:bidi="ar"/>
              </w:rPr>
            </w:pPr>
            <w:r>
              <w:rPr>
                <w:rFonts w:ascii="Times New Roman" w:hAnsi="Times New Roman" w:eastAsia="宋体" w:cs="Times New Roman"/>
                <w:szCs w:val="21"/>
                <w:lang w:bidi="ar"/>
              </w:rPr>
              <w:t>W</w:t>
            </w:r>
          </w:p>
        </w:tc>
        <w:tc>
          <w:tcPr>
            <w:tcW w:w="559" w:type="dxa"/>
            <w:tcBorders>
              <w:tl2br w:val="nil"/>
              <w:tr2bl w:val="nil"/>
            </w:tcBorders>
            <w:vAlign w:val="center"/>
          </w:tcPr>
          <w:p w14:paraId="21E6A043">
            <w:pPr>
              <w:jc w:val="center"/>
              <w:rPr>
                <w:rFonts w:ascii="Times New Roman" w:hAnsi="Times New Roman" w:eastAsia="宋体" w:cs="Times New Roman"/>
                <w:szCs w:val="21"/>
                <w:lang w:bidi="ar"/>
              </w:rPr>
            </w:pPr>
            <w:r>
              <w:rPr>
                <w:rFonts w:ascii="Times New Roman" w:hAnsi="Times New Roman" w:eastAsia="宋体" w:cs="Times New Roman"/>
                <w:szCs w:val="21"/>
                <w:lang w:bidi="ar"/>
              </w:rPr>
              <w:t>WNW</w:t>
            </w:r>
          </w:p>
        </w:tc>
        <w:tc>
          <w:tcPr>
            <w:tcW w:w="378" w:type="dxa"/>
            <w:tcBorders>
              <w:tl2br w:val="nil"/>
              <w:tr2bl w:val="nil"/>
            </w:tcBorders>
            <w:vAlign w:val="center"/>
          </w:tcPr>
          <w:p w14:paraId="01FDB1C7">
            <w:pPr>
              <w:jc w:val="center"/>
              <w:rPr>
                <w:rFonts w:ascii="Times New Roman" w:hAnsi="Times New Roman" w:eastAsia="宋体" w:cs="Times New Roman"/>
                <w:szCs w:val="21"/>
                <w:lang w:bidi="ar"/>
              </w:rPr>
            </w:pPr>
            <w:r>
              <w:rPr>
                <w:rFonts w:ascii="Times New Roman" w:hAnsi="Times New Roman" w:eastAsia="宋体" w:cs="Times New Roman"/>
                <w:szCs w:val="21"/>
                <w:lang w:bidi="ar"/>
              </w:rPr>
              <w:t>NW</w:t>
            </w:r>
          </w:p>
        </w:tc>
        <w:tc>
          <w:tcPr>
            <w:tcW w:w="512" w:type="dxa"/>
            <w:tcBorders>
              <w:tl2br w:val="nil"/>
              <w:tr2bl w:val="nil"/>
            </w:tcBorders>
            <w:vAlign w:val="center"/>
          </w:tcPr>
          <w:p w14:paraId="530FCD90">
            <w:pPr>
              <w:jc w:val="center"/>
              <w:rPr>
                <w:rFonts w:ascii="Times New Roman" w:hAnsi="Times New Roman" w:eastAsia="宋体" w:cs="Times New Roman"/>
                <w:szCs w:val="21"/>
                <w:lang w:bidi="ar"/>
              </w:rPr>
            </w:pPr>
            <w:r>
              <w:rPr>
                <w:rFonts w:ascii="Times New Roman" w:hAnsi="Times New Roman" w:eastAsia="宋体" w:cs="Times New Roman"/>
                <w:szCs w:val="21"/>
                <w:lang w:bidi="ar"/>
              </w:rPr>
              <w:t>NNW</w:t>
            </w:r>
          </w:p>
        </w:tc>
        <w:tc>
          <w:tcPr>
            <w:tcW w:w="506" w:type="dxa"/>
            <w:tcBorders>
              <w:tl2br w:val="nil"/>
              <w:tr2bl w:val="nil"/>
            </w:tcBorders>
            <w:vAlign w:val="center"/>
          </w:tcPr>
          <w:p w14:paraId="662561AD">
            <w:pPr>
              <w:jc w:val="center"/>
              <w:rPr>
                <w:rFonts w:ascii="Times New Roman" w:hAnsi="Times New Roman" w:eastAsia="宋体" w:cs="Times New Roman"/>
                <w:szCs w:val="21"/>
                <w:lang w:bidi="ar"/>
              </w:rPr>
            </w:pPr>
            <w:r>
              <w:rPr>
                <w:rFonts w:ascii="Times New Roman" w:hAnsi="Times New Roman" w:eastAsia="宋体" w:cs="Times New Roman"/>
                <w:szCs w:val="21"/>
                <w:lang w:bidi="ar"/>
              </w:rPr>
              <w:t>平均</w:t>
            </w:r>
          </w:p>
        </w:tc>
      </w:tr>
      <w:tr w14:paraId="77B1F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5" w:type="dxa"/>
            <w:tcBorders>
              <w:tl2br w:val="nil"/>
              <w:tr2bl w:val="nil"/>
            </w:tcBorders>
            <w:vAlign w:val="center"/>
          </w:tcPr>
          <w:p w14:paraId="470E323D">
            <w:pPr>
              <w:jc w:val="center"/>
              <w:rPr>
                <w:rFonts w:ascii="Times New Roman" w:hAnsi="Times New Roman" w:eastAsia="宋体" w:cs="Times New Roman"/>
                <w:szCs w:val="21"/>
                <w:lang w:bidi="ar"/>
              </w:rPr>
            </w:pPr>
            <w:r>
              <w:rPr>
                <w:rFonts w:ascii="Times New Roman" w:hAnsi="Times New Roman" w:eastAsia="宋体" w:cs="Times New Roman"/>
                <w:szCs w:val="21"/>
                <w:lang w:bidi="ar"/>
              </w:rPr>
              <w:t>风速</w:t>
            </w:r>
          </w:p>
        </w:tc>
        <w:tc>
          <w:tcPr>
            <w:tcW w:w="455" w:type="dxa"/>
            <w:tcBorders>
              <w:tl2br w:val="nil"/>
              <w:tr2bl w:val="nil"/>
            </w:tcBorders>
            <w:vAlign w:val="center"/>
          </w:tcPr>
          <w:p w14:paraId="43CCF500">
            <w:pPr>
              <w:jc w:val="center"/>
              <w:rPr>
                <w:rFonts w:ascii="Times New Roman" w:hAnsi="Times New Roman" w:eastAsia="宋体" w:cs="Times New Roman"/>
                <w:szCs w:val="21"/>
                <w:lang w:bidi="ar"/>
              </w:rPr>
            </w:pPr>
            <w:r>
              <w:rPr>
                <w:rFonts w:ascii="Times New Roman" w:hAnsi="Times New Roman" w:eastAsia="宋体" w:cs="Times New Roman"/>
                <w:szCs w:val="21"/>
                <w:lang w:bidi="ar"/>
              </w:rPr>
              <w:t>1.9</w:t>
            </w:r>
          </w:p>
        </w:tc>
        <w:tc>
          <w:tcPr>
            <w:tcW w:w="455" w:type="dxa"/>
            <w:tcBorders>
              <w:tl2br w:val="nil"/>
              <w:tr2bl w:val="nil"/>
            </w:tcBorders>
            <w:vAlign w:val="center"/>
          </w:tcPr>
          <w:p w14:paraId="37DB9BCF">
            <w:pPr>
              <w:jc w:val="center"/>
              <w:rPr>
                <w:rFonts w:ascii="Times New Roman" w:hAnsi="Times New Roman" w:eastAsia="宋体" w:cs="Times New Roman"/>
                <w:szCs w:val="21"/>
                <w:lang w:bidi="ar"/>
              </w:rPr>
            </w:pPr>
            <w:r>
              <w:rPr>
                <w:rFonts w:ascii="Times New Roman" w:hAnsi="Times New Roman" w:eastAsia="宋体" w:cs="Times New Roman"/>
                <w:szCs w:val="21"/>
                <w:lang w:bidi="ar"/>
              </w:rPr>
              <w:t>2.1</w:t>
            </w:r>
          </w:p>
        </w:tc>
        <w:tc>
          <w:tcPr>
            <w:tcW w:w="458" w:type="dxa"/>
            <w:tcBorders>
              <w:tl2br w:val="nil"/>
              <w:tr2bl w:val="nil"/>
            </w:tcBorders>
            <w:vAlign w:val="center"/>
          </w:tcPr>
          <w:p w14:paraId="50BFEC15">
            <w:pPr>
              <w:jc w:val="center"/>
              <w:rPr>
                <w:rFonts w:ascii="Times New Roman" w:hAnsi="Times New Roman" w:eastAsia="宋体" w:cs="Times New Roman"/>
                <w:szCs w:val="21"/>
                <w:lang w:bidi="ar"/>
              </w:rPr>
            </w:pPr>
            <w:r>
              <w:rPr>
                <w:rFonts w:ascii="Times New Roman" w:hAnsi="Times New Roman" w:eastAsia="宋体" w:cs="Times New Roman"/>
                <w:szCs w:val="21"/>
                <w:lang w:bidi="ar"/>
              </w:rPr>
              <w:t>2.1</w:t>
            </w:r>
          </w:p>
        </w:tc>
        <w:tc>
          <w:tcPr>
            <w:tcW w:w="458" w:type="dxa"/>
            <w:tcBorders>
              <w:tl2br w:val="nil"/>
              <w:tr2bl w:val="nil"/>
            </w:tcBorders>
            <w:vAlign w:val="center"/>
          </w:tcPr>
          <w:p w14:paraId="32F7440C">
            <w:pPr>
              <w:jc w:val="center"/>
              <w:rPr>
                <w:rFonts w:ascii="Times New Roman" w:hAnsi="Times New Roman" w:eastAsia="宋体" w:cs="Times New Roman"/>
                <w:szCs w:val="21"/>
                <w:lang w:bidi="ar"/>
              </w:rPr>
            </w:pPr>
            <w:r>
              <w:rPr>
                <w:rFonts w:ascii="Times New Roman" w:hAnsi="Times New Roman" w:eastAsia="宋体" w:cs="Times New Roman"/>
                <w:szCs w:val="21"/>
                <w:lang w:bidi="ar"/>
              </w:rPr>
              <w:t>1.7</w:t>
            </w:r>
          </w:p>
        </w:tc>
        <w:tc>
          <w:tcPr>
            <w:tcW w:w="458" w:type="dxa"/>
            <w:tcBorders>
              <w:tl2br w:val="nil"/>
              <w:tr2bl w:val="nil"/>
            </w:tcBorders>
            <w:vAlign w:val="center"/>
          </w:tcPr>
          <w:p w14:paraId="71E7F704">
            <w:pPr>
              <w:jc w:val="center"/>
              <w:rPr>
                <w:rFonts w:ascii="Times New Roman" w:hAnsi="Times New Roman" w:eastAsia="宋体" w:cs="Times New Roman"/>
                <w:szCs w:val="21"/>
                <w:lang w:bidi="ar"/>
              </w:rPr>
            </w:pPr>
            <w:r>
              <w:rPr>
                <w:rFonts w:ascii="Times New Roman" w:hAnsi="Times New Roman" w:eastAsia="宋体" w:cs="Times New Roman"/>
                <w:szCs w:val="21"/>
                <w:lang w:bidi="ar"/>
              </w:rPr>
              <w:t>0.9</w:t>
            </w:r>
          </w:p>
        </w:tc>
        <w:tc>
          <w:tcPr>
            <w:tcW w:w="456" w:type="dxa"/>
            <w:tcBorders>
              <w:tl2br w:val="nil"/>
              <w:tr2bl w:val="nil"/>
            </w:tcBorders>
            <w:vAlign w:val="center"/>
          </w:tcPr>
          <w:p w14:paraId="664AC13A">
            <w:pPr>
              <w:jc w:val="center"/>
              <w:rPr>
                <w:rFonts w:ascii="Times New Roman" w:hAnsi="Times New Roman" w:eastAsia="宋体" w:cs="Times New Roman"/>
                <w:szCs w:val="21"/>
                <w:lang w:bidi="ar"/>
              </w:rPr>
            </w:pPr>
            <w:r>
              <w:rPr>
                <w:rFonts w:ascii="Times New Roman" w:hAnsi="Times New Roman" w:eastAsia="宋体" w:cs="Times New Roman"/>
                <w:szCs w:val="21"/>
                <w:lang w:bidi="ar"/>
              </w:rPr>
              <w:t>1.4</w:t>
            </w:r>
          </w:p>
        </w:tc>
        <w:tc>
          <w:tcPr>
            <w:tcW w:w="456" w:type="dxa"/>
            <w:tcBorders>
              <w:tl2br w:val="nil"/>
              <w:tr2bl w:val="nil"/>
            </w:tcBorders>
            <w:vAlign w:val="center"/>
          </w:tcPr>
          <w:p w14:paraId="58DCBB8F">
            <w:pPr>
              <w:jc w:val="center"/>
              <w:rPr>
                <w:rFonts w:ascii="Times New Roman" w:hAnsi="Times New Roman" w:eastAsia="宋体" w:cs="Times New Roman"/>
                <w:szCs w:val="21"/>
                <w:lang w:bidi="ar"/>
              </w:rPr>
            </w:pPr>
            <w:r>
              <w:rPr>
                <w:rFonts w:ascii="Times New Roman" w:hAnsi="Times New Roman" w:eastAsia="宋体" w:cs="Times New Roman"/>
                <w:szCs w:val="21"/>
                <w:lang w:bidi="ar"/>
              </w:rPr>
              <w:t>1.9</w:t>
            </w:r>
          </w:p>
        </w:tc>
        <w:tc>
          <w:tcPr>
            <w:tcW w:w="456" w:type="dxa"/>
            <w:tcBorders>
              <w:tl2br w:val="nil"/>
              <w:tr2bl w:val="nil"/>
            </w:tcBorders>
            <w:vAlign w:val="center"/>
          </w:tcPr>
          <w:p w14:paraId="28AD0589">
            <w:pPr>
              <w:jc w:val="center"/>
              <w:rPr>
                <w:rFonts w:ascii="Times New Roman" w:hAnsi="Times New Roman" w:eastAsia="宋体" w:cs="Times New Roman"/>
                <w:szCs w:val="21"/>
                <w:lang w:bidi="ar"/>
              </w:rPr>
            </w:pPr>
            <w:r>
              <w:rPr>
                <w:rFonts w:ascii="Times New Roman" w:hAnsi="Times New Roman" w:eastAsia="宋体" w:cs="Times New Roman"/>
                <w:szCs w:val="21"/>
                <w:lang w:bidi="ar"/>
              </w:rPr>
              <w:t>2.2</w:t>
            </w:r>
          </w:p>
        </w:tc>
        <w:tc>
          <w:tcPr>
            <w:tcW w:w="456" w:type="dxa"/>
            <w:tcBorders>
              <w:tl2br w:val="nil"/>
              <w:tr2bl w:val="nil"/>
            </w:tcBorders>
            <w:vAlign w:val="center"/>
          </w:tcPr>
          <w:p w14:paraId="564D3AE1">
            <w:pPr>
              <w:jc w:val="center"/>
              <w:rPr>
                <w:rFonts w:ascii="Times New Roman" w:hAnsi="Times New Roman" w:eastAsia="宋体" w:cs="Times New Roman"/>
                <w:szCs w:val="21"/>
                <w:lang w:bidi="ar"/>
              </w:rPr>
            </w:pPr>
            <w:r>
              <w:rPr>
                <w:rFonts w:ascii="Times New Roman" w:hAnsi="Times New Roman" w:eastAsia="宋体" w:cs="Times New Roman"/>
                <w:szCs w:val="21"/>
                <w:lang w:bidi="ar"/>
              </w:rPr>
              <w:t>2.0</w:t>
            </w:r>
          </w:p>
        </w:tc>
        <w:tc>
          <w:tcPr>
            <w:tcW w:w="456" w:type="dxa"/>
            <w:tcBorders>
              <w:tl2br w:val="nil"/>
              <w:tr2bl w:val="nil"/>
            </w:tcBorders>
            <w:vAlign w:val="center"/>
          </w:tcPr>
          <w:p w14:paraId="2B99ADF1">
            <w:pPr>
              <w:jc w:val="center"/>
              <w:rPr>
                <w:rFonts w:ascii="Times New Roman" w:hAnsi="Times New Roman" w:eastAsia="宋体" w:cs="Times New Roman"/>
                <w:szCs w:val="21"/>
                <w:lang w:bidi="ar"/>
              </w:rPr>
            </w:pPr>
            <w:r>
              <w:rPr>
                <w:rFonts w:ascii="Times New Roman" w:hAnsi="Times New Roman" w:eastAsia="宋体" w:cs="Times New Roman"/>
                <w:szCs w:val="21"/>
                <w:lang w:bidi="ar"/>
              </w:rPr>
              <w:t>2.8</w:t>
            </w:r>
          </w:p>
        </w:tc>
        <w:tc>
          <w:tcPr>
            <w:tcW w:w="431" w:type="dxa"/>
            <w:tcBorders>
              <w:tl2br w:val="nil"/>
              <w:tr2bl w:val="nil"/>
            </w:tcBorders>
            <w:vAlign w:val="center"/>
          </w:tcPr>
          <w:p w14:paraId="6EF2BF47">
            <w:pPr>
              <w:jc w:val="center"/>
              <w:rPr>
                <w:rFonts w:ascii="Times New Roman" w:hAnsi="Times New Roman" w:eastAsia="宋体" w:cs="Times New Roman"/>
                <w:szCs w:val="21"/>
                <w:lang w:bidi="ar"/>
              </w:rPr>
            </w:pPr>
            <w:r>
              <w:rPr>
                <w:rFonts w:ascii="Times New Roman" w:hAnsi="Times New Roman" w:eastAsia="宋体" w:cs="Times New Roman"/>
                <w:szCs w:val="21"/>
                <w:lang w:bidi="ar"/>
              </w:rPr>
              <w:t>2.4</w:t>
            </w:r>
          </w:p>
        </w:tc>
        <w:tc>
          <w:tcPr>
            <w:tcW w:w="524" w:type="dxa"/>
            <w:tcBorders>
              <w:tl2br w:val="nil"/>
              <w:tr2bl w:val="nil"/>
            </w:tcBorders>
            <w:vAlign w:val="center"/>
          </w:tcPr>
          <w:p w14:paraId="2AA6C238">
            <w:pPr>
              <w:jc w:val="center"/>
              <w:rPr>
                <w:rFonts w:ascii="Times New Roman" w:hAnsi="Times New Roman" w:eastAsia="宋体" w:cs="Times New Roman"/>
                <w:szCs w:val="21"/>
                <w:lang w:bidi="ar"/>
              </w:rPr>
            </w:pPr>
            <w:r>
              <w:rPr>
                <w:rFonts w:ascii="Times New Roman" w:hAnsi="Times New Roman" w:eastAsia="宋体" w:cs="Times New Roman"/>
                <w:szCs w:val="21"/>
                <w:lang w:bidi="ar"/>
              </w:rPr>
              <w:t>0.8</w:t>
            </w:r>
          </w:p>
        </w:tc>
        <w:tc>
          <w:tcPr>
            <w:tcW w:w="279" w:type="dxa"/>
            <w:tcBorders>
              <w:tl2br w:val="nil"/>
              <w:tr2bl w:val="nil"/>
            </w:tcBorders>
            <w:vAlign w:val="center"/>
          </w:tcPr>
          <w:p w14:paraId="7C43C56F">
            <w:pPr>
              <w:jc w:val="center"/>
              <w:rPr>
                <w:rFonts w:ascii="Times New Roman" w:hAnsi="Times New Roman" w:eastAsia="宋体" w:cs="Times New Roman"/>
                <w:szCs w:val="21"/>
                <w:lang w:bidi="ar"/>
              </w:rPr>
            </w:pPr>
            <w:r>
              <w:rPr>
                <w:rFonts w:ascii="Times New Roman" w:hAnsi="Times New Roman" w:eastAsia="宋体" w:cs="Times New Roman"/>
                <w:szCs w:val="21"/>
                <w:lang w:bidi="ar"/>
              </w:rPr>
              <w:t>1.5</w:t>
            </w:r>
          </w:p>
        </w:tc>
        <w:tc>
          <w:tcPr>
            <w:tcW w:w="559" w:type="dxa"/>
            <w:tcBorders>
              <w:tl2br w:val="nil"/>
              <w:tr2bl w:val="nil"/>
            </w:tcBorders>
            <w:vAlign w:val="center"/>
          </w:tcPr>
          <w:p w14:paraId="54630C00">
            <w:pPr>
              <w:jc w:val="center"/>
              <w:rPr>
                <w:rFonts w:ascii="Times New Roman" w:hAnsi="Times New Roman" w:eastAsia="宋体" w:cs="Times New Roman"/>
                <w:szCs w:val="21"/>
                <w:lang w:bidi="ar"/>
              </w:rPr>
            </w:pPr>
            <w:r>
              <w:rPr>
                <w:rFonts w:ascii="Times New Roman" w:hAnsi="Times New Roman" w:eastAsia="宋体" w:cs="Times New Roman"/>
                <w:szCs w:val="21"/>
                <w:lang w:bidi="ar"/>
              </w:rPr>
              <w:t>1.2</w:t>
            </w:r>
          </w:p>
        </w:tc>
        <w:tc>
          <w:tcPr>
            <w:tcW w:w="378" w:type="dxa"/>
            <w:tcBorders>
              <w:tl2br w:val="nil"/>
              <w:tr2bl w:val="nil"/>
            </w:tcBorders>
            <w:vAlign w:val="center"/>
          </w:tcPr>
          <w:p w14:paraId="6AA3C086">
            <w:pPr>
              <w:jc w:val="center"/>
              <w:rPr>
                <w:rFonts w:ascii="Times New Roman" w:hAnsi="Times New Roman" w:eastAsia="宋体" w:cs="Times New Roman"/>
                <w:szCs w:val="21"/>
                <w:lang w:bidi="ar"/>
              </w:rPr>
            </w:pPr>
            <w:r>
              <w:rPr>
                <w:rFonts w:ascii="Times New Roman" w:hAnsi="Times New Roman" w:eastAsia="宋体" w:cs="Times New Roman"/>
                <w:szCs w:val="21"/>
                <w:lang w:bidi="ar"/>
              </w:rPr>
              <w:t>1.4</w:t>
            </w:r>
          </w:p>
        </w:tc>
        <w:tc>
          <w:tcPr>
            <w:tcW w:w="512" w:type="dxa"/>
            <w:tcBorders>
              <w:tl2br w:val="nil"/>
              <w:tr2bl w:val="nil"/>
            </w:tcBorders>
            <w:vAlign w:val="center"/>
          </w:tcPr>
          <w:p w14:paraId="2D813273">
            <w:pPr>
              <w:jc w:val="center"/>
              <w:rPr>
                <w:rFonts w:ascii="Times New Roman" w:hAnsi="Times New Roman" w:eastAsia="宋体" w:cs="Times New Roman"/>
                <w:szCs w:val="21"/>
                <w:lang w:bidi="ar"/>
              </w:rPr>
            </w:pPr>
            <w:r>
              <w:rPr>
                <w:rFonts w:ascii="Times New Roman" w:hAnsi="Times New Roman" w:eastAsia="宋体" w:cs="Times New Roman"/>
                <w:szCs w:val="21"/>
                <w:lang w:bidi="ar"/>
              </w:rPr>
              <w:t>1.6</w:t>
            </w:r>
          </w:p>
        </w:tc>
        <w:tc>
          <w:tcPr>
            <w:tcW w:w="506" w:type="dxa"/>
            <w:tcBorders>
              <w:tl2br w:val="nil"/>
              <w:tr2bl w:val="nil"/>
            </w:tcBorders>
            <w:vAlign w:val="center"/>
          </w:tcPr>
          <w:p w14:paraId="7F36B4FA">
            <w:pPr>
              <w:jc w:val="center"/>
              <w:rPr>
                <w:rFonts w:ascii="Times New Roman" w:hAnsi="Times New Roman" w:eastAsia="宋体" w:cs="Times New Roman"/>
                <w:szCs w:val="21"/>
                <w:lang w:bidi="ar"/>
              </w:rPr>
            </w:pPr>
            <w:r>
              <w:rPr>
                <w:rFonts w:ascii="Times New Roman" w:hAnsi="Times New Roman" w:eastAsia="宋体" w:cs="Times New Roman"/>
                <w:szCs w:val="21"/>
                <w:lang w:bidi="ar"/>
              </w:rPr>
              <w:t>1.7</w:t>
            </w:r>
          </w:p>
        </w:tc>
      </w:tr>
    </w:tbl>
    <w:p w14:paraId="3FCC0670">
      <w:pPr>
        <w:spacing w:line="360" w:lineRule="auto"/>
        <w:ind w:firstLine="480" w:firstLineChars="200"/>
        <w:rPr>
          <w:rFonts w:ascii="Times New Roman" w:hAnsi="Times New Roman" w:eastAsia="宋体" w:cs="Times New Roman"/>
          <w:sz w:val="24"/>
          <w:szCs w:val="22"/>
          <w:lang w:bidi="ar"/>
        </w:rPr>
      </w:pPr>
      <w:r>
        <w:rPr>
          <w:rFonts w:ascii="Times New Roman" w:hAnsi="Times New Roman" w:eastAsia="宋体" w:cs="Times New Roman"/>
          <w:sz w:val="24"/>
          <w:szCs w:val="22"/>
          <w:lang w:bidi="ar"/>
        </w:rPr>
        <w:t>由上表可知：当地多年平均风速为1.7m/s，各风向平均风速以SSW风最高，为2.8m/s，其次为SW风，为2.4m/s，平均风速最低为0.9m/s，为E风向。平均风速较高的风向集中在SSE―SSW扇形风向，平均风速较低的风向集中在WSW―W―WNW风向。</w:t>
      </w:r>
    </w:p>
    <w:p w14:paraId="2BA43195">
      <w:pPr>
        <w:spacing w:line="360" w:lineRule="auto"/>
        <w:ind w:firstLine="480" w:firstLineChars="200"/>
        <w:rPr>
          <w:rFonts w:ascii="Times New Roman" w:hAnsi="Times New Roman" w:eastAsia="宋体" w:cs="Times New Roman"/>
          <w:sz w:val="24"/>
          <w:szCs w:val="22"/>
          <w:lang w:bidi="ar"/>
        </w:rPr>
      </w:pPr>
      <w:r>
        <w:rPr>
          <w:rFonts w:ascii="Times New Roman" w:hAnsi="Times New Roman" w:eastAsia="宋体" w:cs="Times New Roman"/>
          <w:sz w:val="24"/>
          <w:szCs w:val="22"/>
          <w:lang w:bidi="ar"/>
        </w:rPr>
        <w:t>（3）风向</w:t>
      </w:r>
    </w:p>
    <w:p w14:paraId="434A8AB0">
      <w:pPr>
        <w:spacing w:line="360" w:lineRule="auto"/>
        <w:ind w:firstLine="480" w:firstLineChars="200"/>
        <w:rPr>
          <w:rFonts w:ascii="Times New Roman" w:hAnsi="Times New Roman" w:eastAsia="宋体" w:cs="Times New Roman"/>
          <w:sz w:val="24"/>
          <w:szCs w:val="22"/>
          <w:lang w:bidi="ar"/>
        </w:rPr>
      </w:pPr>
      <w:r>
        <w:rPr>
          <w:rFonts w:ascii="Times New Roman" w:hAnsi="Times New Roman" w:eastAsia="宋体" w:cs="Times New Roman"/>
          <w:sz w:val="24"/>
          <w:szCs w:val="22"/>
          <w:lang w:bidi="ar"/>
        </w:rPr>
        <w:t>根据对当地近二十年气象观测站地面气象</w:t>
      </w:r>
      <w:r>
        <w:rPr>
          <w:rFonts w:ascii="Times New Roman" w:hAnsi="Times New Roman" w:cs="Times New Roman"/>
          <w:sz w:val="24"/>
          <w:szCs w:val="22"/>
          <w:lang w:bidi="ar"/>
        </w:rPr>
        <w:t>（2002―2021年）</w:t>
      </w:r>
      <w:r>
        <w:rPr>
          <w:rFonts w:ascii="Times New Roman" w:hAnsi="Times New Roman" w:eastAsia="宋体" w:cs="Times New Roman"/>
          <w:sz w:val="24"/>
          <w:szCs w:val="22"/>
          <w:lang w:bidi="ar"/>
        </w:rPr>
        <w:t>统计结果，该地全年最多风向为S风，频率13.5%，次主导风向为SSE风，频率10.0%，全年静风频率之和为18.8%，以扇形风向计算，SSE―SSW扇形方位风向频率之和最多，为31.7%，N―NE扇形方位风频之和次之为15.5%。多年各风向频率如下。</w:t>
      </w:r>
    </w:p>
    <w:p w14:paraId="5D2F7862">
      <w:pPr>
        <w:numPr>
          <w:ilvl w:val="0"/>
          <w:numId w:val="59"/>
        </w:numPr>
        <w:autoSpaceDE w:val="0"/>
        <w:autoSpaceDN w:val="0"/>
        <w:adjustRightInd w:val="0"/>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 xml:space="preserve">   当地多年各风向频率</w:t>
      </w:r>
      <w:r>
        <w:rPr>
          <w:rFonts w:ascii="Times New Roman" w:hAnsi="Times New Roman" w:eastAsia="宋体" w:cs="Times New Roman"/>
          <w:b/>
          <w:szCs w:val="21"/>
        </w:rPr>
        <w:tab/>
      </w:r>
      <w:r>
        <w:rPr>
          <w:rFonts w:ascii="Times New Roman" w:hAnsi="Times New Roman" w:eastAsia="宋体" w:cs="Times New Roman"/>
          <w:b/>
          <w:szCs w:val="21"/>
        </w:rPr>
        <w:t>（%）</w:t>
      </w:r>
    </w:p>
    <w:tbl>
      <w:tblPr>
        <w:tblStyle w:val="30"/>
        <w:tblW w:w="8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7"/>
        <w:gridCol w:w="404"/>
        <w:gridCol w:w="449"/>
        <w:gridCol w:w="448"/>
        <w:gridCol w:w="428"/>
        <w:gridCol w:w="408"/>
        <w:gridCol w:w="408"/>
        <w:gridCol w:w="411"/>
        <w:gridCol w:w="411"/>
        <w:gridCol w:w="411"/>
        <w:gridCol w:w="449"/>
        <w:gridCol w:w="489"/>
        <w:gridCol w:w="526"/>
        <w:gridCol w:w="521"/>
        <w:gridCol w:w="559"/>
        <w:gridCol w:w="479"/>
        <w:gridCol w:w="514"/>
        <w:gridCol w:w="486"/>
      </w:tblGrid>
      <w:tr w14:paraId="1BAB7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7" w:type="dxa"/>
            <w:tcBorders>
              <w:tl2br w:val="nil"/>
              <w:tr2bl w:val="nil"/>
            </w:tcBorders>
            <w:vAlign w:val="center"/>
          </w:tcPr>
          <w:p w14:paraId="71651CD8">
            <w:pPr>
              <w:spacing w:line="320" w:lineRule="exact"/>
              <w:jc w:val="center"/>
              <w:rPr>
                <w:rFonts w:ascii="Times New Roman" w:hAnsi="Times New Roman" w:cs="Times New Roman"/>
                <w:szCs w:val="21"/>
              </w:rPr>
            </w:pPr>
            <w:r>
              <w:rPr>
                <w:rFonts w:ascii="Times New Roman" w:hAnsi="Times New Roman" w:cs="Times New Roman"/>
                <w:szCs w:val="21"/>
              </w:rPr>
              <w:t>时间</w:t>
            </w:r>
          </w:p>
        </w:tc>
        <w:tc>
          <w:tcPr>
            <w:tcW w:w="404" w:type="dxa"/>
            <w:tcBorders>
              <w:tl2br w:val="nil"/>
              <w:tr2bl w:val="nil"/>
            </w:tcBorders>
            <w:vAlign w:val="center"/>
          </w:tcPr>
          <w:p w14:paraId="441C8BA1">
            <w:pPr>
              <w:spacing w:line="320" w:lineRule="exact"/>
              <w:jc w:val="center"/>
              <w:rPr>
                <w:rFonts w:ascii="Times New Roman" w:hAnsi="Times New Roman" w:cs="Times New Roman"/>
                <w:szCs w:val="21"/>
              </w:rPr>
            </w:pPr>
            <w:r>
              <w:rPr>
                <w:rFonts w:ascii="Times New Roman" w:hAnsi="Times New Roman" w:cs="Times New Roman"/>
                <w:szCs w:val="21"/>
              </w:rPr>
              <w:t>N</w:t>
            </w:r>
          </w:p>
        </w:tc>
        <w:tc>
          <w:tcPr>
            <w:tcW w:w="449" w:type="dxa"/>
            <w:tcBorders>
              <w:tl2br w:val="nil"/>
              <w:tr2bl w:val="nil"/>
            </w:tcBorders>
            <w:vAlign w:val="center"/>
          </w:tcPr>
          <w:p w14:paraId="570766FC">
            <w:pPr>
              <w:spacing w:line="320" w:lineRule="exact"/>
              <w:jc w:val="center"/>
              <w:rPr>
                <w:rFonts w:ascii="Times New Roman" w:hAnsi="Times New Roman" w:cs="Times New Roman"/>
                <w:szCs w:val="21"/>
              </w:rPr>
            </w:pPr>
            <w:r>
              <w:rPr>
                <w:rFonts w:ascii="Times New Roman" w:hAnsi="Times New Roman" w:cs="Times New Roman"/>
                <w:szCs w:val="21"/>
              </w:rPr>
              <w:t>NNE</w:t>
            </w:r>
          </w:p>
        </w:tc>
        <w:tc>
          <w:tcPr>
            <w:tcW w:w="448" w:type="dxa"/>
            <w:tcBorders>
              <w:tl2br w:val="nil"/>
              <w:tr2bl w:val="nil"/>
            </w:tcBorders>
            <w:vAlign w:val="center"/>
          </w:tcPr>
          <w:p w14:paraId="62BE7EDF">
            <w:pPr>
              <w:spacing w:line="320" w:lineRule="exact"/>
              <w:jc w:val="center"/>
              <w:rPr>
                <w:rFonts w:ascii="Times New Roman" w:hAnsi="Times New Roman" w:cs="Times New Roman"/>
                <w:szCs w:val="21"/>
              </w:rPr>
            </w:pPr>
            <w:r>
              <w:rPr>
                <w:rFonts w:ascii="Times New Roman" w:hAnsi="Times New Roman" w:cs="Times New Roman"/>
                <w:szCs w:val="21"/>
              </w:rPr>
              <w:t>NE</w:t>
            </w:r>
          </w:p>
        </w:tc>
        <w:tc>
          <w:tcPr>
            <w:tcW w:w="428" w:type="dxa"/>
            <w:tcBorders>
              <w:tl2br w:val="nil"/>
              <w:tr2bl w:val="nil"/>
            </w:tcBorders>
            <w:vAlign w:val="center"/>
          </w:tcPr>
          <w:p w14:paraId="03FC50A5">
            <w:pPr>
              <w:spacing w:line="320" w:lineRule="exact"/>
              <w:jc w:val="center"/>
              <w:rPr>
                <w:rFonts w:ascii="Times New Roman" w:hAnsi="Times New Roman" w:cs="Times New Roman"/>
                <w:szCs w:val="21"/>
              </w:rPr>
            </w:pPr>
            <w:r>
              <w:rPr>
                <w:rFonts w:ascii="Times New Roman" w:hAnsi="Times New Roman" w:cs="Times New Roman"/>
                <w:szCs w:val="21"/>
              </w:rPr>
              <w:t>ENE</w:t>
            </w:r>
          </w:p>
        </w:tc>
        <w:tc>
          <w:tcPr>
            <w:tcW w:w="408" w:type="dxa"/>
            <w:tcBorders>
              <w:tl2br w:val="nil"/>
              <w:tr2bl w:val="nil"/>
            </w:tcBorders>
            <w:vAlign w:val="center"/>
          </w:tcPr>
          <w:p w14:paraId="5ACFF6A7">
            <w:pPr>
              <w:spacing w:line="320" w:lineRule="exact"/>
              <w:jc w:val="center"/>
              <w:rPr>
                <w:rFonts w:ascii="Times New Roman" w:hAnsi="Times New Roman" w:cs="Times New Roman"/>
                <w:szCs w:val="21"/>
              </w:rPr>
            </w:pPr>
            <w:r>
              <w:rPr>
                <w:rFonts w:ascii="Times New Roman" w:hAnsi="Times New Roman" w:cs="Times New Roman"/>
                <w:szCs w:val="21"/>
              </w:rPr>
              <w:t>E</w:t>
            </w:r>
          </w:p>
        </w:tc>
        <w:tc>
          <w:tcPr>
            <w:tcW w:w="408" w:type="dxa"/>
            <w:tcBorders>
              <w:tl2br w:val="nil"/>
              <w:tr2bl w:val="nil"/>
            </w:tcBorders>
            <w:vAlign w:val="center"/>
          </w:tcPr>
          <w:p w14:paraId="332A057E">
            <w:pPr>
              <w:spacing w:line="320" w:lineRule="exact"/>
              <w:jc w:val="center"/>
              <w:rPr>
                <w:rFonts w:ascii="Times New Roman" w:hAnsi="Times New Roman" w:cs="Times New Roman"/>
                <w:szCs w:val="21"/>
              </w:rPr>
            </w:pPr>
            <w:r>
              <w:rPr>
                <w:rFonts w:ascii="Times New Roman" w:hAnsi="Times New Roman" w:cs="Times New Roman"/>
                <w:szCs w:val="21"/>
              </w:rPr>
              <w:t>ESE</w:t>
            </w:r>
          </w:p>
        </w:tc>
        <w:tc>
          <w:tcPr>
            <w:tcW w:w="411" w:type="dxa"/>
            <w:tcBorders>
              <w:tl2br w:val="nil"/>
              <w:tr2bl w:val="nil"/>
            </w:tcBorders>
            <w:vAlign w:val="center"/>
          </w:tcPr>
          <w:p w14:paraId="4ABD2825">
            <w:pPr>
              <w:spacing w:line="320" w:lineRule="exact"/>
              <w:jc w:val="center"/>
              <w:rPr>
                <w:rFonts w:ascii="Times New Roman" w:hAnsi="Times New Roman" w:cs="Times New Roman"/>
                <w:szCs w:val="21"/>
              </w:rPr>
            </w:pPr>
            <w:r>
              <w:rPr>
                <w:rFonts w:ascii="Times New Roman" w:hAnsi="Times New Roman" w:cs="Times New Roman"/>
                <w:szCs w:val="21"/>
              </w:rPr>
              <w:t>SE</w:t>
            </w:r>
          </w:p>
        </w:tc>
        <w:tc>
          <w:tcPr>
            <w:tcW w:w="411" w:type="dxa"/>
            <w:tcBorders>
              <w:tl2br w:val="nil"/>
              <w:tr2bl w:val="nil"/>
            </w:tcBorders>
            <w:vAlign w:val="center"/>
          </w:tcPr>
          <w:p w14:paraId="598EB9C4">
            <w:pPr>
              <w:spacing w:line="320" w:lineRule="exact"/>
              <w:jc w:val="center"/>
              <w:rPr>
                <w:rFonts w:ascii="Times New Roman" w:hAnsi="Times New Roman" w:cs="Times New Roman"/>
                <w:szCs w:val="21"/>
              </w:rPr>
            </w:pPr>
            <w:r>
              <w:rPr>
                <w:rFonts w:ascii="Times New Roman" w:hAnsi="Times New Roman" w:cs="Times New Roman"/>
                <w:szCs w:val="21"/>
              </w:rPr>
              <w:t>SSE</w:t>
            </w:r>
          </w:p>
        </w:tc>
        <w:tc>
          <w:tcPr>
            <w:tcW w:w="411" w:type="dxa"/>
            <w:tcBorders>
              <w:tl2br w:val="nil"/>
              <w:tr2bl w:val="nil"/>
            </w:tcBorders>
            <w:vAlign w:val="center"/>
          </w:tcPr>
          <w:p w14:paraId="31847413">
            <w:pPr>
              <w:spacing w:line="320" w:lineRule="exact"/>
              <w:jc w:val="center"/>
              <w:rPr>
                <w:rFonts w:ascii="Times New Roman" w:hAnsi="Times New Roman" w:cs="Times New Roman"/>
                <w:szCs w:val="21"/>
              </w:rPr>
            </w:pPr>
            <w:r>
              <w:rPr>
                <w:rFonts w:ascii="Times New Roman" w:hAnsi="Times New Roman" w:cs="Times New Roman"/>
                <w:szCs w:val="21"/>
              </w:rPr>
              <w:t>S</w:t>
            </w:r>
          </w:p>
        </w:tc>
        <w:tc>
          <w:tcPr>
            <w:tcW w:w="449" w:type="dxa"/>
            <w:tcBorders>
              <w:tl2br w:val="nil"/>
              <w:tr2bl w:val="nil"/>
            </w:tcBorders>
            <w:vAlign w:val="center"/>
          </w:tcPr>
          <w:p w14:paraId="3A9C22C6">
            <w:pPr>
              <w:spacing w:line="320" w:lineRule="exact"/>
              <w:jc w:val="center"/>
              <w:rPr>
                <w:rFonts w:ascii="Times New Roman" w:hAnsi="Times New Roman" w:cs="Times New Roman"/>
                <w:szCs w:val="21"/>
              </w:rPr>
            </w:pPr>
            <w:r>
              <w:rPr>
                <w:rFonts w:ascii="Times New Roman" w:hAnsi="Times New Roman" w:cs="Times New Roman"/>
                <w:szCs w:val="21"/>
              </w:rPr>
              <w:t>SSW</w:t>
            </w:r>
          </w:p>
        </w:tc>
        <w:tc>
          <w:tcPr>
            <w:tcW w:w="489" w:type="dxa"/>
            <w:tcBorders>
              <w:tl2br w:val="nil"/>
              <w:tr2bl w:val="nil"/>
            </w:tcBorders>
            <w:vAlign w:val="center"/>
          </w:tcPr>
          <w:p w14:paraId="026BC512">
            <w:pPr>
              <w:spacing w:line="320" w:lineRule="exact"/>
              <w:jc w:val="center"/>
              <w:rPr>
                <w:rFonts w:ascii="Times New Roman" w:hAnsi="Times New Roman" w:cs="Times New Roman"/>
                <w:szCs w:val="21"/>
              </w:rPr>
            </w:pPr>
            <w:r>
              <w:rPr>
                <w:rFonts w:ascii="Times New Roman" w:hAnsi="Times New Roman" w:cs="Times New Roman"/>
                <w:szCs w:val="21"/>
              </w:rPr>
              <w:t>SW</w:t>
            </w:r>
          </w:p>
        </w:tc>
        <w:tc>
          <w:tcPr>
            <w:tcW w:w="526" w:type="dxa"/>
            <w:tcBorders>
              <w:tl2br w:val="nil"/>
              <w:tr2bl w:val="nil"/>
            </w:tcBorders>
            <w:vAlign w:val="center"/>
          </w:tcPr>
          <w:p w14:paraId="7DB79BEA">
            <w:pPr>
              <w:spacing w:line="320" w:lineRule="exact"/>
              <w:jc w:val="center"/>
              <w:rPr>
                <w:rFonts w:ascii="Times New Roman" w:hAnsi="Times New Roman" w:cs="Times New Roman"/>
                <w:szCs w:val="21"/>
              </w:rPr>
            </w:pPr>
            <w:r>
              <w:rPr>
                <w:rFonts w:ascii="Times New Roman" w:hAnsi="Times New Roman" w:cs="Times New Roman"/>
                <w:szCs w:val="21"/>
              </w:rPr>
              <w:t>WSW</w:t>
            </w:r>
          </w:p>
        </w:tc>
        <w:tc>
          <w:tcPr>
            <w:tcW w:w="521" w:type="dxa"/>
            <w:tcBorders>
              <w:tl2br w:val="nil"/>
              <w:tr2bl w:val="nil"/>
            </w:tcBorders>
            <w:vAlign w:val="center"/>
          </w:tcPr>
          <w:p w14:paraId="5F0DD0B0">
            <w:pPr>
              <w:spacing w:line="320" w:lineRule="exact"/>
              <w:jc w:val="center"/>
              <w:rPr>
                <w:rFonts w:ascii="Times New Roman" w:hAnsi="Times New Roman" w:cs="Times New Roman"/>
                <w:szCs w:val="21"/>
              </w:rPr>
            </w:pPr>
            <w:r>
              <w:rPr>
                <w:rFonts w:ascii="Times New Roman" w:hAnsi="Times New Roman" w:cs="Times New Roman"/>
                <w:szCs w:val="21"/>
              </w:rPr>
              <w:t>W</w:t>
            </w:r>
          </w:p>
        </w:tc>
        <w:tc>
          <w:tcPr>
            <w:tcW w:w="559" w:type="dxa"/>
            <w:tcBorders>
              <w:tl2br w:val="nil"/>
              <w:tr2bl w:val="nil"/>
            </w:tcBorders>
            <w:vAlign w:val="center"/>
          </w:tcPr>
          <w:p w14:paraId="617EA507">
            <w:pPr>
              <w:spacing w:line="320" w:lineRule="exact"/>
              <w:jc w:val="center"/>
              <w:rPr>
                <w:rFonts w:ascii="Times New Roman" w:hAnsi="Times New Roman" w:cs="Times New Roman"/>
                <w:szCs w:val="21"/>
              </w:rPr>
            </w:pPr>
            <w:r>
              <w:rPr>
                <w:rFonts w:ascii="Times New Roman" w:hAnsi="Times New Roman" w:cs="Times New Roman"/>
                <w:szCs w:val="21"/>
              </w:rPr>
              <w:t>WNW</w:t>
            </w:r>
          </w:p>
        </w:tc>
        <w:tc>
          <w:tcPr>
            <w:tcW w:w="479" w:type="dxa"/>
            <w:tcBorders>
              <w:tl2br w:val="nil"/>
              <w:tr2bl w:val="nil"/>
            </w:tcBorders>
            <w:vAlign w:val="center"/>
          </w:tcPr>
          <w:p w14:paraId="42065CB0">
            <w:pPr>
              <w:spacing w:line="320" w:lineRule="exact"/>
              <w:jc w:val="center"/>
              <w:rPr>
                <w:rFonts w:ascii="Times New Roman" w:hAnsi="Times New Roman" w:cs="Times New Roman"/>
                <w:szCs w:val="21"/>
              </w:rPr>
            </w:pPr>
            <w:r>
              <w:rPr>
                <w:rFonts w:ascii="Times New Roman" w:hAnsi="Times New Roman" w:cs="Times New Roman"/>
                <w:szCs w:val="21"/>
              </w:rPr>
              <w:t>NW</w:t>
            </w:r>
          </w:p>
        </w:tc>
        <w:tc>
          <w:tcPr>
            <w:tcW w:w="514" w:type="dxa"/>
            <w:tcBorders>
              <w:tl2br w:val="nil"/>
              <w:tr2bl w:val="nil"/>
            </w:tcBorders>
            <w:vAlign w:val="center"/>
          </w:tcPr>
          <w:p w14:paraId="2D462556">
            <w:pPr>
              <w:spacing w:line="320" w:lineRule="exact"/>
              <w:jc w:val="center"/>
              <w:rPr>
                <w:rFonts w:ascii="Times New Roman" w:hAnsi="Times New Roman" w:cs="Times New Roman"/>
                <w:szCs w:val="21"/>
              </w:rPr>
            </w:pPr>
            <w:r>
              <w:rPr>
                <w:rFonts w:ascii="Times New Roman" w:hAnsi="Times New Roman" w:cs="Times New Roman"/>
                <w:szCs w:val="21"/>
              </w:rPr>
              <w:t>NNW</w:t>
            </w:r>
          </w:p>
        </w:tc>
        <w:tc>
          <w:tcPr>
            <w:tcW w:w="486" w:type="dxa"/>
            <w:tcBorders>
              <w:tl2br w:val="nil"/>
              <w:tr2bl w:val="nil"/>
            </w:tcBorders>
            <w:vAlign w:val="center"/>
          </w:tcPr>
          <w:p w14:paraId="2A0D8AC7">
            <w:pPr>
              <w:spacing w:line="320" w:lineRule="exact"/>
              <w:jc w:val="center"/>
              <w:rPr>
                <w:rFonts w:ascii="Times New Roman" w:hAnsi="Times New Roman" w:cs="Times New Roman"/>
                <w:szCs w:val="21"/>
              </w:rPr>
            </w:pPr>
            <w:r>
              <w:rPr>
                <w:rFonts w:ascii="Times New Roman" w:hAnsi="Times New Roman" w:cs="Times New Roman"/>
                <w:szCs w:val="21"/>
              </w:rPr>
              <w:t>C</w:t>
            </w:r>
          </w:p>
        </w:tc>
      </w:tr>
      <w:tr w14:paraId="02E25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07" w:type="dxa"/>
            <w:tcBorders>
              <w:tl2br w:val="nil"/>
              <w:tr2bl w:val="nil"/>
            </w:tcBorders>
            <w:vAlign w:val="center"/>
          </w:tcPr>
          <w:p w14:paraId="6594BCC4">
            <w:pPr>
              <w:spacing w:line="320" w:lineRule="exact"/>
              <w:jc w:val="center"/>
              <w:rPr>
                <w:rFonts w:ascii="Times New Roman" w:hAnsi="Times New Roman" w:cs="Times New Roman"/>
                <w:szCs w:val="21"/>
              </w:rPr>
            </w:pPr>
            <w:r>
              <w:rPr>
                <w:rFonts w:ascii="Times New Roman" w:hAnsi="Times New Roman" w:cs="Times New Roman"/>
                <w:szCs w:val="21"/>
              </w:rPr>
              <w:t>全年</w:t>
            </w:r>
          </w:p>
        </w:tc>
        <w:tc>
          <w:tcPr>
            <w:tcW w:w="404" w:type="dxa"/>
            <w:tcBorders>
              <w:tl2br w:val="nil"/>
              <w:tr2bl w:val="nil"/>
            </w:tcBorders>
            <w:vAlign w:val="center"/>
          </w:tcPr>
          <w:p w14:paraId="3AAF10DF">
            <w:pPr>
              <w:spacing w:line="320" w:lineRule="exact"/>
              <w:jc w:val="center"/>
              <w:rPr>
                <w:rFonts w:ascii="Times New Roman" w:hAnsi="Times New Roman" w:cs="Times New Roman"/>
                <w:szCs w:val="21"/>
              </w:rPr>
            </w:pPr>
            <w:r>
              <w:rPr>
                <w:rFonts w:ascii="Times New Roman" w:hAnsi="Times New Roman" w:cs="Times New Roman"/>
                <w:szCs w:val="21"/>
              </w:rPr>
              <w:t>7.0</w:t>
            </w:r>
          </w:p>
        </w:tc>
        <w:tc>
          <w:tcPr>
            <w:tcW w:w="449" w:type="dxa"/>
            <w:tcBorders>
              <w:tl2br w:val="nil"/>
              <w:tr2bl w:val="nil"/>
            </w:tcBorders>
            <w:vAlign w:val="center"/>
          </w:tcPr>
          <w:p w14:paraId="2ACA2646">
            <w:pPr>
              <w:spacing w:line="320" w:lineRule="exact"/>
              <w:jc w:val="center"/>
              <w:rPr>
                <w:rFonts w:ascii="Times New Roman" w:hAnsi="Times New Roman" w:cs="Times New Roman"/>
                <w:szCs w:val="21"/>
              </w:rPr>
            </w:pPr>
            <w:r>
              <w:rPr>
                <w:rFonts w:ascii="Times New Roman" w:hAnsi="Times New Roman" w:cs="Times New Roman"/>
                <w:szCs w:val="21"/>
              </w:rPr>
              <w:t>5.0</w:t>
            </w:r>
          </w:p>
        </w:tc>
        <w:tc>
          <w:tcPr>
            <w:tcW w:w="448" w:type="dxa"/>
            <w:tcBorders>
              <w:tl2br w:val="nil"/>
              <w:tr2bl w:val="nil"/>
            </w:tcBorders>
            <w:vAlign w:val="center"/>
          </w:tcPr>
          <w:p w14:paraId="56891A25">
            <w:pPr>
              <w:spacing w:line="320" w:lineRule="exact"/>
              <w:jc w:val="center"/>
              <w:rPr>
                <w:rFonts w:ascii="Times New Roman" w:hAnsi="Times New Roman" w:cs="Times New Roman"/>
                <w:szCs w:val="21"/>
              </w:rPr>
            </w:pPr>
            <w:r>
              <w:rPr>
                <w:rFonts w:ascii="Times New Roman" w:hAnsi="Times New Roman" w:cs="Times New Roman"/>
                <w:szCs w:val="21"/>
              </w:rPr>
              <w:t>3.5</w:t>
            </w:r>
          </w:p>
        </w:tc>
        <w:tc>
          <w:tcPr>
            <w:tcW w:w="428" w:type="dxa"/>
            <w:tcBorders>
              <w:tl2br w:val="nil"/>
              <w:tr2bl w:val="nil"/>
            </w:tcBorders>
            <w:vAlign w:val="center"/>
          </w:tcPr>
          <w:p w14:paraId="2DFDCF03">
            <w:pPr>
              <w:spacing w:line="320" w:lineRule="exact"/>
              <w:jc w:val="center"/>
              <w:rPr>
                <w:rFonts w:ascii="Times New Roman" w:hAnsi="Times New Roman" w:cs="Times New Roman"/>
                <w:szCs w:val="21"/>
              </w:rPr>
            </w:pPr>
            <w:r>
              <w:rPr>
                <w:rFonts w:ascii="Times New Roman" w:hAnsi="Times New Roman" w:cs="Times New Roman"/>
                <w:szCs w:val="21"/>
              </w:rPr>
              <w:t>1.8</w:t>
            </w:r>
          </w:p>
        </w:tc>
        <w:tc>
          <w:tcPr>
            <w:tcW w:w="408" w:type="dxa"/>
            <w:tcBorders>
              <w:tl2br w:val="nil"/>
              <w:tr2bl w:val="nil"/>
            </w:tcBorders>
            <w:vAlign w:val="center"/>
          </w:tcPr>
          <w:p w14:paraId="22CFB091">
            <w:pPr>
              <w:spacing w:line="320" w:lineRule="exact"/>
              <w:jc w:val="center"/>
              <w:rPr>
                <w:rFonts w:ascii="Times New Roman" w:hAnsi="Times New Roman" w:cs="Times New Roman"/>
                <w:szCs w:val="21"/>
              </w:rPr>
            </w:pPr>
            <w:r>
              <w:rPr>
                <w:rFonts w:ascii="Times New Roman" w:hAnsi="Times New Roman" w:cs="Times New Roman"/>
                <w:szCs w:val="21"/>
              </w:rPr>
              <w:t>3.0</w:t>
            </w:r>
          </w:p>
        </w:tc>
        <w:tc>
          <w:tcPr>
            <w:tcW w:w="408" w:type="dxa"/>
            <w:tcBorders>
              <w:tl2br w:val="nil"/>
              <w:tr2bl w:val="nil"/>
            </w:tcBorders>
            <w:vAlign w:val="center"/>
          </w:tcPr>
          <w:p w14:paraId="032E175A">
            <w:pPr>
              <w:spacing w:line="320" w:lineRule="exact"/>
              <w:jc w:val="center"/>
              <w:rPr>
                <w:rFonts w:ascii="Times New Roman" w:hAnsi="Times New Roman" w:cs="Times New Roman"/>
                <w:szCs w:val="21"/>
              </w:rPr>
            </w:pPr>
            <w:r>
              <w:rPr>
                <w:rFonts w:ascii="Times New Roman" w:hAnsi="Times New Roman" w:cs="Times New Roman"/>
                <w:szCs w:val="21"/>
              </w:rPr>
              <w:t>2.0</w:t>
            </w:r>
          </w:p>
        </w:tc>
        <w:tc>
          <w:tcPr>
            <w:tcW w:w="411" w:type="dxa"/>
            <w:tcBorders>
              <w:tl2br w:val="nil"/>
              <w:tr2bl w:val="nil"/>
            </w:tcBorders>
            <w:vAlign w:val="center"/>
          </w:tcPr>
          <w:p w14:paraId="5978780C">
            <w:pPr>
              <w:spacing w:line="320" w:lineRule="exact"/>
              <w:jc w:val="center"/>
              <w:rPr>
                <w:rFonts w:ascii="Times New Roman" w:hAnsi="Times New Roman" w:cs="Times New Roman"/>
                <w:szCs w:val="21"/>
              </w:rPr>
            </w:pPr>
            <w:r>
              <w:rPr>
                <w:rFonts w:ascii="Times New Roman" w:hAnsi="Times New Roman" w:cs="Times New Roman"/>
                <w:szCs w:val="21"/>
              </w:rPr>
              <w:t>8.8</w:t>
            </w:r>
          </w:p>
        </w:tc>
        <w:tc>
          <w:tcPr>
            <w:tcW w:w="411" w:type="dxa"/>
            <w:tcBorders>
              <w:tl2br w:val="nil"/>
              <w:tr2bl w:val="nil"/>
            </w:tcBorders>
            <w:vAlign w:val="center"/>
          </w:tcPr>
          <w:p w14:paraId="756C92B6">
            <w:pPr>
              <w:spacing w:line="320" w:lineRule="exact"/>
              <w:jc w:val="center"/>
              <w:rPr>
                <w:rFonts w:ascii="Times New Roman" w:hAnsi="Times New Roman" w:cs="Times New Roman"/>
                <w:szCs w:val="21"/>
              </w:rPr>
            </w:pPr>
            <w:r>
              <w:rPr>
                <w:rFonts w:ascii="Times New Roman" w:hAnsi="Times New Roman" w:cs="Times New Roman"/>
                <w:szCs w:val="21"/>
              </w:rPr>
              <w:t>10.0</w:t>
            </w:r>
          </w:p>
        </w:tc>
        <w:tc>
          <w:tcPr>
            <w:tcW w:w="411" w:type="dxa"/>
            <w:tcBorders>
              <w:tl2br w:val="nil"/>
              <w:tr2bl w:val="nil"/>
            </w:tcBorders>
            <w:vAlign w:val="center"/>
          </w:tcPr>
          <w:p w14:paraId="02D168B1">
            <w:pPr>
              <w:spacing w:line="320" w:lineRule="exact"/>
              <w:jc w:val="center"/>
              <w:rPr>
                <w:rFonts w:ascii="Times New Roman" w:hAnsi="Times New Roman" w:cs="Times New Roman"/>
                <w:szCs w:val="21"/>
              </w:rPr>
            </w:pPr>
            <w:r>
              <w:rPr>
                <w:rFonts w:ascii="Times New Roman" w:hAnsi="Times New Roman" w:cs="Times New Roman"/>
                <w:szCs w:val="21"/>
              </w:rPr>
              <w:t>13.5</w:t>
            </w:r>
          </w:p>
        </w:tc>
        <w:tc>
          <w:tcPr>
            <w:tcW w:w="449" w:type="dxa"/>
            <w:tcBorders>
              <w:tl2br w:val="nil"/>
              <w:tr2bl w:val="nil"/>
            </w:tcBorders>
            <w:vAlign w:val="center"/>
          </w:tcPr>
          <w:p w14:paraId="3BC185A6">
            <w:pPr>
              <w:spacing w:line="320" w:lineRule="exact"/>
              <w:jc w:val="center"/>
              <w:rPr>
                <w:rFonts w:ascii="Times New Roman" w:hAnsi="Times New Roman" w:cs="Times New Roman"/>
                <w:szCs w:val="21"/>
              </w:rPr>
            </w:pPr>
            <w:r>
              <w:rPr>
                <w:rFonts w:ascii="Times New Roman" w:hAnsi="Times New Roman" w:cs="Times New Roman"/>
                <w:szCs w:val="21"/>
              </w:rPr>
              <w:t>9.2</w:t>
            </w:r>
          </w:p>
        </w:tc>
        <w:tc>
          <w:tcPr>
            <w:tcW w:w="489" w:type="dxa"/>
            <w:tcBorders>
              <w:tl2br w:val="nil"/>
              <w:tr2bl w:val="nil"/>
            </w:tcBorders>
            <w:vAlign w:val="center"/>
          </w:tcPr>
          <w:p w14:paraId="7D973443">
            <w:pPr>
              <w:spacing w:line="320" w:lineRule="exact"/>
              <w:jc w:val="center"/>
              <w:rPr>
                <w:rFonts w:ascii="Times New Roman" w:hAnsi="Times New Roman" w:cs="Times New Roman"/>
                <w:szCs w:val="21"/>
              </w:rPr>
            </w:pPr>
            <w:r>
              <w:rPr>
                <w:rFonts w:ascii="Times New Roman" w:hAnsi="Times New Roman" w:cs="Times New Roman"/>
                <w:szCs w:val="21"/>
              </w:rPr>
              <w:t>5.0</w:t>
            </w:r>
          </w:p>
        </w:tc>
        <w:tc>
          <w:tcPr>
            <w:tcW w:w="526" w:type="dxa"/>
            <w:tcBorders>
              <w:tl2br w:val="nil"/>
              <w:tr2bl w:val="nil"/>
            </w:tcBorders>
            <w:vAlign w:val="center"/>
          </w:tcPr>
          <w:p w14:paraId="7C5688C4">
            <w:pPr>
              <w:spacing w:line="320" w:lineRule="exact"/>
              <w:jc w:val="center"/>
              <w:rPr>
                <w:rFonts w:ascii="Times New Roman" w:hAnsi="Times New Roman" w:cs="Times New Roman"/>
                <w:szCs w:val="21"/>
              </w:rPr>
            </w:pPr>
            <w:r>
              <w:rPr>
                <w:rFonts w:ascii="Times New Roman" w:hAnsi="Times New Roman" w:cs="Times New Roman"/>
                <w:szCs w:val="21"/>
              </w:rPr>
              <w:t>2.4</w:t>
            </w:r>
          </w:p>
        </w:tc>
        <w:tc>
          <w:tcPr>
            <w:tcW w:w="521" w:type="dxa"/>
            <w:tcBorders>
              <w:tl2br w:val="nil"/>
              <w:tr2bl w:val="nil"/>
            </w:tcBorders>
            <w:vAlign w:val="center"/>
          </w:tcPr>
          <w:p w14:paraId="5B0F8B2D">
            <w:pPr>
              <w:spacing w:line="320" w:lineRule="exact"/>
              <w:jc w:val="center"/>
              <w:rPr>
                <w:rFonts w:ascii="Times New Roman" w:hAnsi="Times New Roman" w:cs="Times New Roman"/>
                <w:szCs w:val="21"/>
              </w:rPr>
            </w:pPr>
            <w:r>
              <w:rPr>
                <w:rFonts w:ascii="Times New Roman" w:hAnsi="Times New Roman" w:cs="Times New Roman"/>
                <w:szCs w:val="21"/>
              </w:rPr>
              <w:t>1.2</w:t>
            </w:r>
          </w:p>
        </w:tc>
        <w:tc>
          <w:tcPr>
            <w:tcW w:w="559" w:type="dxa"/>
            <w:tcBorders>
              <w:tl2br w:val="nil"/>
              <w:tr2bl w:val="nil"/>
            </w:tcBorders>
            <w:vAlign w:val="center"/>
          </w:tcPr>
          <w:p w14:paraId="6211DABE">
            <w:pPr>
              <w:spacing w:line="320" w:lineRule="exact"/>
              <w:jc w:val="center"/>
              <w:rPr>
                <w:rFonts w:ascii="Times New Roman" w:hAnsi="Times New Roman" w:cs="Times New Roman"/>
                <w:szCs w:val="21"/>
              </w:rPr>
            </w:pPr>
            <w:r>
              <w:rPr>
                <w:rFonts w:ascii="Times New Roman" w:hAnsi="Times New Roman" w:cs="Times New Roman"/>
                <w:szCs w:val="21"/>
              </w:rPr>
              <w:t>0.8</w:t>
            </w:r>
          </w:p>
        </w:tc>
        <w:tc>
          <w:tcPr>
            <w:tcW w:w="479" w:type="dxa"/>
            <w:tcBorders>
              <w:tl2br w:val="nil"/>
              <w:tr2bl w:val="nil"/>
            </w:tcBorders>
            <w:vAlign w:val="center"/>
          </w:tcPr>
          <w:p w14:paraId="7FE1131C">
            <w:pPr>
              <w:spacing w:line="320" w:lineRule="exact"/>
              <w:jc w:val="center"/>
              <w:rPr>
                <w:rFonts w:ascii="Times New Roman" w:hAnsi="Times New Roman" w:cs="Times New Roman"/>
                <w:szCs w:val="21"/>
              </w:rPr>
            </w:pPr>
            <w:r>
              <w:rPr>
                <w:rFonts w:ascii="Times New Roman" w:hAnsi="Times New Roman" w:cs="Times New Roman"/>
                <w:szCs w:val="21"/>
              </w:rPr>
              <w:t>4.8</w:t>
            </w:r>
          </w:p>
        </w:tc>
        <w:tc>
          <w:tcPr>
            <w:tcW w:w="514" w:type="dxa"/>
            <w:tcBorders>
              <w:tl2br w:val="nil"/>
              <w:tr2bl w:val="nil"/>
            </w:tcBorders>
            <w:vAlign w:val="center"/>
          </w:tcPr>
          <w:p w14:paraId="4E6E9416">
            <w:pPr>
              <w:spacing w:line="320" w:lineRule="exact"/>
              <w:jc w:val="center"/>
              <w:rPr>
                <w:rFonts w:ascii="Times New Roman" w:hAnsi="Times New Roman" w:cs="Times New Roman"/>
                <w:szCs w:val="21"/>
              </w:rPr>
            </w:pPr>
            <w:r>
              <w:rPr>
                <w:rFonts w:ascii="Times New Roman" w:hAnsi="Times New Roman" w:cs="Times New Roman"/>
                <w:szCs w:val="21"/>
              </w:rPr>
              <w:t>3.2</w:t>
            </w:r>
          </w:p>
        </w:tc>
        <w:tc>
          <w:tcPr>
            <w:tcW w:w="486" w:type="dxa"/>
            <w:tcBorders>
              <w:tl2br w:val="nil"/>
              <w:tr2bl w:val="nil"/>
            </w:tcBorders>
            <w:vAlign w:val="center"/>
          </w:tcPr>
          <w:p w14:paraId="276E1F7A">
            <w:pPr>
              <w:spacing w:line="320" w:lineRule="exact"/>
              <w:jc w:val="center"/>
              <w:rPr>
                <w:rFonts w:ascii="Times New Roman" w:hAnsi="Times New Roman" w:cs="Times New Roman"/>
                <w:szCs w:val="21"/>
              </w:rPr>
            </w:pPr>
            <w:r>
              <w:rPr>
                <w:rFonts w:ascii="Times New Roman" w:hAnsi="Times New Roman" w:cs="Times New Roman"/>
                <w:szCs w:val="21"/>
              </w:rPr>
              <w:t>18.8</w:t>
            </w:r>
          </w:p>
        </w:tc>
      </w:tr>
    </w:tbl>
    <w:p w14:paraId="746DA83D">
      <w:pPr>
        <w:autoSpaceDE w:val="0"/>
        <w:autoSpaceDN w:val="0"/>
        <w:spacing w:before="76"/>
        <w:ind w:right="290"/>
        <w:jc w:val="center"/>
        <w:rPr>
          <w:rFonts w:ascii="Times New Roman" w:hAnsi="Times New Roman" w:eastAsia="宋体" w:cs="Times New Roman"/>
          <w:w w:val="101"/>
          <w:kern w:val="0"/>
          <w:sz w:val="18"/>
          <w:szCs w:val="22"/>
          <w:lang w:val="zh-CN" w:bidi="zh-CN"/>
        </w:rPr>
      </w:pPr>
    </w:p>
    <w:p w14:paraId="69D25D83">
      <w:pPr>
        <w:autoSpaceDE w:val="0"/>
        <w:autoSpaceDN w:val="0"/>
        <w:spacing w:before="76"/>
        <w:ind w:right="290"/>
        <w:jc w:val="center"/>
        <w:rPr>
          <w:rFonts w:ascii="Times New Roman" w:hAnsi="Times New Roman" w:eastAsia="宋体" w:cs="Times New Roman"/>
          <w:w w:val="101"/>
          <w:kern w:val="0"/>
          <w:sz w:val="18"/>
          <w:szCs w:val="22"/>
          <w:lang w:val="zh-CN" w:bidi="zh-CN"/>
        </w:rPr>
      </w:pPr>
    </w:p>
    <w:p w14:paraId="23DD8F11">
      <w:pPr>
        <w:autoSpaceDE w:val="0"/>
        <w:autoSpaceDN w:val="0"/>
        <w:spacing w:before="76"/>
        <w:ind w:right="290"/>
        <w:jc w:val="center"/>
        <w:rPr>
          <w:rFonts w:ascii="Times New Roman" w:hAnsi="Times New Roman" w:eastAsia="宋体" w:cs="Times New Roman"/>
          <w:kern w:val="0"/>
          <w:sz w:val="18"/>
          <w:szCs w:val="22"/>
          <w:lang w:val="zh-CN" w:bidi="zh-CN"/>
        </w:rPr>
      </w:pPr>
      <w:r>
        <w:rPr>
          <w:rFonts w:ascii="Times New Roman" w:hAnsi="Times New Roman" w:eastAsia="宋体" w:cs="Times New Roman"/>
          <w:kern w:val="0"/>
          <w:sz w:val="22"/>
          <w:szCs w:val="22"/>
          <w:lang w:val="zh-CN" w:bidi="zh-CN"/>
        </w:rPr>
        <mc:AlternateContent>
          <mc:Choice Requires="wpg">
            <w:drawing>
              <wp:anchor distT="0" distB="0" distL="114300" distR="114300" simplePos="0" relativeHeight="251663360" behindDoc="1" locked="0" layoutInCell="1" allowOverlap="1">
                <wp:simplePos x="0" y="0"/>
                <wp:positionH relativeFrom="page">
                  <wp:posOffset>3263900</wp:posOffset>
                </wp:positionH>
                <wp:positionV relativeFrom="paragraph">
                  <wp:posOffset>167005</wp:posOffset>
                </wp:positionV>
                <wp:extent cx="1035685" cy="1030605"/>
                <wp:effectExtent l="635" t="635" r="11430" b="16510"/>
                <wp:wrapNone/>
                <wp:docPr id="2" name="组合 2"/>
                <wp:cNvGraphicFramePr/>
                <a:graphic xmlns:a="http://schemas.openxmlformats.org/drawingml/2006/main">
                  <a:graphicData uri="http://schemas.microsoft.com/office/word/2010/wordprocessingGroup">
                    <wpg:wgp>
                      <wpg:cNvGrpSpPr/>
                      <wpg:grpSpPr>
                        <a:xfrm>
                          <a:off x="0" y="0"/>
                          <a:ext cx="1035685" cy="1030605"/>
                          <a:chOff x="5140" y="264"/>
                          <a:chExt cx="1631" cy="1623"/>
                        </a:xfrm>
                        <a:effectLst/>
                      </wpg:grpSpPr>
                      <wps:wsp>
                        <wps:cNvPr id="5" name="任意多边形 40"/>
                        <wps:cNvSpPr/>
                        <wps:spPr>
                          <a:xfrm>
                            <a:off x="5147" y="271"/>
                            <a:ext cx="1609" cy="1600"/>
                          </a:xfrm>
                          <a:custGeom>
                            <a:avLst/>
                            <a:gdLst/>
                            <a:ahLst/>
                            <a:cxnLst/>
                            <a:rect l="0" t="0" r="0" b="0"/>
                            <a:pathLst>
                              <a:path w="1609" h="1600">
                                <a:moveTo>
                                  <a:pt x="1608" y="800"/>
                                </a:moveTo>
                                <a:lnTo>
                                  <a:pt x="1604" y="877"/>
                                </a:lnTo>
                                <a:lnTo>
                                  <a:pt x="1593" y="952"/>
                                </a:lnTo>
                                <a:lnTo>
                                  <a:pt x="1576" y="1024"/>
                                </a:lnTo>
                                <a:lnTo>
                                  <a:pt x="1552" y="1094"/>
                                </a:lnTo>
                                <a:lnTo>
                                  <a:pt x="1522" y="1161"/>
                                </a:lnTo>
                                <a:lnTo>
                                  <a:pt x="1486" y="1224"/>
                                </a:lnTo>
                                <a:lnTo>
                                  <a:pt x="1444" y="1284"/>
                                </a:lnTo>
                                <a:lnTo>
                                  <a:pt x="1398" y="1339"/>
                                </a:lnTo>
                                <a:lnTo>
                                  <a:pt x="1346" y="1390"/>
                                </a:lnTo>
                                <a:lnTo>
                                  <a:pt x="1290" y="1437"/>
                                </a:lnTo>
                                <a:lnTo>
                                  <a:pt x="1231" y="1478"/>
                                </a:lnTo>
                                <a:lnTo>
                                  <a:pt x="1167" y="1514"/>
                                </a:lnTo>
                                <a:lnTo>
                                  <a:pt x="1100" y="1544"/>
                                </a:lnTo>
                                <a:lnTo>
                                  <a:pt x="1030" y="1568"/>
                                </a:lnTo>
                                <a:lnTo>
                                  <a:pt x="957" y="1585"/>
                                </a:lnTo>
                                <a:lnTo>
                                  <a:pt x="881" y="1596"/>
                                </a:lnTo>
                                <a:lnTo>
                                  <a:pt x="804" y="1600"/>
                                </a:lnTo>
                                <a:lnTo>
                                  <a:pt x="726" y="1596"/>
                                </a:lnTo>
                                <a:lnTo>
                                  <a:pt x="651" y="1585"/>
                                </a:lnTo>
                                <a:lnTo>
                                  <a:pt x="578" y="1568"/>
                                </a:lnTo>
                                <a:lnTo>
                                  <a:pt x="508" y="1544"/>
                                </a:lnTo>
                                <a:lnTo>
                                  <a:pt x="441" y="1514"/>
                                </a:lnTo>
                                <a:lnTo>
                                  <a:pt x="377" y="1478"/>
                                </a:lnTo>
                                <a:lnTo>
                                  <a:pt x="317" y="1437"/>
                                </a:lnTo>
                                <a:lnTo>
                                  <a:pt x="262" y="1390"/>
                                </a:lnTo>
                                <a:lnTo>
                                  <a:pt x="210" y="1339"/>
                                </a:lnTo>
                                <a:lnTo>
                                  <a:pt x="164" y="1284"/>
                                </a:lnTo>
                                <a:lnTo>
                                  <a:pt x="122" y="1224"/>
                                </a:lnTo>
                                <a:lnTo>
                                  <a:pt x="86" y="1161"/>
                                </a:lnTo>
                                <a:lnTo>
                                  <a:pt x="56" y="1094"/>
                                </a:lnTo>
                                <a:lnTo>
                                  <a:pt x="32" y="1024"/>
                                </a:lnTo>
                                <a:lnTo>
                                  <a:pt x="14" y="952"/>
                                </a:lnTo>
                                <a:lnTo>
                                  <a:pt x="3" y="877"/>
                                </a:lnTo>
                                <a:lnTo>
                                  <a:pt x="0" y="800"/>
                                </a:lnTo>
                                <a:lnTo>
                                  <a:pt x="3" y="723"/>
                                </a:lnTo>
                                <a:lnTo>
                                  <a:pt x="14" y="648"/>
                                </a:lnTo>
                                <a:lnTo>
                                  <a:pt x="32" y="575"/>
                                </a:lnTo>
                                <a:lnTo>
                                  <a:pt x="56" y="506"/>
                                </a:lnTo>
                                <a:lnTo>
                                  <a:pt x="86" y="439"/>
                                </a:lnTo>
                                <a:lnTo>
                                  <a:pt x="122" y="376"/>
                                </a:lnTo>
                                <a:lnTo>
                                  <a:pt x="164" y="316"/>
                                </a:lnTo>
                                <a:lnTo>
                                  <a:pt x="210" y="260"/>
                                </a:lnTo>
                                <a:lnTo>
                                  <a:pt x="262" y="209"/>
                                </a:lnTo>
                                <a:lnTo>
                                  <a:pt x="317" y="163"/>
                                </a:lnTo>
                                <a:lnTo>
                                  <a:pt x="377" y="122"/>
                                </a:lnTo>
                                <a:lnTo>
                                  <a:pt x="441" y="86"/>
                                </a:lnTo>
                                <a:lnTo>
                                  <a:pt x="508" y="56"/>
                                </a:lnTo>
                                <a:lnTo>
                                  <a:pt x="578" y="32"/>
                                </a:lnTo>
                                <a:lnTo>
                                  <a:pt x="651" y="15"/>
                                </a:lnTo>
                                <a:lnTo>
                                  <a:pt x="726" y="4"/>
                                </a:lnTo>
                                <a:lnTo>
                                  <a:pt x="804" y="0"/>
                                </a:lnTo>
                                <a:lnTo>
                                  <a:pt x="881" y="4"/>
                                </a:lnTo>
                                <a:lnTo>
                                  <a:pt x="957" y="15"/>
                                </a:lnTo>
                                <a:lnTo>
                                  <a:pt x="1030" y="32"/>
                                </a:lnTo>
                                <a:lnTo>
                                  <a:pt x="1100" y="56"/>
                                </a:lnTo>
                                <a:lnTo>
                                  <a:pt x="1167" y="86"/>
                                </a:lnTo>
                                <a:lnTo>
                                  <a:pt x="1231" y="122"/>
                                </a:lnTo>
                                <a:lnTo>
                                  <a:pt x="1290" y="163"/>
                                </a:lnTo>
                                <a:lnTo>
                                  <a:pt x="1346" y="209"/>
                                </a:lnTo>
                                <a:lnTo>
                                  <a:pt x="1398" y="260"/>
                                </a:lnTo>
                                <a:lnTo>
                                  <a:pt x="1444" y="316"/>
                                </a:lnTo>
                                <a:lnTo>
                                  <a:pt x="1486" y="376"/>
                                </a:lnTo>
                                <a:lnTo>
                                  <a:pt x="1522" y="439"/>
                                </a:lnTo>
                                <a:lnTo>
                                  <a:pt x="1552" y="506"/>
                                </a:lnTo>
                                <a:lnTo>
                                  <a:pt x="1576" y="575"/>
                                </a:lnTo>
                                <a:lnTo>
                                  <a:pt x="1593" y="648"/>
                                </a:lnTo>
                                <a:lnTo>
                                  <a:pt x="1604" y="723"/>
                                </a:lnTo>
                                <a:lnTo>
                                  <a:pt x="1608" y="800"/>
                                </a:lnTo>
                              </a:path>
                            </a:pathLst>
                          </a:custGeom>
                          <a:noFill/>
                          <a:ln w="9614" cap="flat" cmpd="sng">
                            <a:solidFill>
                              <a:srgbClr val="636363"/>
                            </a:solidFill>
                            <a:prstDash val="solid"/>
                            <a:headEnd type="none" w="med" len="med"/>
                            <a:tailEnd type="none" w="med" len="med"/>
                          </a:ln>
                          <a:effectLst/>
                        </wps:spPr>
                        <wps:bodyPr upright="1"/>
                      </wps:wsp>
                      <pic:pic xmlns:pic="http://schemas.openxmlformats.org/drawingml/2006/picture">
                        <pic:nvPicPr>
                          <pic:cNvPr id="8" name="图片 43"/>
                          <pic:cNvPicPr>
                            <a:picLocks noChangeAspect="1"/>
                          </pic:cNvPicPr>
                        </pic:nvPicPr>
                        <pic:blipFill>
                          <a:blip r:embed="rId52"/>
                          <a:stretch>
                            <a:fillRect/>
                          </a:stretch>
                        </pic:blipFill>
                        <pic:spPr>
                          <a:xfrm>
                            <a:off x="5944" y="686"/>
                            <a:ext cx="365" cy="740"/>
                          </a:xfrm>
                          <a:prstGeom prst="rect">
                            <a:avLst/>
                          </a:prstGeom>
                          <a:noFill/>
                          <a:ln>
                            <a:noFill/>
                          </a:ln>
                          <a:effectLst/>
                        </pic:spPr>
                      </pic:pic>
                      <wps:wsp>
                        <wps:cNvPr id="42" name="任意多边形 42"/>
                        <wps:cNvSpPr/>
                        <wps:spPr>
                          <a:xfrm>
                            <a:off x="5951" y="1070"/>
                            <a:ext cx="349" cy="514"/>
                          </a:xfrm>
                          <a:custGeom>
                            <a:avLst/>
                            <a:gdLst/>
                            <a:ahLst/>
                            <a:cxnLst/>
                            <a:rect l="0" t="0" r="0" b="0"/>
                            <a:pathLst>
                              <a:path w="349" h="514">
                                <a:moveTo>
                                  <a:pt x="212" y="513"/>
                                </a:moveTo>
                                <a:lnTo>
                                  <a:pt x="0" y="0"/>
                                </a:lnTo>
                                <a:lnTo>
                                  <a:pt x="349" y="347"/>
                                </a:lnTo>
                                <a:lnTo>
                                  <a:pt x="212" y="513"/>
                                </a:lnTo>
                                <a:close/>
                              </a:path>
                            </a:pathLst>
                          </a:custGeom>
                          <a:solidFill>
                            <a:srgbClr val="000000"/>
                          </a:solidFill>
                          <a:ln>
                            <a:noFill/>
                          </a:ln>
                          <a:effectLst/>
                        </wps:spPr>
                        <wps:bodyPr upright="1"/>
                      </wps:wsp>
                      <wps:wsp>
                        <wps:cNvPr id="43" name="任意多边形 43"/>
                        <wps:cNvSpPr/>
                        <wps:spPr>
                          <a:xfrm>
                            <a:off x="5951" y="1070"/>
                            <a:ext cx="349" cy="514"/>
                          </a:xfrm>
                          <a:custGeom>
                            <a:avLst/>
                            <a:gdLst/>
                            <a:ahLst/>
                            <a:cxnLst/>
                            <a:rect l="0" t="0" r="0" b="0"/>
                            <a:pathLst>
                              <a:path w="349" h="514">
                                <a:moveTo>
                                  <a:pt x="0" y="0"/>
                                </a:moveTo>
                                <a:lnTo>
                                  <a:pt x="349" y="347"/>
                                </a:lnTo>
                                <a:lnTo>
                                  <a:pt x="212" y="513"/>
                                </a:lnTo>
                                <a:lnTo>
                                  <a:pt x="0" y="0"/>
                                </a:lnTo>
                              </a:path>
                            </a:pathLst>
                          </a:custGeom>
                          <a:noFill/>
                          <a:ln w="9614" cap="flat" cmpd="sng">
                            <a:solidFill>
                              <a:srgbClr val="000000"/>
                            </a:solidFill>
                            <a:prstDash val="solid"/>
                            <a:headEnd type="none" w="med" len="med"/>
                            <a:tailEnd type="none" w="med" len="med"/>
                          </a:ln>
                          <a:effectLst/>
                        </wps:spPr>
                        <wps:bodyPr upright="1"/>
                      </wps:wsp>
                      <wps:wsp>
                        <wps:cNvPr id="44" name="任意多边形 44"/>
                        <wps:cNvSpPr/>
                        <wps:spPr>
                          <a:xfrm>
                            <a:off x="5951" y="1070"/>
                            <a:ext cx="213" cy="740"/>
                          </a:xfrm>
                          <a:custGeom>
                            <a:avLst/>
                            <a:gdLst/>
                            <a:ahLst/>
                            <a:cxnLst/>
                            <a:rect l="0" t="0" r="0" b="0"/>
                            <a:pathLst>
                              <a:path w="213" h="740">
                                <a:moveTo>
                                  <a:pt x="0" y="739"/>
                                </a:moveTo>
                                <a:lnTo>
                                  <a:pt x="0" y="0"/>
                                </a:lnTo>
                                <a:lnTo>
                                  <a:pt x="212" y="513"/>
                                </a:lnTo>
                                <a:lnTo>
                                  <a:pt x="0" y="739"/>
                                </a:lnTo>
                                <a:close/>
                              </a:path>
                            </a:pathLst>
                          </a:custGeom>
                          <a:solidFill>
                            <a:srgbClr val="C7C7C7"/>
                          </a:solidFill>
                          <a:ln>
                            <a:noFill/>
                          </a:ln>
                          <a:effectLst/>
                        </wps:spPr>
                        <wps:bodyPr upright="1"/>
                      </wps:wsp>
                      <wps:wsp>
                        <wps:cNvPr id="45" name="任意多边形 45"/>
                        <wps:cNvSpPr/>
                        <wps:spPr>
                          <a:xfrm>
                            <a:off x="5951" y="1070"/>
                            <a:ext cx="213" cy="740"/>
                          </a:xfrm>
                          <a:custGeom>
                            <a:avLst/>
                            <a:gdLst/>
                            <a:ahLst/>
                            <a:cxnLst/>
                            <a:rect l="0" t="0" r="0" b="0"/>
                            <a:pathLst>
                              <a:path w="213" h="740">
                                <a:moveTo>
                                  <a:pt x="0" y="0"/>
                                </a:moveTo>
                                <a:lnTo>
                                  <a:pt x="212" y="513"/>
                                </a:lnTo>
                                <a:lnTo>
                                  <a:pt x="0" y="739"/>
                                </a:lnTo>
                                <a:lnTo>
                                  <a:pt x="0" y="0"/>
                                </a:lnTo>
                              </a:path>
                            </a:pathLst>
                          </a:custGeom>
                          <a:noFill/>
                          <a:ln w="9614" cap="flat" cmpd="sng">
                            <a:solidFill>
                              <a:srgbClr val="000000"/>
                            </a:solidFill>
                            <a:prstDash val="solid"/>
                            <a:headEnd type="none" w="med" len="med"/>
                            <a:tailEnd type="none" w="med" len="med"/>
                          </a:ln>
                          <a:effectLst/>
                        </wps:spPr>
                        <wps:bodyPr upright="1"/>
                      </wps:wsp>
                      <wps:wsp>
                        <wps:cNvPr id="46" name="任意多边形 46"/>
                        <wps:cNvSpPr/>
                        <wps:spPr>
                          <a:xfrm>
                            <a:off x="5769" y="1070"/>
                            <a:ext cx="183" cy="740"/>
                          </a:xfrm>
                          <a:custGeom>
                            <a:avLst/>
                            <a:gdLst/>
                            <a:ahLst/>
                            <a:cxnLst/>
                            <a:rect l="0" t="0" r="0" b="0"/>
                            <a:pathLst>
                              <a:path w="183" h="740">
                                <a:moveTo>
                                  <a:pt x="182" y="739"/>
                                </a:moveTo>
                                <a:lnTo>
                                  <a:pt x="0" y="468"/>
                                </a:lnTo>
                                <a:lnTo>
                                  <a:pt x="182" y="0"/>
                                </a:lnTo>
                                <a:lnTo>
                                  <a:pt x="182" y="739"/>
                                </a:lnTo>
                                <a:close/>
                              </a:path>
                            </a:pathLst>
                          </a:custGeom>
                          <a:solidFill>
                            <a:srgbClr val="000000"/>
                          </a:solidFill>
                          <a:ln>
                            <a:noFill/>
                          </a:ln>
                          <a:effectLst/>
                        </wps:spPr>
                        <wps:bodyPr upright="1"/>
                      </wps:wsp>
                      <wps:wsp>
                        <wps:cNvPr id="48" name="任意多边形 48"/>
                        <wps:cNvSpPr/>
                        <wps:spPr>
                          <a:xfrm>
                            <a:off x="5769" y="1070"/>
                            <a:ext cx="183" cy="740"/>
                          </a:xfrm>
                          <a:custGeom>
                            <a:avLst/>
                            <a:gdLst/>
                            <a:ahLst/>
                            <a:cxnLst/>
                            <a:rect l="0" t="0" r="0" b="0"/>
                            <a:pathLst>
                              <a:path w="183" h="740">
                                <a:moveTo>
                                  <a:pt x="182" y="0"/>
                                </a:moveTo>
                                <a:lnTo>
                                  <a:pt x="182" y="739"/>
                                </a:lnTo>
                                <a:lnTo>
                                  <a:pt x="0" y="468"/>
                                </a:lnTo>
                                <a:lnTo>
                                  <a:pt x="182" y="0"/>
                                </a:lnTo>
                              </a:path>
                            </a:pathLst>
                          </a:custGeom>
                          <a:noFill/>
                          <a:ln w="9614" cap="flat" cmpd="sng">
                            <a:solidFill>
                              <a:srgbClr val="000000"/>
                            </a:solidFill>
                            <a:prstDash val="solid"/>
                            <a:headEnd type="none" w="med" len="med"/>
                            <a:tailEnd type="none" w="med" len="med"/>
                          </a:ln>
                          <a:effectLst/>
                        </wps:spPr>
                        <wps:bodyPr upright="1"/>
                      </wps:wsp>
                      <wps:wsp>
                        <wps:cNvPr id="50" name="任意多边形 50"/>
                        <wps:cNvSpPr/>
                        <wps:spPr>
                          <a:xfrm>
                            <a:off x="5769" y="1070"/>
                            <a:ext cx="183" cy="468"/>
                          </a:xfrm>
                          <a:custGeom>
                            <a:avLst/>
                            <a:gdLst/>
                            <a:ahLst/>
                            <a:cxnLst/>
                            <a:rect l="0" t="0" r="0" b="0"/>
                            <a:pathLst>
                              <a:path w="183" h="468">
                                <a:moveTo>
                                  <a:pt x="0" y="468"/>
                                </a:moveTo>
                                <a:lnTo>
                                  <a:pt x="0" y="196"/>
                                </a:lnTo>
                                <a:lnTo>
                                  <a:pt x="182" y="0"/>
                                </a:lnTo>
                                <a:lnTo>
                                  <a:pt x="0" y="468"/>
                                </a:lnTo>
                                <a:close/>
                              </a:path>
                            </a:pathLst>
                          </a:custGeom>
                          <a:solidFill>
                            <a:srgbClr val="C7C7C7"/>
                          </a:solidFill>
                          <a:ln>
                            <a:noFill/>
                          </a:ln>
                          <a:effectLst/>
                        </wps:spPr>
                        <wps:bodyPr upright="1"/>
                      </wps:wsp>
                      <wps:wsp>
                        <wps:cNvPr id="52" name="任意多边形 52"/>
                        <wps:cNvSpPr/>
                        <wps:spPr>
                          <a:xfrm>
                            <a:off x="5769" y="1070"/>
                            <a:ext cx="183" cy="468"/>
                          </a:xfrm>
                          <a:custGeom>
                            <a:avLst/>
                            <a:gdLst/>
                            <a:ahLst/>
                            <a:cxnLst/>
                            <a:rect l="0" t="0" r="0" b="0"/>
                            <a:pathLst>
                              <a:path w="183" h="468">
                                <a:moveTo>
                                  <a:pt x="182" y="0"/>
                                </a:moveTo>
                                <a:lnTo>
                                  <a:pt x="0" y="468"/>
                                </a:lnTo>
                                <a:lnTo>
                                  <a:pt x="0" y="196"/>
                                </a:lnTo>
                                <a:lnTo>
                                  <a:pt x="182" y="0"/>
                                </a:lnTo>
                              </a:path>
                            </a:pathLst>
                          </a:custGeom>
                          <a:noFill/>
                          <a:ln w="9614" cap="flat" cmpd="sng">
                            <a:solidFill>
                              <a:srgbClr val="000000"/>
                            </a:solidFill>
                            <a:prstDash val="solid"/>
                            <a:headEnd type="none" w="med" len="med"/>
                            <a:tailEnd type="none" w="med" len="med"/>
                          </a:ln>
                          <a:effectLst/>
                        </wps:spPr>
                        <wps:bodyPr upright="1"/>
                      </wps:wsp>
                      <pic:pic xmlns:pic="http://schemas.openxmlformats.org/drawingml/2006/picture">
                        <pic:nvPicPr>
                          <pic:cNvPr id="53" name="图片 52"/>
                          <pic:cNvPicPr>
                            <a:picLocks noChangeAspect="1"/>
                          </pic:cNvPicPr>
                        </pic:nvPicPr>
                        <pic:blipFill>
                          <a:blip r:embed="rId53"/>
                          <a:stretch>
                            <a:fillRect/>
                          </a:stretch>
                        </pic:blipFill>
                        <pic:spPr>
                          <a:xfrm>
                            <a:off x="5762" y="686"/>
                            <a:ext cx="198" cy="589"/>
                          </a:xfrm>
                          <a:prstGeom prst="rect">
                            <a:avLst/>
                          </a:prstGeom>
                          <a:noFill/>
                          <a:ln>
                            <a:noFill/>
                          </a:ln>
                          <a:effectLst/>
                        </pic:spPr>
                      </pic:pic>
                      <wps:wsp>
                        <wps:cNvPr id="54" name="任意多边形 54"/>
                        <wps:cNvSpPr/>
                        <wps:spPr>
                          <a:xfrm>
                            <a:off x="5147" y="1629"/>
                            <a:ext cx="1624" cy="1615"/>
                          </a:xfrm>
                          <a:custGeom>
                            <a:avLst/>
                            <a:gdLst/>
                            <a:ahLst/>
                            <a:cxnLst/>
                            <a:rect l="0" t="0" r="0" b="0"/>
                            <a:pathLst>
                              <a:path w="1624" h="1615">
                                <a:moveTo>
                                  <a:pt x="804" y="-1358"/>
                                </a:moveTo>
                                <a:lnTo>
                                  <a:pt x="804" y="257"/>
                                </a:lnTo>
                                <a:moveTo>
                                  <a:pt x="1122" y="-1298"/>
                                </a:moveTo>
                                <a:lnTo>
                                  <a:pt x="500" y="196"/>
                                </a:lnTo>
                                <a:moveTo>
                                  <a:pt x="1380" y="-1116"/>
                                </a:moveTo>
                                <a:lnTo>
                                  <a:pt x="242" y="15"/>
                                </a:lnTo>
                                <a:moveTo>
                                  <a:pt x="1562" y="-860"/>
                                </a:moveTo>
                                <a:lnTo>
                                  <a:pt x="60" y="-241"/>
                                </a:lnTo>
                                <a:moveTo>
                                  <a:pt x="1623" y="-558"/>
                                </a:moveTo>
                                <a:lnTo>
                                  <a:pt x="0" y="-558"/>
                                </a:lnTo>
                                <a:moveTo>
                                  <a:pt x="1562" y="-241"/>
                                </a:moveTo>
                                <a:lnTo>
                                  <a:pt x="60" y="-860"/>
                                </a:lnTo>
                                <a:moveTo>
                                  <a:pt x="1380" y="15"/>
                                </a:moveTo>
                                <a:lnTo>
                                  <a:pt x="242" y="-1116"/>
                                </a:lnTo>
                                <a:moveTo>
                                  <a:pt x="1122" y="196"/>
                                </a:moveTo>
                                <a:lnTo>
                                  <a:pt x="500" y="-1298"/>
                                </a:lnTo>
                                <a:moveTo>
                                  <a:pt x="1062" y="-558"/>
                                </a:moveTo>
                                <a:lnTo>
                                  <a:pt x="1053" y="-490"/>
                                </a:lnTo>
                                <a:lnTo>
                                  <a:pt x="1027" y="-429"/>
                                </a:lnTo>
                                <a:lnTo>
                                  <a:pt x="986" y="-377"/>
                                </a:lnTo>
                                <a:lnTo>
                                  <a:pt x="934" y="-337"/>
                                </a:lnTo>
                                <a:lnTo>
                                  <a:pt x="872" y="-311"/>
                                </a:lnTo>
                                <a:lnTo>
                                  <a:pt x="804" y="-302"/>
                                </a:lnTo>
                                <a:lnTo>
                                  <a:pt x="735" y="-311"/>
                                </a:lnTo>
                                <a:lnTo>
                                  <a:pt x="674" y="-337"/>
                                </a:lnTo>
                                <a:lnTo>
                                  <a:pt x="621" y="-377"/>
                                </a:lnTo>
                                <a:lnTo>
                                  <a:pt x="581" y="-429"/>
                                </a:lnTo>
                                <a:lnTo>
                                  <a:pt x="555" y="-490"/>
                                </a:lnTo>
                                <a:lnTo>
                                  <a:pt x="546" y="-558"/>
                                </a:lnTo>
                                <a:lnTo>
                                  <a:pt x="555" y="-626"/>
                                </a:lnTo>
                                <a:lnTo>
                                  <a:pt x="581" y="-688"/>
                                </a:lnTo>
                                <a:lnTo>
                                  <a:pt x="621" y="-740"/>
                                </a:lnTo>
                                <a:lnTo>
                                  <a:pt x="674" y="-780"/>
                                </a:lnTo>
                                <a:lnTo>
                                  <a:pt x="735" y="-805"/>
                                </a:lnTo>
                                <a:lnTo>
                                  <a:pt x="804" y="-815"/>
                                </a:lnTo>
                                <a:lnTo>
                                  <a:pt x="872" y="-805"/>
                                </a:lnTo>
                                <a:lnTo>
                                  <a:pt x="934" y="-780"/>
                                </a:lnTo>
                                <a:lnTo>
                                  <a:pt x="986" y="-740"/>
                                </a:lnTo>
                                <a:lnTo>
                                  <a:pt x="1027" y="-688"/>
                                </a:lnTo>
                                <a:lnTo>
                                  <a:pt x="1053" y="-626"/>
                                </a:lnTo>
                                <a:lnTo>
                                  <a:pt x="1062" y="-558"/>
                                </a:lnTo>
                                <a:moveTo>
                                  <a:pt x="1335" y="-558"/>
                                </a:moveTo>
                                <a:lnTo>
                                  <a:pt x="1330" y="-486"/>
                                </a:lnTo>
                                <a:lnTo>
                                  <a:pt x="1316" y="-418"/>
                                </a:lnTo>
                                <a:lnTo>
                                  <a:pt x="1293" y="-353"/>
                                </a:lnTo>
                                <a:lnTo>
                                  <a:pt x="1262" y="-292"/>
                                </a:lnTo>
                                <a:lnTo>
                                  <a:pt x="1224" y="-235"/>
                                </a:lnTo>
                                <a:lnTo>
                                  <a:pt x="1179" y="-185"/>
                                </a:lnTo>
                                <a:lnTo>
                                  <a:pt x="1128" y="-140"/>
                                </a:lnTo>
                                <a:lnTo>
                                  <a:pt x="1072" y="-102"/>
                                </a:lnTo>
                                <a:lnTo>
                                  <a:pt x="1011" y="-71"/>
                                </a:lnTo>
                                <a:lnTo>
                                  <a:pt x="945" y="-49"/>
                                </a:lnTo>
                                <a:lnTo>
                                  <a:pt x="876" y="-35"/>
                                </a:lnTo>
                                <a:lnTo>
                                  <a:pt x="804" y="-30"/>
                                </a:lnTo>
                                <a:lnTo>
                                  <a:pt x="732" y="-35"/>
                                </a:lnTo>
                                <a:lnTo>
                                  <a:pt x="663" y="-49"/>
                                </a:lnTo>
                                <a:lnTo>
                                  <a:pt x="597" y="-71"/>
                                </a:lnTo>
                                <a:lnTo>
                                  <a:pt x="536" y="-102"/>
                                </a:lnTo>
                                <a:lnTo>
                                  <a:pt x="479" y="-140"/>
                                </a:lnTo>
                                <a:lnTo>
                                  <a:pt x="428" y="-185"/>
                                </a:lnTo>
                                <a:lnTo>
                                  <a:pt x="384" y="-235"/>
                                </a:lnTo>
                                <a:lnTo>
                                  <a:pt x="345" y="-292"/>
                                </a:lnTo>
                                <a:lnTo>
                                  <a:pt x="315" y="-353"/>
                                </a:lnTo>
                                <a:lnTo>
                                  <a:pt x="292" y="-418"/>
                                </a:lnTo>
                                <a:lnTo>
                                  <a:pt x="278" y="-486"/>
                                </a:lnTo>
                                <a:lnTo>
                                  <a:pt x="273" y="-558"/>
                                </a:lnTo>
                                <a:lnTo>
                                  <a:pt x="278" y="-630"/>
                                </a:lnTo>
                                <a:lnTo>
                                  <a:pt x="292" y="-699"/>
                                </a:lnTo>
                                <a:lnTo>
                                  <a:pt x="315" y="-764"/>
                                </a:lnTo>
                                <a:lnTo>
                                  <a:pt x="345" y="-825"/>
                                </a:lnTo>
                                <a:lnTo>
                                  <a:pt x="384" y="-881"/>
                                </a:lnTo>
                                <a:lnTo>
                                  <a:pt x="428" y="-932"/>
                                </a:lnTo>
                                <a:lnTo>
                                  <a:pt x="479" y="-976"/>
                                </a:lnTo>
                                <a:lnTo>
                                  <a:pt x="536" y="-1014"/>
                                </a:lnTo>
                                <a:lnTo>
                                  <a:pt x="597" y="-1045"/>
                                </a:lnTo>
                                <a:lnTo>
                                  <a:pt x="663" y="-1067"/>
                                </a:lnTo>
                                <a:lnTo>
                                  <a:pt x="732" y="-1081"/>
                                </a:lnTo>
                                <a:lnTo>
                                  <a:pt x="804" y="-1086"/>
                                </a:lnTo>
                                <a:lnTo>
                                  <a:pt x="876" y="-1081"/>
                                </a:lnTo>
                                <a:lnTo>
                                  <a:pt x="945" y="-1067"/>
                                </a:lnTo>
                                <a:lnTo>
                                  <a:pt x="1011" y="-1045"/>
                                </a:lnTo>
                                <a:lnTo>
                                  <a:pt x="1072" y="-1014"/>
                                </a:lnTo>
                                <a:lnTo>
                                  <a:pt x="1128" y="-976"/>
                                </a:lnTo>
                                <a:lnTo>
                                  <a:pt x="1179" y="-932"/>
                                </a:lnTo>
                                <a:lnTo>
                                  <a:pt x="1224" y="-881"/>
                                </a:lnTo>
                                <a:lnTo>
                                  <a:pt x="1262" y="-825"/>
                                </a:lnTo>
                                <a:lnTo>
                                  <a:pt x="1293" y="-764"/>
                                </a:lnTo>
                                <a:lnTo>
                                  <a:pt x="1316" y="-699"/>
                                </a:lnTo>
                                <a:lnTo>
                                  <a:pt x="1330" y="-630"/>
                                </a:lnTo>
                                <a:lnTo>
                                  <a:pt x="1335" y="-558"/>
                                </a:lnTo>
                              </a:path>
                            </a:pathLst>
                          </a:custGeom>
                          <a:noFill/>
                          <a:ln w="9614" cap="flat" cmpd="sng">
                            <a:solidFill>
                              <a:srgbClr val="636363"/>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257pt;margin-top:13.15pt;height:81.15pt;width:81.55pt;mso-position-horizontal-relative:page;z-index:-251653120;mso-width-relative:page;mso-height-relative:page;" coordorigin="5140,264" coordsize="1631,1623" o:gfxdata="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">
                <o:lock v:ext="edit" aspectratio="f"/>
                <v:shape id="任意多边形 40" o:spid="_x0000_s1026" o:spt="100" style="position:absolute;left:5147;top:271;height:1600;width:1609;" filled="f" stroked="t" coordsize="1609,1600" o:gfxdata="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Whp2/&#10;AAAA2gAAAA8AAAAAAAAAAQAgAAAAIgAAAGRycy9kb3ducmV2LnhtbFBLAQIUABQAAAAIAIdO4kAz&#10;LwWeOwAAADkAAAAQAAAAAAAAAAEAIAAAAA4BAABkcnMvc2hhcGV4bWwueG1sUEsFBgAAAAAGAAYA&#10;WwEAALgDAAAAAA==&#10;" path="m1608,800l1604,877,1593,952,1576,1024,1552,1094,1522,1161,1486,1224,1444,1284,1398,1339,1346,1390,1290,1437,1231,1478,1167,1514,1100,1544,1030,1568,957,1585,881,1596,804,1600,726,1596,651,1585,578,1568,508,1544,441,1514,377,1478,317,1437,262,1390,210,1339,164,1284,122,1224,86,1161,56,1094,32,1024,14,952,3,877,0,800,3,723,14,648,32,575,56,506,86,439,122,376,164,316,210,260,262,209,317,163,377,122,441,86,508,56,578,32,651,15,726,4,804,0,881,4,957,15,1030,32,1100,56,1167,86,1231,122,1290,163,1346,209,1398,260,1444,316,1486,376,1522,439,1552,506,1576,575,1593,648,1604,723,1608,800e">
                  <v:fill on="f" focussize="0,0"/>
                  <v:stroke weight="0.757007874015748pt" color="#636363" joinstyle="round"/>
                  <v:imagedata o:title=""/>
                  <o:lock v:ext="edit" aspectratio="f"/>
                </v:shape>
                <v:shape id="图片 43" o:spid="_x0000_s1026" o:spt="75" type="#_x0000_t75" style="position:absolute;left:5944;top:686;height:740;width:365;" filled="f" o:preferrelative="t" stroked="f" coordsize="21600,21600" o:gfxdata="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sDbybgAAADaAAAA&#10;DwAAAAAAAAABACAAAAAiAAAAZHJzL2Rvd25yZXYueG1sUEsBAhQAFAAAAAgAh07iQDMvBZ47AAAA&#10;OQAAABAAAAAAAAAAAQAgAAAABwEAAGRycy9zaGFwZXhtbC54bWxQSwUGAAAAAAYABgBbAQAAsQMA&#10;AAAA&#10;">
                  <v:fill on="f" focussize="0,0"/>
                  <v:stroke on="f"/>
                  <v:imagedata r:id="rId52" o:title=""/>
                  <o:lock v:ext="edit" aspectratio="t"/>
                </v:shape>
                <v:shape id="_x0000_s1026" o:spid="_x0000_s1026" o:spt="100" style="position:absolute;left:5951;top:1070;height:514;width:349;" fillcolor="#000000" filled="t" stroked="f" coordsize="349,514" o:gfxdata="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uqzr4A&#10;AADbAAAADwAAAAAAAAABACAAAAAiAAAAZHJzL2Rvd25yZXYueG1sUEsBAhQAFAAAAAgAh07iQDMv&#10;BZ47AAAAOQAAABAAAAAAAAAAAQAgAAAADQEAAGRycy9zaGFwZXhtbC54bWxQSwUGAAAAAAYABgBb&#10;AQAAtwMAAAAA&#10;" path="m212,513l0,0,349,347,212,513xe">
                  <v:fill on="t" focussize="0,0"/>
                  <v:stroke on="f"/>
                  <v:imagedata o:title=""/>
                  <o:lock v:ext="edit" aspectratio="f"/>
                </v:shape>
                <v:shape id="_x0000_s1026" o:spid="_x0000_s1026" o:spt="100" style="position:absolute;left:5951;top:1070;height:514;width:349;" filled="f" stroked="t" coordsize="349,514" o:gfxdata="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U1s74A&#10;AADbAAAADwAAAAAAAAABACAAAAAiAAAAZHJzL2Rvd25yZXYueG1sUEsBAhQAFAAAAAgAh07iQDMv&#10;BZ47AAAAOQAAABAAAAAAAAAAAQAgAAAADQEAAGRycy9zaGFwZXhtbC54bWxQSwUGAAAAAAYABgBb&#10;AQAAtwMAAAAA&#10;" path="m0,0l349,347,212,513,0,0e">
                  <v:fill on="f" focussize="0,0"/>
                  <v:stroke weight="0.757007874015748pt" color="#000000" joinstyle="round"/>
                  <v:imagedata o:title=""/>
                  <o:lock v:ext="edit" aspectratio="f"/>
                </v:shape>
                <v:shape id="_x0000_s1026" o:spid="_x0000_s1026" o:spt="100" style="position:absolute;left:5951;top:1070;height:740;width:213;" fillcolor="#C7C7C7" filled="t" stroked="f" coordsize="213,740" o:gfxdata="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l5Wu/&#10;AAAA2wAAAA8AAAAAAAAAAQAgAAAAIgAAAGRycy9kb3ducmV2LnhtbFBLAQIUABQAAAAIAIdO4kAz&#10;LwWeOwAAADkAAAAQAAAAAAAAAAEAIAAAAA4BAABkcnMvc2hhcGV4bWwueG1sUEsFBgAAAAAGAAYA&#10;WwEAALgDAAAAAA==&#10;" path="m0,739l0,0,212,513,0,739xe">
                  <v:fill on="t" focussize="0,0"/>
                  <v:stroke on="f"/>
                  <v:imagedata o:title=""/>
                  <o:lock v:ext="edit" aspectratio="f"/>
                </v:shape>
                <v:shape id="_x0000_s1026" o:spid="_x0000_s1026" o:spt="100" style="position:absolute;left:5951;top:1070;height:740;width:213;" filled="f" stroked="t" coordsize="213,740" o:gfxdata="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ovGr4A&#10;AADbAAAADwAAAAAAAAABACAAAAAiAAAAZHJzL2Rvd25yZXYueG1sUEsBAhQAFAAAAAgAh07iQDMv&#10;BZ47AAAAOQAAABAAAAAAAAAAAQAgAAAADQEAAGRycy9zaGFwZXhtbC54bWxQSwUGAAAAAAYABgBb&#10;AQAAtwMAAAAA&#10;" path="m0,0l212,513,0,739,0,0e">
                  <v:fill on="f" focussize="0,0"/>
                  <v:stroke weight="0.757007874015748pt" color="#000000" joinstyle="round"/>
                  <v:imagedata o:title=""/>
                  <o:lock v:ext="edit" aspectratio="f"/>
                </v:shape>
                <v:shape id="_x0000_s1026" o:spid="_x0000_s1026" o:spt="100" style="position:absolute;left:5769;top:1070;height:740;width:183;" fillcolor="#000000" filled="t" stroked="f" coordsize="183,740" o:gfxdata="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3tdC/&#10;AAAA2wAAAA8AAAAAAAAAAQAgAAAAIgAAAGRycy9kb3ducmV2LnhtbFBLAQIUABQAAAAIAIdO4kAz&#10;LwWeOwAAADkAAAAQAAAAAAAAAAEAIAAAAA4BAABkcnMvc2hhcGV4bWwueG1sUEsFBgAAAAAGAAYA&#10;WwEAALgDAAAAAA==&#10;" path="m182,739l0,468,182,0,182,739xe">
                  <v:fill on="t" focussize="0,0"/>
                  <v:stroke on="f"/>
                  <v:imagedata o:title=""/>
                  <o:lock v:ext="edit" aspectratio="f"/>
                </v:shape>
                <v:shape id="_x0000_s1026" o:spid="_x0000_s1026" o:spt="100" style="position:absolute;left:5769;top:1070;height:740;width:183;" filled="f" stroked="t" coordsize="183,740" o:gfxdata="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9KBG8AAAA&#10;2wAAAA8AAAAAAAAAAQAgAAAAIgAAAGRycy9kb3ducmV2LnhtbFBLAQIUABQAAAAIAIdO4kAzLwWe&#10;OwAAADkAAAAQAAAAAAAAAAEAIAAAAAsBAABkcnMvc2hhcGV4bWwueG1sUEsFBgAAAAAGAAYAWwEA&#10;ALUDAAAAAA==&#10;" path="m182,0l182,739,0,468,182,0e">
                  <v:fill on="f" focussize="0,0"/>
                  <v:stroke weight="0.757007874015748pt" color="#000000" joinstyle="round"/>
                  <v:imagedata o:title=""/>
                  <o:lock v:ext="edit" aspectratio="f"/>
                </v:shape>
                <v:shape id="_x0000_s1026" o:spid="_x0000_s1026" o:spt="100" style="position:absolute;left:5769;top:1070;height:468;width:183;" fillcolor="#C7C7C7" filled="t" stroked="f" coordsize="183,468" o:gfxdata="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vOmTLgAAADbAAAA&#10;DwAAAAAAAAABACAAAAAiAAAAZHJzL2Rvd25yZXYueG1sUEsBAhQAFAAAAAgAh07iQDMvBZ47AAAA&#10;OQAAABAAAAAAAAAAAQAgAAAABwEAAGRycy9zaGFwZXhtbC54bWxQSwUGAAAAAAYABgBbAQAAsQMA&#10;AAAA&#10;" path="m0,468l0,196,182,0,0,468xe">
                  <v:fill on="t" focussize="0,0"/>
                  <v:stroke on="f"/>
                  <v:imagedata o:title=""/>
                  <o:lock v:ext="edit" aspectratio="f"/>
                </v:shape>
                <v:shape id="_x0000_s1026" o:spid="_x0000_s1026" o:spt="100" style="position:absolute;left:5769;top:1070;height:468;width:183;" filled="f" stroked="t" coordsize="183,468" o:gfxdata="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papevQAA&#10;ANsAAAAPAAAAAAAAAAEAIAAAACIAAABkcnMvZG93bnJldi54bWxQSwECFAAUAAAACACHTuJAMy8F&#10;njsAAAA5AAAAEAAAAAAAAAABACAAAAAMAQAAZHJzL3NoYXBleG1sLnhtbFBLBQYAAAAABgAGAFsB&#10;AAC2AwAAAAA=&#10;" path="m182,0l0,468,0,196,182,0e">
                  <v:fill on="f" focussize="0,0"/>
                  <v:stroke weight="0.757007874015748pt" color="#000000" joinstyle="round"/>
                  <v:imagedata o:title=""/>
                  <o:lock v:ext="edit" aspectratio="f"/>
                </v:shape>
                <v:shape id="图片 52" o:spid="_x0000_s1026" o:spt="75" type="#_x0000_t75" style="position:absolute;left:5762;top:686;height:589;width:198;" filled="f" o:preferrelative="t" stroked="f" coordsize="21600,21600" o:gfxdata="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7kIrvQAA&#10;ANsAAAAPAAAAAAAAAAEAIAAAACIAAABkcnMvZG93bnJldi54bWxQSwECFAAUAAAACACHTuJAMy8F&#10;njsAAAA5AAAAEAAAAAAAAAABACAAAAAMAQAAZHJzL3NoYXBleG1sLnhtbFBLBQYAAAAABgAGAFsB&#10;AAC2AwAAAAA=&#10;">
                  <v:fill on="f" focussize="0,0"/>
                  <v:stroke on="f"/>
                  <v:imagedata r:id="rId53" o:title=""/>
                  <o:lock v:ext="edit" aspectratio="t"/>
                </v:shape>
                <v:shape id="_x0000_s1026" o:spid="_x0000_s1026" o:spt="100" style="position:absolute;left:5147;top:1629;height:1615;width:1624;" filled="f" stroked="t" coordsize="1624,1615" o:gfxdata="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Wp6vQAA&#10;ANsAAAAPAAAAAAAAAAEAIAAAACIAAABkcnMvZG93bnJldi54bWxQSwECFAAUAAAACACHTuJAMy8F&#10;njsAAAA5AAAAEAAAAAAAAAABACAAAAAMAQAAZHJzL3NoYXBleG1sLnhtbFBLBQYAAAAABgAGAFsB&#10;AAC2AwAAAAA=&#10;" path="m804,-1358l804,257m1122,-1298l500,196m1380,-1116l242,15m1562,-860l60,-241m1623,-558l0,-558m1562,-241l60,-860m1380,15l242,-1116m1122,196l500,-1298m1062,-558l1053,-490,1027,-429,986,-377,934,-337,872,-311,804,-302,735,-311,674,-337,621,-377,581,-429,555,-490,546,-558,555,-626,581,-688,621,-740,674,-780,735,-805,804,-815,872,-805,934,-780,986,-740,1027,-688,1053,-626,1062,-558m1335,-558l1330,-486,1316,-418,1293,-353,1262,-292,1224,-235,1179,-185,1128,-140,1072,-102,1011,-71,945,-49,876,-35,804,-30,732,-35,663,-49,597,-71,536,-102,479,-140,428,-185,384,-235,345,-292,315,-353,292,-418,278,-486,273,-558,278,-630,292,-699,315,-764,345,-825,384,-881,428,-932,479,-976,536,-1014,597,-1045,663,-1067,732,-1081,804,-1086,876,-1081,945,-1067,1011,-1045,1072,-1014,1128,-976,1179,-932,1224,-881,1262,-825,1293,-764,1316,-699,1330,-630,1335,-558e">
                  <v:fill on="f" focussize="0,0"/>
                  <v:stroke weight="0.757007874015748pt" color="#636363" joinstyle="round"/>
                  <v:imagedata o:title=""/>
                  <o:lock v:ext="edit" aspectratio="f"/>
                </v:shape>
              </v:group>
            </w:pict>
          </mc:Fallback>
        </mc:AlternateContent>
      </w:r>
      <w:r>
        <w:rPr>
          <w:rFonts w:hint="eastAsia" w:ascii="Times New Roman" w:hAnsi="Times New Roman" w:eastAsia="宋体" w:cs="Times New Roman"/>
          <w:w w:val="101"/>
          <w:kern w:val="0"/>
          <w:sz w:val="18"/>
          <w:szCs w:val="22"/>
          <w:lang w:bidi="zh-CN"/>
        </w:rPr>
        <w:t xml:space="preserve"> </w:t>
      </w:r>
      <w:r>
        <w:rPr>
          <w:rFonts w:ascii="Times New Roman" w:hAnsi="Times New Roman" w:eastAsia="宋体" w:cs="Times New Roman"/>
          <w:w w:val="101"/>
          <w:kern w:val="0"/>
          <w:sz w:val="18"/>
          <w:szCs w:val="22"/>
          <w:lang w:val="zh-CN" w:bidi="zh-CN"/>
        </w:rPr>
        <w:t>N</w:t>
      </w:r>
    </w:p>
    <w:p w14:paraId="7CAB0629">
      <w:pPr>
        <w:tabs>
          <w:tab w:val="left" w:pos="1289"/>
        </w:tabs>
        <w:autoSpaceDE w:val="0"/>
        <w:autoSpaceDN w:val="0"/>
        <w:spacing w:before="26"/>
        <w:ind w:right="306"/>
        <w:jc w:val="center"/>
        <w:rPr>
          <w:rFonts w:ascii="Times New Roman" w:hAnsi="Times New Roman" w:eastAsia="宋体" w:cs="Times New Roman"/>
          <w:kern w:val="0"/>
          <w:sz w:val="18"/>
          <w:szCs w:val="22"/>
          <w:lang w:val="zh-CN" w:bidi="zh-CN"/>
        </w:rPr>
      </w:pPr>
      <w:r>
        <w:rPr>
          <w:rFonts w:ascii="Times New Roman" w:hAnsi="Times New Roman" w:eastAsia="宋体" w:cs="Times New Roman"/>
          <w:kern w:val="0"/>
          <w:sz w:val="18"/>
          <w:szCs w:val="22"/>
          <w:lang w:val="zh-CN" w:bidi="zh-CN"/>
        </w:rPr>
        <w:t>NW</w:t>
      </w:r>
      <w:r>
        <w:rPr>
          <w:rFonts w:ascii="Times New Roman" w:hAnsi="Times New Roman" w:eastAsia="宋体" w:cs="Times New Roman"/>
          <w:kern w:val="0"/>
          <w:sz w:val="18"/>
          <w:szCs w:val="22"/>
          <w:lang w:val="zh-CN" w:bidi="zh-CN"/>
        </w:rPr>
        <w:tab/>
      </w:r>
      <w:r>
        <w:rPr>
          <w:rFonts w:ascii="Times New Roman" w:hAnsi="Times New Roman" w:eastAsia="宋体" w:cs="Times New Roman"/>
          <w:kern w:val="0"/>
          <w:sz w:val="18"/>
          <w:szCs w:val="22"/>
          <w:lang w:val="zh-CN" w:bidi="zh-CN"/>
        </w:rPr>
        <w:t>NE</w:t>
      </w:r>
    </w:p>
    <w:p w14:paraId="1E4ED711">
      <w:pPr>
        <w:autoSpaceDE w:val="0"/>
        <w:autoSpaceDN w:val="0"/>
        <w:spacing w:before="7"/>
        <w:ind w:firstLine="500"/>
        <w:rPr>
          <w:rFonts w:ascii="Times New Roman" w:hAnsi="Times New Roman" w:eastAsia="宋体" w:cs="Times New Roman"/>
          <w:sz w:val="25"/>
          <w:lang w:val="zh-CN" w:bidi="zh-CN"/>
        </w:rPr>
      </w:pPr>
    </w:p>
    <w:p w14:paraId="1527D9EC">
      <w:pPr>
        <w:tabs>
          <w:tab w:val="left" w:pos="1714"/>
        </w:tabs>
        <w:autoSpaceDE w:val="0"/>
        <w:autoSpaceDN w:val="0"/>
        <w:spacing w:before="75"/>
        <w:ind w:right="306"/>
        <w:jc w:val="center"/>
        <w:rPr>
          <w:rFonts w:ascii="Times New Roman" w:hAnsi="Times New Roman" w:eastAsia="宋体" w:cs="Times New Roman"/>
          <w:kern w:val="0"/>
          <w:sz w:val="18"/>
          <w:szCs w:val="22"/>
          <w:lang w:val="zh-CN" w:bidi="zh-CN"/>
        </w:rPr>
      </w:pPr>
      <w:r>
        <w:rPr>
          <w:rFonts w:ascii="Times New Roman" w:hAnsi="Times New Roman" w:eastAsia="宋体" w:cs="Times New Roman"/>
          <w:kern w:val="0"/>
          <w:sz w:val="18"/>
          <w:szCs w:val="22"/>
          <w:lang w:val="zh-CN" w:bidi="zh-CN"/>
        </w:rPr>
        <w:t>W</w:t>
      </w:r>
      <w:r>
        <w:rPr>
          <w:rFonts w:ascii="Times New Roman" w:hAnsi="Times New Roman" w:eastAsia="宋体" w:cs="Times New Roman"/>
          <w:kern w:val="0"/>
          <w:sz w:val="18"/>
          <w:szCs w:val="22"/>
          <w:lang w:val="zh-CN" w:bidi="zh-CN"/>
        </w:rPr>
        <w:tab/>
      </w:r>
      <w:r>
        <w:rPr>
          <w:rFonts w:ascii="Times New Roman" w:hAnsi="Times New Roman" w:eastAsia="宋体" w:cs="Times New Roman"/>
          <w:kern w:val="0"/>
          <w:sz w:val="18"/>
          <w:szCs w:val="22"/>
          <w:lang w:val="zh-CN" w:bidi="zh-CN"/>
        </w:rPr>
        <w:t>E</w:t>
      </w:r>
    </w:p>
    <w:p w14:paraId="3D5F94CF">
      <w:pPr>
        <w:tabs>
          <w:tab w:val="left" w:pos="1289"/>
        </w:tabs>
        <w:autoSpaceDE w:val="0"/>
        <w:autoSpaceDN w:val="0"/>
        <w:spacing w:before="76"/>
        <w:ind w:right="306"/>
        <w:jc w:val="center"/>
        <w:rPr>
          <w:rFonts w:ascii="Times New Roman" w:hAnsi="Times New Roman" w:eastAsia="宋体" w:cs="Times New Roman"/>
          <w:kern w:val="0"/>
          <w:sz w:val="18"/>
          <w:szCs w:val="22"/>
          <w:lang w:val="zh-CN" w:bidi="zh-CN"/>
        </w:rPr>
      </w:pPr>
      <w:r>
        <w:rPr>
          <w:rFonts w:ascii="Times New Roman" w:hAnsi="Times New Roman" w:eastAsia="宋体" w:cs="Times New Roman"/>
          <w:kern w:val="0"/>
          <w:sz w:val="18"/>
          <w:szCs w:val="22"/>
          <w:lang w:val="zh-CN" w:bidi="zh-CN"/>
        </w:rPr>
        <w:t>SW</w:t>
      </w:r>
      <w:r>
        <w:rPr>
          <w:rFonts w:ascii="Times New Roman" w:hAnsi="Times New Roman" w:eastAsia="宋体" w:cs="Times New Roman"/>
          <w:kern w:val="0"/>
          <w:sz w:val="18"/>
          <w:szCs w:val="22"/>
          <w:lang w:val="zh-CN" w:bidi="zh-CN"/>
        </w:rPr>
        <w:tab/>
      </w:r>
      <w:r>
        <w:rPr>
          <w:rFonts w:ascii="Times New Roman" w:hAnsi="Times New Roman" w:eastAsia="宋体" w:cs="Times New Roman"/>
          <w:kern w:val="0"/>
          <w:sz w:val="18"/>
          <w:szCs w:val="22"/>
          <w:lang w:val="zh-CN" w:bidi="zh-CN"/>
        </w:rPr>
        <w:t>SE</w:t>
      </w:r>
    </w:p>
    <w:p w14:paraId="6443DFD0">
      <w:pPr>
        <w:autoSpaceDE w:val="0"/>
        <w:autoSpaceDN w:val="0"/>
        <w:spacing w:before="26"/>
        <w:ind w:right="290"/>
        <w:jc w:val="center"/>
        <w:rPr>
          <w:rFonts w:ascii="Times New Roman" w:hAnsi="Times New Roman" w:eastAsia="宋体" w:cs="Times New Roman"/>
          <w:kern w:val="0"/>
          <w:sz w:val="18"/>
          <w:szCs w:val="22"/>
          <w:lang w:val="zh-CN" w:bidi="zh-CN"/>
        </w:rPr>
      </w:pPr>
      <w:r>
        <w:rPr>
          <w:rFonts w:ascii="Times New Roman" w:hAnsi="Times New Roman" w:eastAsia="宋体" w:cs="Times New Roman"/>
          <w:w w:val="101"/>
          <w:kern w:val="0"/>
          <w:sz w:val="18"/>
          <w:szCs w:val="22"/>
          <w:lang w:val="zh-CN" w:bidi="zh-CN"/>
        </w:rPr>
        <w:t>S</w:t>
      </w:r>
    </w:p>
    <w:p w14:paraId="5C136AC6">
      <w:pPr>
        <w:ind w:firstLine="480"/>
        <w:jc w:val="center"/>
        <w:rPr>
          <w:rFonts w:ascii="Times New Roman" w:hAnsi="Times New Roman" w:eastAsia="宋体" w:cs="Times New Roman"/>
          <w:kern w:val="0"/>
          <w:szCs w:val="22"/>
          <w:lang w:val="zh-CN" w:bidi="zh-CN"/>
        </w:rPr>
      </w:pPr>
      <w:r>
        <w:rPr>
          <w:rFonts w:ascii="Times New Roman" w:hAnsi="Times New Roman" w:cs="Times New Roman"/>
          <w:lang w:val="zh-CN"/>
        </w:rPr>
        <w:t>全年,静风18.0%</w:t>
      </w:r>
    </w:p>
    <w:p w14:paraId="66580C89">
      <w:pPr>
        <w:tabs>
          <w:tab w:val="left" w:pos="0"/>
        </w:tabs>
        <w:spacing w:line="360" w:lineRule="auto"/>
        <w:jc w:val="center"/>
        <w:rPr>
          <w:rFonts w:ascii="Times New Roman" w:hAnsi="Times New Roman" w:eastAsia="宋体" w:cs="Times New Roman"/>
          <w:b/>
          <w:bCs/>
          <w:sz w:val="22"/>
          <w:szCs w:val="22"/>
        </w:rPr>
      </w:pPr>
      <w:r>
        <w:rPr>
          <w:rFonts w:ascii="Times New Roman" w:hAnsi="Times New Roman" w:eastAsia="宋体" w:cs="Times New Roman"/>
          <w:b/>
          <w:bCs/>
          <w:sz w:val="22"/>
          <w:szCs w:val="22"/>
        </w:rPr>
        <w:t>图</w:t>
      </w:r>
      <w:r>
        <w:rPr>
          <w:rFonts w:hint="eastAsia" w:ascii="Times New Roman" w:hAnsi="Times New Roman" w:eastAsia="宋体" w:cs="Times New Roman"/>
          <w:b/>
          <w:bCs/>
          <w:sz w:val="22"/>
          <w:szCs w:val="22"/>
        </w:rPr>
        <w:t>5.3</w:t>
      </w:r>
      <w:r>
        <w:rPr>
          <w:rFonts w:ascii="Times New Roman" w:hAnsi="Times New Roman" w:eastAsia="宋体" w:cs="Times New Roman"/>
          <w:b/>
          <w:bCs/>
          <w:sz w:val="22"/>
          <w:szCs w:val="22"/>
        </w:rPr>
        <w:t>-1   多年风向玫瑰图</w:t>
      </w:r>
    </w:p>
    <w:p w14:paraId="53B3051E">
      <w:pPr>
        <w:pStyle w:val="4"/>
        <w:numPr>
          <w:ilvl w:val="2"/>
          <w:numId w:val="58"/>
        </w:numPr>
      </w:pPr>
      <w:r>
        <w:rPr>
          <w:rFonts w:hint="eastAsia"/>
        </w:rPr>
        <w:t>评价等级及评价范围</w:t>
      </w:r>
    </w:p>
    <w:p w14:paraId="504F9D36">
      <w:pPr>
        <w:pStyle w:val="12"/>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本项目废气主要为喷漆工序产生的废气和木料加工过程中产生的粉尘，喷漆废气主要污染物为</w:t>
      </w:r>
      <w:r>
        <w:rPr>
          <w:rFonts w:hint="eastAsia" w:ascii="Times New Roman" w:hAnsi="Times New Roman" w:cs="Times New Roman"/>
          <w:color w:val="000000" w:themeColor="text1"/>
          <w:sz w:val="24"/>
          <w14:textFill>
            <w14:solidFill>
              <w14:schemeClr w14:val="tx1"/>
            </w14:solidFill>
          </w14:textFill>
        </w:rPr>
        <w:t>PM</w:t>
      </w:r>
      <w:r>
        <w:rPr>
          <w:rFonts w:hint="eastAsia" w:ascii="Times New Roman" w:hAnsi="Times New Roman" w:cs="Times New Roman"/>
          <w:color w:val="000000" w:themeColor="text1"/>
          <w:sz w:val="24"/>
          <w:vertAlign w:val="subscript"/>
          <w14:textFill>
            <w14:solidFill>
              <w14:schemeClr w14:val="tx1"/>
            </w14:solidFill>
          </w14:textFill>
        </w:rPr>
        <w:t>10</w:t>
      </w:r>
      <w:r>
        <w:rPr>
          <w:rFonts w:hint="eastAsia"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苯、</w:t>
      </w:r>
      <w:r>
        <w:rPr>
          <w:rFonts w:ascii="Times New Roman" w:hAnsi="Times New Roman" w:cs="Times New Roman"/>
          <w:color w:val="000000" w:themeColor="text1"/>
          <w:sz w:val="24"/>
          <w14:textFill>
            <w14:solidFill>
              <w14:schemeClr w14:val="tx1"/>
            </w14:solidFill>
          </w14:textFill>
        </w:rPr>
        <w:t>甲苯、二甲苯和非甲烷总烃计。</w:t>
      </w:r>
    </w:p>
    <w:p w14:paraId="4CC9F8CA">
      <w:pPr>
        <w:pStyle w:val="12"/>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1、预测因子</w:t>
      </w:r>
    </w:p>
    <w:p w14:paraId="674E5612">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本次评价以PM</w:t>
      </w:r>
      <w:r>
        <w:rPr>
          <w:rFonts w:ascii="Times New Roman" w:hAnsi="Times New Roman" w:cs="Times New Roman"/>
          <w:color w:val="000000" w:themeColor="text1"/>
          <w:sz w:val="24"/>
          <w:vertAlign w:val="subscript"/>
          <w14:textFill>
            <w14:solidFill>
              <w14:schemeClr w14:val="tx1"/>
            </w14:solidFill>
          </w14:textFill>
        </w:rPr>
        <w:t>10</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苯、</w:t>
      </w:r>
      <w:r>
        <w:rPr>
          <w:rFonts w:ascii="Times New Roman" w:hAnsi="Times New Roman" w:cs="Times New Roman"/>
          <w:color w:val="000000" w:themeColor="text1"/>
          <w:sz w:val="24"/>
          <w14:textFill>
            <w14:solidFill>
              <w14:schemeClr w14:val="tx1"/>
            </w14:solidFill>
          </w14:textFill>
        </w:rPr>
        <w:t>甲苯、二甲苯和非甲烷总烃作为预测因子。</w:t>
      </w:r>
    </w:p>
    <w:p w14:paraId="5795F5DE">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2、评价等级</w:t>
      </w:r>
    </w:p>
    <w:p w14:paraId="2BDAC71D">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采用预测模式计算出各污染物的最大占标率P</w:t>
      </w:r>
      <w:r>
        <w:rPr>
          <w:rFonts w:ascii="Times New Roman" w:hAnsi="Times New Roman" w:cs="Times New Roman"/>
          <w:color w:val="000000" w:themeColor="text1"/>
          <w:sz w:val="24"/>
          <w:vertAlign w:val="subscript"/>
          <w14:textFill>
            <w14:solidFill>
              <w14:schemeClr w14:val="tx1"/>
            </w14:solidFill>
          </w14:textFill>
        </w:rPr>
        <w:t>max</w:t>
      </w:r>
      <w:r>
        <w:rPr>
          <w:rFonts w:ascii="Times New Roman" w:hAnsi="Times New Roman" w:cs="Times New Roman"/>
          <w:color w:val="000000" w:themeColor="text1"/>
          <w:sz w:val="24"/>
          <w14:textFill>
            <w14:solidFill>
              <w14:schemeClr w14:val="tx1"/>
            </w14:solidFill>
          </w14:textFill>
        </w:rPr>
        <w:t>和占标率10%的最远距离D</w:t>
      </w:r>
      <w:r>
        <w:rPr>
          <w:rFonts w:ascii="Times New Roman" w:hAnsi="Times New Roman" w:cs="Times New Roman"/>
          <w:color w:val="000000" w:themeColor="text1"/>
          <w:sz w:val="24"/>
          <w:vertAlign w:val="subscript"/>
          <w14:textFill>
            <w14:solidFill>
              <w14:schemeClr w14:val="tx1"/>
            </w14:solidFill>
          </w14:textFill>
        </w:rPr>
        <w:t>10%</w:t>
      </w:r>
      <w:r>
        <w:rPr>
          <w:rFonts w:ascii="Times New Roman" w:hAnsi="Times New Roman" w:cs="Times New Roman"/>
          <w:color w:val="000000" w:themeColor="text1"/>
          <w:sz w:val="24"/>
          <w14:textFill>
            <w14:solidFill>
              <w14:schemeClr w14:val="tx1"/>
            </w14:solidFill>
          </w14:textFill>
        </w:rPr>
        <w:t>，见</w:t>
      </w:r>
      <w:r>
        <w:rPr>
          <w:rFonts w:hint="eastAsia" w:ascii="Times New Roman" w:hAnsi="Times New Roman" w:cs="Times New Roman"/>
          <w:color w:val="000000" w:themeColor="text1"/>
          <w:sz w:val="24"/>
          <w14:textFill>
            <w14:solidFill>
              <w14:schemeClr w14:val="tx1"/>
            </w14:solidFill>
          </w14:textFill>
        </w:rPr>
        <w:t>下</w:t>
      </w:r>
      <w:r>
        <w:rPr>
          <w:rFonts w:ascii="Times New Roman" w:hAnsi="Times New Roman" w:cs="Times New Roman"/>
          <w:color w:val="000000" w:themeColor="text1"/>
          <w:sz w:val="24"/>
          <w14:textFill>
            <w14:solidFill>
              <w14:schemeClr w14:val="tx1"/>
            </w14:solidFill>
          </w14:textFill>
        </w:rPr>
        <w:t>表。</w:t>
      </w:r>
    </w:p>
    <w:p w14:paraId="516D89E7">
      <w:pPr>
        <w:numPr>
          <w:ilvl w:val="0"/>
          <w:numId w:val="59"/>
        </w:numPr>
        <w:autoSpaceDE w:val="0"/>
        <w:autoSpaceDN w:val="0"/>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14:textFill>
            <w14:solidFill>
              <w14:schemeClr w14:val="tx1"/>
            </w14:solidFill>
          </w14:textFill>
        </w:rPr>
        <w:t xml:space="preserve"> </w:t>
      </w:r>
      <w:r>
        <w:rPr>
          <w:rFonts w:ascii="Times New Roman" w:hAnsi="Times New Roman" w:cs="Times New Roman"/>
          <w:b/>
          <w:bCs/>
          <w:color w:val="000000" w:themeColor="text1"/>
          <w:szCs w:val="21"/>
          <w:highlight w:val="none"/>
          <w14:textFill>
            <w14:solidFill>
              <w14:schemeClr w14:val="tx1"/>
            </w14:solidFill>
          </w14:textFill>
        </w:rPr>
        <w:t>各污染物评价级别判断一览表</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423"/>
        <w:gridCol w:w="1354"/>
        <w:gridCol w:w="1292"/>
        <w:gridCol w:w="1279"/>
        <w:gridCol w:w="1337"/>
      </w:tblGrid>
      <w:tr w14:paraId="6EC6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4" w:type="dxa"/>
            <w:gridSpan w:val="3"/>
            <w:tcBorders>
              <w:tl2br w:val="nil"/>
              <w:tr2bl w:val="nil"/>
            </w:tcBorders>
            <w:tcMar>
              <w:top w:w="57" w:type="dxa"/>
              <w:bottom w:w="57" w:type="dxa"/>
            </w:tcMar>
            <w:vAlign w:val="center"/>
          </w:tcPr>
          <w:p w14:paraId="2121718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污染物名称</w:t>
            </w:r>
          </w:p>
        </w:tc>
        <w:tc>
          <w:tcPr>
            <w:tcW w:w="1292" w:type="dxa"/>
            <w:tcBorders>
              <w:tl2br w:val="nil"/>
              <w:tr2bl w:val="nil"/>
            </w:tcBorders>
            <w:tcMar>
              <w:top w:w="57" w:type="dxa"/>
              <w:bottom w:w="57" w:type="dxa"/>
            </w:tcMar>
            <w:vAlign w:val="center"/>
          </w:tcPr>
          <w:p w14:paraId="12C634A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w:t>
            </w:r>
            <w:r>
              <w:rPr>
                <w:rFonts w:ascii="Times New Roman" w:hAnsi="Times New Roman" w:eastAsia="宋体" w:cs="Times New Roman"/>
                <w:color w:val="000000" w:themeColor="text1"/>
                <w:szCs w:val="21"/>
                <w:vertAlign w:val="subscript"/>
                <w14:textFill>
                  <w14:solidFill>
                    <w14:schemeClr w14:val="tx1"/>
                  </w14:solidFill>
                </w14:textFill>
              </w:rPr>
              <w:t>max</w:t>
            </w:r>
            <w:r>
              <w:rPr>
                <w:rFonts w:ascii="Times New Roman" w:hAnsi="Times New Roman" w:eastAsia="宋体" w:cs="Times New Roman"/>
                <w:color w:val="000000" w:themeColor="text1"/>
                <w:szCs w:val="21"/>
                <w14:textFill>
                  <w14:solidFill>
                    <w14:schemeClr w14:val="tx1"/>
                  </w14:solidFill>
                </w14:textFill>
              </w:rPr>
              <w:t>（%）</w:t>
            </w:r>
          </w:p>
        </w:tc>
        <w:tc>
          <w:tcPr>
            <w:tcW w:w="1279" w:type="dxa"/>
            <w:tcBorders>
              <w:tl2br w:val="nil"/>
              <w:tr2bl w:val="nil"/>
            </w:tcBorders>
            <w:tcMar>
              <w:top w:w="57" w:type="dxa"/>
              <w:bottom w:w="57" w:type="dxa"/>
            </w:tcMar>
            <w:vAlign w:val="center"/>
          </w:tcPr>
          <w:p w14:paraId="4BDA75C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D</w:t>
            </w:r>
            <w:r>
              <w:rPr>
                <w:rFonts w:ascii="Times New Roman" w:hAnsi="Times New Roman" w:eastAsia="宋体" w:cs="Times New Roman"/>
                <w:color w:val="000000" w:themeColor="text1"/>
                <w:szCs w:val="21"/>
                <w:vertAlign w:val="subscript"/>
                <w14:textFill>
                  <w14:solidFill>
                    <w14:schemeClr w14:val="tx1"/>
                  </w14:solidFill>
                </w14:textFill>
              </w:rPr>
              <w:t>10%</w:t>
            </w:r>
            <w:r>
              <w:rPr>
                <w:rFonts w:ascii="Times New Roman" w:hAnsi="Times New Roman" w:eastAsia="宋体" w:cs="Times New Roman"/>
                <w:color w:val="000000" w:themeColor="text1"/>
                <w:szCs w:val="21"/>
                <w14:textFill>
                  <w14:solidFill>
                    <w14:schemeClr w14:val="tx1"/>
                  </w14:solidFill>
                </w14:textFill>
              </w:rPr>
              <w:t>（m）</w:t>
            </w:r>
          </w:p>
        </w:tc>
        <w:tc>
          <w:tcPr>
            <w:tcW w:w="1337" w:type="dxa"/>
            <w:tcBorders>
              <w:tl2br w:val="nil"/>
              <w:tr2bl w:val="nil"/>
            </w:tcBorders>
            <w:tcMar>
              <w:top w:w="57" w:type="dxa"/>
              <w:bottom w:w="57" w:type="dxa"/>
            </w:tcMar>
            <w:vAlign w:val="center"/>
          </w:tcPr>
          <w:p w14:paraId="67079D2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评价级别</w:t>
            </w:r>
          </w:p>
        </w:tc>
      </w:tr>
      <w:tr w14:paraId="642B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37" w:type="dxa"/>
            <w:vMerge w:val="restart"/>
            <w:tcBorders>
              <w:tl2br w:val="nil"/>
              <w:tr2bl w:val="nil"/>
            </w:tcBorders>
            <w:tcMar>
              <w:top w:w="57" w:type="dxa"/>
              <w:bottom w:w="57" w:type="dxa"/>
            </w:tcMar>
            <w:vAlign w:val="center"/>
          </w:tcPr>
          <w:p w14:paraId="04DC433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无组织废气</w:t>
            </w:r>
          </w:p>
        </w:tc>
        <w:tc>
          <w:tcPr>
            <w:tcW w:w="2423" w:type="dxa"/>
            <w:vMerge w:val="restart"/>
            <w:tcBorders>
              <w:tl2br w:val="nil"/>
              <w:tr2bl w:val="nil"/>
            </w:tcBorders>
            <w:tcMar>
              <w:top w:w="57" w:type="dxa"/>
              <w:bottom w:w="57" w:type="dxa"/>
            </w:tcMar>
            <w:vAlign w:val="center"/>
          </w:tcPr>
          <w:p w14:paraId="5E3E6EC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生产车间</w:t>
            </w:r>
          </w:p>
        </w:tc>
        <w:tc>
          <w:tcPr>
            <w:tcW w:w="1354" w:type="dxa"/>
            <w:tcBorders>
              <w:tl2br w:val="nil"/>
              <w:tr2bl w:val="nil"/>
            </w:tcBorders>
            <w:tcMar>
              <w:top w:w="57" w:type="dxa"/>
              <w:bottom w:w="57" w:type="dxa"/>
            </w:tcMar>
            <w:vAlign w:val="center"/>
          </w:tcPr>
          <w:p w14:paraId="276A1E1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颗粒物</w:t>
            </w:r>
          </w:p>
        </w:tc>
        <w:tc>
          <w:tcPr>
            <w:tcW w:w="1292" w:type="dxa"/>
            <w:tcBorders>
              <w:tl2br w:val="nil"/>
              <w:tr2bl w:val="nil"/>
            </w:tcBorders>
            <w:tcMar>
              <w:top w:w="57" w:type="dxa"/>
              <w:bottom w:w="57" w:type="dxa"/>
            </w:tcMar>
            <w:vAlign w:val="center"/>
          </w:tcPr>
          <w:p w14:paraId="23352EB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w:t>
            </w:r>
            <w:r>
              <w:rPr>
                <w:rFonts w:hint="eastAsia" w:ascii="Times New Roman" w:hAnsi="Times New Roman" w:eastAsia="宋体" w:cs="Times New Roman"/>
                <w:color w:val="000000" w:themeColor="text1"/>
                <w:szCs w:val="21"/>
                <w:lang w:val="en-US" w:eastAsia="zh-CN"/>
                <w14:textFill>
                  <w14:solidFill>
                    <w14:schemeClr w14:val="tx1"/>
                  </w14:solidFill>
                </w14:textFill>
              </w:rPr>
              <w:t>13</w:t>
            </w:r>
          </w:p>
        </w:tc>
        <w:tc>
          <w:tcPr>
            <w:tcW w:w="1279" w:type="dxa"/>
            <w:tcBorders>
              <w:tl2br w:val="nil"/>
              <w:tr2bl w:val="nil"/>
            </w:tcBorders>
            <w:tcMar>
              <w:top w:w="57" w:type="dxa"/>
              <w:bottom w:w="57" w:type="dxa"/>
            </w:tcMar>
            <w:vAlign w:val="center"/>
          </w:tcPr>
          <w:p w14:paraId="4056DB7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32297DE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r>
      <w:tr w14:paraId="7A7B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837" w:type="dxa"/>
            <w:vMerge w:val="continue"/>
            <w:tcBorders>
              <w:tl2br w:val="nil"/>
              <w:tr2bl w:val="nil"/>
            </w:tcBorders>
            <w:tcMar>
              <w:top w:w="57" w:type="dxa"/>
              <w:bottom w:w="57" w:type="dxa"/>
            </w:tcMar>
            <w:vAlign w:val="center"/>
          </w:tcPr>
          <w:p w14:paraId="7A2D3137">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0D5F7061">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52149F55">
            <w:pPr>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苯</w:t>
            </w:r>
          </w:p>
        </w:tc>
        <w:tc>
          <w:tcPr>
            <w:tcW w:w="1292" w:type="dxa"/>
            <w:tcBorders>
              <w:tl2br w:val="nil"/>
              <w:tr2bl w:val="nil"/>
            </w:tcBorders>
            <w:tcMar>
              <w:top w:w="57" w:type="dxa"/>
              <w:bottom w:w="57" w:type="dxa"/>
            </w:tcMar>
            <w:vAlign w:val="center"/>
          </w:tcPr>
          <w:p w14:paraId="30F1DE3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0.77</w:t>
            </w:r>
          </w:p>
        </w:tc>
        <w:tc>
          <w:tcPr>
            <w:tcW w:w="1279" w:type="dxa"/>
            <w:tcBorders>
              <w:tl2br w:val="nil"/>
              <w:tr2bl w:val="nil"/>
            </w:tcBorders>
            <w:tcMar>
              <w:top w:w="57" w:type="dxa"/>
              <w:bottom w:w="57" w:type="dxa"/>
            </w:tcMar>
            <w:vAlign w:val="center"/>
          </w:tcPr>
          <w:p w14:paraId="19D6F0F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7219C5B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三级</w:t>
            </w:r>
          </w:p>
        </w:tc>
      </w:tr>
      <w:tr w14:paraId="22FB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continue"/>
            <w:tcBorders>
              <w:tl2br w:val="nil"/>
              <w:tr2bl w:val="nil"/>
            </w:tcBorders>
            <w:tcMar>
              <w:top w:w="57" w:type="dxa"/>
              <w:bottom w:w="57" w:type="dxa"/>
            </w:tcMar>
            <w:vAlign w:val="center"/>
          </w:tcPr>
          <w:p w14:paraId="258E9D8F">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30C963BB">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26ACCF7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甲苯</w:t>
            </w:r>
          </w:p>
        </w:tc>
        <w:tc>
          <w:tcPr>
            <w:tcW w:w="1292" w:type="dxa"/>
            <w:tcBorders>
              <w:tl2br w:val="nil"/>
              <w:tr2bl w:val="nil"/>
            </w:tcBorders>
            <w:tcMar>
              <w:top w:w="57" w:type="dxa"/>
              <w:bottom w:w="57" w:type="dxa"/>
            </w:tcMar>
            <w:vAlign w:val="center"/>
          </w:tcPr>
          <w:p w14:paraId="2169E16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34</w:t>
            </w:r>
          </w:p>
        </w:tc>
        <w:tc>
          <w:tcPr>
            <w:tcW w:w="1279" w:type="dxa"/>
            <w:tcBorders>
              <w:tl2br w:val="nil"/>
              <w:tr2bl w:val="nil"/>
            </w:tcBorders>
            <w:tcMar>
              <w:top w:w="57" w:type="dxa"/>
              <w:bottom w:w="57" w:type="dxa"/>
            </w:tcMar>
            <w:vAlign w:val="center"/>
          </w:tcPr>
          <w:p w14:paraId="0A2B325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05EA674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r>
      <w:tr w14:paraId="0BC9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continue"/>
            <w:tcBorders>
              <w:tl2br w:val="nil"/>
              <w:tr2bl w:val="nil"/>
            </w:tcBorders>
            <w:tcMar>
              <w:top w:w="57" w:type="dxa"/>
              <w:bottom w:w="57" w:type="dxa"/>
            </w:tcMar>
            <w:vAlign w:val="center"/>
          </w:tcPr>
          <w:p w14:paraId="65847882">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4D0E1626">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0E58A7A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二甲苯</w:t>
            </w:r>
          </w:p>
        </w:tc>
        <w:tc>
          <w:tcPr>
            <w:tcW w:w="1292" w:type="dxa"/>
            <w:tcBorders>
              <w:tl2br w:val="nil"/>
              <w:tr2bl w:val="nil"/>
            </w:tcBorders>
            <w:tcMar>
              <w:top w:w="57" w:type="dxa"/>
              <w:bottom w:w="57" w:type="dxa"/>
            </w:tcMar>
            <w:vAlign w:val="center"/>
          </w:tcPr>
          <w:p w14:paraId="60F2917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4.9</w:t>
            </w:r>
          </w:p>
        </w:tc>
        <w:tc>
          <w:tcPr>
            <w:tcW w:w="1279" w:type="dxa"/>
            <w:tcBorders>
              <w:tl2br w:val="nil"/>
              <w:tr2bl w:val="nil"/>
            </w:tcBorders>
            <w:tcMar>
              <w:top w:w="57" w:type="dxa"/>
              <w:bottom w:w="57" w:type="dxa"/>
            </w:tcMar>
            <w:vAlign w:val="center"/>
          </w:tcPr>
          <w:p w14:paraId="695396E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2C63BA9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r>
      <w:tr w14:paraId="42DB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continue"/>
            <w:tcBorders>
              <w:tl2br w:val="nil"/>
              <w:tr2bl w:val="nil"/>
            </w:tcBorders>
            <w:tcMar>
              <w:top w:w="57" w:type="dxa"/>
              <w:bottom w:w="57" w:type="dxa"/>
            </w:tcMar>
            <w:vAlign w:val="center"/>
          </w:tcPr>
          <w:p w14:paraId="07DF393C">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22A20783">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3F3EF8C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w:t>
            </w:r>
          </w:p>
        </w:tc>
        <w:tc>
          <w:tcPr>
            <w:tcW w:w="1292" w:type="dxa"/>
            <w:tcBorders>
              <w:tl2br w:val="nil"/>
              <w:tr2bl w:val="nil"/>
            </w:tcBorders>
            <w:tcMar>
              <w:top w:w="57" w:type="dxa"/>
              <w:bottom w:w="57" w:type="dxa"/>
            </w:tcMar>
            <w:vAlign w:val="center"/>
          </w:tcPr>
          <w:p w14:paraId="7E0E552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r>
              <w:rPr>
                <w:rFonts w:hint="eastAsia" w:ascii="Times New Roman" w:hAnsi="Times New Roman" w:eastAsia="宋体" w:cs="Times New Roman"/>
                <w:color w:val="000000" w:themeColor="text1"/>
                <w:szCs w:val="21"/>
                <w:lang w:val="en-US" w:eastAsia="zh-CN"/>
                <w14:textFill>
                  <w14:solidFill>
                    <w14:schemeClr w14:val="tx1"/>
                  </w14:solidFill>
                </w14:textFill>
              </w:rPr>
              <w:t>16</w:t>
            </w:r>
          </w:p>
        </w:tc>
        <w:tc>
          <w:tcPr>
            <w:tcW w:w="1279" w:type="dxa"/>
            <w:tcBorders>
              <w:tl2br w:val="nil"/>
              <w:tr2bl w:val="nil"/>
            </w:tcBorders>
            <w:tcMar>
              <w:top w:w="57" w:type="dxa"/>
              <w:bottom w:w="57" w:type="dxa"/>
            </w:tcMar>
            <w:vAlign w:val="center"/>
          </w:tcPr>
          <w:p w14:paraId="4A0FFE1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3A3B191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r>
      <w:tr w14:paraId="0446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restart"/>
            <w:tcBorders>
              <w:tl2br w:val="nil"/>
              <w:tr2bl w:val="nil"/>
            </w:tcBorders>
            <w:tcMar>
              <w:top w:w="57" w:type="dxa"/>
              <w:bottom w:w="57" w:type="dxa"/>
            </w:tcMar>
            <w:vAlign w:val="center"/>
          </w:tcPr>
          <w:p w14:paraId="1402062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有组织废气</w:t>
            </w:r>
          </w:p>
        </w:tc>
        <w:tc>
          <w:tcPr>
            <w:tcW w:w="2423" w:type="dxa"/>
            <w:tcBorders>
              <w:tl2br w:val="nil"/>
              <w:tr2bl w:val="nil"/>
            </w:tcBorders>
            <w:tcMar>
              <w:top w:w="57" w:type="dxa"/>
              <w:bottom w:w="57" w:type="dxa"/>
            </w:tcMar>
            <w:vAlign w:val="center"/>
          </w:tcPr>
          <w:p w14:paraId="79D4A88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生产车间</w:t>
            </w:r>
            <w:r>
              <w:rPr>
                <w:rStyle w:val="35"/>
                <w:rFonts w:ascii="Times New Roman" w:hAnsi="Times New Roman" w:eastAsia="宋体" w:cs="Times New Roman"/>
                <w:color w:val="000000" w:themeColor="text1"/>
                <w14:textFill>
                  <w14:solidFill>
                    <w14:schemeClr w14:val="tx1"/>
                  </w14:solidFill>
                </w14:textFill>
              </w:rPr>
              <w:t>实木加工工序</w:t>
            </w:r>
            <w:r>
              <w:rPr>
                <w:rStyle w:val="35"/>
                <w:rFonts w:hint="eastAsia" w:ascii="Times New Roman" w:hAnsi="Times New Roman" w:eastAsia="宋体" w:cs="Times New Roman"/>
                <w:color w:val="000000" w:themeColor="text1"/>
                <w14:textFill>
                  <w14:solidFill>
                    <w14:schemeClr w14:val="tx1"/>
                  </w14:solidFill>
                </w14:textFill>
              </w:rPr>
              <w:t>（DA001）</w:t>
            </w:r>
          </w:p>
        </w:tc>
        <w:tc>
          <w:tcPr>
            <w:tcW w:w="1354" w:type="dxa"/>
            <w:tcBorders>
              <w:tl2br w:val="nil"/>
              <w:tr2bl w:val="nil"/>
            </w:tcBorders>
            <w:tcMar>
              <w:top w:w="57" w:type="dxa"/>
              <w:bottom w:w="57" w:type="dxa"/>
            </w:tcMar>
            <w:vAlign w:val="center"/>
          </w:tcPr>
          <w:p w14:paraId="0CA920D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颗粒物</w:t>
            </w:r>
          </w:p>
        </w:tc>
        <w:tc>
          <w:tcPr>
            <w:tcW w:w="1292" w:type="dxa"/>
            <w:tcBorders>
              <w:tl2br w:val="nil"/>
              <w:tr2bl w:val="nil"/>
            </w:tcBorders>
            <w:tcMar>
              <w:top w:w="57" w:type="dxa"/>
              <w:bottom w:w="57" w:type="dxa"/>
            </w:tcMar>
            <w:vAlign w:val="center"/>
          </w:tcPr>
          <w:p w14:paraId="173F386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0.57</w:t>
            </w:r>
          </w:p>
        </w:tc>
        <w:tc>
          <w:tcPr>
            <w:tcW w:w="1279" w:type="dxa"/>
            <w:tcBorders>
              <w:tl2br w:val="nil"/>
              <w:tr2bl w:val="nil"/>
            </w:tcBorders>
            <w:tcMar>
              <w:top w:w="57" w:type="dxa"/>
              <w:bottom w:w="57" w:type="dxa"/>
            </w:tcMar>
            <w:vAlign w:val="center"/>
          </w:tcPr>
          <w:p w14:paraId="036F816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7AF83AE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三</w:t>
            </w:r>
            <w:r>
              <w:rPr>
                <w:rFonts w:ascii="Times New Roman" w:hAnsi="Times New Roman" w:eastAsia="宋体" w:cs="Times New Roman"/>
                <w:color w:val="000000" w:themeColor="text1"/>
                <w:szCs w:val="21"/>
                <w14:textFill>
                  <w14:solidFill>
                    <w14:schemeClr w14:val="tx1"/>
                  </w14:solidFill>
                </w14:textFill>
              </w:rPr>
              <w:t>级</w:t>
            </w:r>
          </w:p>
        </w:tc>
      </w:tr>
      <w:tr w14:paraId="5EC5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37" w:type="dxa"/>
            <w:vMerge w:val="continue"/>
            <w:tcBorders>
              <w:tl2br w:val="nil"/>
              <w:tr2bl w:val="nil"/>
            </w:tcBorders>
            <w:tcMar>
              <w:top w:w="57" w:type="dxa"/>
              <w:bottom w:w="57" w:type="dxa"/>
            </w:tcMar>
            <w:vAlign w:val="center"/>
          </w:tcPr>
          <w:p w14:paraId="755A81A9">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restart"/>
            <w:tcBorders>
              <w:tl2br w:val="nil"/>
              <w:tr2bl w:val="nil"/>
            </w:tcBorders>
            <w:tcMar>
              <w:top w:w="57" w:type="dxa"/>
              <w:bottom w:w="57" w:type="dxa"/>
            </w:tcMar>
            <w:vAlign w:val="center"/>
          </w:tcPr>
          <w:p w14:paraId="57A491D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拼板冷压、封边、热压、擦色、</w:t>
            </w:r>
            <w:r>
              <w:rPr>
                <w:rFonts w:hint="eastAsia" w:ascii="Times New Roman" w:hAnsi="Times New Roman" w:eastAsia="宋体" w:cs="Times New Roman"/>
                <w:color w:val="000000" w:themeColor="text1"/>
                <w:szCs w:val="21"/>
                <w:lang w:val="en-US" w:eastAsia="zh-CN"/>
                <w14:textFill>
                  <w14:solidFill>
                    <w14:schemeClr w14:val="tx1"/>
                  </w14:solidFill>
                </w14:textFill>
              </w:rPr>
              <w:t>喷</w:t>
            </w:r>
            <w:r>
              <w:rPr>
                <w:rFonts w:ascii="Times New Roman" w:hAnsi="Times New Roman" w:eastAsia="宋体" w:cs="Times New Roman"/>
                <w:color w:val="000000" w:themeColor="text1"/>
                <w:szCs w:val="21"/>
                <w14:textFill>
                  <w14:solidFill>
                    <w14:schemeClr w14:val="tx1"/>
                  </w14:solidFill>
                </w14:textFill>
              </w:rPr>
              <w:t>漆房（含</w:t>
            </w:r>
            <w:r>
              <w:rPr>
                <w:rFonts w:hint="eastAsia" w:ascii="Times New Roman" w:hAnsi="Times New Roman" w:eastAsia="宋体" w:cs="Times New Roman"/>
                <w:color w:val="000000" w:themeColor="text1"/>
                <w:szCs w:val="21"/>
                <w14:textFill>
                  <w14:solidFill>
                    <w14:schemeClr w14:val="tx1"/>
                  </w14:solidFill>
                </w14:textFill>
              </w:rPr>
              <w:t>调漆、</w:t>
            </w:r>
            <w:r>
              <w:rPr>
                <w:rFonts w:ascii="Times New Roman" w:hAnsi="Times New Roman" w:eastAsia="宋体" w:cs="Times New Roman"/>
                <w:color w:val="000000" w:themeColor="text1"/>
                <w:szCs w:val="21"/>
                <w14:textFill>
                  <w14:solidFill>
                    <w14:schemeClr w14:val="tx1"/>
                  </w14:solidFill>
                </w14:textFill>
              </w:rPr>
              <w:t>晾干）</w:t>
            </w:r>
            <w:r>
              <w:rPr>
                <w:rStyle w:val="35"/>
                <w:rFonts w:hint="eastAsia" w:ascii="Times New Roman" w:hAnsi="Times New Roman" w:eastAsia="宋体" w:cs="Times New Roman"/>
                <w:color w:val="000000" w:themeColor="text1"/>
                <w14:textFill>
                  <w14:solidFill>
                    <w14:schemeClr w14:val="tx1"/>
                  </w14:solidFill>
                </w14:textFill>
              </w:rPr>
              <w:t>（DA00</w:t>
            </w:r>
            <w:r>
              <w:rPr>
                <w:rStyle w:val="35"/>
                <w:rFonts w:hint="eastAsia" w:ascii="Times New Roman" w:hAnsi="Times New Roman" w:eastAsia="宋体" w:cs="Times New Roman"/>
                <w:color w:val="000000" w:themeColor="text1"/>
                <w:lang w:val="en-US" w:eastAsia="zh-CN"/>
                <w14:textFill>
                  <w14:solidFill>
                    <w14:schemeClr w14:val="tx1"/>
                  </w14:solidFill>
                </w14:textFill>
              </w:rPr>
              <w:t>2</w:t>
            </w:r>
            <w:r>
              <w:rPr>
                <w:rStyle w:val="35"/>
                <w:rFonts w:hint="eastAsia" w:ascii="Times New Roman" w:hAnsi="Times New Roman" w:eastAsia="宋体" w:cs="Times New Roman"/>
                <w:color w:val="000000" w:themeColor="text1"/>
                <w14:textFill>
                  <w14:solidFill>
                    <w14:schemeClr w14:val="tx1"/>
                  </w14:solidFill>
                </w14:textFill>
              </w:rPr>
              <w:t>）</w:t>
            </w:r>
          </w:p>
        </w:tc>
        <w:tc>
          <w:tcPr>
            <w:tcW w:w="1354" w:type="dxa"/>
            <w:tcBorders>
              <w:tl2br w:val="nil"/>
              <w:tr2bl w:val="nil"/>
            </w:tcBorders>
            <w:tcMar>
              <w:top w:w="57" w:type="dxa"/>
              <w:bottom w:w="57" w:type="dxa"/>
            </w:tcMar>
            <w:vAlign w:val="center"/>
          </w:tcPr>
          <w:p w14:paraId="385DCF6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1292" w:type="dxa"/>
            <w:tcBorders>
              <w:tl2br w:val="nil"/>
              <w:tr2bl w:val="nil"/>
            </w:tcBorders>
            <w:tcMar>
              <w:top w:w="57" w:type="dxa"/>
              <w:bottom w:w="57" w:type="dxa"/>
            </w:tcMar>
            <w:vAlign w:val="center"/>
          </w:tcPr>
          <w:p w14:paraId="3EB9F33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46</w:t>
            </w:r>
          </w:p>
        </w:tc>
        <w:tc>
          <w:tcPr>
            <w:tcW w:w="1279" w:type="dxa"/>
            <w:tcBorders>
              <w:tl2br w:val="nil"/>
              <w:tr2bl w:val="nil"/>
            </w:tcBorders>
            <w:tcMar>
              <w:top w:w="57" w:type="dxa"/>
              <w:bottom w:w="57" w:type="dxa"/>
            </w:tcMar>
            <w:vAlign w:val="center"/>
          </w:tcPr>
          <w:p w14:paraId="7EBBAEE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6060F38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三级</w:t>
            </w:r>
          </w:p>
        </w:tc>
      </w:tr>
      <w:tr w14:paraId="0E1E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837" w:type="dxa"/>
            <w:vMerge w:val="continue"/>
            <w:tcBorders>
              <w:tl2br w:val="nil"/>
              <w:tr2bl w:val="nil"/>
            </w:tcBorders>
            <w:tcMar>
              <w:top w:w="57" w:type="dxa"/>
              <w:bottom w:w="57" w:type="dxa"/>
            </w:tcMar>
            <w:vAlign w:val="center"/>
          </w:tcPr>
          <w:p w14:paraId="15B4B834">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58D6AF82">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1125D39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苯</w:t>
            </w:r>
          </w:p>
        </w:tc>
        <w:tc>
          <w:tcPr>
            <w:tcW w:w="1292" w:type="dxa"/>
            <w:tcBorders>
              <w:tl2br w:val="nil"/>
              <w:tr2bl w:val="nil"/>
            </w:tcBorders>
            <w:tcMar>
              <w:top w:w="57" w:type="dxa"/>
              <w:bottom w:w="57" w:type="dxa"/>
            </w:tcMar>
            <w:vAlign w:val="center"/>
          </w:tcPr>
          <w:p w14:paraId="3D13AC3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0.22</w:t>
            </w:r>
          </w:p>
        </w:tc>
        <w:tc>
          <w:tcPr>
            <w:tcW w:w="1279" w:type="dxa"/>
            <w:tcBorders>
              <w:tl2br w:val="nil"/>
              <w:tr2bl w:val="nil"/>
            </w:tcBorders>
            <w:tcMar>
              <w:top w:w="57" w:type="dxa"/>
              <w:bottom w:w="57" w:type="dxa"/>
            </w:tcMar>
            <w:vAlign w:val="center"/>
          </w:tcPr>
          <w:p w14:paraId="067BF46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1061C74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三级</w:t>
            </w:r>
          </w:p>
        </w:tc>
      </w:tr>
      <w:tr w14:paraId="65D1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continue"/>
            <w:tcBorders>
              <w:tl2br w:val="nil"/>
              <w:tr2bl w:val="nil"/>
            </w:tcBorders>
            <w:tcMar>
              <w:top w:w="57" w:type="dxa"/>
              <w:bottom w:w="57" w:type="dxa"/>
            </w:tcMar>
            <w:vAlign w:val="center"/>
          </w:tcPr>
          <w:p w14:paraId="288A5D4F">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25162D8E">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7CEEF89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甲苯</w:t>
            </w:r>
          </w:p>
        </w:tc>
        <w:tc>
          <w:tcPr>
            <w:tcW w:w="1292" w:type="dxa"/>
            <w:tcBorders>
              <w:tl2br w:val="nil"/>
              <w:tr2bl w:val="nil"/>
            </w:tcBorders>
            <w:tcMar>
              <w:top w:w="57" w:type="dxa"/>
              <w:bottom w:w="57" w:type="dxa"/>
            </w:tcMar>
            <w:vAlign w:val="center"/>
          </w:tcPr>
          <w:p w14:paraId="195A8E5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55</w:t>
            </w:r>
          </w:p>
        </w:tc>
        <w:tc>
          <w:tcPr>
            <w:tcW w:w="1279" w:type="dxa"/>
            <w:tcBorders>
              <w:tl2br w:val="nil"/>
              <w:tr2bl w:val="nil"/>
            </w:tcBorders>
            <w:tcMar>
              <w:top w:w="57" w:type="dxa"/>
              <w:bottom w:w="57" w:type="dxa"/>
            </w:tcMar>
            <w:vAlign w:val="center"/>
          </w:tcPr>
          <w:p w14:paraId="547C2EE7">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267D7229">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三级</w:t>
            </w:r>
          </w:p>
        </w:tc>
      </w:tr>
      <w:tr w14:paraId="71F6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7" w:type="dxa"/>
            <w:vMerge w:val="continue"/>
            <w:tcBorders>
              <w:tl2br w:val="nil"/>
              <w:tr2bl w:val="nil"/>
            </w:tcBorders>
            <w:tcMar>
              <w:top w:w="57" w:type="dxa"/>
              <w:bottom w:w="57" w:type="dxa"/>
            </w:tcMar>
            <w:vAlign w:val="center"/>
          </w:tcPr>
          <w:p w14:paraId="4A01C53D">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tl2br w:val="nil"/>
              <w:tr2bl w:val="nil"/>
            </w:tcBorders>
            <w:tcMar>
              <w:top w:w="57" w:type="dxa"/>
              <w:bottom w:w="57" w:type="dxa"/>
            </w:tcMar>
            <w:vAlign w:val="center"/>
          </w:tcPr>
          <w:p w14:paraId="1F106613">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tl2br w:val="nil"/>
              <w:tr2bl w:val="nil"/>
            </w:tcBorders>
            <w:tcMar>
              <w:top w:w="57" w:type="dxa"/>
              <w:bottom w:w="57" w:type="dxa"/>
            </w:tcMar>
            <w:vAlign w:val="center"/>
          </w:tcPr>
          <w:p w14:paraId="6114039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二甲苯</w:t>
            </w:r>
          </w:p>
        </w:tc>
        <w:tc>
          <w:tcPr>
            <w:tcW w:w="1292" w:type="dxa"/>
            <w:tcBorders>
              <w:tl2br w:val="nil"/>
              <w:tr2bl w:val="nil"/>
            </w:tcBorders>
            <w:tcMar>
              <w:top w:w="57" w:type="dxa"/>
              <w:bottom w:w="57" w:type="dxa"/>
            </w:tcMar>
            <w:vAlign w:val="center"/>
          </w:tcPr>
          <w:p w14:paraId="43057D1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1.23</w:t>
            </w:r>
          </w:p>
        </w:tc>
        <w:tc>
          <w:tcPr>
            <w:tcW w:w="1279" w:type="dxa"/>
            <w:tcBorders>
              <w:tl2br w:val="nil"/>
              <w:tr2bl w:val="nil"/>
            </w:tcBorders>
            <w:tcMar>
              <w:top w:w="57" w:type="dxa"/>
              <w:bottom w:w="57" w:type="dxa"/>
            </w:tcMar>
            <w:vAlign w:val="center"/>
          </w:tcPr>
          <w:p w14:paraId="32FDEF9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tl2br w:val="nil"/>
              <w:tr2bl w:val="nil"/>
            </w:tcBorders>
            <w:tcMar>
              <w:top w:w="57" w:type="dxa"/>
              <w:bottom w:w="57" w:type="dxa"/>
            </w:tcMar>
            <w:vAlign w:val="center"/>
          </w:tcPr>
          <w:p w14:paraId="4EF6D943">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r>
      <w:tr w14:paraId="0C23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837" w:type="dxa"/>
            <w:vMerge w:val="continue"/>
            <w:tcBorders>
              <w:tl2br w:val="nil"/>
              <w:tr2bl w:val="nil"/>
            </w:tcBorders>
            <w:tcMar>
              <w:top w:w="57" w:type="dxa"/>
              <w:bottom w:w="57" w:type="dxa"/>
            </w:tcMar>
            <w:vAlign w:val="center"/>
          </w:tcPr>
          <w:p w14:paraId="20F549EB">
            <w:pPr>
              <w:jc w:val="center"/>
              <w:rPr>
                <w:rFonts w:ascii="Times New Roman" w:hAnsi="Times New Roman" w:eastAsia="宋体" w:cs="Times New Roman"/>
                <w:color w:val="000000" w:themeColor="text1"/>
                <w:szCs w:val="21"/>
                <w14:textFill>
                  <w14:solidFill>
                    <w14:schemeClr w14:val="tx1"/>
                  </w14:solidFill>
                </w14:textFill>
              </w:rPr>
            </w:pPr>
          </w:p>
        </w:tc>
        <w:tc>
          <w:tcPr>
            <w:tcW w:w="2423" w:type="dxa"/>
            <w:vMerge w:val="continue"/>
            <w:tcBorders>
              <w:bottom w:val="single" w:color="000000" w:sz="4" w:space="0"/>
              <w:tl2br w:val="nil"/>
              <w:tr2bl w:val="nil"/>
            </w:tcBorders>
            <w:tcMar>
              <w:top w:w="57" w:type="dxa"/>
              <w:bottom w:w="57" w:type="dxa"/>
            </w:tcMar>
            <w:vAlign w:val="center"/>
          </w:tcPr>
          <w:p w14:paraId="62453444">
            <w:pPr>
              <w:jc w:val="center"/>
              <w:rPr>
                <w:rFonts w:ascii="Times New Roman" w:hAnsi="Times New Roman" w:eastAsia="宋体" w:cs="Times New Roman"/>
                <w:color w:val="000000" w:themeColor="text1"/>
                <w:szCs w:val="21"/>
                <w14:textFill>
                  <w14:solidFill>
                    <w14:schemeClr w14:val="tx1"/>
                  </w14:solidFill>
                </w14:textFill>
              </w:rPr>
            </w:pPr>
          </w:p>
        </w:tc>
        <w:tc>
          <w:tcPr>
            <w:tcW w:w="1354" w:type="dxa"/>
            <w:tcBorders>
              <w:bottom w:val="single" w:color="000000" w:sz="4" w:space="0"/>
              <w:tl2br w:val="nil"/>
              <w:tr2bl w:val="nil"/>
            </w:tcBorders>
            <w:tcMar>
              <w:top w:w="57" w:type="dxa"/>
              <w:bottom w:w="57" w:type="dxa"/>
            </w:tcMar>
            <w:vAlign w:val="center"/>
          </w:tcPr>
          <w:p w14:paraId="432EF75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w:t>
            </w:r>
          </w:p>
        </w:tc>
        <w:tc>
          <w:tcPr>
            <w:tcW w:w="1292" w:type="dxa"/>
            <w:tcBorders>
              <w:bottom w:val="single" w:color="000000" w:sz="4" w:space="0"/>
              <w:tl2br w:val="nil"/>
              <w:tr2bl w:val="nil"/>
            </w:tcBorders>
            <w:tcMar>
              <w:top w:w="57" w:type="dxa"/>
              <w:bottom w:w="57" w:type="dxa"/>
            </w:tcMar>
            <w:vAlign w:val="center"/>
          </w:tcPr>
          <w:p w14:paraId="599FFF2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95</w:t>
            </w:r>
          </w:p>
        </w:tc>
        <w:tc>
          <w:tcPr>
            <w:tcW w:w="1279" w:type="dxa"/>
            <w:tcBorders>
              <w:bottom w:val="single" w:color="000000" w:sz="4" w:space="0"/>
              <w:tl2br w:val="nil"/>
              <w:tr2bl w:val="nil"/>
            </w:tcBorders>
            <w:tcMar>
              <w:top w:w="57" w:type="dxa"/>
              <w:bottom w:w="57" w:type="dxa"/>
            </w:tcMar>
            <w:vAlign w:val="center"/>
          </w:tcPr>
          <w:p w14:paraId="5BA7F03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337" w:type="dxa"/>
            <w:tcBorders>
              <w:bottom w:val="single" w:color="000000" w:sz="4" w:space="0"/>
              <w:tl2br w:val="nil"/>
              <w:tr2bl w:val="nil"/>
            </w:tcBorders>
            <w:tcMar>
              <w:top w:w="57" w:type="dxa"/>
              <w:bottom w:w="57" w:type="dxa"/>
            </w:tcMar>
            <w:vAlign w:val="center"/>
          </w:tcPr>
          <w:p w14:paraId="28D02F7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三级</w:t>
            </w:r>
          </w:p>
        </w:tc>
      </w:tr>
    </w:tbl>
    <w:p w14:paraId="24E93FBC">
      <w:pPr>
        <w:numPr>
          <w:ilvl w:val="0"/>
          <w:numId w:val="59"/>
        </w:num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 xml:space="preserve">  环境空气评价工作等级判据一览表</w:t>
      </w:r>
    </w:p>
    <w:tbl>
      <w:tblPr>
        <w:tblStyle w:val="30"/>
        <w:tblW w:w="86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773"/>
        <w:gridCol w:w="5832"/>
      </w:tblGrid>
      <w:tr w14:paraId="37FE15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773" w:type="dxa"/>
            <w:tcBorders>
              <w:tl2br w:val="nil"/>
              <w:tr2bl w:val="nil"/>
            </w:tcBorders>
            <w:vAlign w:val="center"/>
          </w:tcPr>
          <w:p w14:paraId="7914DFBB">
            <w:pPr>
              <w:spacing w:line="360" w:lineRule="exact"/>
              <w:jc w:val="center"/>
              <w:rPr>
                <w:rFonts w:ascii="Times New Roman" w:hAnsi="Times New Roman" w:cs="Times New Roman"/>
                <w:szCs w:val="21"/>
              </w:rPr>
            </w:pPr>
            <w:r>
              <w:rPr>
                <w:rFonts w:ascii="Times New Roman" w:hAnsi="Times New Roman" w:cs="Times New Roman"/>
                <w:szCs w:val="21"/>
              </w:rPr>
              <w:t>评价工作等级</w:t>
            </w:r>
          </w:p>
        </w:tc>
        <w:tc>
          <w:tcPr>
            <w:tcW w:w="5832" w:type="dxa"/>
            <w:tcBorders>
              <w:tl2br w:val="nil"/>
              <w:tr2bl w:val="nil"/>
            </w:tcBorders>
            <w:vAlign w:val="center"/>
          </w:tcPr>
          <w:p w14:paraId="11EFBA17">
            <w:pPr>
              <w:spacing w:line="360" w:lineRule="exact"/>
              <w:jc w:val="center"/>
              <w:rPr>
                <w:rFonts w:ascii="Times New Roman" w:hAnsi="Times New Roman" w:cs="Times New Roman"/>
                <w:szCs w:val="21"/>
              </w:rPr>
            </w:pPr>
            <w:r>
              <w:rPr>
                <w:rFonts w:ascii="Times New Roman" w:hAnsi="Times New Roman" w:cs="Times New Roman"/>
                <w:szCs w:val="21"/>
              </w:rPr>
              <w:t>评价工作分级判据</w:t>
            </w:r>
          </w:p>
        </w:tc>
      </w:tr>
      <w:tr w14:paraId="620B79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773" w:type="dxa"/>
            <w:tcBorders>
              <w:tl2br w:val="nil"/>
              <w:tr2bl w:val="nil"/>
            </w:tcBorders>
            <w:vAlign w:val="center"/>
          </w:tcPr>
          <w:p w14:paraId="6621BD46">
            <w:pPr>
              <w:spacing w:line="360" w:lineRule="exact"/>
              <w:jc w:val="center"/>
              <w:rPr>
                <w:rFonts w:ascii="Times New Roman" w:hAnsi="Times New Roman" w:cs="Times New Roman"/>
                <w:szCs w:val="21"/>
              </w:rPr>
            </w:pPr>
            <w:r>
              <w:rPr>
                <w:rFonts w:ascii="Times New Roman" w:hAnsi="Times New Roman" w:cs="Times New Roman"/>
                <w:szCs w:val="21"/>
              </w:rPr>
              <w:t>一级</w:t>
            </w:r>
          </w:p>
        </w:tc>
        <w:tc>
          <w:tcPr>
            <w:tcW w:w="5832" w:type="dxa"/>
            <w:tcBorders>
              <w:tl2br w:val="nil"/>
              <w:tr2bl w:val="nil"/>
            </w:tcBorders>
            <w:vAlign w:val="center"/>
          </w:tcPr>
          <w:p w14:paraId="23AC992D">
            <w:pPr>
              <w:spacing w:line="360" w:lineRule="exact"/>
              <w:jc w:val="center"/>
              <w:rPr>
                <w:rFonts w:ascii="Times New Roman" w:hAnsi="Times New Roman" w:cs="Times New Roman"/>
                <w:color w:val="auto"/>
                <w:szCs w:val="21"/>
              </w:rPr>
            </w:pPr>
            <w:r>
              <w:rPr>
                <w:rFonts w:ascii="Times New Roman" w:hAnsi="Times New Roman" w:cs="Times New Roman"/>
                <w:color w:val="auto"/>
                <w:kern w:val="24"/>
                <w:szCs w:val="21"/>
              </w:rPr>
              <w:t>P</w:t>
            </w:r>
            <w:r>
              <w:rPr>
                <w:rFonts w:ascii="Times New Roman" w:hAnsi="Times New Roman" w:cs="Times New Roman"/>
                <w:color w:val="auto"/>
                <w:kern w:val="24"/>
                <w:szCs w:val="21"/>
                <w:vertAlign w:val="subscript"/>
              </w:rPr>
              <w:t>max</w:t>
            </w:r>
            <w:r>
              <w:rPr>
                <w:rFonts w:ascii="Times New Roman" w:hAnsi="Times New Roman" w:cs="Times New Roman"/>
                <w:color w:val="auto"/>
                <w:kern w:val="24"/>
                <w:szCs w:val="21"/>
              </w:rPr>
              <w:t>≥10%</w:t>
            </w:r>
          </w:p>
        </w:tc>
      </w:tr>
      <w:tr w14:paraId="02DBE8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773" w:type="dxa"/>
            <w:tcBorders>
              <w:tl2br w:val="nil"/>
              <w:tr2bl w:val="nil"/>
            </w:tcBorders>
            <w:vAlign w:val="center"/>
          </w:tcPr>
          <w:p w14:paraId="1AAD957E">
            <w:pPr>
              <w:spacing w:line="360" w:lineRule="exact"/>
              <w:jc w:val="center"/>
              <w:rPr>
                <w:rFonts w:ascii="Times New Roman" w:hAnsi="Times New Roman" w:cs="Times New Roman"/>
                <w:szCs w:val="21"/>
              </w:rPr>
            </w:pPr>
            <w:r>
              <w:rPr>
                <w:rFonts w:ascii="Times New Roman" w:hAnsi="Times New Roman" w:cs="Times New Roman"/>
                <w:szCs w:val="21"/>
              </w:rPr>
              <w:t>二级</w:t>
            </w:r>
          </w:p>
        </w:tc>
        <w:tc>
          <w:tcPr>
            <w:tcW w:w="5832" w:type="dxa"/>
            <w:tcBorders>
              <w:tl2br w:val="nil"/>
              <w:tr2bl w:val="nil"/>
            </w:tcBorders>
            <w:vAlign w:val="center"/>
          </w:tcPr>
          <w:p w14:paraId="7029E92D">
            <w:pPr>
              <w:spacing w:line="360" w:lineRule="exact"/>
              <w:jc w:val="center"/>
              <w:rPr>
                <w:rFonts w:ascii="Times New Roman" w:hAnsi="Times New Roman" w:cs="Times New Roman"/>
                <w:color w:val="auto"/>
                <w:szCs w:val="21"/>
              </w:rPr>
            </w:pPr>
            <w:r>
              <w:rPr>
                <w:rFonts w:ascii="Times New Roman" w:hAnsi="Times New Roman" w:cs="Times New Roman"/>
                <w:color w:val="auto"/>
                <w:kern w:val="24"/>
                <w:szCs w:val="21"/>
              </w:rPr>
              <w:t>1%≤P</w:t>
            </w:r>
            <w:r>
              <w:rPr>
                <w:rFonts w:ascii="Times New Roman" w:hAnsi="Times New Roman" w:cs="Times New Roman"/>
                <w:color w:val="auto"/>
                <w:kern w:val="24"/>
                <w:szCs w:val="21"/>
                <w:vertAlign w:val="subscript"/>
              </w:rPr>
              <w:t>max</w:t>
            </w:r>
            <w:r>
              <w:rPr>
                <w:rFonts w:ascii="Times New Roman" w:hAnsi="Times New Roman" w:cs="Times New Roman"/>
                <w:color w:val="auto"/>
                <w:kern w:val="24"/>
                <w:szCs w:val="21"/>
              </w:rPr>
              <w:t>＜10%</w:t>
            </w:r>
          </w:p>
        </w:tc>
      </w:tr>
      <w:tr w14:paraId="0A8ED0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773" w:type="dxa"/>
            <w:tcBorders>
              <w:tl2br w:val="nil"/>
              <w:tr2bl w:val="nil"/>
            </w:tcBorders>
            <w:vAlign w:val="center"/>
          </w:tcPr>
          <w:p w14:paraId="13753AB7">
            <w:pPr>
              <w:spacing w:line="360" w:lineRule="exact"/>
              <w:jc w:val="center"/>
              <w:rPr>
                <w:rFonts w:ascii="Times New Roman" w:hAnsi="Times New Roman" w:cs="Times New Roman"/>
                <w:szCs w:val="21"/>
              </w:rPr>
            </w:pPr>
            <w:r>
              <w:rPr>
                <w:rFonts w:ascii="Times New Roman" w:hAnsi="Times New Roman" w:cs="Times New Roman"/>
                <w:szCs w:val="21"/>
              </w:rPr>
              <w:t>三级</w:t>
            </w:r>
          </w:p>
        </w:tc>
        <w:tc>
          <w:tcPr>
            <w:tcW w:w="5832" w:type="dxa"/>
            <w:tcBorders>
              <w:tl2br w:val="nil"/>
              <w:tr2bl w:val="nil"/>
            </w:tcBorders>
            <w:vAlign w:val="center"/>
          </w:tcPr>
          <w:p w14:paraId="7E4929F3">
            <w:pPr>
              <w:spacing w:line="360" w:lineRule="exact"/>
              <w:jc w:val="center"/>
              <w:rPr>
                <w:rFonts w:ascii="Times New Roman" w:hAnsi="Times New Roman" w:cs="Times New Roman"/>
                <w:color w:val="auto"/>
                <w:szCs w:val="21"/>
              </w:rPr>
            </w:pPr>
            <w:r>
              <w:rPr>
                <w:rFonts w:ascii="Times New Roman" w:hAnsi="Times New Roman" w:cs="Times New Roman"/>
                <w:color w:val="auto"/>
                <w:kern w:val="24"/>
                <w:szCs w:val="21"/>
              </w:rPr>
              <w:t>P</w:t>
            </w:r>
            <w:r>
              <w:rPr>
                <w:rFonts w:ascii="Times New Roman" w:hAnsi="Times New Roman" w:cs="Times New Roman"/>
                <w:color w:val="auto"/>
                <w:kern w:val="24"/>
                <w:szCs w:val="21"/>
                <w:vertAlign w:val="subscript"/>
              </w:rPr>
              <w:t>max</w:t>
            </w:r>
            <w:r>
              <w:rPr>
                <w:rFonts w:ascii="Times New Roman" w:hAnsi="Times New Roman" w:cs="Times New Roman"/>
                <w:color w:val="auto"/>
                <w:kern w:val="24"/>
                <w:szCs w:val="21"/>
              </w:rPr>
              <w:t>&lt;1%</w:t>
            </w:r>
          </w:p>
        </w:tc>
      </w:tr>
      <w:tr w14:paraId="3B5BC1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773" w:type="dxa"/>
            <w:tcBorders>
              <w:tl2br w:val="nil"/>
              <w:tr2bl w:val="nil"/>
            </w:tcBorders>
            <w:vAlign w:val="center"/>
          </w:tcPr>
          <w:p w14:paraId="7CC7C41A">
            <w:pPr>
              <w:spacing w:line="360" w:lineRule="exact"/>
              <w:jc w:val="center"/>
              <w:rPr>
                <w:rFonts w:ascii="Times New Roman" w:hAnsi="Times New Roman" w:cs="Times New Roman"/>
                <w:szCs w:val="21"/>
              </w:rPr>
            </w:pPr>
            <w:r>
              <w:rPr>
                <w:rFonts w:ascii="Times New Roman" w:hAnsi="Times New Roman" w:cs="Times New Roman"/>
                <w:szCs w:val="21"/>
              </w:rPr>
              <w:t>判定结果</w:t>
            </w:r>
          </w:p>
        </w:tc>
        <w:tc>
          <w:tcPr>
            <w:tcW w:w="5832" w:type="dxa"/>
            <w:tcBorders>
              <w:tl2br w:val="nil"/>
              <w:tr2bl w:val="nil"/>
            </w:tcBorders>
            <w:vAlign w:val="center"/>
          </w:tcPr>
          <w:p w14:paraId="71F677E5">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二级</w:t>
            </w:r>
          </w:p>
        </w:tc>
      </w:tr>
    </w:tbl>
    <w:p w14:paraId="3908FB77">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w:t>
      </w:r>
      <w:r>
        <w:rPr>
          <w:rFonts w:hint="eastAsia" w:ascii="Times New Roman" w:hAnsi="Times New Roman" w:cs="Times New Roman"/>
          <w:color w:val="000000" w:themeColor="text1"/>
          <w:sz w:val="24"/>
          <w14:textFill>
            <w14:solidFill>
              <w14:schemeClr w14:val="tx1"/>
            </w14:solidFill>
          </w14:textFill>
        </w:rPr>
        <w:t>上</w:t>
      </w:r>
      <w:r>
        <w:rPr>
          <w:rFonts w:ascii="Times New Roman" w:hAnsi="Times New Roman" w:cs="Times New Roman"/>
          <w:color w:val="000000" w:themeColor="text1"/>
          <w:sz w:val="24"/>
          <w14:textFill>
            <w14:solidFill>
              <w14:schemeClr w14:val="tx1"/>
            </w14:solidFill>
          </w14:textFill>
        </w:rPr>
        <w:t>表计算结果，确定本项目评价等级为二级。</w:t>
      </w:r>
    </w:p>
    <w:p w14:paraId="74CD9EA4">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3、预测范围</w:t>
      </w:r>
    </w:p>
    <w:p w14:paraId="289D386B">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根据评价确定的环境空气评价等级，本次大气环境评价范围为</w:t>
      </w:r>
      <w:r>
        <w:rPr>
          <w:rFonts w:ascii="Times New Roman" w:hAnsi="Times New Roman" w:cs="Times New Roman"/>
          <w:sz w:val="24"/>
        </w:rPr>
        <w:t>边长5km的矩形</w:t>
      </w:r>
      <w:r>
        <w:rPr>
          <w:rFonts w:ascii="Times New Roman" w:hAnsi="Times New Roman" w:cs="Times New Roman"/>
          <w:color w:val="000000" w:themeColor="text1"/>
          <w:sz w:val="24"/>
          <w14:textFill>
            <w14:solidFill>
              <w14:schemeClr w14:val="tx1"/>
            </w14:solidFill>
          </w14:textFill>
        </w:rPr>
        <w:t>。</w:t>
      </w:r>
    </w:p>
    <w:p w14:paraId="4C86C191">
      <w:pPr>
        <w:spacing w:line="360" w:lineRule="auto"/>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、预测参数</w:t>
      </w:r>
    </w:p>
    <w:p w14:paraId="6823EF19">
      <w:pPr>
        <w:spacing w:line="360" w:lineRule="auto"/>
        <w:ind w:firstLine="48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根据工程分析，本项目有组织排放污染物和无组织排放污染物源强及预测参数情况如下表所示：</w:t>
      </w:r>
    </w:p>
    <w:p w14:paraId="6263B89B">
      <w:pPr>
        <w:spacing w:line="360" w:lineRule="auto"/>
        <w:jc w:val="center"/>
        <w:rPr>
          <w:rFonts w:ascii="Times New Roman" w:hAnsi="Times New Roman" w:cs="Times New Roman"/>
          <w:b/>
          <w:bCs/>
          <w:color w:val="000000" w:themeColor="text1"/>
          <w:sz w:val="24"/>
          <w14:textFill>
            <w14:solidFill>
              <w14:schemeClr w14:val="tx1"/>
            </w14:solidFill>
          </w14:textFill>
        </w:rPr>
        <w:sectPr>
          <w:headerReference r:id="rId18" w:type="default"/>
          <w:pgSz w:w="11906" w:h="16838"/>
          <w:pgMar w:top="1440" w:right="1800" w:bottom="1440" w:left="1800" w:header="851" w:footer="992" w:gutter="0"/>
          <w:pgNumType w:fmt="decimal"/>
          <w:cols w:space="425" w:num="1"/>
          <w:docGrid w:type="lines" w:linePitch="312" w:charSpace="0"/>
        </w:sectPr>
      </w:pPr>
    </w:p>
    <w:p w14:paraId="47C4FB20">
      <w:pPr>
        <w:numPr>
          <w:ilvl w:val="0"/>
          <w:numId w:val="59"/>
        </w:num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 xml:space="preserve">  </w:t>
      </w:r>
      <w:r>
        <w:rPr>
          <w:rFonts w:ascii="Times New Roman" w:hAnsi="Times New Roman" w:cs="Times New Roman"/>
          <w:b/>
          <w:bCs/>
          <w:color w:val="000000" w:themeColor="text1"/>
          <w:szCs w:val="21"/>
          <w14:textFill>
            <w14:solidFill>
              <w14:schemeClr w14:val="tx1"/>
            </w14:solidFill>
          </w14:textFill>
        </w:rPr>
        <w:t>本项目</w:t>
      </w:r>
      <w:r>
        <w:rPr>
          <w:rFonts w:hint="eastAsia" w:ascii="Times New Roman" w:hAnsi="Times New Roman" w:cs="Times New Roman"/>
          <w:b/>
          <w:bCs/>
          <w:color w:val="000000" w:themeColor="text1"/>
          <w:szCs w:val="21"/>
          <w14:textFill>
            <w14:solidFill>
              <w14:schemeClr w14:val="tx1"/>
            </w14:solidFill>
          </w14:textFill>
        </w:rPr>
        <w:t>矩形面源参数表</w:t>
      </w:r>
    </w:p>
    <w:tbl>
      <w:tblPr>
        <w:tblStyle w:val="30"/>
        <w:tblW w:w="14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19"/>
        <w:gridCol w:w="1280"/>
        <w:gridCol w:w="1213"/>
        <w:gridCol w:w="887"/>
        <w:gridCol w:w="701"/>
        <w:gridCol w:w="715"/>
        <w:gridCol w:w="875"/>
        <w:gridCol w:w="847"/>
        <w:gridCol w:w="795"/>
        <w:gridCol w:w="647"/>
        <w:gridCol w:w="678"/>
        <w:gridCol w:w="725"/>
        <w:gridCol w:w="730"/>
        <w:gridCol w:w="731"/>
        <w:gridCol w:w="1342"/>
      </w:tblGrid>
      <w:tr w14:paraId="3736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36" w:type="dxa"/>
            <w:vMerge w:val="restart"/>
            <w:tcBorders>
              <w:tl2br w:val="nil"/>
              <w:tr2bl w:val="nil"/>
            </w:tcBorders>
            <w:vAlign w:val="center"/>
          </w:tcPr>
          <w:p w14:paraId="7AD7DDBB">
            <w:pPr>
              <w:jc w:val="center"/>
              <w:rPr>
                <w:rFonts w:ascii="Times New Roman" w:hAnsi="Times New Roman" w:eastAsia="宋体" w:cs="Times New Roman"/>
                <w:szCs w:val="21"/>
              </w:rPr>
            </w:pPr>
            <w:r>
              <w:rPr>
                <w:rFonts w:ascii="Times New Roman" w:hAnsi="Times New Roman" w:eastAsia="宋体" w:cs="Times New Roman"/>
                <w:szCs w:val="21"/>
              </w:rPr>
              <w:t>编号</w:t>
            </w:r>
          </w:p>
        </w:tc>
        <w:tc>
          <w:tcPr>
            <w:tcW w:w="1119" w:type="dxa"/>
            <w:vMerge w:val="restart"/>
            <w:tcBorders>
              <w:tl2br w:val="nil"/>
              <w:tr2bl w:val="nil"/>
            </w:tcBorders>
            <w:vAlign w:val="center"/>
          </w:tcPr>
          <w:p w14:paraId="68F75F17">
            <w:pPr>
              <w:jc w:val="center"/>
              <w:rPr>
                <w:rFonts w:ascii="Times New Roman" w:hAnsi="Times New Roman" w:eastAsia="宋体" w:cs="Times New Roman"/>
                <w:szCs w:val="21"/>
                <w:lang w:val="en-GB"/>
              </w:rPr>
            </w:pPr>
            <w:r>
              <w:rPr>
                <w:rFonts w:ascii="Times New Roman" w:hAnsi="Times New Roman" w:eastAsia="宋体" w:cs="Times New Roman"/>
                <w:szCs w:val="21"/>
              </w:rPr>
              <w:t>名称</w:t>
            </w:r>
          </w:p>
        </w:tc>
        <w:tc>
          <w:tcPr>
            <w:tcW w:w="2493" w:type="dxa"/>
            <w:gridSpan w:val="2"/>
            <w:tcBorders>
              <w:tl2br w:val="nil"/>
              <w:tr2bl w:val="nil"/>
            </w:tcBorders>
            <w:vAlign w:val="center"/>
          </w:tcPr>
          <w:p w14:paraId="4F60EEDD">
            <w:pPr>
              <w:jc w:val="center"/>
              <w:rPr>
                <w:rFonts w:ascii="Times New Roman" w:hAnsi="Times New Roman" w:eastAsia="宋体" w:cs="Times New Roman"/>
                <w:szCs w:val="21"/>
              </w:rPr>
            </w:pPr>
            <w:r>
              <w:rPr>
                <w:rFonts w:ascii="Times New Roman" w:hAnsi="Times New Roman" w:eastAsia="宋体" w:cs="Times New Roman"/>
                <w:szCs w:val="21"/>
              </w:rPr>
              <w:t>面源中心点坐标/m</w:t>
            </w:r>
          </w:p>
        </w:tc>
        <w:tc>
          <w:tcPr>
            <w:tcW w:w="887" w:type="dxa"/>
            <w:vMerge w:val="restart"/>
            <w:tcBorders>
              <w:tl2br w:val="nil"/>
              <w:tr2bl w:val="nil"/>
            </w:tcBorders>
            <w:vAlign w:val="center"/>
          </w:tcPr>
          <w:p w14:paraId="2FD040A6">
            <w:pPr>
              <w:jc w:val="center"/>
              <w:rPr>
                <w:rFonts w:ascii="Times New Roman" w:hAnsi="Times New Roman" w:eastAsia="宋体" w:cs="Times New Roman"/>
                <w:szCs w:val="21"/>
                <w:lang w:val="en-GB"/>
              </w:rPr>
            </w:pPr>
            <w:r>
              <w:rPr>
                <w:rFonts w:ascii="Times New Roman" w:hAnsi="Times New Roman" w:eastAsia="宋体" w:cs="Times New Roman"/>
                <w:szCs w:val="21"/>
              </w:rPr>
              <w:t>面源海拔高度/m</w:t>
            </w:r>
          </w:p>
        </w:tc>
        <w:tc>
          <w:tcPr>
            <w:tcW w:w="701" w:type="dxa"/>
            <w:vMerge w:val="restart"/>
            <w:tcBorders>
              <w:tl2br w:val="nil"/>
              <w:tr2bl w:val="nil"/>
            </w:tcBorders>
            <w:vAlign w:val="center"/>
          </w:tcPr>
          <w:p w14:paraId="0673B1F8">
            <w:pPr>
              <w:jc w:val="center"/>
              <w:rPr>
                <w:rFonts w:ascii="Times New Roman" w:hAnsi="Times New Roman" w:eastAsia="宋体" w:cs="Times New Roman"/>
                <w:szCs w:val="21"/>
              </w:rPr>
            </w:pPr>
            <w:r>
              <w:rPr>
                <w:rFonts w:ascii="Times New Roman" w:hAnsi="Times New Roman" w:eastAsia="宋体" w:cs="Times New Roman"/>
                <w:szCs w:val="21"/>
              </w:rPr>
              <w:t>面源长度/m</w:t>
            </w:r>
          </w:p>
        </w:tc>
        <w:tc>
          <w:tcPr>
            <w:tcW w:w="715" w:type="dxa"/>
            <w:vMerge w:val="restart"/>
            <w:tcBorders>
              <w:tl2br w:val="nil"/>
              <w:tr2bl w:val="nil"/>
            </w:tcBorders>
            <w:vAlign w:val="center"/>
          </w:tcPr>
          <w:p w14:paraId="0C839614">
            <w:pPr>
              <w:jc w:val="center"/>
              <w:rPr>
                <w:rFonts w:ascii="Times New Roman" w:hAnsi="Times New Roman" w:eastAsia="宋体" w:cs="Times New Roman"/>
                <w:szCs w:val="21"/>
              </w:rPr>
            </w:pPr>
            <w:r>
              <w:rPr>
                <w:rFonts w:ascii="Times New Roman" w:hAnsi="Times New Roman" w:eastAsia="宋体" w:cs="Times New Roman"/>
                <w:szCs w:val="21"/>
              </w:rPr>
              <w:t>面源宽度/m</w:t>
            </w:r>
          </w:p>
        </w:tc>
        <w:tc>
          <w:tcPr>
            <w:tcW w:w="875" w:type="dxa"/>
            <w:vMerge w:val="restart"/>
            <w:tcBorders>
              <w:tl2br w:val="nil"/>
              <w:tr2bl w:val="nil"/>
            </w:tcBorders>
            <w:vAlign w:val="center"/>
          </w:tcPr>
          <w:p w14:paraId="2D5E9DDA">
            <w:pPr>
              <w:jc w:val="center"/>
              <w:rPr>
                <w:rFonts w:ascii="Times New Roman" w:hAnsi="Times New Roman" w:eastAsia="宋体" w:cs="Times New Roman"/>
                <w:szCs w:val="21"/>
              </w:rPr>
            </w:pPr>
            <w:r>
              <w:rPr>
                <w:rFonts w:ascii="Times New Roman" w:hAnsi="Times New Roman" w:eastAsia="宋体" w:cs="Times New Roman"/>
                <w:szCs w:val="21"/>
              </w:rPr>
              <w:t>与正北向夹角/º</w:t>
            </w:r>
          </w:p>
        </w:tc>
        <w:tc>
          <w:tcPr>
            <w:tcW w:w="847" w:type="dxa"/>
            <w:vMerge w:val="restart"/>
            <w:tcBorders>
              <w:tl2br w:val="nil"/>
              <w:tr2bl w:val="nil"/>
            </w:tcBorders>
            <w:vAlign w:val="center"/>
          </w:tcPr>
          <w:p w14:paraId="7A29F7C9">
            <w:pPr>
              <w:jc w:val="center"/>
              <w:rPr>
                <w:rFonts w:ascii="Times New Roman" w:hAnsi="Times New Roman" w:eastAsia="宋体" w:cs="Times New Roman"/>
                <w:szCs w:val="21"/>
              </w:rPr>
            </w:pPr>
            <w:r>
              <w:rPr>
                <w:rFonts w:ascii="Times New Roman" w:hAnsi="Times New Roman" w:eastAsia="宋体" w:cs="Times New Roman"/>
                <w:szCs w:val="21"/>
              </w:rPr>
              <w:t>面源有效排放高度/m</w:t>
            </w:r>
          </w:p>
        </w:tc>
        <w:tc>
          <w:tcPr>
            <w:tcW w:w="795" w:type="dxa"/>
            <w:vMerge w:val="restart"/>
            <w:tcBorders>
              <w:tl2br w:val="nil"/>
              <w:tr2bl w:val="nil"/>
            </w:tcBorders>
            <w:vAlign w:val="center"/>
          </w:tcPr>
          <w:p w14:paraId="6E42E9E8">
            <w:pPr>
              <w:jc w:val="center"/>
              <w:rPr>
                <w:rFonts w:ascii="Times New Roman" w:hAnsi="Times New Roman" w:eastAsia="宋体" w:cs="Times New Roman"/>
                <w:szCs w:val="21"/>
                <w:lang w:val="en-GB"/>
              </w:rPr>
            </w:pPr>
            <w:r>
              <w:rPr>
                <w:rFonts w:ascii="Times New Roman" w:hAnsi="Times New Roman" w:cs="Times New Roman"/>
                <w:szCs w:val="21"/>
              </w:rPr>
              <w:t>年排放小时数/h</w:t>
            </w:r>
          </w:p>
        </w:tc>
        <w:tc>
          <w:tcPr>
            <w:tcW w:w="647" w:type="dxa"/>
            <w:vMerge w:val="restart"/>
            <w:tcBorders>
              <w:tl2br w:val="nil"/>
              <w:tr2bl w:val="nil"/>
            </w:tcBorders>
            <w:vAlign w:val="center"/>
          </w:tcPr>
          <w:p w14:paraId="351EF740">
            <w:pPr>
              <w:jc w:val="center"/>
              <w:rPr>
                <w:rFonts w:ascii="Times New Roman" w:hAnsi="Times New Roman" w:cs="Times New Roman"/>
                <w:szCs w:val="21"/>
              </w:rPr>
            </w:pPr>
            <w:r>
              <w:rPr>
                <w:rFonts w:ascii="Times New Roman" w:hAnsi="Times New Roman" w:eastAsia="宋体" w:cs="Times New Roman"/>
                <w:szCs w:val="21"/>
              </w:rPr>
              <w:t>排放工况</w:t>
            </w:r>
          </w:p>
        </w:tc>
        <w:tc>
          <w:tcPr>
            <w:tcW w:w="4206" w:type="dxa"/>
            <w:gridSpan w:val="5"/>
            <w:tcBorders>
              <w:tl2br w:val="nil"/>
              <w:tr2bl w:val="nil"/>
            </w:tcBorders>
            <w:vAlign w:val="center"/>
          </w:tcPr>
          <w:p w14:paraId="602EE24E">
            <w:pPr>
              <w:jc w:val="center"/>
              <w:rPr>
                <w:rFonts w:ascii="Times New Roman" w:hAnsi="Times New Roman" w:eastAsia="宋体" w:cs="Times New Roman"/>
                <w:szCs w:val="21"/>
              </w:rPr>
            </w:pPr>
            <w:r>
              <w:rPr>
                <w:rFonts w:ascii="Times New Roman" w:hAnsi="Times New Roman" w:eastAsia="宋体" w:cs="Times New Roman"/>
                <w:szCs w:val="21"/>
              </w:rPr>
              <w:t>污染物排放速率/(kg/h)</w:t>
            </w:r>
          </w:p>
        </w:tc>
      </w:tr>
      <w:tr w14:paraId="64F3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36" w:type="dxa"/>
            <w:vMerge w:val="continue"/>
            <w:tcBorders>
              <w:tl2br w:val="nil"/>
              <w:tr2bl w:val="nil"/>
            </w:tcBorders>
            <w:vAlign w:val="center"/>
          </w:tcPr>
          <w:p w14:paraId="398295B3">
            <w:pPr>
              <w:jc w:val="center"/>
              <w:rPr>
                <w:rFonts w:ascii="Times New Roman" w:hAnsi="Times New Roman" w:cs="Times New Roman"/>
                <w:szCs w:val="21"/>
              </w:rPr>
            </w:pPr>
          </w:p>
        </w:tc>
        <w:tc>
          <w:tcPr>
            <w:tcW w:w="1119" w:type="dxa"/>
            <w:vMerge w:val="continue"/>
            <w:tcBorders>
              <w:tl2br w:val="nil"/>
              <w:tr2bl w:val="nil"/>
            </w:tcBorders>
            <w:vAlign w:val="center"/>
          </w:tcPr>
          <w:p w14:paraId="0EFC629E">
            <w:pPr>
              <w:jc w:val="center"/>
              <w:rPr>
                <w:rFonts w:ascii="Times New Roman" w:hAnsi="Times New Roman" w:cs="Times New Roman"/>
                <w:szCs w:val="21"/>
              </w:rPr>
            </w:pPr>
          </w:p>
        </w:tc>
        <w:tc>
          <w:tcPr>
            <w:tcW w:w="1280" w:type="dxa"/>
            <w:tcBorders>
              <w:tl2br w:val="nil"/>
              <w:tr2bl w:val="nil"/>
            </w:tcBorders>
            <w:vAlign w:val="center"/>
          </w:tcPr>
          <w:p w14:paraId="65BAEAF6">
            <w:pPr>
              <w:jc w:val="center"/>
              <w:rPr>
                <w:rFonts w:ascii="Times New Roman" w:hAnsi="Times New Roman" w:cs="Times New Roman"/>
                <w:szCs w:val="21"/>
              </w:rPr>
            </w:pPr>
            <w:r>
              <w:rPr>
                <w:rFonts w:ascii="Times New Roman" w:hAnsi="Times New Roman" w:cs="Times New Roman"/>
                <w:szCs w:val="21"/>
              </w:rPr>
              <w:t>X</w:t>
            </w:r>
          </w:p>
        </w:tc>
        <w:tc>
          <w:tcPr>
            <w:tcW w:w="1213" w:type="dxa"/>
            <w:tcBorders>
              <w:tl2br w:val="nil"/>
              <w:tr2bl w:val="nil"/>
            </w:tcBorders>
            <w:vAlign w:val="center"/>
          </w:tcPr>
          <w:p w14:paraId="1C186437">
            <w:pPr>
              <w:jc w:val="center"/>
              <w:rPr>
                <w:rFonts w:ascii="Times New Roman" w:hAnsi="Times New Roman" w:cs="Times New Roman"/>
                <w:szCs w:val="21"/>
              </w:rPr>
            </w:pPr>
            <w:r>
              <w:rPr>
                <w:rFonts w:ascii="Times New Roman" w:hAnsi="Times New Roman" w:cs="Times New Roman"/>
                <w:szCs w:val="21"/>
              </w:rPr>
              <w:t>Y</w:t>
            </w:r>
          </w:p>
        </w:tc>
        <w:tc>
          <w:tcPr>
            <w:tcW w:w="887" w:type="dxa"/>
            <w:vMerge w:val="continue"/>
            <w:tcBorders>
              <w:tl2br w:val="nil"/>
              <w:tr2bl w:val="nil"/>
            </w:tcBorders>
            <w:vAlign w:val="center"/>
          </w:tcPr>
          <w:p w14:paraId="0D8B2719">
            <w:pPr>
              <w:jc w:val="center"/>
              <w:rPr>
                <w:rFonts w:ascii="Times New Roman" w:hAnsi="Times New Roman" w:cs="Times New Roman"/>
                <w:szCs w:val="21"/>
              </w:rPr>
            </w:pPr>
          </w:p>
        </w:tc>
        <w:tc>
          <w:tcPr>
            <w:tcW w:w="701" w:type="dxa"/>
            <w:vMerge w:val="continue"/>
            <w:tcBorders>
              <w:tl2br w:val="nil"/>
              <w:tr2bl w:val="nil"/>
            </w:tcBorders>
            <w:vAlign w:val="center"/>
          </w:tcPr>
          <w:p w14:paraId="7E584E8D">
            <w:pPr>
              <w:jc w:val="center"/>
              <w:rPr>
                <w:rFonts w:ascii="Times New Roman" w:hAnsi="Times New Roman" w:cs="Times New Roman"/>
                <w:szCs w:val="21"/>
              </w:rPr>
            </w:pPr>
          </w:p>
        </w:tc>
        <w:tc>
          <w:tcPr>
            <w:tcW w:w="715" w:type="dxa"/>
            <w:vMerge w:val="continue"/>
            <w:tcBorders>
              <w:tl2br w:val="nil"/>
              <w:tr2bl w:val="nil"/>
            </w:tcBorders>
            <w:vAlign w:val="center"/>
          </w:tcPr>
          <w:p w14:paraId="4F9EC4CA">
            <w:pPr>
              <w:jc w:val="center"/>
              <w:rPr>
                <w:rFonts w:ascii="Times New Roman" w:hAnsi="Times New Roman" w:cs="Times New Roman"/>
                <w:szCs w:val="21"/>
              </w:rPr>
            </w:pPr>
          </w:p>
        </w:tc>
        <w:tc>
          <w:tcPr>
            <w:tcW w:w="875" w:type="dxa"/>
            <w:vMerge w:val="continue"/>
            <w:tcBorders>
              <w:tl2br w:val="nil"/>
              <w:tr2bl w:val="nil"/>
            </w:tcBorders>
            <w:vAlign w:val="center"/>
          </w:tcPr>
          <w:p w14:paraId="3CFB9284">
            <w:pPr>
              <w:jc w:val="center"/>
              <w:rPr>
                <w:rFonts w:ascii="Times New Roman" w:hAnsi="Times New Roman" w:cs="Times New Roman"/>
                <w:szCs w:val="21"/>
              </w:rPr>
            </w:pPr>
          </w:p>
        </w:tc>
        <w:tc>
          <w:tcPr>
            <w:tcW w:w="847" w:type="dxa"/>
            <w:vMerge w:val="continue"/>
            <w:tcBorders>
              <w:tl2br w:val="nil"/>
              <w:tr2bl w:val="nil"/>
            </w:tcBorders>
            <w:vAlign w:val="center"/>
          </w:tcPr>
          <w:p w14:paraId="704E6A2B">
            <w:pPr>
              <w:jc w:val="center"/>
              <w:rPr>
                <w:rFonts w:ascii="Times New Roman" w:hAnsi="Times New Roman" w:cs="Times New Roman"/>
                <w:szCs w:val="21"/>
              </w:rPr>
            </w:pPr>
          </w:p>
        </w:tc>
        <w:tc>
          <w:tcPr>
            <w:tcW w:w="795" w:type="dxa"/>
            <w:vMerge w:val="continue"/>
            <w:tcBorders>
              <w:tl2br w:val="nil"/>
              <w:tr2bl w:val="nil"/>
            </w:tcBorders>
            <w:vAlign w:val="center"/>
          </w:tcPr>
          <w:p w14:paraId="3A8028C5">
            <w:pPr>
              <w:jc w:val="center"/>
              <w:rPr>
                <w:rFonts w:ascii="Times New Roman" w:hAnsi="Times New Roman" w:cs="Times New Roman"/>
                <w:szCs w:val="21"/>
              </w:rPr>
            </w:pPr>
          </w:p>
        </w:tc>
        <w:tc>
          <w:tcPr>
            <w:tcW w:w="647" w:type="dxa"/>
            <w:vMerge w:val="continue"/>
            <w:tcBorders>
              <w:tl2br w:val="nil"/>
              <w:tr2bl w:val="nil"/>
            </w:tcBorders>
            <w:vAlign w:val="center"/>
          </w:tcPr>
          <w:p w14:paraId="5BA1D61E">
            <w:pPr>
              <w:jc w:val="center"/>
              <w:rPr>
                <w:rFonts w:ascii="Times New Roman" w:hAnsi="Times New Roman" w:cs="Times New Roman"/>
                <w:szCs w:val="21"/>
              </w:rPr>
            </w:pPr>
          </w:p>
        </w:tc>
        <w:tc>
          <w:tcPr>
            <w:tcW w:w="678" w:type="dxa"/>
            <w:tcBorders>
              <w:tl2br w:val="nil"/>
              <w:tr2bl w:val="nil"/>
            </w:tcBorders>
            <w:vAlign w:val="center"/>
          </w:tcPr>
          <w:p w14:paraId="2FF39F06">
            <w:pPr>
              <w:jc w:val="center"/>
              <w:rPr>
                <w:rFonts w:ascii="Times New Roman" w:hAnsi="Times New Roman" w:eastAsia="宋体" w:cs="Times New Roman"/>
                <w:szCs w:val="21"/>
              </w:rPr>
            </w:pPr>
            <w:r>
              <w:rPr>
                <w:rFonts w:hint="eastAsia" w:ascii="Times New Roman" w:hAnsi="Times New Roman" w:cs="Times New Roman"/>
                <w:color w:val="000000" w:themeColor="text1"/>
                <w:szCs w:val="21"/>
                <w14:textFill>
                  <w14:solidFill>
                    <w14:schemeClr w14:val="tx1"/>
                  </w14:solidFill>
                </w14:textFill>
              </w:rPr>
              <w:t>颗粒物</w:t>
            </w:r>
          </w:p>
        </w:tc>
        <w:tc>
          <w:tcPr>
            <w:tcW w:w="725" w:type="dxa"/>
            <w:tcBorders>
              <w:tl2br w:val="nil"/>
              <w:tr2bl w:val="nil"/>
            </w:tcBorders>
            <w:vAlign w:val="center"/>
          </w:tcPr>
          <w:p w14:paraId="67CD52D2">
            <w:pPr>
              <w:jc w:val="center"/>
              <w:rPr>
                <w:rFonts w:ascii="Times New Roman" w:hAnsi="Times New Roman" w:eastAsia="宋体" w:cs="Times New Roman"/>
                <w:szCs w:val="21"/>
              </w:rPr>
            </w:pPr>
            <w:r>
              <w:rPr>
                <w:rFonts w:ascii="Times New Roman" w:hAnsi="Times New Roman" w:cs="Times New Roman"/>
                <w:color w:val="000000" w:themeColor="text1"/>
                <w:szCs w:val="21"/>
                <w14:textFill>
                  <w14:solidFill>
                    <w14:schemeClr w14:val="tx1"/>
                  </w14:solidFill>
                </w14:textFill>
              </w:rPr>
              <w:t>苯</w:t>
            </w:r>
          </w:p>
        </w:tc>
        <w:tc>
          <w:tcPr>
            <w:tcW w:w="730" w:type="dxa"/>
            <w:tcBorders>
              <w:tl2br w:val="nil"/>
              <w:tr2bl w:val="nil"/>
            </w:tcBorders>
            <w:vAlign w:val="center"/>
          </w:tcPr>
          <w:p w14:paraId="02E73807">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甲苯</w:t>
            </w:r>
          </w:p>
        </w:tc>
        <w:tc>
          <w:tcPr>
            <w:tcW w:w="731" w:type="dxa"/>
            <w:tcBorders>
              <w:tl2br w:val="nil"/>
              <w:tr2bl w:val="nil"/>
            </w:tcBorders>
            <w:vAlign w:val="center"/>
          </w:tcPr>
          <w:p w14:paraId="11F351AD">
            <w:pPr>
              <w:jc w:val="center"/>
            </w:pPr>
            <w:r>
              <w:t>二甲苯</w:t>
            </w:r>
          </w:p>
        </w:tc>
        <w:tc>
          <w:tcPr>
            <w:tcW w:w="1342" w:type="dxa"/>
            <w:tcBorders>
              <w:tl2br w:val="nil"/>
              <w:tr2bl w:val="nil"/>
            </w:tcBorders>
            <w:vAlign w:val="center"/>
          </w:tcPr>
          <w:p w14:paraId="15B50429">
            <w:pPr>
              <w:jc w:val="center"/>
            </w:pPr>
            <w:r>
              <w:t>非甲烷总烃</w:t>
            </w:r>
          </w:p>
        </w:tc>
      </w:tr>
      <w:tr w14:paraId="6379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6" w:type="dxa"/>
            <w:tcBorders>
              <w:tl2br w:val="nil"/>
              <w:tr2bl w:val="nil"/>
            </w:tcBorders>
            <w:vAlign w:val="center"/>
          </w:tcPr>
          <w:p w14:paraId="59D784EC">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119" w:type="dxa"/>
            <w:tcBorders>
              <w:tl2br w:val="nil"/>
              <w:tr2bl w:val="nil"/>
            </w:tcBorders>
            <w:vAlign w:val="center"/>
          </w:tcPr>
          <w:p w14:paraId="04E250CB">
            <w:pPr>
              <w:jc w:val="center"/>
              <w:rPr>
                <w:rFonts w:ascii="Times New Roman" w:hAnsi="Times New Roman" w:eastAsia="宋体" w:cs="Times New Roman"/>
                <w:szCs w:val="21"/>
              </w:rPr>
            </w:pPr>
            <w:r>
              <w:rPr>
                <w:rFonts w:ascii="Times New Roman" w:hAnsi="Times New Roman" w:eastAsia="宋体" w:cs="Times New Roman"/>
                <w:szCs w:val="21"/>
              </w:rPr>
              <w:t>生产车间</w:t>
            </w:r>
          </w:p>
        </w:tc>
        <w:tc>
          <w:tcPr>
            <w:tcW w:w="1280" w:type="dxa"/>
            <w:tcBorders>
              <w:bottom w:val="single" w:color="auto" w:sz="4" w:space="0"/>
              <w:tl2br w:val="nil"/>
              <w:tr2bl w:val="nil"/>
            </w:tcBorders>
            <w:vAlign w:val="center"/>
          </w:tcPr>
          <w:p w14:paraId="7B1442CE">
            <w:pPr>
              <w:jc w:val="center"/>
              <w:rPr>
                <w:rFonts w:ascii="Times New Roman" w:hAnsi="Times New Roman" w:eastAsia="宋体" w:cs="Times New Roman"/>
                <w:szCs w:val="21"/>
              </w:rPr>
            </w:pPr>
            <w:r>
              <w:rPr>
                <w:rFonts w:ascii="Times New Roman" w:hAnsi="Times New Roman" w:eastAsia="宋体" w:cs="Times New Roman"/>
                <w:szCs w:val="21"/>
              </w:rPr>
              <w:t>115.138022</w:t>
            </w:r>
          </w:p>
        </w:tc>
        <w:tc>
          <w:tcPr>
            <w:tcW w:w="1213" w:type="dxa"/>
            <w:tcBorders>
              <w:bottom w:val="single" w:color="auto" w:sz="4" w:space="0"/>
              <w:tl2br w:val="nil"/>
              <w:tr2bl w:val="nil"/>
            </w:tcBorders>
            <w:vAlign w:val="center"/>
          </w:tcPr>
          <w:p w14:paraId="7C795B12">
            <w:pPr>
              <w:jc w:val="center"/>
              <w:rPr>
                <w:rFonts w:ascii="Times New Roman" w:hAnsi="Times New Roman" w:eastAsia="宋体" w:cs="Times New Roman"/>
                <w:szCs w:val="21"/>
              </w:rPr>
            </w:pPr>
            <w:r>
              <w:rPr>
                <w:rFonts w:ascii="Times New Roman" w:hAnsi="Times New Roman" w:eastAsia="宋体" w:cs="Times New Roman"/>
                <w:szCs w:val="21"/>
              </w:rPr>
              <w:t>35.876958</w:t>
            </w:r>
          </w:p>
        </w:tc>
        <w:tc>
          <w:tcPr>
            <w:tcW w:w="887" w:type="dxa"/>
            <w:tcBorders>
              <w:bottom w:val="single" w:color="auto" w:sz="4" w:space="0"/>
              <w:tl2br w:val="nil"/>
              <w:tr2bl w:val="nil"/>
            </w:tcBorders>
            <w:vAlign w:val="center"/>
          </w:tcPr>
          <w:p w14:paraId="63953EE0">
            <w:pPr>
              <w:pStyle w:val="82"/>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51</w:t>
            </w:r>
          </w:p>
        </w:tc>
        <w:tc>
          <w:tcPr>
            <w:tcW w:w="701" w:type="dxa"/>
            <w:tcBorders>
              <w:bottom w:val="single" w:color="auto" w:sz="4" w:space="0"/>
              <w:tl2br w:val="nil"/>
              <w:tr2bl w:val="nil"/>
            </w:tcBorders>
            <w:vAlign w:val="center"/>
          </w:tcPr>
          <w:p w14:paraId="4A44C519">
            <w:pPr>
              <w:jc w:val="center"/>
              <w:rPr>
                <w:rFonts w:ascii="Times New Roman" w:hAnsi="Times New Roman" w:eastAsia="宋体" w:cs="Times New Roman"/>
                <w:szCs w:val="21"/>
              </w:rPr>
            </w:pPr>
            <w:r>
              <w:rPr>
                <w:rFonts w:hint="eastAsia" w:ascii="Times New Roman" w:hAnsi="Times New Roman" w:eastAsia="宋体" w:cs="Times New Roman"/>
                <w:szCs w:val="21"/>
              </w:rPr>
              <w:t>175</w:t>
            </w:r>
          </w:p>
        </w:tc>
        <w:tc>
          <w:tcPr>
            <w:tcW w:w="715" w:type="dxa"/>
            <w:tcBorders>
              <w:bottom w:val="single" w:color="auto" w:sz="4" w:space="0"/>
              <w:tl2br w:val="nil"/>
              <w:tr2bl w:val="nil"/>
            </w:tcBorders>
            <w:vAlign w:val="center"/>
          </w:tcPr>
          <w:p w14:paraId="6B98B0E0">
            <w:pPr>
              <w:pStyle w:val="88"/>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45</w:t>
            </w:r>
          </w:p>
        </w:tc>
        <w:tc>
          <w:tcPr>
            <w:tcW w:w="875" w:type="dxa"/>
            <w:tcBorders>
              <w:tl2br w:val="nil"/>
              <w:tr2bl w:val="nil"/>
            </w:tcBorders>
            <w:vAlign w:val="center"/>
          </w:tcPr>
          <w:p w14:paraId="62218A52">
            <w:pPr>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847" w:type="dxa"/>
            <w:tcBorders>
              <w:tl2br w:val="nil"/>
              <w:tr2bl w:val="nil"/>
            </w:tcBorders>
            <w:vAlign w:val="center"/>
          </w:tcPr>
          <w:p w14:paraId="0F64EAEC">
            <w:pPr>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795" w:type="dxa"/>
            <w:tcBorders>
              <w:tl2br w:val="nil"/>
              <w:tr2bl w:val="nil"/>
            </w:tcBorders>
            <w:vAlign w:val="center"/>
          </w:tcPr>
          <w:p w14:paraId="7C9F70BB">
            <w:pPr>
              <w:jc w:val="center"/>
              <w:rPr>
                <w:rFonts w:ascii="Times New Roman" w:hAnsi="Times New Roman" w:eastAsia="宋体" w:cs="Times New Roman"/>
                <w:szCs w:val="21"/>
              </w:rPr>
            </w:pPr>
            <w:r>
              <w:rPr>
                <w:rFonts w:hint="eastAsia" w:ascii="Times New Roman" w:hAnsi="Times New Roman" w:eastAsia="宋体" w:cs="Times New Roman"/>
                <w:szCs w:val="21"/>
              </w:rPr>
              <w:t>2400</w:t>
            </w:r>
          </w:p>
        </w:tc>
        <w:tc>
          <w:tcPr>
            <w:tcW w:w="647" w:type="dxa"/>
            <w:tcBorders>
              <w:tl2br w:val="nil"/>
              <w:tr2bl w:val="nil"/>
            </w:tcBorders>
            <w:vAlign w:val="center"/>
          </w:tcPr>
          <w:p w14:paraId="58576EBA">
            <w:pPr>
              <w:jc w:val="center"/>
              <w:rPr>
                <w:rFonts w:ascii="Times New Roman" w:hAnsi="Times New Roman" w:eastAsia="宋体" w:cs="Times New Roman"/>
                <w:szCs w:val="21"/>
              </w:rPr>
            </w:pPr>
            <w:r>
              <w:rPr>
                <w:rFonts w:ascii="Times New Roman" w:hAnsi="Times New Roman" w:eastAsia="宋体" w:cs="Times New Roman"/>
                <w:szCs w:val="21"/>
              </w:rPr>
              <w:t>连续</w:t>
            </w:r>
          </w:p>
        </w:tc>
        <w:tc>
          <w:tcPr>
            <w:tcW w:w="678" w:type="dxa"/>
            <w:tcBorders>
              <w:tl2br w:val="nil"/>
              <w:tr2bl w:val="nil"/>
            </w:tcBorders>
            <w:vAlign w:val="center"/>
          </w:tcPr>
          <w:p w14:paraId="76AA365A">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1928</w:t>
            </w:r>
          </w:p>
        </w:tc>
        <w:tc>
          <w:tcPr>
            <w:tcW w:w="725" w:type="dxa"/>
            <w:tcBorders>
              <w:tl2br w:val="nil"/>
              <w:tr2bl w:val="nil"/>
            </w:tcBorders>
            <w:vAlign w:val="center"/>
          </w:tcPr>
          <w:p w14:paraId="35AB254C">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c>
          <w:tcPr>
            <w:tcW w:w="730" w:type="dxa"/>
            <w:tcBorders>
              <w:tl2br w:val="nil"/>
              <w:tr2bl w:val="nil"/>
            </w:tcBorders>
            <w:vAlign w:val="center"/>
          </w:tcPr>
          <w:p w14:paraId="51709EAA">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0.01</w:t>
            </w:r>
            <w:r>
              <w:rPr>
                <w:rFonts w:hint="eastAsia" w:ascii="Times New Roman" w:hAnsi="Times New Roman" w:eastAsia="宋体" w:cs="Times New Roman"/>
                <w:szCs w:val="21"/>
                <w:lang w:val="en-US" w:eastAsia="zh-CN"/>
              </w:rPr>
              <w:t>1</w:t>
            </w:r>
          </w:p>
        </w:tc>
        <w:tc>
          <w:tcPr>
            <w:tcW w:w="731" w:type="dxa"/>
            <w:tcBorders>
              <w:tl2br w:val="nil"/>
              <w:tr2bl w:val="nil"/>
            </w:tcBorders>
            <w:vAlign w:val="center"/>
          </w:tcPr>
          <w:p w14:paraId="7E78BFC7">
            <w:pPr>
              <w:jc w:val="center"/>
              <w:rPr>
                <w:rFonts w:ascii="Times New Roman" w:hAnsi="Times New Roman" w:eastAsia="宋体" w:cs="Times New Roman"/>
                <w:szCs w:val="21"/>
              </w:rPr>
            </w:pPr>
            <w:r>
              <w:rPr>
                <w:rFonts w:hint="eastAsia" w:ascii="Times New Roman" w:hAnsi="Times New Roman" w:eastAsia="宋体" w:cs="Times New Roman"/>
                <w:szCs w:val="21"/>
              </w:rPr>
              <w:t>0.023</w:t>
            </w:r>
          </w:p>
        </w:tc>
        <w:tc>
          <w:tcPr>
            <w:tcW w:w="1342" w:type="dxa"/>
            <w:tcBorders>
              <w:tl2br w:val="nil"/>
              <w:tr2bl w:val="nil"/>
            </w:tcBorders>
            <w:vAlign w:val="center"/>
          </w:tcPr>
          <w:p w14:paraId="52169A70">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0.19</w:t>
            </w:r>
            <w:r>
              <w:rPr>
                <w:rFonts w:hint="eastAsia" w:ascii="Times New Roman" w:hAnsi="Times New Roman" w:eastAsia="宋体" w:cs="Times New Roman"/>
                <w:szCs w:val="21"/>
                <w:lang w:val="en-US" w:eastAsia="zh-CN"/>
              </w:rPr>
              <w:t>5</w:t>
            </w:r>
          </w:p>
        </w:tc>
      </w:tr>
    </w:tbl>
    <w:p w14:paraId="478CB5C2">
      <w:pPr>
        <w:numPr>
          <w:ilvl w:val="0"/>
          <w:numId w:val="59"/>
        </w:num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szCs w:val="21"/>
        </w:rPr>
        <w:t xml:space="preserve">  </w:t>
      </w:r>
      <w:r>
        <w:rPr>
          <w:rFonts w:ascii="Times New Roman" w:hAnsi="Times New Roman" w:cs="Times New Roman"/>
          <w:b/>
          <w:bCs/>
          <w:color w:val="000000" w:themeColor="text1"/>
          <w:szCs w:val="21"/>
          <w14:textFill>
            <w14:solidFill>
              <w14:schemeClr w14:val="tx1"/>
            </w14:solidFill>
          </w14:textFill>
        </w:rPr>
        <w:t>本项目点源污染源强及计算参数一览表</w:t>
      </w:r>
    </w:p>
    <w:tbl>
      <w:tblPr>
        <w:tblStyle w:val="30"/>
        <w:tblW w:w="14014"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Layout w:type="fixed"/>
        <w:tblCellMar>
          <w:top w:w="68" w:type="dxa"/>
          <w:left w:w="28" w:type="dxa"/>
          <w:bottom w:w="68" w:type="dxa"/>
          <w:right w:w="28" w:type="dxa"/>
        </w:tblCellMar>
      </w:tblPr>
      <w:tblGrid>
        <w:gridCol w:w="665"/>
        <w:gridCol w:w="1596"/>
        <w:gridCol w:w="1100"/>
        <w:gridCol w:w="1033"/>
        <w:gridCol w:w="750"/>
        <w:gridCol w:w="650"/>
        <w:gridCol w:w="883"/>
        <w:gridCol w:w="900"/>
        <w:gridCol w:w="917"/>
        <w:gridCol w:w="800"/>
        <w:gridCol w:w="583"/>
        <w:gridCol w:w="722"/>
        <w:gridCol w:w="690"/>
        <w:gridCol w:w="656"/>
        <w:gridCol w:w="900"/>
        <w:gridCol w:w="1169"/>
      </w:tblGrid>
      <w:tr w14:paraId="5816B066">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68" w:type="dxa"/>
            <w:left w:w="28" w:type="dxa"/>
            <w:bottom w:w="68" w:type="dxa"/>
            <w:right w:w="28" w:type="dxa"/>
          </w:tblCellMar>
        </w:tblPrEx>
        <w:trPr>
          <w:trHeight w:val="283" w:hRule="atLeast"/>
          <w:jc w:val="center"/>
        </w:trPr>
        <w:tc>
          <w:tcPr>
            <w:tcW w:w="665" w:type="dxa"/>
            <w:vMerge w:val="restart"/>
            <w:tcBorders>
              <w:tl2br w:val="nil"/>
              <w:tr2bl w:val="nil"/>
            </w:tcBorders>
            <w:tcMar>
              <w:top w:w="85" w:type="dxa"/>
              <w:left w:w="28" w:type="dxa"/>
              <w:bottom w:w="85" w:type="dxa"/>
              <w:right w:w="28" w:type="dxa"/>
            </w:tcMar>
            <w:vAlign w:val="center"/>
          </w:tcPr>
          <w:p w14:paraId="3F63D2B6">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编号</w:t>
            </w:r>
          </w:p>
        </w:tc>
        <w:tc>
          <w:tcPr>
            <w:tcW w:w="1596" w:type="dxa"/>
            <w:vMerge w:val="restart"/>
            <w:tcBorders>
              <w:tl2br w:val="nil"/>
              <w:tr2bl w:val="nil"/>
            </w:tcBorders>
            <w:tcMar>
              <w:top w:w="85" w:type="dxa"/>
              <w:left w:w="28" w:type="dxa"/>
              <w:bottom w:w="85" w:type="dxa"/>
              <w:right w:w="28" w:type="dxa"/>
            </w:tcMar>
            <w:vAlign w:val="center"/>
          </w:tcPr>
          <w:p w14:paraId="24AE61D8">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名称</w:t>
            </w:r>
          </w:p>
        </w:tc>
        <w:tc>
          <w:tcPr>
            <w:tcW w:w="2133" w:type="dxa"/>
            <w:gridSpan w:val="2"/>
            <w:vMerge w:val="restart"/>
            <w:tcBorders>
              <w:tl2br w:val="nil"/>
              <w:tr2bl w:val="nil"/>
            </w:tcBorders>
            <w:tcMar>
              <w:top w:w="85" w:type="dxa"/>
              <w:left w:w="28" w:type="dxa"/>
              <w:bottom w:w="85" w:type="dxa"/>
              <w:right w:w="28" w:type="dxa"/>
            </w:tcMar>
            <w:vAlign w:val="center"/>
          </w:tcPr>
          <w:p w14:paraId="2897B738">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排气筒底部中心坐标/m</w:t>
            </w:r>
          </w:p>
        </w:tc>
        <w:tc>
          <w:tcPr>
            <w:tcW w:w="750" w:type="dxa"/>
            <w:vMerge w:val="restart"/>
            <w:tcBorders>
              <w:tl2br w:val="nil"/>
              <w:tr2bl w:val="nil"/>
            </w:tcBorders>
            <w:tcMar>
              <w:top w:w="85" w:type="dxa"/>
              <w:left w:w="28" w:type="dxa"/>
              <w:bottom w:w="85" w:type="dxa"/>
              <w:right w:w="28" w:type="dxa"/>
            </w:tcMar>
            <w:vAlign w:val="center"/>
          </w:tcPr>
          <w:p w14:paraId="574C69E2">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排气筒底部海拔高度/m</w:t>
            </w:r>
          </w:p>
        </w:tc>
        <w:tc>
          <w:tcPr>
            <w:tcW w:w="650" w:type="dxa"/>
            <w:vMerge w:val="restart"/>
            <w:tcBorders>
              <w:tl2br w:val="nil"/>
              <w:tr2bl w:val="nil"/>
            </w:tcBorders>
            <w:tcMar>
              <w:top w:w="85" w:type="dxa"/>
              <w:left w:w="28" w:type="dxa"/>
              <w:bottom w:w="85" w:type="dxa"/>
              <w:right w:w="28" w:type="dxa"/>
            </w:tcMar>
            <w:vAlign w:val="center"/>
          </w:tcPr>
          <w:p w14:paraId="57DC928D">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排气筒高度</w:t>
            </w:r>
            <w:r>
              <w:rPr>
                <w:rFonts w:hint="eastAsia" w:ascii="Times New Roman" w:hAnsi="Times New Roman" w:cs="Times New Roman"/>
                <w:color w:val="000000" w:themeColor="text1"/>
                <w:szCs w:val="21"/>
                <w14:textFill>
                  <w14:solidFill>
                    <w14:schemeClr w14:val="tx1"/>
                  </w14:solidFill>
                </w14:textFill>
              </w:rPr>
              <w:t>/m</w:t>
            </w:r>
          </w:p>
        </w:tc>
        <w:tc>
          <w:tcPr>
            <w:tcW w:w="883" w:type="dxa"/>
            <w:vMerge w:val="restart"/>
            <w:tcBorders>
              <w:tl2br w:val="nil"/>
              <w:tr2bl w:val="nil"/>
            </w:tcBorders>
            <w:tcMar>
              <w:top w:w="85" w:type="dxa"/>
              <w:left w:w="28" w:type="dxa"/>
              <w:bottom w:w="85" w:type="dxa"/>
              <w:right w:w="28" w:type="dxa"/>
            </w:tcMar>
            <w:vAlign w:val="center"/>
          </w:tcPr>
          <w:p w14:paraId="1D709501">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排气筒</w:t>
            </w:r>
            <w:r>
              <w:rPr>
                <w:rFonts w:hint="eastAsia" w:ascii="Times New Roman" w:hAnsi="Times New Roman" w:cs="Times New Roman"/>
                <w:color w:val="000000" w:themeColor="text1"/>
                <w:szCs w:val="21"/>
                <w14:textFill>
                  <w14:solidFill>
                    <w14:schemeClr w14:val="tx1"/>
                  </w14:solidFill>
                </w14:textFill>
              </w:rPr>
              <w:t>出口</w:t>
            </w:r>
            <w:r>
              <w:rPr>
                <w:rFonts w:ascii="Times New Roman" w:hAnsi="Times New Roman" w:cs="Times New Roman"/>
                <w:color w:val="000000" w:themeColor="text1"/>
                <w:szCs w:val="21"/>
                <w14:textFill>
                  <w14:solidFill>
                    <w14:schemeClr w14:val="tx1"/>
                  </w14:solidFill>
                </w14:textFill>
              </w:rPr>
              <w:t>内径</w:t>
            </w:r>
            <w:r>
              <w:rPr>
                <w:rFonts w:hint="eastAsia" w:ascii="Times New Roman" w:hAnsi="Times New Roman" w:cs="Times New Roman"/>
                <w:color w:val="000000" w:themeColor="text1"/>
                <w:szCs w:val="21"/>
                <w14:textFill>
                  <w14:solidFill>
                    <w14:schemeClr w14:val="tx1"/>
                  </w14:solidFill>
                </w14:textFill>
              </w:rPr>
              <w:t>/m</w:t>
            </w:r>
          </w:p>
        </w:tc>
        <w:tc>
          <w:tcPr>
            <w:tcW w:w="900" w:type="dxa"/>
            <w:vMerge w:val="restart"/>
            <w:tcBorders>
              <w:tl2br w:val="nil"/>
              <w:tr2bl w:val="nil"/>
            </w:tcBorders>
            <w:tcMar>
              <w:top w:w="85" w:type="dxa"/>
              <w:left w:w="28" w:type="dxa"/>
              <w:bottom w:w="85" w:type="dxa"/>
              <w:right w:w="28" w:type="dxa"/>
            </w:tcMar>
            <w:vAlign w:val="center"/>
          </w:tcPr>
          <w:p w14:paraId="2CD358DB">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烟气流速/（m/s）</w:t>
            </w:r>
          </w:p>
        </w:tc>
        <w:tc>
          <w:tcPr>
            <w:tcW w:w="917" w:type="dxa"/>
            <w:vMerge w:val="restart"/>
            <w:tcBorders>
              <w:tl2br w:val="nil"/>
              <w:tr2bl w:val="nil"/>
            </w:tcBorders>
            <w:tcMar>
              <w:top w:w="85" w:type="dxa"/>
              <w:left w:w="28" w:type="dxa"/>
              <w:bottom w:w="85" w:type="dxa"/>
              <w:right w:w="28" w:type="dxa"/>
            </w:tcMar>
            <w:vAlign w:val="center"/>
          </w:tcPr>
          <w:p w14:paraId="53D84156">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烟气温度</w:t>
            </w:r>
            <w:r>
              <w:rPr>
                <w:rFonts w:hint="eastAsia" w:ascii="Times New Roman" w:hAnsi="Times New Roman" w:cs="Times New Roman"/>
                <w:color w:val="000000" w:themeColor="text1"/>
                <w:szCs w:val="21"/>
                <w14:textFill>
                  <w14:solidFill>
                    <w14:schemeClr w14:val="tx1"/>
                  </w14:solidFill>
                </w14:textFill>
              </w:rPr>
              <w:t>/℃</w:t>
            </w:r>
          </w:p>
        </w:tc>
        <w:tc>
          <w:tcPr>
            <w:tcW w:w="800" w:type="dxa"/>
            <w:vMerge w:val="restart"/>
            <w:tcBorders>
              <w:tl2br w:val="nil"/>
              <w:tr2bl w:val="nil"/>
            </w:tcBorders>
            <w:tcMar>
              <w:top w:w="85" w:type="dxa"/>
              <w:left w:w="28" w:type="dxa"/>
              <w:bottom w:w="85" w:type="dxa"/>
              <w:right w:w="28" w:type="dxa"/>
            </w:tcMar>
            <w:vAlign w:val="center"/>
          </w:tcPr>
          <w:p w14:paraId="7DCEA34C">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年排放小时数</w:t>
            </w:r>
            <w:r>
              <w:rPr>
                <w:rFonts w:hint="eastAsia" w:ascii="Times New Roman" w:hAnsi="Times New Roman" w:cs="Times New Roman"/>
                <w:color w:val="000000" w:themeColor="text1"/>
                <w:szCs w:val="21"/>
                <w14:textFill>
                  <w14:solidFill>
                    <w14:schemeClr w14:val="tx1"/>
                  </w14:solidFill>
                </w14:textFill>
              </w:rPr>
              <w:t>/h</w:t>
            </w:r>
          </w:p>
        </w:tc>
        <w:tc>
          <w:tcPr>
            <w:tcW w:w="583" w:type="dxa"/>
            <w:vMerge w:val="restart"/>
            <w:tcBorders>
              <w:tl2br w:val="nil"/>
              <w:tr2bl w:val="nil"/>
            </w:tcBorders>
            <w:tcMar>
              <w:top w:w="85" w:type="dxa"/>
              <w:left w:w="28" w:type="dxa"/>
              <w:bottom w:w="85" w:type="dxa"/>
              <w:right w:w="28" w:type="dxa"/>
            </w:tcMar>
            <w:vAlign w:val="center"/>
          </w:tcPr>
          <w:p w14:paraId="17EB215F">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排放工况</w:t>
            </w:r>
          </w:p>
        </w:tc>
        <w:tc>
          <w:tcPr>
            <w:tcW w:w="4137" w:type="dxa"/>
            <w:gridSpan w:val="5"/>
            <w:tcBorders>
              <w:tl2br w:val="nil"/>
              <w:tr2bl w:val="nil"/>
            </w:tcBorders>
            <w:tcMar>
              <w:top w:w="85" w:type="dxa"/>
              <w:left w:w="28" w:type="dxa"/>
              <w:bottom w:w="85" w:type="dxa"/>
              <w:right w:w="28" w:type="dxa"/>
            </w:tcMar>
            <w:vAlign w:val="center"/>
          </w:tcPr>
          <w:p w14:paraId="5EE8ECA0">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污染物排放速率/（kg/h）</w:t>
            </w:r>
          </w:p>
        </w:tc>
      </w:tr>
      <w:tr w14:paraId="75D64BE3">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68" w:type="dxa"/>
            <w:left w:w="28" w:type="dxa"/>
            <w:bottom w:w="68" w:type="dxa"/>
            <w:right w:w="28" w:type="dxa"/>
          </w:tblCellMar>
        </w:tblPrEx>
        <w:trPr>
          <w:trHeight w:val="312" w:hRule="atLeast"/>
          <w:jc w:val="center"/>
        </w:trPr>
        <w:tc>
          <w:tcPr>
            <w:tcW w:w="665" w:type="dxa"/>
            <w:vMerge w:val="continue"/>
            <w:tcBorders>
              <w:tl2br w:val="nil"/>
              <w:tr2bl w:val="nil"/>
            </w:tcBorders>
            <w:vAlign w:val="center"/>
          </w:tcPr>
          <w:p w14:paraId="4CCDF4F9">
            <w:pPr>
              <w:jc w:val="center"/>
              <w:rPr>
                <w:rFonts w:ascii="Times New Roman" w:hAnsi="Times New Roman" w:cs="Times New Roman"/>
                <w:color w:val="000000" w:themeColor="text1"/>
                <w:szCs w:val="21"/>
                <w14:textFill>
                  <w14:solidFill>
                    <w14:schemeClr w14:val="tx1"/>
                  </w14:solidFill>
                </w14:textFill>
              </w:rPr>
            </w:pPr>
          </w:p>
        </w:tc>
        <w:tc>
          <w:tcPr>
            <w:tcW w:w="1596" w:type="dxa"/>
            <w:vMerge w:val="continue"/>
            <w:tcBorders>
              <w:tl2br w:val="nil"/>
              <w:tr2bl w:val="nil"/>
            </w:tcBorders>
            <w:vAlign w:val="center"/>
          </w:tcPr>
          <w:p w14:paraId="0CB4AA13">
            <w:pPr>
              <w:jc w:val="center"/>
              <w:rPr>
                <w:rFonts w:ascii="Times New Roman" w:hAnsi="Times New Roman" w:cs="Times New Roman"/>
                <w:color w:val="000000" w:themeColor="text1"/>
                <w:szCs w:val="21"/>
                <w14:textFill>
                  <w14:solidFill>
                    <w14:schemeClr w14:val="tx1"/>
                  </w14:solidFill>
                </w14:textFill>
              </w:rPr>
            </w:pPr>
          </w:p>
        </w:tc>
        <w:tc>
          <w:tcPr>
            <w:tcW w:w="2133" w:type="dxa"/>
            <w:gridSpan w:val="2"/>
            <w:vMerge w:val="continue"/>
            <w:tcBorders>
              <w:bottom w:val="single" w:color="000000" w:sz="4" w:space="0"/>
              <w:tl2br w:val="nil"/>
              <w:tr2bl w:val="nil"/>
            </w:tcBorders>
            <w:vAlign w:val="center"/>
          </w:tcPr>
          <w:p w14:paraId="6132870E">
            <w:pPr>
              <w:jc w:val="center"/>
              <w:rPr>
                <w:rFonts w:ascii="Times New Roman" w:hAnsi="Times New Roman" w:cs="Times New Roman"/>
                <w:color w:val="000000" w:themeColor="text1"/>
                <w:szCs w:val="21"/>
                <w14:textFill>
                  <w14:solidFill>
                    <w14:schemeClr w14:val="tx1"/>
                  </w14:solidFill>
                </w14:textFill>
              </w:rPr>
            </w:pPr>
          </w:p>
        </w:tc>
        <w:tc>
          <w:tcPr>
            <w:tcW w:w="750" w:type="dxa"/>
            <w:vMerge w:val="continue"/>
            <w:tcBorders>
              <w:tl2br w:val="nil"/>
              <w:tr2bl w:val="nil"/>
            </w:tcBorders>
            <w:vAlign w:val="center"/>
          </w:tcPr>
          <w:p w14:paraId="03780D16">
            <w:pPr>
              <w:jc w:val="center"/>
              <w:rPr>
                <w:rFonts w:ascii="Times New Roman" w:hAnsi="Times New Roman" w:cs="Times New Roman"/>
                <w:color w:val="000000" w:themeColor="text1"/>
                <w:szCs w:val="21"/>
                <w14:textFill>
                  <w14:solidFill>
                    <w14:schemeClr w14:val="tx1"/>
                  </w14:solidFill>
                </w14:textFill>
              </w:rPr>
            </w:pPr>
          </w:p>
        </w:tc>
        <w:tc>
          <w:tcPr>
            <w:tcW w:w="650" w:type="dxa"/>
            <w:vMerge w:val="continue"/>
            <w:tcBorders>
              <w:tl2br w:val="nil"/>
              <w:tr2bl w:val="nil"/>
            </w:tcBorders>
            <w:vAlign w:val="center"/>
          </w:tcPr>
          <w:p w14:paraId="0FCCEDE5">
            <w:pPr>
              <w:jc w:val="center"/>
              <w:rPr>
                <w:rFonts w:ascii="Times New Roman" w:hAnsi="Times New Roman" w:cs="Times New Roman"/>
                <w:color w:val="000000" w:themeColor="text1"/>
                <w:szCs w:val="21"/>
                <w14:textFill>
                  <w14:solidFill>
                    <w14:schemeClr w14:val="tx1"/>
                  </w14:solidFill>
                </w14:textFill>
              </w:rPr>
            </w:pPr>
          </w:p>
        </w:tc>
        <w:tc>
          <w:tcPr>
            <w:tcW w:w="883" w:type="dxa"/>
            <w:vMerge w:val="continue"/>
            <w:tcBorders>
              <w:tl2br w:val="nil"/>
              <w:tr2bl w:val="nil"/>
            </w:tcBorders>
            <w:vAlign w:val="center"/>
          </w:tcPr>
          <w:p w14:paraId="0524B1E6">
            <w:pPr>
              <w:jc w:val="center"/>
              <w:rPr>
                <w:rFonts w:ascii="Times New Roman" w:hAnsi="Times New Roman" w:cs="Times New Roman"/>
                <w:color w:val="000000" w:themeColor="text1"/>
                <w:szCs w:val="21"/>
                <w14:textFill>
                  <w14:solidFill>
                    <w14:schemeClr w14:val="tx1"/>
                  </w14:solidFill>
                </w14:textFill>
              </w:rPr>
            </w:pPr>
          </w:p>
        </w:tc>
        <w:tc>
          <w:tcPr>
            <w:tcW w:w="900" w:type="dxa"/>
            <w:vMerge w:val="continue"/>
            <w:tcBorders>
              <w:tl2br w:val="nil"/>
              <w:tr2bl w:val="nil"/>
            </w:tcBorders>
            <w:vAlign w:val="center"/>
          </w:tcPr>
          <w:p w14:paraId="581B8734">
            <w:pPr>
              <w:jc w:val="center"/>
              <w:rPr>
                <w:rFonts w:ascii="Times New Roman" w:hAnsi="Times New Roman" w:cs="Times New Roman"/>
                <w:color w:val="000000" w:themeColor="text1"/>
                <w:szCs w:val="21"/>
                <w14:textFill>
                  <w14:solidFill>
                    <w14:schemeClr w14:val="tx1"/>
                  </w14:solidFill>
                </w14:textFill>
              </w:rPr>
            </w:pPr>
          </w:p>
        </w:tc>
        <w:tc>
          <w:tcPr>
            <w:tcW w:w="917" w:type="dxa"/>
            <w:vMerge w:val="continue"/>
            <w:tcBorders>
              <w:tl2br w:val="nil"/>
              <w:tr2bl w:val="nil"/>
            </w:tcBorders>
            <w:vAlign w:val="center"/>
          </w:tcPr>
          <w:p w14:paraId="34F90536">
            <w:pPr>
              <w:jc w:val="center"/>
              <w:rPr>
                <w:rFonts w:ascii="Times New Roman" w:hAnsi="Times New Roman" w:cs="Times New Roman"/>
                <w:color w:val="000000" w:themeColor="text1"/>
                <w:szCs w:val="21"/>
                <w14:textFill>
                  <w14:solidFill>
                    <w14:schemeClr w14:val="tx1"/>
                  </w14:solidFill>
                </w14:textFill>
              </w:rPr>
            </w:pPr>
          </w:p>
        </w:tc>
        <w:tc>
          <w:tcPr>
            <w:tcW w:w="800" w:type="dxa"/>
            <w:vMerge w:val="continue"/>
            <w:tcBorders>
              <w:tl2br w:val="nil"/>
              <w:tr2bl w:val="nil"/>
            </w:tcBorders>
            <w:vAlign w:val="center"/>
          </w:tcPr>
          <w:p w14:paraId="034CC0C4">
            <w:pPr>
              <w:jc w:val="center"/>
              <w:rPr>
                <w:rFonts w:ascii="Times New Roman" w:hAnsi="Times New Roman" w:cs="Times New Roman"/>
                <w:color w:val="000000" w:themeColor="text1"/>
                <w:szCs w:val="21"/>
                <w14:textFill>
                  <w14:solidFill>
                    <w14:schemeClr w14:val="tx1"/>
                  </w14:solidFill>
                </w14:textFill>
              </w:rPr>
            </w:pPr>
          </w:p>
        </w:tc>
        <w:tc>
          <w:tcPr>
            <w:tcW w:w="583" w:type="dxa"/>
            <w:vMerge w:val="continue"/>
            <w:tcBorders>
              <w:tl2br w:val="nil"/>
              <w:tr2bl w:val="nil"/>
            </w:tcBorders>
            <w:vAlign w:val="center"/>
          </w:tcPr>
          <w:p w14:paraId="4F869B5B">
            <w:pPr>
              <w:jc w:val="center"/>
              <w:rPr>
                <w:rFonts w:ascii="Times New Roman" w:hAnsi="Times New Roman" w:cs="Times New Roman"/>
                <w:color w:val="000000" w:themeColor="text1"/>
                <w:szCs w:val="21"/>
                <w14:textFill>
                  <w14:solidFill>
                    <w14:schemeClr w14:val="tx1"/>
                  </w14:solidFill>
                </w14:textFill>
              </w:rPr>
            </w:pPr>
          </w:p>
        </w:tc>
        <w:tc>
          <w:tcPr>
            <w:tcW w:w="722" w:type="dxa"/>
            <w:vMerge w:val="restart"/>
            <w:tcBorders>
              <w:tl2br w:val="nil"/>
              <w:tr2bl w:val="nil"/>
            </w:tcBorders>
            <w:tcMar>
              <w:top w:w="85" w:type="dxa"/>
              <w:left w:w="28" w:type="dxa"/>
              <w:bottom w:w="85" w:type="dxa"/>
              <w:right w:w="28" w:type="dxa"/>
            </w:tcMar>
            <w:vAlign w:val="center"/>
          </w:tcPr>
          <w:p w14:paraId="2B197455">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颗粒物</w:t>
            </w:r>
          </w:p>
        </w:tc>
        <w:tc>
          <w:tcPr>
            <w:tcW w:w="690" w:type="dxa"/>
            <w:vMerge w:val="restart"/>
            <w:tcBorders>
              <w:right w:val="single" w:color="auto" w:sz="4" w:space="0"/>
              <w:tl2br w:val="nil"/>
              <w:tr2bl w:val="nil"/>
            </w:tcBorders>
            <w:tcMar>
              <w:top w:w="85" w:type="dxa"/>
              <w:left w:w="28" w:type="dxa"/>
              <w:bottom w:w="85" w:type="dxa"/>
              <w:right w:w="28" w:type="dxa"/>
            </w:tcMar>
            <w:vAlign w:val="center"/>
          </w:tcPr>
          <w:p w14:paraId="081589D9">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苯</w:t>
            </w:r>
          </w:p>
        </w:tc>
        <w:tc>
          <w:tcPr>
            <w:tcW w:w="656" w:type="dxa"/>
            <w:vMerge w:val="restart"/>
            <w:tcBorders>
              <w:left w:val="single" w:color="auto" w:sz="4" w:space="0"/>
              <w:tl2br w:val="nil"/>
              <w:tr2bl w:val="nil"/>
            </w:tcBorders>
            <w:tcMar>
              <w:top w:w="85" w:type="dxa"/>
              <w:left w:w="28" w:type="dxa"/>
              <w:bottom w:w="85" w:type="dxa"/>
              <w:right w:w="28" w:type="dxa"/>
            </w:tcMar>
            <w:vAlign w:val="center"/>
          </w:tcPr>
          <w:p w14:paraId="2B390E05">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甲苯</w:t>
            </w:r>
          </w:p>
        </w:tc>
        <w:tc>
          <w:tcPr>
            <w:tcW w:w="900" w:type="dxa"/>
            <w:vMerge w:val="restart"/>
            <w:tcBorders>
              <w:tl2br w:val="nil"/>
              <w:tr2bl w:val="nil"/>
            </w:tcBorders>
            <w:tcMar>
              <w:top w:w="85" w:type="dxa"/>
              <w:left w:w="28" w:type="dxa"/>
              <w:bottom w:w="85" w:type="dxa"/>
              <w:right w:w="28" w:type="dxa"/>
            </w:tcMar>
            <w:vAlign w:val="center"/>
          </w:tcPr>
          <w:p w14:paraId="379619F3">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二甲苯</w:t>
            </w:r>
          </w:p>
        </w:tc>
        <w:tc>
          <w:tcPr>
            <w:tcW w:w="1169" w:type="dxa"/>
            <w:vMerge w:val="restart"/>
            <w:tcBorders>
              <w:tl2br w:val="nil"/>
              <w:tr2bl w:val="nil"/>
            </w:tcBorders>
            <w:tcMar>
              <w:top w:w="85" w:type="dxa"/>
              <w:left w:w="28" w:type="dxa"/>
              <w:bottom w:w="85" w:type="dxa"/>
              <w:right w:w="28" w:type="dxa"/>
            </w:tcMar>
            <w:vAlign w:val="center"/>
          </w:tcPr>
          <w:p w14:paraId="14092A89">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非甲烷总烃</w:t>
            </w:r>
          </w:p>
        </w:tc>
      </w:tr>
      <w:tr w14:paraId="0549F208">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68" w:type="dxa"/>
            <w:left w:w="28" w:type="dxa"/>
            <w:bottom w:w="68" w:type="dxa"/>
            <w:right w:w="28" w:type="dxa"/>
          </w:tblCellMar>
        </w:tblPrEx>
        <w:trPr>
          <w:trHeight w:val="90" w:hRule="atLeast"/>
          <w:jc w:val="center"/>
        </w:trPr>
        <w:tc>
          <w:tcPr>
            <w:tcW w:w="665" w:type="dxa"/>
            <w:vMerge w:val="continue"/>
            <w:tcBorders>
              <w:tl2br w:val="nil"/>
              <w:tr2bl w:val="nil"/>
            </w:tcBorders>
            <w:vAlign w:val="center"/>
          </w:tcPr>
          <w:p w14:paraId="563DC32B">
            <w:pPr>
              <w:jc w:val="center"/>
              <w:rPr>
                <w:rFonts w:ascii="Times New Roman" w:hAnsi="Times New Roman" w:cs="Times New Roman"/>
                <w:color w:val="000000" w:themeColor="text1"/>
                <w:szCs w:val="21"/>
                <w14:textFill>
                  <w14:solidFill>
                    <w14:schemeClr w14:val="tx1"/>
                  </w14:solidFill>
                </w14:textFill>
              </w:rPr>
            </w:pPr>
          </w:p>
        </w:tc>
        <w:tc>
          <w:tcPr>
            <w:tcW w:w="1596" w:type="dxa"/>
            <w:vMerge w:val="continue"/>
            <w:tcBorders>
              <w:tl2br w:val="nil"/>
              <w:tr2bl w:val="nil"/>
            </w:tcBorders>
            <w:vAlign w:val="center"/>
          </w:tcPr>
          <w:p w14:paraId="1934B2C8">
            <w:pPr>
              <w:jc w:val="center"/>
              <w:rPr>
                <w:rFonts w:ascii="Times New Roman" w:hAnsi="Times New Roman" w:cs="Times New Roman"/>
                <w:color w:val="000000" w:themeColor="text1"/>
                <w:szCs w:val="21"/>
                <w14:textFill>
                  <w14:solidFill>
                    <w14:schemeClr w14:val="tx1"/>
                  </w14:solidFill>
                </w14:textFill>
              </w:rPr>
            </w:pPr>
          </w:p>
        </w:tc>
        <w:tc>
          <w:tcPr>
            <w:tcW w:w="1100" w:type="dxa"/>
            <w:tcBorders>
              <w:top w:val="single" w:color="000000" w:sz="4" w:space="0"/>
              <w:tl2br w:val="nil"/>
              <w:tr2bl w:val="nil"/>
            </w:tcBorders>
            <w:vAlign w:val="center"/>
          </w:tcPr>
          <w:p w14:paraId="14FB908B">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X</w:t>
            </w:r>
          </w:p>
        </w:tc>
        <w:tc>
          <w:tcPr>
            <w:tcW w:w="1033" w:type="dxa"/>
            <w:tcBorders>
              <w:top w:val="single" w:color="000000" w:sz="4" w:space="0"/>
              <w:tl2br w:val="nil"/>
              <w:tr2bl w:val="nil"/>
            </w:tcBorders>
            <w:vAlign w:val="center"/>
          </w:tcPr>
          <w:p w14:paraId="68E57C4F">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Y</w:t>
            </w:r>
          </w:p>
        </w:tc>
        <w:tc>
          <w:tcPr>
            <w:tcW w:w="750" w:type="dxa"/>
            <w:vMerge w:val="continue"/>
            <w:tcBorders>
              <w:tl2br w:val="nil"/>
              <w:tr2bl w:val="nil"/>
            </w:tcBorders>
            <w:vAlign w:val="center"/>
          </w:tcPr>
          <w:p w14:paraId="6E06488C">
            <w:pPr>
              <w:jc w:val="center"/>
              <w:rPr>
                <w:rFonts w:ascii="Times New Roman" w:hAnsi="Times New Roman" w:cs="Times New Roman"/>
                <w:color w:val="000000" w:themeColor="text1"/>
                <w:szCs w:val="21"/>
                <w14:textFill>
                  <w14:solidFill>
                    <w14:schemeClr w14:val="tx1"/>
                  </w14:solidFill>
                </w14:textFill>
              </w:rPr>
            </w:pPr>
          </w:p>
        </w:tc>
        <w:tc>
          <w:tcPr>
            <w:tcW w:w="650" w:type="dxa"/>
            <w:vMerge w:val="continue"/>
            <w:tcBorders>
              <w:tl2br w:val="nil"/>
              <w:tr2bl w:val="nil"/>
            </w:tcBorders>
            <w:vAlign w:val="center"/>
          </w:tcPr>
          <w:p w14:paraId="7091098B">
            <w:pPr>
              <w:jc w:val="center"/>
              <w:rPr>
                <w:rFonts w:ascii="Times New Roman" w:hAnsi="Times New Roman" w:cs="Times New Roman"/>
                <w:color w:val="000000" w:themeColor="text1"/>
                <w:szCs w:val="21"/>
                <w14:textFill>
                  <w14:solidFill>
                    <w14:schemeClr w14:val="tx1"/>
                  </w14:solidFill>
                </w14:textFill>
              </w:rPr>
            </w:pPr>
          </w:p>
        </w:tc>
        <w:tc>
          <w:tcPr>
            <w:tcW w:w="883" w:type="dxa"/>
            <w:vMerge w:val="continue"/>
            <w:tcBorders>
              <w:tl2br w:val="nil"/>
              <w:tr2bl w:val="nil"/>
            </w:tcBorders>
            <w:vAlign w:val="center"/>
          </w:tcPr>
          <w:p w14:paraId="5A81C364">
            <w:pPr>
              <w:jc w:val="center"/>
              <w:rPr>
                <w:rFonts w:ascii="Times New Roman" w:hAnsi="Times New Roman" w:cs="Times New Roman"/>
                <w:color w:val="000000" w:themeColor="text1"/>
                <w:szCs w:val="21"/>
                <w14:textFill>
                  <w14:solidFill>
                    <w14:schemeClr w14:val="tx1"/>
                  </w14:solidFill>
                </w14:textFill>
              </w:rPr>
            </w:pPr>
          </w:p>
        </w:tc>
        <w:tc>
          <w:tcPr>
            <w:tcW w:w="900" w:type="dxa"/>
            <w:vMerge w:val="continue"/>
            <w:tcBorders>
              <w:tl2br w:val="nil"/>
              <w:tr2bl w:val="nil"/>
            </w:tcBorders>
            <w:vAlign w:val="center"/>
          </w:tcPr>
          <w:p w14:paraId="2F0987D5">
            <w:pPr>
              <w:jc w:val="center"/>
              <w:rPr>
                <w:rFonts w:ascii="Times New Roman" w:hAnsi="Times New Roman" w:cs="Times New Roman"/>
                <w:color w:val="000000" w:themeColor="text1"/>
                <w:szCs w:val="21"/>
                <w14:textFill>
                  <w14:solidFill>
                    <w14:schemeClr w14:val="tx1"/>
                  </w14:solidFill>
                </w14:textFill>
              </w:rPr>
            </w:pPr>
          </w:p>
        </w:tc>
        <w:tc>
          <w:tcPr>
            <w:tcW w:w="917" w:type="dxa"/>
            <w:vMerge w:val="continue"/>
            <w:tcBorders>
              <w:tl2br w:val="nil"/>
              <w:tr2bl w:val="nil"/>
            </w:tcBorders>
            <w:vAlign w:val="center"/>
          </w:tcPr>
          <w:p w14:paraId="0CD74A2A">
            <w:pPr>
              <w:jc w:val="center"/>
              <w:rPr>
                <w:rFonts w:ascii="Times New Roman" w:hAnsi="Times New Roman" w:cs="Times New Roman"/>
                <w:color w:val="000000" w:themeColor="text1"/>
                <w:szCs w:val="21"/>
                <w14:textFill>
                  <w14:solidFill>
                    <w14:schemeClr w14:val="tx1"/>
                  </w14:solidFill>
                </w14:textFill>
              </w:rPr>
            </w:pPr>
          </w:p>
        </w:tc>
        <w:tc>
          <w:tcPr>
            <w:tcW w:w="800" w:type="dxa"/>
            <w:vMerge w:val="continue"/>
            <w:tcBorders>
              <w:tl2br w:val="nil"/>
              <w:tr2bl w:val="nil"/>
            </w:tcBorders>
            <w:vAlign w:val="center"/>
          </w:tcPr>
          <w:p w14:paraId="641496AF">
            <w:pPr>
              <w:jc w:val="center"/>
              <w:rPr>
                <w:rFonts w:ascii="Times New Roman" w:hAnsi="Times New Roman" w:cs="Times New Roman"/>
                <w:color w:val="000000" w:themeColor="text1"/>
                <w:szCs w:val="21"/>
                <w14:textFill>
                  <w14:solidFill>
                    <w14:schemeClr w14:val="tx1"/>
                  </w14:solidFill>
                </w14:textFill>
              </w:rPr>
            </w:pPr>
          </w:p>
        </w:tc>
        <w:tc>
          <w:tcPr>
            <w:tcW w:w="583" w:type="dxa"/>
            <w:vMerge w:val="continue"/>
            <w:tcBorders>
              <w:tl2br w:val="nil"/>
              <w:tr2bl w:val="nil"/>
            </w:tcBorders>
            <w:vAlign w:val="center"/>
          </w:tcPr>
          <w:p w14:paraId="5D89720C">
            <w:pPr>
              <w:jc w:val="center"/>
              <w:rPr>
                <w:rFonts w:ascii="Times New Roman" w:hAnsi="Times New Roman" w:cs="Times New Roman"/>
                <w:color w:val="000000" w:themeColor="text1"/>
                <w:szCs w:val="21"/>
                <w14:textFill>
                  <w14:solidFill>
                    <w14:schemeClr w14:val="tx1"/>
                  </w14:solidFill>
                </w14:textFill>
              </w:rPr>
            </w:pPr>
          </w:p>
        </w:tc>
        <w:tc>
          <w:tcPr>
            <w:tcW w:w="722" w:type="dxa"/>
            <w:vMerge w:val="continue"/>
            <w:tcBorders>
              <w:tl2br w:val="nil"/>
              <w:tr2bl w:val="nil"/>
            </w:tcBorders>
            <w:tcMar>
              <w:top w:w="85" w:type="dxa"/>
              <w:left w:w="28" w:type="dxa"/>
              <w:bottom w:w="85" w:type="dxa"/>
              <w:right w:w="28" w:type="dxa"/>
            </w:tcMar>
            <w:vAlign w:val="center"/>
          </w:tcPr>
          <w:p w14:paraId="246E12D3">
            <w:pPr>
              <w:jc w:val="center"/>
              <w:rPr>
                <w:rFonts w:ascii="Times New Roman" w:hAnsi="Times New Roman" w:cs="Times New Roman"/>
                <w:color w:val="000000" w:themeColor="text1"/>
                <w:szCs w:val="21"/>
                <w14:textFill>
                  <w14:solidFill>
                    <w14:schemeClr w14:val="tx1"/>
                  </w14:solidFill>
                </w14:textFill>
              </w:rPr>
            </w:pPr>
          </w:p>
        </w:tc>
        <w:tc>
          <w:tcPr>
            <w:tcW w:w="690" w:type="dxa"/>
            <w:vMerge w:val="continue"/>
            <w:tcBorders>
              <w:right w:val="single" w:color="auto" w:sz="4" w:space="0"/>
              <w:tl2br w:val="nil"/>
              <w:tr2bl w:val="nil"/>
            </w:tcBorders>
            <w:tcMar>
              <w:top w:w="85" w:type="dxa"/>
              <w:left w:w="28" w:type="dxa"/>
              <w:bottom w:w="85" w:type="dxa"/>
              <w:right w:w="28" w:type="dxa"/>
            </w:tcMar>
            <w:vAlign w:val="center"/>
          </w:tcPr>
          <w:p w14:paraId="3C8CE756">
            <w:pPr>
              <w:jc w:val="center"/>
              <w:rPr>
                <w:rFonts w:ascii="Times New Roman" w:hAnsi="Times New Roman" w:cs="Times New Roman"/>
                <w:color w:val="000000" w:themeColor="text1"/>
                <w:szCs w:val="21"/>
                <w14:textFill>
                  <w14:solidFill>
                    <w14:schemeClr w14:val="tx1"/>
                  </w14:solidFill>
                </w14:textFill>
              </w:rPr>
            </w:pPr>
          </w:p>
        </w:tc>
        <w:tc>
          <w:tcPr>
            <w:tcW w:w="656" w:type="dxa"/>
            <w:vMerge w:val="continue"/>
            <w:tcBorders>
              <w:left w:val="single" w:color="auto" w:sz="4" w:space="0"/>
              <w:tl2br w:val="nil"/>
              <w:tr2bl w:val="nil"/>
            </w:tcBorders>
            <w:tcMar>
              <w:top w:w="85" w:type="dxa"/>
              <w:left w:w="28" w:type="dxa"/>
              <w:bottom w:w="85" w:type="dxa"/>
              <w:right w:w="28" w:type="dxa"/>
            </w:tcMar>
            <w:vAlign w:val="center"/>
          </w:tcPr>
          <w:p w14:paraId="6DBA1284">
            <w:pPr>
              <w:jc w:val="center"/>
              <w:rPr>
                <w:rFonts w:ascii="Times New Roman" w:hAnsi="Times New Roman" w:cs="Times New Roman"/>
                <w:color w:val="000000" w:themeColor="text1"/>
                <w:szCs w:val="21"/>
                <w14:textFill>
                  <w14:solidFill>
                    <w14:schemeClr w14:val="tx1"/>
                  </w14:solidFill>
                </w14:textFill>
              </w:rPr>
            </w:pPr>
          </w:p>
        </w:tc>
        <w:tc>
          <w:tcPr>
            <w:tcW w:w="900" w:type="dxa"/>
            <w:vMerge w:val="continue"/>
            <w:tcBorders>
              <w:tl2br w:val="nil"/>
              <w:tr2bl w:val="nil"/>
            </w:tcBorders>
            <w:tcMar>
              <w:top w:w="85" w:type="dxa"/>
              <w:left w:w="28" w:type="dxa"/>
              <w:bottom w:w="85" w:type="dxa"/>
              <w:right w:w="28" w:type="dxa"/>
            </w:tcMar>
            <w:vAlign w:val="center"/>
          </w:tcPr>
          <w:p w14:paraId="71881BE4">
            <w:pPr>
              <w:jc w:val="center"/>
              <w:rPr>
                <w:rFonts w:ascii="Times New Roman" w:hAnsi="Times New Roman" w:cs="Times New Roman"/>
                <w:color w:val="000000" w:themeColor="text1"/>
                <w:szCs w:val="21"/>
                <w14:textFill>
                  <w14:solidFill>
                    <w14:schemeClr w14:val="tx1"/>
                  </w14:solidFill>
                </w14:textFill>
              </w:rPr>
            </w:pPr>
          </w:p>
        </w:tc>
        <w:tc>
          <w:tcPr>
            <w:tcW w:w="1169" w:type="dxa"/>
            <w:vMerge w:val="continue"/>
            <w:tcBorders>
              <w:tl2br w:val="nil"/>
              <w:tr2bl w:val="nil"/>
            </w:tcBorders>
            <w:tcMar>
              <w:top w:w="85" w:type="dxa"/>
              <w:left w:w="28" w:type="dxa"/>
              <w:bottom w:w="85" w:type="dxa"/>
              <w:right w:w="28" w:type="dxa"/>
            </w:tcMar>
            <w:vAlign w:val="center"/>
          </w:tcPr>
          <w:p w14:paraId="4843FDA4">
            <w:pPr>
              <w:jc w:val="center"/>
              <w:rPr>
                <w:rFonts w:ascii="Times New Roman" w:hAnsi="Times New Roman" w:cs="Times New Roman"/>
                <w:color w:val="000000" w:themeColor="text1"/>
                <w:szCs w:val="21"/>
                <w14:textFill>
                  <w14:solidFill>
                    <w14:schemeClr w14:val="tx1"/>
                  </w14:solidFill>
                </w14:textFill>
              </w:rPr>
            </w:pPr>
          </w:p>
        </w:tc>
      </w:tr>
      <w:tr w14:paraId="5AD3BF78">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68" w:type="dxa"/>
            <w:left w:w="28" w:type="dxa"/>
            <w:bottom w:w="68" w:type="dxa"/>
            <w:right w:w="28" w:type="dxa"/>
          </w:tblCellMar>
        </w:tblPrEx>
        <w:trPr>
          <w:trHeight w:val="283" w:hRule="atLeast"/>
          <w:jc w:val="center"/>
        </w:trPr>
        <w:tc>
          <w:tcPr>
            <w:tcW w:w="665" w:type="dxa"/>
            <w:tcBorders>
              <w:tl2br w:val="nil"/>
              <w:tr2bl w:val="nil"/>
            </w:tcBorders>
            <w:tcMar>
              <w:top w:w="85" w:type="dxa"/>
              <w:left w:w="28" w:type="dxa"/>
              <w:bottom w:w="85" w:type="dxa"/>
              <w:right w:w="28" w:type="dxa"/>
            </w:tcMar>
            <w:vAlign w:val="center"/>
          </w:tcPr>
          <w:p w14:paraId="3C970F07">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DA001</w:t>
            </w:r>
          </w:p>
        </w:tc>
        <w:tc>
          <w:tcPr>
            <w:tcW w:w="1596" w:type="dxa"/>
            <w:tcBorders>
              <w:tl2br w:val="nil"/>
              <w:tr2bl w:val="nil"/>
            </w:tcBorders>
            <w:tcMar>
              <w:top w:w="85" w:type="dxa"/>
              <w:left w:w="28" w:type="dxa"/>
              <w:bottom w:w="85" w:type="dxa"/>
              <w:right w:w="28" w:type="dxa"/>
            </w:tcMar>
            <w:vAlign w:val="center"/>
          </w:tcPr>
          <w:p w14:paraId="08379A4A">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木加工工序</w:t>
            </w:r>
          </w:p>
        </w:tc>
        <w:tc>
          <w:tcPr>
            <w:tcW w:w="1100" w:type="dxa"/>
            <w:tcBorders>
              <w:tl2br w:val="nil"/>
              <w:tr2bl w:val="nil"/>
            </w:tcBorders>
            <w:tcMar>
              <w:top w:w="85" w:type="dxa"/>
              <w:left w:w="28" w:type="dxa"/>
              <w:bottom w:w="85" w:type="dxa"/>
              <w:right w:w="28" w:type="dxa"/>
            </w:tcMar>
            <w:vAlign w:val="center"/>
          </w:tcPr>
          <w:p w14:paraId="6EB92927">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115.138242</w:t>
            </w:r>
          </w:p>
        </w:tc>
        <w:tc>
          <w:tcPr>
            <w:tcW w:w="1033" w:type="dxa"/>
            <w:tcBorders>
              <w:tl2br w:val="nil"/>
              <w:tr2bl w:val="nil"/>
            </w:tcBorders>
            <w:tcMar>
              <w:top w:w="85" w:type="dxa"/>
              <w:left w:w="28" w:type="dxa"/>
              <w:bottom w:w="85" w:type="dxa"/>
              <w:right w:w="28" w:type="dxa"/>
            </w:tcMar>
            <w:vAlign w:val="center"/>
          </w:tcPr>
          <w:p w14:paraId="1A646C73">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35.876884</w:t>
            </w:r>
          </w:p>
        </w:tc>
        <w:tc>
          <w:tcPr>
            <w:tcW w:w="750" w:type="dxa"/>
            <w:tcBorders>
              <w:tl2br w:val="nil"/>
              <w:tr2bl w:val="nil"/>
            </w:tcBorders>
            <w:tcMar>
              <w:top w:w="85" w:type="dxa"/>
              <w:left w:w="28" w:type="dxa"/>
              <w:bottom w:w="85" w:type="dxa"/>
              <w:right w:w="28" w:type="dxa"/>
            </w:tcMar>
            <w:vAlign w:val="center"/>
          </w:tcPr>
          <w:p w14:paraId="72642695">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51</w:t>
            </w:r>
          </w:p>
        </w:tc>
        <w:tc>
          <w:tcPr>
            <w:tcW w:w="650" w:type="dxa"/>
            <w:tcBorders>
              <w:tl2br w:val="nil"/>
              <w:tr2bl w:val="nil"/>
            </w:tcBorders>
            <w:tcMar>
              <w:top w:w="85" w:type="dxa"/>
              <w:left w:w="28" w:type="dxa"/>
              <w:bottom w:w="85" w:type="dxa"/>
              <w:right w:w="28" w:type="dxa"/>
            </w:tcMar>
            <w:vAlign w:val="center"/>
          </w:tcPr>
          <w:p w14:paraId="377D4561">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883" w:type="dxa"/>
            <w:tcBorders>
              <w:tl2br w:val="nil"/>
              <w:tr2bl w:val="nil"/>
            </w:tcBorders>
            <w:tcMar>
              <w:top w:w="85" w:type="dxa"/>
              <w:left w:w="28" w:type="dxa"/>
              <w:bottom w:w="85" w:type="dxa"/>
              <w:right w:w="28" w:type="dxa"/>
            </w:tcMar>
            <w:vAlign w:val="center"/>
          </w:tcPr>
          <w:p w14:paraId="356C60DD">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14:textFill>
                  <w14:solidFill>
                    <w14:schemeClr w14:val="tx1"/>
                  </w14:solidFill>
                </w14:textFill>
              </w:rPr>
              <w:t>95</w:t>
            </w:r>
          </w:p>
        </w:tc>
        <w:tc>
          <w:tcPr>
            <w:tcW w:w="900" w:type="dxa"/>
            <w:tcBorders>
              <w:tl2br w:val="nil"/>
              <w:tr2bl w:val="nil"/>
            </w:tcBorders>
            <w:tcMar>
              <w:top w:w="85" w:type="dxa"/>
              <w:left w:w="28" w:type="dxa"/>
              <w:bottom w:w="85" w:type="dxa"/>
              <w:right w:w="28" w:type="dxa"/>
            </w:tcMar>
            <w:vAlign w:val="center"/>
          </w:tcPr>
          <w:p w14:paraId="2245201A">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16.5</w:t>
            </w:r>
          </w:p>
        </w:tc>
        <w:tc>
          <w:tcPr>
            <w:tcW w:w="917" w:type="dxa"/>
            <w:tcBorders>
              <w:tl2br w:val="nil"/>
              <w:tr2bl w:val="nil"/>
            </w:tcBorders>
            <w:tcMar>
              <w:top w:w="85" w:type="dxa"/>
              <w:left w:w="28" w:type="dxa"/>
              <w:bottom w:w="85" w:type="dxa"/>
              <w:right w:w="28" w:type="dxa"/>
            </w:tcMar>
            <w:vAlign w:val="center"/>
          </w:tcPr>
          <w:p w14:paraId="549BFEC9">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25</w:t>
            </w:r>
          </w:p>
        </w:tc>
        <w:tc>
          <w:tcPr>
            <w:tcW w:w="800" w:type="dxa"/>
            <w:tcBorders>
              <w:tl2br w:val="nil"/>
              <w:tr2bl w:val="nil"/>
            </w:tcBorders>
            <w:tcMar>
              <w:top w:w="85" w:type="dxa"/>
              <w:left w:w="28" w:type="dxa"/>
              <w:bottom w:w="85" w:type="dxa"/>
              <w:right w:w="28" w:type="dxa"/>
            </w:tcMar>
            <w:vAlign w:val="center"/>
          </w:tcPr>
          <w:p w14:paraId="14D369D1">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2400</w:t>
            </w:r>
          </w:p>
        </w:tc>
        <w:tc>
          <w:tcPr>
            <w:tcW w:w="583" w:type="dxa"/>
            <w:tcBorders>
              <w:tl2br w:val="nil"/>
              <w:tr2bl w:val="nil"/>
            </w:tcBorders>
            <w:tcMar>
              <w:top w:w="85" w:type="dxa"/>
              <w:left w:w="28" w:type="dxa"/>
              <w:bottom w:w="85" w:type="dxa"/>
              <w:right w:w="28" w:type="dxa"/>
            </w:tcMar>
            <w:vAlign w:val="center"/>
          </w:tcPr>
          <w:p w14:paraId="75CCBBCE">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连续</w:t>
            </w:r>
          </w:p>
        </w:tc>
        <w:tc>
          <w:tcPr>
            <w:tcW w:w="722" w:type="dxa"/>
            <w:tcBorders>
              <w:tl2br w:val="nil"/>
              <w:tr2bl w:val="nil"/>
            </w:tcBorders>
            <w:tcMar>
              <w:top w:w="85" w:type="dxa"/>
              <w:left w:w="28" w:type="dxa"/>
              <w:bottom w:w="85" w:type="dxa"/>
              <w:right w:w="28" w:type="dxa"/>
            </w:tcMar>
            <w:vAlign w:val="center"/>
          </w:tcPr>
          <w:p w14:paraId="1850FDD3">
            <w:pPr>
              <w:jc w:val="center"/>
              <w:rPr>
                <w:rFonts w:hint="default" w:ascii="Times New Roman" w:hAnsi="Times New Roman" w:cs="Times New Roman" w:eastAsiaTheme="minorEastAsia"/>
                <w:color w:val="auto"/>
                <w:szCs w:val="21"/>
                <w:lang w:val="en-US" w:eastAsia="zh-CN"/>
              </w:rPr>
            </w:pPr>
            <w:r>
              <w:rPr>
                <w:rFonts w:ascii="Times New Roman" w:hAnsi="Times New Roman" w:cs="Times New Roman"/>
                <w:bCs/>
                <w:color w:val="auto"/>
                <w:szCs w:val="21"/>
              </w:rPr>
              <w:t>0.</w:t>
            </w:r>
            <w:r>
              <w:rPr>
                <w:rFonts w:hint="eastAsia" w:ascii="Times New Roman" w:hAnsi="Times New Roman" w:cs="Times New Roman"/>
                <w:bCs/>
                <w:color w:val="auto"/>
                <w:szCs w:val="21"/>
              </w:rPr>
              <w:t>0</w:t>
            </w:r>
            <w:r>
              <w:rPr>
                <w:rFonts w:hint="eastAsia" w:ascii="Times New Roman" w:hAnsi="Times New Roman" w:cs="Times New Roman"/>
                <w:bCs/>
                <w:color w:val="auto"/>
                <w:szCs w:val="21"/>
                <w:lang w:val="en-US" w:eastAsia="zh-CN"/>
              </w:rPr>
              <w:t>11</w:t>
            </w:r>
          </w:p>
        </w:tc>
        <w:tc>
          <w:tcPr>
            <w:tcW w:w="690" w:type="dxa"/>
            <w:tcBorders>
              <w:right w:val="single" w:color="auto" w:sz="4" w:space="0"/>
              <w:tl2br w:val="nil"/>
              <w:tr2bl w:val="nil"/>
            </w:tcBorders>
            <w:tcMar>
              <w:top w:w="85" w:type="dxa"/>
              <w:left w:w="28" w:type="dxa"/>
              <w:bottom w:w="85" w:type="dxa"/>
              <w:right w:w="28" w:type="dxa"/>
            </w:tcMar>
            <w:vAlign w:val="center"/>
          </w:tcPr>
          <w:p w14:paraId="3BA13B01">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656" w:type="dxa"/>
            <w:tcBorders>
              <w:left w:val="single" w:color="auto" w:sz="4" w:space="0"/>
              <w:tl2br w:val="nil"/>
              <w:tr2bl w:val="nil"/>
            </w:tcBorders>
            <w:tcMar>
              <w:top w:w="85" w:type="dxa"/>
              <w:left w:w="28" w:type="dxa"/>
              <w:bottom w:w="85" w:type="dxa"/>
              <w:right w:w="28" w:type="dxa"/>
            </w:tcMar>
            <w:vAlign w:val="center"/>
          </w:tcPr>
          <w:p w14:paraId="1CD5B978">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900" w:type="dxa"/>
            <w:tcBorders>
              <w:tl2br w:val="nil"/>
              <w:tr2bl w:val="nil"/>
            </w:tcBorders>
            <w:tcMar>
              <w:top w:w="85" w:type="dxa"/>
              <w:left w:w="28" w:type="dxa"/>
              <w:bottom w:w="85" w:type="dxa"/>
              <w:right w:w="28" w:type="dxa"/>
            </w:tcMar>
            <w:vAlign w:val="center"/>
          </w:tcPr>
          <w:p w14:paraId="152B4094">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169" w:type="dxa"/>
            <w:tcBorders>
              <w:tl2br w:val="nil"/>
              <w:tr2bl w:val="nil"/>
            </w:tcBorders>
            <w:tcMar>
              <w:top w:w="85" w:type="dxa"/>
              <w:left w:w="28" w:type="dxa"/>
              <w:bottom w:w="85" w:type="dxa"/>
              <w:right w:w="28" w:type="dxa"/>
            </w:tcMar>
            <w:vAlign w:val="center"/>
          </w:tcPr>
          <w:p w14:paraId="64551BDD">
            <w:pPr>
              <w:jc w:val="center"/>
              <w:rPr>
                <w:rFonts w:ascii="Times New Roman" w:hAnsi="Times New Roman" w:cs="Times New Roman"/>
                <w:color w:val="auto"/>
                <w:szCs w:val="21"/>
              </w:rPr>
            </w:pPr>
            <w:r>
              <w:rPr>
                <w:rFonts w:ascii="Times New Roman" w:hAnsi="Times New Roman" w:cs="Times New Roman"/>
                <w:color w:val="auto"/>
                <w:szCs w:val="21"/>
              </w:rPr>
              <w:t>/</w:t>
            </w:r>
          </w:p>
        </w:tc>
      </w:tr>
      <w:tr w14:paraId="2F9650EF">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68" w:type="dxa"/>
            <w:left w:w="28" w:type="dxa"/>
            <w:bottom w:w="68" w:type="dxa"/>
            <w:right w:w="28" w:type="dxa"/>
          </w:tblCellMar>
        </w:tblPrEx>
        <w:trPr>
          <w:trHeight w:val="283" w:hRule="atLeast"/>
          <w:jc w:val="center"/>
        </w:trPr>
        <w:tc>
          <w:tcPr>
            <w:tcW w:w="665" w:type="dxa"/>
            <w:tcBorders>
              <w:tl2br w:val="nil"/>
              <w:tr2bl w:val="nil"/>
            </w:tcBorders>
            <w:tcMar>
              <w:top w:w="85" w:type="dxa"/>
              <w:left w:w="28" w:type="dxa"/>
              <w:bottom w:w="85" w:type="dxa"/>
              <w:right w:w="28" w:type="dxa"/>
            </w:tcMar>
            <w:vAlign w:val="center"/>
          </w:tcPr>
          <w:p w14:paraId="3AD44AEC">
            <w:pPr>
              <w:jc w:val="center"/>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DA00</w:t>
            </w: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1596" w:type="dxa"/>
            <w:tcBorders>
              <w:tl2br w:val="nil"/>
              <w:tr2bl w:val="nil"/>
            </w:tcBorders>
            <w:tcMar>
              <w:top w:w="85" w:type="dxa"/>
              <w:left w:w="28" w:type="dxa"/>
              <w:bottom w:w="85" w:type="dxa"/>
              <w:right w:w="28" w:type="dxa"/>
            </w:tcMar>
            <w:vAlign w:val="center"/>
          </w:tcPr>
          <w:p w14:paraId="71A16B7C">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拼板冷压、封边、热压、擦色、</w:t>
            </w:r>
            <w:r>
              <w:rPr>
                <w:rFonts w:hint="eastAsia" w:ascii="Times New Roman" w:hAnsi="Times New Roman" w:cs="Times New Roman"/>
                <w:color w:val="000000" w:themeColor="text1"/>
                <w:szCs w:val="21"/>
                <w:lang w:val="en-US" w:eastAsia="zh-CN"/>
                <w14:textFill>
                  <w14:solidFill>
                    <w14:schemeClr w14:val="tx1"/>
                  </w14:solidFill>
                </w14:textFill>
              </w:rPr>
              <w:t>喷</w:t>
            </w:r>
            <w:r>
              <w:rPr>
                <w:rFonts w:ascii="Times New Roman" w:hAnsi="Times New Roman" w:cs="Times New Roman"/>
                <w:color w:val="000000" w:themeColor="text1"/>
                <w:szCs w:val="21"/>
                <w14:textFill>
                  <w14:solidFill>
                    <w14:schemeClr w14:val="tx1"/>
                  </w14:solidFill>
                </w14:textFill>
              </w:rPr>
              <w:t>漆房（含调漆、晾干）废气</w:t>
            </w:r>
          </w:p>
        </w:tc>
        <w:tc>
          <w:tcPr>
            <w:tcW w:w="1100" w:type="dxa"/>
            <w:tcBorders>
              <w:tl2br w:val="nil"/>
              <w:tr2bl w:val="nil"/>
            </w:tcBorders>
            <w:tcMar>
              <w:top w:w="85" w:type="dxa"/>
              <w:left w:w="28" w:type="dxa"/>
              <w:bottom w:w="85" w:type="dxa"/>
              <w:right w:w="28" w:type="dxa"/>
            </w:tcMar>
            <w:vAlign w:val="center"/>
          </w:tcPr>
          <w:p w14:paraId="515F7B36">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115.138065</w:t>
            </w:r>
          </w:p>
        </w:tc>
        <w:tc>
          <w:tcPr>
            <w:tcW w:w="1033" w:type="dxa"/>
            <w:tcBorders>
              <w:tl2br w:val="nil"/>
              <w:tr2bl w:val="nil"/>
            </w:tcBorders>
            <w:tcMar>
              <w:top w:w="85" w:type="dxa"/>
              <w:left w:w="28" w:type="dxa"/>
              <w:bottom w:w="85" w:type="dxa"/>
              <w:right w:w="28" w:type="dxa"/>
            </w:tcMar>
            <w:vAlign w:val="center"/>
          </w:tcPr>
          <w:p w14:paraId="545E44D9">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35.877262</w:t>
            </w:r>
          </w:p>
        </w:tc>
        <w:tc>
          <w:tcPr>
            <w:tcW w:w="750" w:type="dxa"/>
            <w:tcBorders>
              <w:tl2br w:val="nil"/>
              <w:tr2bl w:val="nil"/>
            </w:tcBorders>
            <w:tcMar>
              <w:top w:w="85" w:type="dxa"/>
              <w:left w:w="28" w:type="dxa"/>
              <w:bottom w:w="85" w:type="dxa"/>
              <w:right w:w="28" w:type="dxa"/>
            </w:tcMar>
            <w:vAlign w:val="center"/>
          </w:tcPr>
          <w:p w14:paraId="62F90F52">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50</w:t>
            </w:r>
          </w:p>
        </w:tc>
        <w:tc>
          <w:tcPr>
            <w:tcW w:w="650" w:type="dxa"/>
            <w:tcBorders>
              <w:tl2br w:val="nil"/>
              <w:tr2bl w:val="nil"/>
            </w:tcBorders>
            <w:tcMar>
              <w:top w:w="85" w:type="dxa"/>
              <w:left w:w="28" w:type="dxa"/>
              <w:bottom w:w="85" w:type="dxa"/>
              <w:right w:w="28" w:type="dxa"/>
            </w:tcMar>
            <w:vAlign w:val="center"/>
          </w:tcPr>
          <w:p w14:paraId="7581D952">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883" w:type="dxa"/>
            <w:tcBorders>
              <w:tl2br w:val="nil"/>
              <w:tr2bl w:val="nil"/>
            </w:tcBorders>
            <w:tcMar>
              <w:top w:w="85" w:type="dxa"/>
              <w:left w:w="28" w:type="dxa"/>
              <w:bottom w:w="85" w:type="dxa"/>
              <w:right w:w="28" w:type="dxa"/>
            </w:tcMar>
            <w:vAlign w:val="center"/>
          </w:tcPr>
          <w:p w14:paraId="5D341E96">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14:textFill>
                  <w14:solidFill>
                    <w14:schemeClr w14:val="tx1"/>
                  </w14:solidFill>
                </w14:textFill>
              </w:rPr>
              <w:t>95</w:t>
            </w:r>
          </w:p>
        </w:tc>
        <w:tc>
          <w:tcPr>
            <w:tcW w:w="900" w:type="dxa"/>
            <w:tcBorders>
              <w:tl2br w:val="nil"/>
              <w:tr2bl w:val="nil"/>
            </w:tcBorders>
            <w:tcMar>
              <w:top w:w="85" w:type="dxa"/>
              <w:left w:w="28" w:type="dxa"/>
              <w:bottom w:w="85" w:type="dxa"/>
              <w:right w:w="28" w:type="dxa"/>
            </w:tcMar>
            <w:vAlign w:val="center"/>
          </w:tcPr>
          <w:p w14:paraId="0BB5D815">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15.6</w:t>
            </w:r>
          </w:p>
        </w:tc>
        <w:tc>
          <w:tcPr>
            <w:tcW w:w="917" w:type="dxa"/>
            <w:tcBorders>
              <w:tl2br w:val="nil"/>
              <w:tr2bl w:val="nil"/>
            </w:tcBorders>
            <w:tcMar>
              <w:top w:w="85" w:type="dxa"/>
              <w:left w:w="28" w:type="dxa"/>
              <w:bottom w:w="85" w:type="dxa"/>
              <w:right w:w="28" w:type="dxa"/>
            </w:tcMar>
            <w:vAlign w:val="center"/>
          </w:tcPr>
          <w:p w14:paraId="60BD9293">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40</w:t>
            </w:r>
          </w:p>
        </w:tc>
        <w:tc>
          <w:tcPr>
            <w:tcW w:w="800" w:type="dxa"/>
            <w:tcBorders>
              <w:tl2br w:val="nil"/>
              <w:tr2bl w:val="nil"/>
            </w:tcBorders>
            <w:tcMar>
              <w:top w:w="85" w:type="dxa"/>
              <w:left w:w="28" w:type="dxa"/>
              <w:bottom w:w="85" w:type="dxa"/>
              <w:right w:w="28" w:type="dxa"/>
            </w:tcMar>
            <w:vAlign w:val="center"/>
          </w:tcPr>
          <w:p w14:paraId="22828664">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2400</w:t>
            </w:r>
          </w:p>
        </w:tc>
        <w:tc>
          <w:tcPr>
            <w:tcW w:w="583" w:type="dxa"/>
            <w:tcBorders>
              <w:tl2br w:val="nil"/>
              <w:tr2bl w:val="nil"/>
            </w:tcBorders>
            <w:tcMar>
              <w:top w:w="85" w:type="dxa"/>
              <w:left w:w="28" w:type="dxa"/>
              <w:bottom w:w="85" w:type="dxa"/>
              <w:right w:w="28" w:type="dxa"/>
            </w:tcMar>
            <w:vAlign w:val="center"/>
          </w:tcPr>
          <w:p w14:paraId="437ABC17">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连续</w:t>
            </w:r>
          </w:p>
        </w:tc>
        <w:tc>
          <w:tcPr>
            <w:tcW w:w="722" w:type="dxa"/>
            <w:tcBorders>
              <w:tl2br w:val="nil"/>
              <w:tr2bl w:val="nil"/>
            </w:tcBorders>
            <w:tcMar>
              <w:top w:w="85" w:type="dxa"/>
              <w:left w:w="28" w:type="dxa"/>
              <w:bottom w:w="85" w:type="dxa"/>
              <w:right w:w="28" w:type="dxa"/>
            </w:tcMar>
            <w:vAlign w:val="center"/>
          </w:tcPr>
          <w:p w14:paraId="7C57439B">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134</w:t>
            </w:r>
          </w:p>
        </w:tc>
        <w:tc>
          <w:tcPr>
            <w:tcW w:w="690" w:type="dxa"/>
            <w:tcBorders>
              <w:right w:val="single" w:color="auto" w:sz="4" w:space="0"/>
              <w:tl2br w:val="nil"/>
              <w:tr2bl w:val="nil"/>
            </w:tcBorders>
            <w:tcMar>
              <w:top w:w="85" w:type="dxa"/>
              <w:left w:w="28" w:type="dxa"/>
              <w:bottom w:w="85" w:type="dxa"/>
              <w:right w:w="28" w:type="dxa"/>
            </w:tcMar>
            <w:vAlign w:val="center"/>
          </w:tcPr>
          <w:p w14:paraId="42913F6B">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rPr>
              <w:t>0.0</w:t>
            </w:r>
            <w:r>
              <w:rPr>
                <w:rFonts w:hint="eastAsia" w:ascii="Times New Roman" w:hAnsi="Times New Roman" w:cs="Times New Roman"/>
                <w:color w:val="auto"/>
                <w:szCs w:val="21"/>
                <w:lang w:val="en-US" w:eastAsia="zh-CN"/>
              </w:rPr>
              <w:t>156</w:t>
            </w:r>
          </w:p>
        </w:tc>
        <w:tc>
          <w:tcPr>
            <w:tcW w:w="656" w:type="dxa"/>
            <w:tcBorders>
              <w:left w:val="single" w:color="auto" w:sz="4" w:space="0"/>
              <w:tl2br w:val="nil"/>
              <w:tr2bl w:val="nil"/>
            </w:tcBorders>
            <w:tcMar>
              <w:top w:w="85" w:type="dxa"/>
              <w:left w:w="28" w:type="dxa"/>
              <w:bottom w:w="85" w:type="dxa"/>
              <w:right w:w="28" w:type="dxa"/>
            </w:tcMar>
            <w:vAlign w:val="center"/>
          </w:tcPr>
          <w:p w14:paraId="412B11E5">
            <w:pPr>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rPr>
              <w:t>0.0</w:t>
            </w:r>
            <w:r>
              <w:rPr>
                <w:rFonts w:hint="eastAsia" w:ascii="Times New Roman" w:hAnsi="Times New Roman" w:cs="Times New Roman"/>
                <w:color w:val="auto"/>
                <w:szCs w:val="21"/>
                <w:lang w:val="en-US" w:eastAsia="zh-CN"/>
              </w:rPr>
              <w:t>716</w:t>
            </w:r>
          </w:p>
        </w:tc>
        <w:tc>
          <w:tcPr>
            <w:tcW w:w="900" w:type="dxa"/>
            <w:tcBorders>
              <w:tl2br w:val="nil"/>
              <w:tr2bl w:val="nil"/>
            </w:tcBorders>
            <w:tcMar>
              <w:top w:w="85" w:type="dxa"/>
              <w:left w:w="28" w:type="dxa"/>
              <w:bottom w:w="85" w:type="dxa"/>
              <w:right w:w="28" w:type="dxa"/>
            </w:tcMar>
            <w:vAlign w:val="center"/>
          </w:tcPr>
          <w:p w14:paraId="6877CE1F">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1588</w:t>
            </w:r>
          </w:p>
        </w:tc>
        <w:tc>
          <w:tcPr>
            <w:tcW w:w="1169" w:type="dxa"/>
            <w:tcBorders>
              <w:tl2br w:val="nil"/>
              <w:tr2bl w:val="nil"/>
            </w:tcBorders>
            <w:tcMar>
              <w:top w:w="85" w:type="dxa"/>
              <w:left w:w="28" w:type="dxa"/>
              <w:bottom w:w="85" w:type="dxa"/>
              <w:right w:w="28" w:type="dxa"/>
            </w:tcMar>
            <w:vAlign w:val="center"/>
          </w:tcPr>
          <w:p w14:paraId="5A77EF5B">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1.352</w:t>
            </w:r>
          </w:p>
        </w:tc>
      </w:tr>
    </w:tbl>
    <w:p w14:paraId="20A0D9AC">
      <w:pPr>
        <w:jc w:val="center"/>
        <w:rPr>
          <w:rFonts w:ascii="Times New Roman" w:hAnsi="Times New Roman" w:cs="Times New Roman"/>
          <w:b/>
          <w:bCs/>
          <w:color w:val="000000" w:themeColor="text1"/>
          <w:szCs w:val="21"/>
          <w14:textFill>
            <w14:solidFill>
              <w14:schemeClr w14:val="tx1"/>
            </w14:solidFill>
          </w14:textFill>
        </w:rPr>
        <w:sectPr>
          <w:headerReference r:id="rId19" w:type="default"/>
          <w:pgSz w:w="16838" w:h="11906" w:orient="landscape"/>
          <w:pgMar w:top="1800" w:right="1440" w:bottom="1800" w:left="1440" w:header="851" w:footer="992" w:gutter="0"/>
          <w:pgNumType w:fmt="decimal"/>
          <w:cols w:space="425" w:num="1"/>
          <w:docGrid w:type="lines" w:linePitch="312" w:charSpace="0"/>
        </w:sectPr>
      </w:pPr>
    </w:p>
    <w:p w14:paraId="2C0152AE">
      <w:pPr>
        <w:numPr>
          <w:ilvl w:val="0"/>
          <w:numId w:val="59"/>
        </w:numPr>
        <w:autoSpaceDE w:val="0"/>
        <w:autoSpaceDN w:val="0"/>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 xml:space="preserve"> 非正常工况下本项目污染源强及计算参数一览表</w:t>
      </w:r>
    </w:p>
    <w:tbl>
      <w:tblPr>
        <w:tblStyle w:val="30"/>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477"/>
        <w:gridCol w:w="2178"/>
        <w:gridCol w:w="1566"/>
        <w:gridCol w:w="938"/>
        <w:gridCol w:w="1214"/>
        <w:gridCol w:w="963"/>
        <w:gridCol w:w="1026"/>
      </w:tblGrid>
      <w:tr w14:paraId="1545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90" w:hRule="atLeast"/>
          <w:jc w:val="center"/>
        </w:trPr>
        <w:tc>
          <w:tcPr>
            <w:tcW w:w="477" w:type="dxa"/>
            <w:tcBorders>
              <w:tl2br w:val="nil"/>
              <w:tr2bl w:val="nil"/>
            </w:tcBorders>
            <w:vAlign w:val="center"/>
          </w:tcPr>
          <w:p w14:paraId="71D6A54A">
            <w:pPr>
              <w:jc w:val="center"/>
              <w:rPr>
                <w:rFonts w:ascii="Times New Roman" w:hAnsi="Times New Roman" w:cs="Times New Roman"/>
                <w:szCs w:val="21"/>
              </w:rPr>
            </w:pPr>
            <w:r>
              <w:rPr>
                <w:rFonts w:ascii="Times New Roman" w:hAnsi="Times New Roman" w:cs="Times New Roman"/>
                <w:szCs w:val="21"/>
              </w:rPr>
              <w:t>序号</w:t>
            </w:r>
          </w:p>
        </w:tc>
        <w:tc>
          <w:tcPr>
            <w:tcW w:w="2178" w:type="dxa"/>
            <w:tcBorders>
              <w:tl2br w:val="nil"/>
              <w:tr2bl w:val="nil"/>
            </w:tcBorders>
            <w:vAlign w:val="center"/>
          </w:tcPr>
          <w:p w14:paraId="5FBA6237">
            <w:pPr>
              <w:jc w:val="center"/>
              <w:rPr>
                <w:rFonts w:ascii="Times New Roman" w:hAnsi="Times New Roman" w:cs="Times New Roman"/>
                <w:szCs w:val="21"/>
              </w:rPr>
            </w:pPr>
            <w:r>
              <w:rPr>
                <w:rFonts w:ascii="Times New Roman" w:hAnsi="Times New Roman" w:cs="Times New Roman"/>
                <w:szCs w:val="21"/>
              </w:rPr>
              <w:t>污染源</w:t>
            </w:r>
          </w:p>
        </w:tc>
        <w:tc>
          <w:tcPr>
            <w:tcW w:w="1566" w:type="dxa"/>
            <w:tcBorders>
              <w:tl2br w:val="nil"/>
              <w:tr2bl w:val="nil"/>
            </w:tcBorders>
            <w:vAlign w:val="center"/>
          </w:tcPr>
          <w:p w14:paraId="44477BFD">
            <w:pPr>
              <w:jc w:val="center"/>
              <w:rPr>
                <w:rFonts w:ascii="Times New Roman" w:hAnsi="Times New Roman" w:cs="Times New Roman"/>
                <w:szCs w:val="21"/>
              </w:rPr>
            </w:pPr>
            <w:r>
              <w:rPr>
                <w:rFonts w:ascii="Times New Roman" w:hAnsi="Times New Roman" w:cs="Times New Roman"/>
                <w:szCs w:val="21"/>
              </w:rPr>
              <w:t>污染物</w:t>
            </w:r>
          </w:p>
        </w:tc>
        <w:tc>
          <w:tcPr>
            <w:tcW w:w="938" w:type="dxa"/>
            <w:tcBorders>
              <w:tl2br w:val="nil"/>
              <w:tr2bl w:val="nil"/>
            </w:tcBorders>
            <w:vAlign w:val="center"/>
          </w:tcPr>
          <w:p w14:paraId="4EFEBC2C">
            <w:pPr>
              <w:jc w:val="center"/>
              <w:rPr>
                <w:rFonts w:ascii="Times New Roman" w:hAnsi="Times New Roman" w:cs="Times New Roman"/>
                <w:szCs w:val="21"/>
              </w:rPr>
            </w:pPr>
            <w:r>
              <w:rPr>
                <w:rFonts w:ascii="Times New Roman" w:hAnsi="Times New Roman" w:cs="Times New Roman"/>
                <w:szCs w:val="21"/>
              </w:rPr>
              <w:t>风量</w:t>
            </w:r>
          </w:p>
          <w:p w14:paraId="45A84D0A">
            <w:pPr>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/h）</w:t>
            </w:r>
          </w:p>
        </w:tc>
        <w:tc>
          <w:tcPr>
            <w:tcW w:w="1214" w:type="dxa"/>
            <w:tcBorders>
              <w:tl2br w:val="nil"/>
              <w:tr2bl w:val="nil"/>
            </w:tcBorders>
            <w:vAlign w:val="center"/>
          </w:tcPr>
          <w:p w14:paraId="4A477B33">
            <w:pPr>
              <w:jc w:val="center"/>
              <w:rPr>
                <w:rFonts w:ascii="Times New Roman" w:hAnsi="Times New Roman" w:cs="Times New Roman"/>
                <w:szCs w:val="21"/>
              </w:rPr>
            </w:pPr>
            <w:r>
              <w:rPr>
                <w:rFonts w:ascii="Times New Roman" w:hAnsi="Times New Roman" w:cs="Times New Roman"/>
                <w:szCs w:val="21"/>
              </w:rPr>
              <w:t>污染物排放速率（kg/h）</w:t>
            </w:r>
          </w:p>
        </w:tc>
        <w:tc>
          <w:tcPr>
            <w:tcW w:w="963" w:type="dxa"/>
            <w:tcBorders>
              <w:tl2br w:val="nil"/>
              <w:tr2bl w:val="nil"/>
            </w:tcBorders>
            <w:vAlign w:val="center"/>
          </w:tcPr>
          <w:p w14:paraId="70509254">
            <w:pPr>
              <w:jc w:val="center"/>
              <w:rPr>
                <w:rFonts w:ascii="Times New Roman" w:hAnsi="Times New Roman" w:eastAsia="宋体" w:cs="Times New Roman"/>
                <w:szCs w:val="21"/>
              </w:rPr>
            </w:pPr>
            <w:r>
              <w:rPr>
                <w:rFonts w:ascii="Times New Roman" w:hAnsi="Times New Roman" w:eastAsia="宋体" w:cs="Times New Roman"/>
                <w:szCs w:val="21"/>
              </w:rPr>
              <w:t>持续</w:t>
            </w:r>
          </w:p>
          <w:p w14:paraId="51806AC9">
            <w:pPr>
              <w:jc w:val="center"/>
              <w:rPr>
                <w:rFonts w:ascii="Times New Roman" w:hAnsi="Times New Roman" w:eastAsia="宋体" w:cs="Times New Roman"/>
                <w:szCs w:val="21"/>
              </w:rPr>
            </w:pPr>
            <w:r>
              <w:rPr>
                <w:rFonts w:ascii="Times New Roman" w:hAnsi="Times New Roman" w:eastAsia="宋体" w:cs="Times New Roman"/>
                <w:szCs w:val="21"/>
              </w:rPr>
              <w:t>时间</w:t>
            </w:r>
          </w:p>
        </w:tc>
        <w:tc>
          <w:tcPr>
            <w:tcW w:w="1026" w:type="dxa"/>
            <w:tcBorders>
              <w:tl2br w:val="nil"/>
              <w:tr2bl w:val="nil"/>
            </w:tcBorders>
            <w:vAlign w:val="center"/>
          </w:tcPr>
          <w:p w14:paraId="0B1517A0">
            <w:pPr>
              <w:jc w:val="center"/>
              <w:rPr>
                <w:rFonts w:ascii="Times New Roman" w:hAnsi="Times New Roman" w:cs="Times New Roman"/>
                <w:szCs w:val="21"/>
              </w:rPr>
            </w:pPr>
            <w:r>
              <w:rPr>
                <w:rFonts w:ascii="Times New Roman" w:hAnsi="Times New Roman" w:eastAsia="宋体" w:cs="Times New Roman"/>
                <w:szCs w:val="21"/>
              </w:rPr>
              <w:t>年发生频次/次</w:t>
            </w:r>
          </w:p>
        </w:tc>
      </w:tr>
      <w:tr w14:paraId="2E42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96" w:hRule="atLeast"/>
          <w:jc w:val="center"/>
        </w:trPr>
        <w:tc>
          <w:tcPr>
            <w:tcW w:w="477" w:type="dxa"/>
            <w:vMerge w:val="restart"/>
            <w:tcBorders>
              <w:tl2br w:val="nil"/>
              <w:tr2bl w:val="nil"/>
            </w:tcBorders>
            <w:vAlign w:val="center"/>
          </w:tcPr>
          <w:p w14:paraId="22BE95D5">
            <w:pPr>
              <w:jc w:val="center"/>
              <w:rPr>
                <w:rFonts w:ascii="Times New Roman" w:hAnsi="Times New Roman" w:cs="Times New Roman"/>
                <w:szCs w:val="21"/>
              </w:rPr>
            </w:pPr>
            <w:r>
              <w:rPr>
                <w:rFonts w:ascii="Times New Roman" w:hAnsi="Times New Roman" w:cs="Times New Roman"/>
                <w:szCs w:val="21"/>
              </w:rPr>
              <w:t>1</w:t>
            </w:r>
          </w:p>
        </w:tc>
        <w:tc>
          <w:tcPr>
            <w:tcW w:w="2178" w:type="dxa"/>
            <w:vMerge w:val="restart"/>
            <w:tcBorders>
              <w:tl2br w:val="nil"/>
              <w:tr2bl w:val="nil"/>
            </w:tcBorders>
            <w:vAlign w:val="center"/>
          </w:tcPr>
          <w:p w14:paraId="1707584E">
            <w:pPr>
              <w:jc w:val="center"/>
              <w:rPr>
                <w:rFonts w:ascii="Times New Roman" w:hAnsi="Times New Roman" w:eastAsia="宋体" w:cs="Times New Roman"/>
                <w:szCs w:val="21"/>
              </w:rPr>
            </w:pPr>
            <w:r>
              <w:rPr>
                <w:rFonts w:ascii="Times New Roman" w:hAnsi="Times New Roman" w:cs="Times New Roman"/>
                <w:szCs w:val="21"/>
              </w:rPr>
              <w:t>拼板冷压、封边、热压、擦色、底漆房（含</w:t>
            </w:r>
            <w:r>
              <w:rPr>
                <w:rFonts w:hint="eastAsia" w:ascii="Times New Roman" w:hAnsi="Times New Roman" w:cs="Times New Roman"/>
                <w:szCs w:val="21"/>
              </w:rPr>
              <w:t>调漆、</w:t>
            </w:r>
            <w:r>
              <w:rPr>
                <w:rFonts w:ascii="Times New Roman" w:hAnsi="Times New Roman" w:cs="Times New Roman"/>
                <w:szCs w:val="21"/>
              </w:rPr>
              <w:t>晾干）废气（DA00</w:t>
            </w:r>
            <w:r>
              <w:rPr>
                <w:rFonts w:hint="eastAsia" w:ascii="Times New Roman" w:hAnsi="Times New Roman" w:cs="Times New Roman"/>
                <w:szCs w:val="21"/>
                <w:lang w:val="en-US" w:eastAsia="zh-CN"/>
              </w:rPr>
              <w:t>2</w:t>
            </w:r>
            <w:r>
              <w:rPr>
                <w:rFonts w:ascii="Times New Roman" w:hAnsi="Times New Roman" w:cs="Times New Roman"/>
                <w:szCs w:val="21"/>
              </w:rPr>
              <w:t>）</w:t>
            </w:r>
          </w:p>
        </w:tc>
        <w:tc>
          <w:tcPr>
            <w:tcW w:w="1566" w:type="dxa"/>
            <w:tcBorders>
              <w:tl2br w:val="nil"/>
              <w:tr2bl w:val="nil"/>
            </w:tcBorders>
            <w:vAlign w:val="center"/>
          </w:tcPr>
          <w:p w14:paraId="1C4DB4F4">
            <w:pPr>
              <w:adjustRightInd w:val="0"/>
              <w:snapToGrid w:val="0"/>
              <w:spacing w:line="280" w:lineRule="exact"/>
              <w:jc w:val="center"/>
              <w:textAlignment w:val="baseline"/>
              <w:rPr>
                <w:rFonts w:ascii="Times New Roman" w:hAnsi="Times New Roman" w:cs="Times New Roman"/>
                <w:szCs w:val="21"/>
              </w:rPr>
            </w:pPr>
            <w:r>
              <w:rPr>
                <w:rFonts w:ascii="Times New Roman" w:hAnsi="Times New Roman" w:cs="Times New Roman"/>
                <w:kern w:val="0"/>
                <w:szCs w:val="21"/>
              </w:rPr>
              <w:t>颗粒物</w:t>
            </w:r>
          </w:p>
        </w:tc>
        <w:tc>
          <w:tcPr>
            <w:tcW w:w="938" w:type="dxa"/>
            <w:vMerge w:val="restart"/>
            <w:tcBorders>
              <w:tl2br w:val="nil"/>
              <w:tr2bl w:val="nil"/>
            </w:tcBorders>
            <w:vAlign w:val="center"/>
          </w:tcPr>
          <w:p w14:paraId="4916211A">
            <w:pPr>
              <w:jc w:val="center"/>
              <w:rPr>
                <w:rFonts w:ascii="Times New Roman" w:hAnsi="Times New Roman" w:cs="Times New Roman"/>
                <w:szCs w:val="21"/>
              </w:rPr>
            </w:pPr>
            <w:r>
              <w:rPr>
                <w:rFonts w:hint="eastAsia" w:ascii="Times New Roman" w:hAnsi="Times New Roman" w:cs="Times New Roman"/>
                <w:szCs w:val="21"/>
                <w:lang w:val="en-US" w:eastAsia="zh-CN"/>
              </w:rPr>
              <w:t>65</w:t>
            </w:r>
            <w:r>
              <w:rPr>
                <w:rFonts w:ascii="Times New Roman" w:hAnsi="Times New Roman" w:cs="Times New Roman"/>
                <w:szCs w:val="21"/>
              </w:rPr>
              <w:t>000</w:t>
            </w:r>
          </w:p>
        </w:tc>
        <w:tc>
          <w:tcPr>
            <w:tcW w:w="1214" w:type="dxa"/>
            <w:tcBorders>
              <w:tl2br w:val="nil"/>
              <w:tr2bl w:val="nil"/>
            </w:tcBorders>
            <w:vAlign w:val="center"/>
          </w:tcPr>
          <w:p w14:paraId="52948966">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kern w:val="0"/>
                <w:szCs w:val="21"/>
                <w:lang w:val="en-US" w:eastAsia="zh-CN"/>
              </w:rPr>
              <w:t>1.343</w:t>
            </w:r>
          </w:p>
        </w:tc>
        <w:tc>
          <w:tcPr>
            <w:tcW w:w="963" w:type="dxa"/>
            <w:vMerge w:val="restart"/>
            <w:tcBorders>
              <w:tl2br w:val="nil"/>
              <w:tr2bl w:val="nil"/>
            </w:tcBorders>
            <w:vAlign w:val="center"/>
          </w:tcPr>
          <w:p w14:paraId="34B4F323">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20min</w:t>
            </w:r>
          </w:p>
        </w:tc>
        <w:tc>
          <w:tcPr>
            <w:tcW w:w="1026" w:type="dxa"/>
            <w:vMerge w:val="restart"/>
            <w:tcBorders>
              <w:tl2br w:val="nil"/>
              <w:tr2bl w:val="nil"/>
            </w:tcBorders>
            <w:vAlign w:val="center"/>
          </w:tcPr>
          <w:p w14:paraId="20202CBF">
            <w:pPr>
              <w:widowControl/>
              <w:jc w:val="center"/>
              <w:textAlignment w:val="center"/>
              <w:rPr>
                <w:rFonts w:ascii="Times New Roman" w:hAnsi="Times New Roman" w:cs="Times New Roman"/>
                <w:szCs w:val="21"/>
              </w:rPr>
            </w:pPr>
            <w:r>
              <w:rPr>
                <w:rFonts w:hint="eastAsia" w:ascii="Times New Roman" w:hAnsi="Times New Roman" w:cs="Times New Roman"/>
                <w:kern w:val="0"/>
                <w:szCs w:val="21"/>
              </w:rPr>
              <w:t>1年</w:t>
            </w:r>
          </w:p>
        </w:tc>
      </w:tr>
      <w:tr w14:paraId="25A8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116" w:hRule="atLeast"/>
          <w:jc w:val="center"/>
        </w:trPr>
        <w:tc>
          <w:tcPr>
            <w:tcW w:w="477" w:type="dxa"/>
            <w:vMerge w:val="continue"/>
            <w:tcBorders>
              <w:tl2br w:val="nil"/>
              <w:tr2bl w:val="nil"/>
            </w:tcBorders>
            <w:vAlign w:val="center"/>
          </w:tcPr>
          <w:p w14:paraId="7A46AF08">
            <w:pPr>
              <w:jc w:val="center"/>
              <w:rPr>
                <w:rFonts w:ascii="Times New Roman" w:hAnsi="Times New Roman" w:cs="Times New Roman"/>
                <w:szCs w:val="21"/>
              </w:rPr>
            </w:pPr>
          </w:p>
        </w:tc>
        <w:tc>
          <w:tcPr>
            <w:tcW w:w="2178" w:type="dxa"/>
            <w:vMerge w:val="continue"/>
            <w:tcBorders>
              <w:tl2br w:val="nil"/>
              <w:tr2bl w:val="nil"/>
            </w:tcBorders>
            <w:vAlign w:val="center"/>
          </w:tcPr>
          <w:p w14:paraId="0A528372">
            <w:pPr>
              <w:jc w:val="center"/>
              <w:rPr>
                <w:rFonts w:ascii="Times New Roman" w:hAnsi="Times New Roman" w:cs="Times New Roman"/>
                <w:szCs w:val="21"/>
              </w:rPr>
            </w:pPr>
          </w:p>
        </w:tc>
        <w:tc>
          <w:tcPr>
            <w:tcW w:w="1566" w:type="dxa"/>
            <w:tcBorders>
              <w:tl2br w:val="nil"/>
              <w:tr2bl w:val="nil"/>
            </w:tcBorders>
            <w:vAlign w:val="center"/>
          </w:tcPr>
          <w:p w14:paraId="6CAC6B70">
            <w:pPr>
              <w:adjustRightInd w:val="0"/>
              <w:snapToGrid w:val="0"/>
              <w:spacing w:line="280" w:lineRule="exact"/>
              <w:jc w:val="center"/>
              <w:textAlignment w:val="baseline"/>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苯</w:t>
            </w:r>
          </w:p>
        </w:tc>
        <w:tc>
          <w:tcPr>
            <w:tcW w:w="938" w:type="dxa"/>
            <w:vMerge w:val="continue"/>
            <w:tcBorders>
              <w:tl2br w:val="nil"/>
              <w:tr2bl w:val="nil"/>
            </w:tcBorders>
            <w:vAlign w:val="center"/>
          </w:tcPr>
          <w:p w14:paraId="5714404A">
            <w:pPr>
              <w:jc w:val="center"/>
              <w:rPr>
                <w:rFonts w:ascii="Times New Roman" w:hAnsi="Times New Roman" w:cs="Times New Roman"/>
                <w:szCs w:val="21"/>
              </w:rPr>
            </w:pPr>
          </w:p>
        </w:tc>
        <w:tc>
          <w:tcPr>
            <w:tcW w:w="1214" w:type="dxa"/>
            <w:tcBorders>
              <w:tl2br w:val="nil"/>
              <w:tr2bl w:val="nil"/>
            </w:tcBorders>
            <w:vAlign w:val="center"/>
          </w:tcPr>
          <w:p w14:paraId="0529424E">
            <w:pPr>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0.044</w:t>
            </w:r>
          </w:p>
        </w:tc>
        <w:tc>
          <w:tcPr>
            <w:tcW w:w="963" w:type="dxa"/>
            <w:vMerge w:val="continue"/>
            <w:tcBorders>
              <w:tl2br w:val="nil"/>
              <w:tr2bl w:val="nil"/>
            </w:tcBorders>
            <w:vAlign w:val="center"/>
          </w:tcPr>
          <w:p w14:paraId="5D7A1ABE">
            <w:pPr>
              <w:widowControl/>
              <w:jc w:val="center"/>
              <w:textAlignment w:val="center"/>
              <w:rPr>
                <w:rFonts w:ascii="Times New Roman" w:hAnsi="Times New Roman" w:eastAsia="宋体" w:cs="Times New Roman"/>
                <w:kern w:val="0"/>
                <w:szCs w:val="21"/>
              </w:rPr>
            </w:pPr>
          </w:p>
        </w:tc>
        <w:tc>
          <w:tcPr>
            <w:tcW w:w="1026" w:type="dxa"/>
            <w:vMerge w:val="continue"/>
            <w:tcBorders>
              <w:tl2br w:val="nil"/>
              <w:tr2bl w:val="nil"/>
            </w:tcBorders>
            <w:vAlign w:val="center"/>
          </w:tcPr>
          <w:p w14:paraId="62FD0C64">
            <w:pPr>
              <w:widowControl/>
              <w:jc w:val="center"/>
              <w:textAlignment w:val="center"/>
              <w:rPr>
                <w:rFonts w:hint="eastAsia" w:ascii="Times New Roman" w:hAnsi="Times New Roman" w:cs="Times New Roman"/>
                <w:kern w:val="0"/>
                <w:szCs w:val="21"/>
              </w:rPr>
            </w:pPr>
          </w:p>
        </w:tc>
      </w:tr>
      <w:tr w14:paraId="38CF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176" w:hRule="atLeast"/>
          <w:jc w:val="center"/>
        </w:trPr>
        <w:tc>
          <w:tcPr>
            <w:tcW w:w="477" w:type="dxa"/>
            <w:vMerge w:val="continue"/>
            <w:tcBorders>
              <w:tl2br w:val="nil"/>
              <w:tr2bl w:val="nil"/>
            </w:tcBorders>
            <w:vAlign w:val="center"/>
          </w:tcPr>
          <w:p w14:paraId="49390E50">
            <w:pPr>
              <w:jc w:val="center"/>
              <w:rPr>
                <w:rFonts w:ascii="Times New Roman" w:hAnsi="Times New Roman" w:cs="Times New Roman"/>
                <w:szCs w:val="21"/>
              </w:rPr>
            </w:pPr>
          </w:p>
        </w:tc>
        <w:tc>
          <w:tcPr>
            <w:tcW w:w="2178" w:type="dxa"/>
            <w:vMerge w:val="continue"/>
            <w:tcBorders>
              <w:tl2br w:val="nil"/>
              <w:tr2bl w:val="nil"/>
            </w:tcBorders>
            <w:vAlign w:val="center"/>
          </w:tcPr>
          <w:p w14:paraId="683F620C">
            <w:pPr>
              <w:jc w:val="center"/>
              <w:rPr>
                <w:rFonts w:ascii="Times New Roman" w:hAnsi="Times New Roman" w:cs="Times New Roman"/>
                <w:kern w:val="0"/>
                <w:szCs w:val="21"/>
                <w:lang w:bidi="ar"/>
              </w:rPr>
            </w:pPr>
          </w:p>
        </w:tc>
        <w:tc>
          <w:tcPr>
            <w:tcW w:w="1566" w:type="dxa"/>
            <w:tcBorders>
              <w:tl2br w:val="nil"/>
              <w:tr2bl w:val="nil"/>
            </w:tcBorders>
            <w:vAlign w:val="center"/>
          </w:tcPr>
          <w:p w14:paraId="228BE5E9">
            <w:pPr>
              <w:adjustRightInd w:val="0"/>
              <w:snapToGrid w:val="0"/>
              <w:spacing w:line="280" w:lineRule="exact"/>
              <w:jc w:val="center"/>
              <w:textAlignment w:val="baseline"/>
              <w:rPr>
                <w:rFonts w:ascii="Times New Roman" w:hAnsi="Times New Roman" w:cs="Times New Roman"/>
                <w:szCs w:val="21"/>
              </w:rPr>
            </w:pPr>
            <w:r>
              <w:rPr>
                <w:rFonts w:ascii="Times New Roman" w:hAnsi="Times New Roman" w:cs="Times New Roman"/>
                <w:kern w:val="0"/>
                <w:szCs w:val="21"/>
              </w:rPr>
              <w:t>甲苯</w:t>
            </w:r>
          </w:p>
        </w:tc>
        <w:tc>
          <w:tcPr>
            <w:tcW w:w="938" w:type="dxa"/>
            <w:vMerge w:val="continue"/>
            <w:tcBorders>
              <w:tl2br w:val="nil"/>
              <w:tr2bl w:val="nil"/>
            </w:tcBorders>
            <w:vAlign w:val="center"/>
          </w:tcPr>
          <w:p w14:paraId="6A465016">
            <w:pPr>
              <w:jc w:val="center"/>
              <w:rPr>
                <w:rFonts w:ascii="Times New Roman" w:hAnsi="Times New Roman" w:cs="Times New Roman"/>
                <w:szCs w:val="21"/>
              </w:rPr>
            </w:pPr>
          </w:p>
        </w:tc>
        <w:tc>
          <w:tcPr>
            <w:tcW w:w="1214" w:type="dxa"/>
            <w:tcBorders>
              <w:tl2br w:val="nil"/>
              <w:tr2bl w:val="nil"/>
            </w:tcBorders>
            <w:vAlign w:val="center"/>
          </w:tcPr>
          <w:p w14:paraId="19DD48B4">
            <w:pPr>
              <w:jc w:val="center"/>
              <w:rPr>
                <w:rFonts w:hint="default" w:ascii="Times New Roman" w:hAnsi="Times New Roman" w:cs="Times New Roman" w:eastAsiaTheme="minorEastAsia"/>
                <w:kern w:val="0"/>
                <w:szCs w:val="21"/>
                <w:lang w:val="en-US" w:eastAsia="zh-CN" w:bidi="ar"/>
              </w:rPr>
            </w:pPr>
            <w:r>
              <w:rPr>
                <w:rFonts w:hint="eastAsia" w:ascii="Times New Roman" w:hAnsi="Times New Roman" w:cs="Times New Roman"/>
                <w:kern w:val="0"/>
                <w:szCs w:val="21"/>
                <w:lang w:val="en-US" w:eastAsia="zh-CN" w:bidi="ar"/>
              </w:rPr>
              <w:t>0.2</w:t>
            </w:r>
          </w:p>
        </w:tc>
        <w:tc>
          <w:tcPr>
            <w:tcW w:w="963" w:type="dxa"/>
            <w:vMerge w:val="continue"/>
            <w:tcBorders>
              <w:tl2br w:val="nil"/>
              <w:tr2bl w:val="nil"/>
            </w:tcBorders>
            <w:vAlign w:val="center"/>
          </w:tcPr>
          <w:p w14:paraId="5CF647DD">
            <w:pPr>
              <w:widowControl/>
              <w:jc w:val="center"/>
              <w:textAlignment w:val="center"/>
              <w:rPr>
                <w:rFonts w:ascii="Times New Roman" w:hAnsi="Times New Roman" w:eastAsia="宋体" w:cs="Times New Roman"/>
                <w:kern w:val="0"/>
                <w:szCs w:val="21"/>
              </w:rPr>
            </w:pPr>
          </w:p>
        </w:tc>
        <w:tc>
          <w:tcPr>
            <w:tcW w:w="1026" w:type="dxa"/>
            <w:vMerge w:val="continue"/>
            <w:tcBorders>
              <w:tl2br w:val="nil"/>
              <w:tr2bl w:val="nil"/>
            </w:tcBorders>
            <w:vAlign w:val="center"/>
          </w:tcPr>
          <w:p w14:paraId="6ABF3AE2">
            <w:pPr>
              <w:widowControl/>
              <w:jc w:val="center"/>
              <w:textAlignment w:val="center"/>
              <w:rPr>
                <w:rFonts w:ascii="Times New Roman" w:hAnsi="Times New Roman" w:cs="Times New Roman"/>
                <w:kern w:val="0"/>
                <w:szCs w:val="21"/>
              </w:rPr>
            </w:pPr>
          </w:p>
        </w:tc>
      </w:tr>
      <w:tr w14:paraId="0622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 w:hRule="atLeast"/>
          <w:jc w:val="center"/>
        </w:trPr>
        <w:tc>
          <w:tcPr>
            <w:tcW w:w="477" w:type="dxa"/>
            <w:vMerge w:val="continue"/>
            <w:tcBorders>
              <w:tl2br w:val="nil"/>
              <w:tr2bl w:val="nil"/>
            </w:tcBorders>
            <w:vAlign w:val="center"/>
          </w:tcPr>
          <w:p w14:paraId="1E1D9C12">
            <w:pPr>
              <w:jc w:val="center"/>
              <w:rPr>
                <w:rFonts w:ascii="Times New Roman" w:hAnsi="Times New Roman" w:cs="Times New Roman"/>
                <w:szCs w:val="21"/>
              </w:rPr>
            </w:pPr>
          </w:p>
        </w:tc>
        <w:tc>
          <w:tcPr>
            <w:tcW w:w="2178" w:type="dxa"/>
            <w:vMerge w:val="continue"/>
            <w:tcBorders>
              <w:tl2br w:val="nil"/>
              <w:tr2bl w:val="nil"/>
            </w:tcBorders>
            <w:vAlign w:val="center"/>
          </w:tcPr>
          <w:p w14:paraId="73F0E05E">
            <w:pPr>
              <w:jc w:val="center"/>
              <w:rPr>
                <w:rFonts w:ascii="Times New Roman" w:hAnsi="Times New Roman" w:cs="Times New Roman"/>
                <w:kern w:val="0"/>
                <w:szCs w:val="21"/>
                <w:lang w:bidi="ar"/>
              </w:rPr>
            </w:pPr>
          </w:p>
        </w:tc>
        <w:tc>
          <w:tcPr>
            <w:tcW w:w="1566" w:type="dxa"/>
            <w:tcBorders>
              <w:tl2br w:val="nil"/>
              <w:tr2bl w:val="nil"/>
            </w:tcBorders>
            <w:vAlign w:val="center"/>
          </w:tcPr>
          <w:p w14:paraId="010E46D8">
            <w:pPr>
              <w:adjustRightInd w:val="0"/>
              <w:snapToGrid w:val="0"/>
              <w:spacing w:line="280" w:lineRule="exact"/>
              <w:jc w:val="center"/>
              <w:textAlignment w:val="baseline"/>
              <w:rPr>
                <w:rFonts w:ascii="Times New Roman" w:hAnsi="Times New Roman" w:cs="Times New Roman"/>
                <w:szCs w:val="21"/>
              </w:rPr>
            </w:pPr>
            <w:r>
              <w:rPr>
                <w:rFonts w:ascii="Times New Roman" w:hAnsi="Times New Roman" w:cs="Times New Roman"/>
                <w:kern w:val="0"/>
                <w:szCs w:val="21"/>
              </w:rPr>
              <w:t>二甲苯</w:t>
            </w:r>
          </w:p>
        </w:tc>
        <w:tc>
          <w:tcPr>
            <w:tcW w:w="938" w:type="dxa"/>
            <w:vMerge w:val="continue"/>
            <w:tcBorders>
              <w:tl2br w:val="nil"/>
              <w:tr2bl w:val="nil"/>
            </w:tcBorders>
            <w:vAlign w:val="center"/>
          </w:tcPr>
          <w:p w14:paraId="6224B3A1">
            <w:pPr>
              <w:jc w:val="center"/>
              <w:rPr>
                <w:rFonts w:ascii="Times New Roman" w:hAnsi="Times New Roman" w:cs="Times New Roman"/>
                <w:szCs w:val="21"/>
              </w:rPr>
            </w:pPr>
          </w:p>
        </w:tc>
        <w:tc>
          <w:tcPr>
            <w:tcW w:w="1214" w:type="dxa"/>
            <w:tcBorders>
              <w:tl2br w:val="nil"/>
              <w:tr2bl w:val="nil"/>
            </w:tcBorders>
            <w:vAlign w:val="center"/>
          </w:tcPr>
          <w:p w14:paraId="491EB7A3">
            <w:pPr>
              <w:jc w:val="center"/>
              <w:rPr>
                <w:rFonts w:hint="default" w:ascii="Times New Roman" w:hAnsi="Times New Roman" w:cs="Times New Roman" w:eastAsiaTheme="minorEastAsia"/>
                <w:kern w:val="0"/>
                <w:szCs w:val="21"/>
                <w:lang w:val="en-US" w:eastAsia="zh-CN" w:bidi="ar"/>
              </w:rPr>
            </w:pPr>
            <w:r>
              <w:rPr>
                <w:rFonts w:hint="eastAsia" w:ascii="Times New Roman" w:hAnsi="Times New Roman" w:cs="Times New Roman"/>
                <w:kern w:val="0"/>
                <w:szCs w:val="21"/>
                <w:lang w:bidi="ar"/>
              </w:rPr>
              <w:t>0.</w:t>
            </w:r>
            <w:r>
              <w:rPr>
                <w:rFonts w:hint="eastAsia" w:ascii="Times New Roman" w:hAnsi="Times New Roman" w:cs="Times New Roman"/>
                <w:kern w:val="0"/>
                <w:szCs w:val="21"/>
                <w:lang w:val="en-US" w:eastAsia="zh-CN" w:bidi="ar"/>
              </w:rPr>
              <w:t>443</w:t>
            </w:r>
          </w:p>
        </w:tc>
        <w:tc>
          <w:tcPr>
            <w:tcW w:w="963" w:type="dxa"/>
            <w:vMerge w:val="continue"/>
            <w:tcBorders>
              <w:tl2br w:val="nil"/>
              <w:tr2bl w:val="nil"/>
            </w:tcBorders>
            <w:vAlign w:val="center"/>
          </w:tcPr>
          <w:p w14:paraId="7B441191">
            <w:pPr>
              <w:widowControl/>
              <w:jc w:val="center"/>
              <w:textAlignment w:val="center"/>
              <w:rPr>
                <w:rFonts w:ascii="Times New Roman" w:hAnsi="Times New Roman" w:eastAsia="宋体" w:cs="Times New Roman"/>
                <w:kern w:val="0"/>
                <w:szCs w:val="21"/>
              </w:rPr>
            </w:pPr>
          </w:p>
        </w:tc>
        <w:tc>
          <w:tcPr>
            <w:tcW w:w="1026" w:type="dxa"/>
            <w:vMerge w:val="continue"/>
            <w:tcBorders>
              <w:tl2br w:val="nil"/>
              <w:tr2bl w:val="nil"/>
            </w:tcBorders>
            <w:vAlign w:val="center"/>
          </w:tcPr>
          <w:p w14:paraId="6B47B75F">
            <w:pPr>
              <w:widowControl/>
              <w:jc w:val="center"/>
              <w:textAlignment w:val="center"/>
              <w:rPr>
                <w:rFonts w:ascii="Times New Roman" w:hAnsi="Times New Roman" w:cs="Times New Roman"/>
                <w:kern w:val="0"/>
                <w:szCs w:val="21"/>
              </w:rPr>
            </w:pPr>
          </w:p>
        </w:tc>
      </w:tr>
      <w:tr w14:paraId="109F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77" w:type="dxa"/>
            <w:vMerge w:val="continue"/>
            <w:tcBorders>
              <w:tl2br w:val="nil"/>
              <w:tr2bl w:val="nil"/>
            </w:tcBorders>
            <w:vAlign w:val="center"/>
          </w:tcPr>
          <w:p w14:paraId="4A7F9BDC">
            <w:pPr>
              <w:jc w:val="center"/>
              <w:rPr>
                <w:rFonts w:ascii="Times New Roman" w:hAnsi="Times New Roman" w:cs="Times New Roman"/>
                <w:szCs w:val="21"/>
              </w:rPr>
            </w:pPr>
          </w:p>
        </w:tc>
        <w:tc>
          <w:tcPr>
            <w:tcW w:w="2178" w:type="dxa"/>
            <w:vMerge w:val="continue"/>
            <w:tcBorders>
              <w:tl2br w:val="nil"/>
              <w:tr2bl w:val="nil"/>
            </w:tcBorders>
            <w:vAlign w:val="center"/>
          </w:tcPr>
          <w:p w14:paraId="5DAC2671">
            <w:pPr>
              <w:jc w:val="center"/>
              <w:rPr>
                <w:rFonts w:ascii="Times New Roman" w:hAnsi="Times New Roman" w:cs="Times New Roman"/>
                <w:kern w:val="0"/>
                <w:szCs w:val="21"/>
                <w:lang w:bidi="ar"/>
              </w:rPr>
            </w:pPr>
          </w:p>
        </w:tc>
        <w:tc>
          <w:tcPr>
            <w:tcW w:w="1566" w:type="dxa"/>
            <w:tcBorders>
              <w:tl2br w:val="nil"/>
              <w:tr2bl w:val="nil"/>
            </w:tcBorders>
            <w:vAlign w:val="center"/>
          </w:tcPr>
          <w:p w14:paraId="03356C12">
            <w:pPr>
              <w:adjustRightInd w:val="0"/>
              <w:snapToGrid w:val="0"/>
              <w:spacing w:line="280" w:lineRule="exact"/>
              <w:jc w:val="center"/>
              <w:textAlignment w:val="baseline"/>
              <w:rPr>
                <w:rFonts w:ascii="Times New Roman" w:hAnsi="Times New Roman" w:cs="Times New Roman"/>
                <w:szCs w:val="21"/>
              </w:rPr>
            </w:pPr>
            <w:r>
              <w:rPr>
                <w:rFonts w:ascii="Times New Roman" w:hAnsi="Times New Roman" w:cs="Times New Roman"/>
                <w:kern w:val="0"/>
                <w:szCs w:val="21"/>
              </w:rPr>
              <w:t>非甲烷总烃</w:t>
            </w:r>
          </w:p>
        </w:tc>
        <w:tc>
          <w:tcPr>
            <w:tcW w:w="938" w:type="dxa"/>
            <w:vMerge w:val="continue"/>
            <w:tcBorders>
              <w:tl2br w:val="nil"/>
              <w:tr2bl w:val="nil"/>
            </w:tcBorders>
            <w:vAlign w:val="center"/>
          </w:tcPr>
          <w:p w14:paraId="5B31469D">
            <w:pPr>
              <w:jc w:val="center"/>
              <w:rPr>
                <w:rFonts w:ascii="Times New Roman" w:hAnsi="Times New Roman" w:cs="Times New Roman"/>
                <w:szCs w:val="21"/>
              </w:rPr>
            </w:pPr>
          </w:p>
        </w:tc>
        <w:tc>
          <w:tcPr>
            <w:tcW w:w="1214" w:type="dxa"/>
            <w:tcBorders>
              <w:tl2br w:val="nil"/>
              <w:tr2bl w:val="nil"/>
            </w:tcBorders>
            <w:vAlign w:val="center"/>
          </w:tcPr>
          <w:p w14:paraId="5C7D92E1">
            <w:pPr>
              <w:jc w:val="center"/>
              <w:rPr>
                <w:rFonts w:hint="default" w:ascii="Times New Roman" w:hAnsi="Times New Roman" w:cs="Times New Roman" w:eastAsiaTheme="minorEastAsia"/>
                <w:kern w:val="0"/>
                <w:szCs w:val="21"/>
                <w:lang w:val="en-US" w:eastAsia="zh-CN" w:bidi="ar"/>
              </w:rPr>
            </w:pPr>
            <w:r>
              <w:rPr>
                <w:rFonts w:hint="eastAsia" w:ascii="Times New Roman" w:hAnsi="Times New Roman" w:cs="Times New Roman"/>
                <w:kern w:val="0"/>
                <w:szCs w:val="21"/>
                <w:lang w:val="en-US" w:eastAsia="zh-CN" w:bidi="ar"/>
              </w:rPr>
              <w:t>3.706</w:t>
            </w:r>
          </w:p>
        </w:tc>
        <w:tc>
          <w:tcPr>
            <w:tcW w:w="963" w:type="dxa"/>
            <w:vMerge w:val="continue"/>
            <w:tcBorders>
              <w:tl2br w:val="nil"/>
              <w:tr2bl w:val="nil"/>
            </w:tcBorders>
            <w:vAlign w:val="center"/>
          </w:tcPr>
          <w:p w14:paraId="31C8F6D1">
            <w:pPr>
              <w:widowControl/>
              <w:jc w:val="center"/>
              <w:textAlignment w:val="center"/>
              <w:rPr>
                <w:rFonts w:ascii="Times New Roman" w:hAnsi="Times New Roman" w:eastAsia="宋体" w:cs="Times New Roman"/>
                <w:kern w:val="0"/>
                <w:szCs w:val="21"/>
              </w:rPr>
            </w:pPr>
          </w:p>
        </w:tc>
        <w:tc>
          <w:tcPr>
            <w:tcW w:w="1026" w:type="dxa"/>
            <w:vMerge w:val="continue"/>
            <w:tcBorders>
              <w:tl2br w:val="nil"/>
              <w:tr2bl w:val="nil"/>
            </w:tcBorders>
            <w:vAlign w:val="center"/>
          </w:tcPr>
          <w:p w14:paraId="2A815C0F">
            <w:pPr>
              <w:widowControl/>
              <w:jc w:val="center"/>
              <w:textAlignment w:val="center"/>
              <w:rPr>
                <w:rFonts w:ascii="Times New Roman" w:hAnsi="Times New Roman" w:cs="Times New Roman"/>
                <w:kern w:val="0"/>
                <w:szCs w:val="21"/>
              </w:rPr>
            </w:pPr>
          </w:p>
        </w:tc>
      </w:tr>
    </w:tbl>
    <w:p w14:paraId="26369575">
      <w:pPr>
        <w:numPr>
          <w:ilvl w:val="0"/>
          <w:numId w:val="59"/>
        </w:num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szCs w:val="21"/>
        </w:rPr>
        <w:t xml:space="preserve"> </w:t>
      </w:r>
      <w:r>
        <w:rPr>
          <w:rFonts w:ascii="Times New Roman" w:hAnsi="Times New Roman" w:cs="Times New Roman"/>
          <w:b/>
          <w:bCs/>
          <w:color w:val="000000" w:themeColor="text1"/>
          <w:szCs w:val="21"/>
          <w14:textFill>
            <w14:solidFill>
              <w14:schemeClr w14:val="tx1"/>
            </w14:solidFill>
          </w14:textFill>
        </w:rPr>
        <w:t xml:space="preserve"> 估算模型参数表</w:t>
      </w:r>
    </w:p>
    <w:tbl>
      <w:tblPr>
        <w:tblStyle w:val="31"/>
        <w:tblW w:w="49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40"/>
        <w:gridCol w:w="2692"/>
      </w:tblGrid>
      <w:tr w14:paraId="03E1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1" w:type="pct"/>
            <w:gridSpan w:val="2"/>
            <w:tcBorders>
              <w:tl2br w:val="nil"/>
              <w:tr2bl w:val="nil"/>
            </w:tcBorders>
            <w:vAlign w:val="center"/>
          </w:tcPr>
          <w:p w14:paraId="6A278A71">
            <w:pPr>
              <w:jc w:val="center"/>
              <w:rPr>
                <w:rFonts w:ascii="Times New Roman" w:hAnsi="Times New Roman" w:cs="Times New Roman"/>
                <w:bCs/>
                <w:szCs w:val="21"/>
              </w:rPr>
            </w:pPr>
            <w:r>
              <w:rPr>
                <w:rFonts w:ascii="Times New Roman" w:hAnsi="Times New Roman" w:cs="Times New Roman"/>
                <w:bCs/>
                <w:szCs w:val="21"/>
              </w:rPr>
              <w:t>参数</w:t>
            </w:r>
          </w:p>
        </w:tc>
        <w:tc>
          <w:tcPr>
            <w:tcW w:w="1608" w:type="pct"/>
            <w:tcBorders>
              <w:tl2br w:val="nil"/>
              <w:tr2bl w:val="nil"/>
            </w:tcBorders>
            <w:vAlign w:val="center"/>
          </w:tcPr>
          <w:p w14:paraId="70B130F7">
            <w:pPr>
              <w:jc w:val="center"/>
              <w:rPr>
                <w:rFonts w:ascii="Times New Roman" w:hAnsi="Times New Roman" w:cs="Times New Roman"/>
                <w:bCs/>
                <w:szCs w:val="21"/>
              </w:rPr>
            </w:pPr>
            <w:r>
              <w:rPr>
                <w:rFonts w:ascii="Times New Roman" w:hAnsi="Times New Roman" w:cs="Times New Roman"/>
                <w:bCs/>
                <w:szCs w:val="21"/>
              </w:rPr>
              <w:t>取值</w:t>
            </w:r>
          </w:p>
        </w:tc>
      </w:tr>
      <w:tr w14:paraId="0EE7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vMerge w:val="restart"/>
            <w:tcBorders>
              <w:tl2br w:val="nil"/>
              <w:tr2bl w:val="nil"/>
            </w:tcBorders>
            <w:vAlign w:val="center"/>
          </w:tcPr>
          <w:p w14:paraId="3985C691">
            <w:pPr>
              <w:jc w:val="center"/>
              <w:rPr>
                <w:rFonts w:ascii="Times New Roman" w:hAnsi="Times New Roman" w:cs="Times New Roman"/>
                <w:bCs/>
                <w:szCs w:val="21"/>
              </w:rPr>
            </w:pPr>
            <w:r>
              <w:rPr>
                <w:rFonts w:ascii="Times New Roman" w:hAnsi="Times New Roman" w:cs="Times New Roman"/>
                <w:bCs/>
                <w:szCs w:val="21"/>
              </w:rPr>
              <w:t>城市/农村选项</w:t>
            </w:r>
          </w:p>
        </w:tc>
        <w:tc>
          <w:tcPr>
            <w:tcW w:w="1696" w:type="pct"/>
            <w:tcBorders>
              <w:tl2br w:val="nil"/>
              <w:tr2bl w:val="nil"/>
            </w:tcBorders>
            <w:vAlign w:val="center"/>
          </w:tcPr>
          <w:p w14:paraId="0E1E0384">
            <w:pPr>
              <w:jc w:val="center"/>
              <w:rPr>
                <w:rFonts w:ascii="Times New Roman" w:hAnsi="Times New Roman" w:cs="Times New Roman"/>
                <w:bCs/>
                <w:szCs w:val="21"/>
              </w:rPr>
            </w:pPr>
            <w:r>
              <w:rPr>
                <w:rFonts w:ascii="Times New Roman" w:hAnsi="Times New Roman" w:cs="Times New Roman"/>
                <w:bCs/>
                <w:szCs w:val="21"/>
              </w:rPr>
              <w:t>城市/农村</w:t>
            </w:r>
          </w:p>
        </w:tc>
        <w:tc>
          <w:tcPr>
            <w:tcW w:w="1608" w:type="pct"/>
            <w:tcBorders>
              <w:tl2br w:val="nil"/>
              <w:tr2bl w:val="nil"/>
            </w:tcBorders>
            <w:vAlign w:val="center"/>
          </w:tcPr>
          <w:p w14:paraId="2CD80C6C">
            <w:pPr>
              <w:jc w:val="center"/>
              <w:rPr>
                <w:rFonts w:ascii="Times New Roman" w:hAnsi="Times New Roman" w:cs="Times New Roman"/>
                <w:bCs/>
                <w:szCs w:val="21"/>
              </w:rPr>
            </w:pPr>
            <w:r>
              <w:rPr>
                <w:rFonts w:hint="eastAsia" w:ascii="Times New Roman" w:hAnsi="Times New Roman" w:cs="Times New Roman"/>
                <w:bCs/>
                <w:szCs w:val="21"/>
              </w:rPr>
              <w:t>城市</w:t>
            </w:r>
          </w:p>
        </w:tc>
      </w:tr>
      <w:tr w14:paraId="12B5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vMerge w:val="continue"/>
            <w:tcBorders>
              <w:tl2br w:val="nil"/>
              <w:tr2bl w:val="nil"/>
            </w:tcBorders>
            <w:vAlign w:val="center"/>
          </w:tcPr>
          <w:p w14:paraId="6F4885CA">
            <w:pPr>
              <w:jc w:val="center"/>
              <w:rPr>
                <w:rFonts w:ascii="Times New Roman" w:hAnsi="Times New Roman" w:cs="Times New Roman"/>
                <w:bCs/>
                <w:szCs w:val="21"/>
              </w:rPr>
            </w:pPr>
          </w:p>
        </w:tc>
        <w:tc>
          <w:tcPr>
            <w:tcW w:w="1696" w:type="pct"/>
            <w:tcBorders>
              <w:tl2br w:val="nil"/>
              <w:tr2bl w:val="nil"/>
            </w:tcBorders>
            <w:vAlign w:val="center"/>
          </w:tcPr>
          <w:p w14:paraId="1F7DEE23">
            <w:pPr>
              <w:jc w:val="center"/>
              <w:rPr>
                <w:rFonts w:ascii="Times New Roman" w:hAnsi="Times New Roman" w:cs="Times New Roman"/>
                <w:bCs/>
                <w:szCs w:val="21"/>
              </w:rPr>
            </w:pPr>
            <w:r>
              <w:rPr>
                <w:rFonts w:ascii="Times New Roman" w:hAnsi="Times New Roman" w:cs="Times New Roman"/>
                <w:bCs/>
                <w:szCs w:val="21"/>
              </w:rPr>
              <w:t>人口数（城市选项时）</w:t>
            </w:r>
          </w:p>
        </w:tc>
        <w:tc>
          <w:tcPr>
            <w:tcW w:w="1608" w:type="pct"/>
            <w:tcBorders>
              <w:tl2br w:val="nil"/>
              <w:tr2bl w:val="nil"/>
            </w:tcBorders>
            <w:vAlign w:val="center"/>
          </w:tcPr>
          <w:p w14:paraId="5909AE54">
            <w:pPr>
              <w:jc w:val="center"/>
              <w:rPr>
                <w:rFonts w:ascii="Times New Roman" w:hAnsi="Times New Roman" w:cs="Times New Roman"/>
                <w:bCs/>
                <w:color w:val="auto"/>
                <w:szCs w:val="21"/>
              </w:rPr>
            </w:pPr>
            <w:r>
              <w:rPr>
                <w:rFonts w:hint="eastAsia" w:ascii="Times New Roman" w:hAnsi="Times New Roman" w:cs="Times New Roman"/>
                <w:bCs/>
                <w:color w:val="auto"/>
                <w:szCs w:val="21"/>
              </w:rPr>
              <w:t>25万</w:t>
            </w:r>
          </w:p>
        </w:tc>
      </w:tr>
      <w:tr w14:paraId="195F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1" w:type="pct"/>
            <w:gridSpan w:val="2"/>
            <w:tcBorders>
              <w:tl2br w:val="nil"/>
              <w:tr2bl w:val="nil"/>
            </w:tcBorders>
            <w:vAlign w:val="center"/>
          </w:tcPr>
          <w:p w14:paraId="672D5A33">
            <w:pPr>
              <w:jc w:val="center"/>
              <w:rPr>
                <w:rFonts w:ascii="Times New Roman" w:hAnsi="Times New Roman" w:cs="Times New Roman"/>
                <w:bCs/>
                <w:szCs w:val="21"/>
              </w:rPr>
            </w:pPr>
            <w:r>
              <w:rPr>
                <w:rFonts w:ascii="Times New Roman" w:hAnsi="Times New Roman" w:cs="Times New Roman"/>
                <w:bCs/>
                <w:szCs w:val="21"/>
              </w:rPr>
              <w:t>最高环境温度/℃</w:t>
            </w:r>
          </w:p>
        </w:tc>
        <w:tc>
          <w:tcPr>
            <w:tcW w:w="1608" w:type="pct"/>
            <w:tcBorders>
              <w:tl2br w:val="nil"/>
              <w:tr2bl w:val="nil"/>
            </w:tcBorders>
            <w:vAlign w:val="center"/>
          </w:tcPr>
          <w:p w14:paraId="6BB85113">
            <w:pPr>
              <w:jc w:val="center"/>
              <w:rPr>
                <w:rFonts w:ascii="Times New Roman" w:hAnsi="Times New Roman" w:cs="Times New Roman"/>
                <w:bCs/>
                <w:color w:val="auto"/>
                <w:szCs w:val="21"/>
              </w:rPr>
            </w:pPr>
            <w:r>
              <w:rPr>
                <w:rFonts w:hint="eastAsia" w:ascii="Times New Roman" w:hAnsi="Times New Roman" w:cs="Times New Roman"/>
                <w:bCs/>
                <w:color w:val="auto"/>
                <w:szCs w:val="21"/>
              </w:rPr>
              <w:t>41.4</w:t>
            </w:r>
          </w:p>
        </w:tc>
      </w:tr>
      <w:tr w14:paraId="1DB6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91" w:type="pct"/>
            <w:gridSpan w:val="2"/>
            <w:tcBorders>
              <w:tl2br w:val="nil"/>
              <w:tr2bl w:val="nil"/>
            </w:tcBorders>
            <w:vAlign w:val="center"/>
          </w:tcPr>
          <w:p w14:paraId="5B7BCA7F">
            <w:pPr>
              <w:jc w:val="center"/>
              <w:rPr>
                <w:rFonts w:ascii="Times New Roman" w:hAnsi="Times New Roman" w:cs="Times New Roman"/>
                <w:bCs/>
                <w:szCs w:val="21"/>
              </w:rPr>
            </w:pPr>
            <w:r>
              <w:rPr>
                <w:rFonts w:ascii="Times New Roman" w:hAnsi="Times New Roman" w:cs="Times New Roman"/>
                <w:bCs/>
                <w:szCs w:val="21"/>
              </w:rPr>
              <w:t>最低环境温度/℃</w:t>
            </w:r>
          </w:p>
        </w:tc>
        <w:tc>
          <w:tcPr>
            <w:tcW w:w="1608" w:type="pct"/>
            <w:tcBorders>
              <w:tl2br w:val="nil"/>
              <w:tr2bl w:val="nil"/>
            </w:tcBorders>
            <w:vAlign w:val="center"/>
          </w:tcPr>
          <w:p w14:paraId="13BE4B55">
            <w:pPr>
              <w:jc w:val="center"/>
              <w:rPr>
                <w:rFonts w:ascii="Times New Roman" w:hAnsi="Times New Roman" w:cs="Times New Roman"/>
                <w:bCs/>
                <w:szCs w:val="21"/>
              </w:rPr>
            </w:pPr>
            <w:r>
              <w:rPr>
                <w:rFonts w:ascii="Times New Roman" w:hAnsi="Times New Roman" w:cs="Times New Roman"/>
                <w:bCs/>
                <w:szCs w:val="21"/>
              </w:rPr>
              <w:t>-</w:t>
            </w:r>
            <w:r>
              <w:rPr>
                <w:rFonts w:hint="eastAsia" w:ascii="Times New Roman" w:hAnsi="Times New Roman" w:cs="Times New Roman"/>
                <w:bCs/>
                <w:szCs w:val="21"/>
              </w:rPr>
              <w:t>17.1</w:t>
            </w:r>
          </w:p>
        </w:tc>
      </w:tr>
      <w:tr w14:paraId="7E4E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1" w:type="pct"/>
            <w:gridSpan w:val="2"/>
            <w:tcBorders>
              <w:tl2br w:val="nil"/>
              <w:tr2bl w:val="nil"/>
            </w:tcBorders>
            <w:vAlign w:val="center"/>
          </w:tcPr>
          <w:p w14:paraId="27C81C79">
            <w:pPr>
              <w:jc w:val="center"/>
              <w:rPr>
                <w:rFonts w:ascii="Times New Roman" w:hAnsi="Times New Roman" w:cs="Times New Roman"/>
                <w:bCs/>
                <w:szCs w:val="21"/>
              </w:rPr>
            </w:pPr>
            <w:r>
              <w:rPr>
                <w:rFonts w:ascii="Times New Roman" w:hAnsi="Times New Roman" w:cs="Times New Roman"/>
                <w:bCs/>
                <w:szCs w:val="21"/>
              </w:rPr>
              <w:t>土地利用类型</w:t>
            </w:r>
          </w:p>
        </w:tc>
        <w:tc>
          <w:tcPr>
            <w:tcW w:w="1608" w:type="pct"/>
            <w:tcBorders>
              <w:tl2br w:val="nil"/>
              <w:tr2bl w:val="nil"/>
            </w:tcBorders>
            <w:vAlign w:val="center"/>
          </w:tcPr>
          <w:p w14:paraId="0D2CC429">
            <w:pPr>
              <w:jc w:val="center"/>
              <w:rPr>
                <w:rFonts w:ascii="Times New Roman" w:hAnsi="Times New Roman" w:cs="Times New Roman"/>
                <w:bCs/>
                <w:szCs w:val="21"/>
              </w:rPr>
            </w:pPr>
            <w:r>
              <w:rPr>
                <w:rFonts w:ascii="Times New Roman" w:hAnsi="Times New Roman" w:cs="Times New Roman"/>
                <w:bCs/>
                <w:szCs w:val="21"/>
              </w:rPr>
              <w:t>农用地</w:t>
            </w:r>
          </w:p>
        </w:tc>
      </w:tr>
      <w:tr w14:paraId="768B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1" w:type="pct"/>
            <w:gridSpan w:val="2"/>
            <w:tcBorders>
              <w:tl2br w:val="nil"/>
              <w:tr2bl w:val="nil"/>
            </w:tcBorders>
            <w:vAlign w:val="center"/>
          </w:tcPr>
          <w:p w14:paraId="5335946A">
            <w:pPr>
              <w:jc w:val="center"/>
              <w:rPr>
                <w:rFonts w:ascii="Times New Roman" w:hAnsi="Times New Roman" w:cs="Times New Roman"/>
                <w:bCs/>
                <w:szCs w:val="21"/>
              </w:rPr>
            </w:pPr>
            <w:r>
              <w:rPr>
                <w:rFonts w:ascii="Times New Roman" w:hAnsi="Times New Roman" w:cs="Times New Roman"/>
                <w:bCs/>
                <w:szCs w:val="21"/>
              </w:rPr>
              <w:t>区域湿度条件</w:t>
            </w:r>
          </w:p>
        </w:tc>
        <w:tc>
          <w:tcPr>
            <w:tcW w:w="1608" w:type="pct"/>
            <w:tcBorders>
              <w:tl2br w:val="nil"/>
              <w:tr2bl w:val="nil"/>
            </w:tcBorders>
            <w:vAlign w:val="center"/>
          </w:tcPr>
          <w:p w14:paraId="62420507">
            <w:pPr>
              <w:jc w:val="center"/>
              <w:rPr>
                <w:rFonts w:ascii="Times New Roman" w:hAnsi="Times New Roman" w:cs="Times New Roman"/>
                <w:bCs/>
                <w:szCs w:val="21"/>
              </w:rPr>
            </w:pPr>
            <w:r>
              <w:rPr>
                <w:rFonts w:ascii="Times New Roman" w:hAnsi="Times New Roman" w:cs="Times New Roman"/>
                <w:bCs/>
                <w:szCs w:val="21"/>
              </w:rPr>
              <w:t>中等湿度气候</w:t>
            </w:r>
          </w:p>
        </w:tc>
      </w:tr>
      <w:tr w14:paraId="50D3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vMerge w:val="restart"/>
            <w:tcBorders>
              <w:tl2br w:val="nil"/>
              <w:tr2bl w:val="nil"/>
            </w:tcBorders>
            <w:vAlign w:val="center"/>
          </w:tcPr>
          <w:p w14:paraId="184891BA">
            <w:pPr>
              <w:jc w:val="center"/>
              <w:rPr>
                <w:rFonts w:ascii="Times New Roman" w:hAnsi="Times New Roman" w:cs="Times New Roman"/>
                <w:bCs/>
                <w:szCs w:val="21"/>
              </w:rPr>
            </w:pPr>
            <w:r>
              <w:rPr>
                <w:rFonts w:ascii="Times New Roman" w:hAnsi="Times New Roman" w:cs="Times New Roman"/>
                <w:bCs/>
                <w:szCs w:val="21"/>
              </w:rPr>
              <w:t>是否考虑地形</w:t>
            </w:r>
          </w:p>
        </w:tc>
        <w:tc>
          <w:tcPr>
            <w:tcW w:w="1696" w:type="pct"/>
            <w:tcBorders>
              <w:tl2br w:val="nil"/>
              <w:tr2bl w:val="nil"/>
            </w:tcBorders>
            <w:vAlign w:val="center"/>
          </w:tcPr>
          <w:p w14:paraId="20E10191">
            <w:pPr>
              <w:jc w:val="center"/>
              <w:rPr>
                <w:rFonts w:ascii="Times New Roman" w:hAnsi="Times New Roman" w:cs="Times New Roman"/>
                <w:bCs/>
                <w:szCs w:val="21"/>
              </w:rPr>
            </w:pPr>
            <w:r>
              <w:rPr>
                <w:rFonts w:ascii="Times New Roman" w:hAnsi="Times New Roman" w:cs="Times New Roman"/>
                <w:bCs/>
                <w:szCs w:val="21"/>
              </w:rPr>
              <w:t>考虑地形</w:t>
            </w:r>
          </w:p>
        </w:tc>
        <w:tc>
          <w:tcPr>
            <w:tcW w:w="1608" w:type="pct"/>
            <w:tcBorders>
              <w:tl2br w:val="nil"/>
              <w:tr2bl w:val="nil"/>
            </w:tcBorders>
            <w:vAlign w:val="center"/>
          </w:tcPr>
          <w:p w14:paraId="2EAD05E4">
            <w:pPr>
              <w:jc w:val="center"/>
              <w:rPr>
                <w:rFonts w:ascii="Times New Roman" w:hAnsi="Times New Roman" w:cs="Times New Roman"/>
                <w:bCs/>
                <w:szCs w:val="21"/>
              </w:rPr>
            </w:pPr>
            <w:r>
              <w:rPr>
                <w:rFonts w:ascii="Times New Roman" w:hAnsi="Times New Roman" w:cs="Times New Roman"/>
                <w:bCs/>
                <w:szCs w:val="21"/>
              </w:rPr>
              <w:sym w:font="Wingdings" w:char="00FE"/>
            </w:r>
            <w:r>
              <w:rPr>
                <w:rFonts w:ascii="Times New Roman" w:hAnsi="Times New Roman" w:cs="Times New Roman"/>
                <w:bCs/>
                <w:szCs w:val="21"/>
              </w:rPr>
              <w:t xml:space="preserve">是  </w:t>
            </w:r>
            <w:r>
              <w:rPr>
                <w:rFonts w:ascii="Times New Roman" w:hAnsi="Times New Roman" w:cs="Times New Roman"/>
                <w:bCs/>
                <w:szCs w:val="21"/>
              </w:rPr>
              <w:sym w:font="Wingdings" w:char="00A8"/>
            </w:r>
            <w:r>
              <w:rPr>
                <w:rFonts w:ascii="Times New Roman" w:hAnsi="Times New Roman" w:cs="Times New Roman"/>
                <w:bCs/>
                <w:szCs w:val="21"/>
              </w:rPr>
              <w:t>否</w:t>
            </w:r>
          </w:p>
        </w:tc>
      </w:tr>
      <w:tr w14:paraId="1736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vMerge w:val="continue"/>
            <w:tcBorders>
              <w:tl2br w:val="nil"/>
              <w:tr2bl w:val="nil"/>
            </w:tcBorders>
            <w:vAlign w:val="center"/>
          </w:tcPr>
          <w:p w14:paraId="7EFDD019">
            <w:pPr>
              <w:jc w:val="center"/>
              <w:rPr>
                <w:rFonts w:ascii="Times New Roman" w:hAnsi="Times New Roman" w:cs="Times New Roman"/>
                <w:bCs/>
                <w:szCs w:val="21"/>
              </w:rPr>
            </w:pPr>
          </w:p>
        </w:tc>
        <w:tc>
          <w:tcPr>
            <w:tcW w:w="1696" w:type="pct"/>
            <w:tcBorders>
              <w:tl2br w:val="nil"/>
              <w:tr2bl w:val="nil"/>
            </w:tcBorders>
            <w:vAlign w:val="center"/>
          </w:tcPr>
          <w:p w14:paraId="51783345">
            <w:pPr>
              <w:jc w:val="center"/>
              <w:rPr>
                <w:rFonts w:ascii="Times New Roman" w:hAnsi="Times New Roman" w:cs="Times New Roman"/>
                <w:bCs/>
                <w:szCs w:val="21"/>
              </w:rPr>
            </w:pPr>
            <w:r>
              <w:rPr>
                <w:rFonts w:ascii="Times New Roman" w:hAnsi="Times New Roman" w:cs="Times New Roman"/>
                <w:bCs/>
                <w:szCs w:val="21"/>
              </w:rPr>
              <w:t>地形数据分辨率/m</w:t>
            </w:r>
          </w:p>
        </w:tc>
        <w:tc>
          <w:tcPr>
            <w:tcW w:w="1608" w:type="pct"/>
            <w:tcBorders>
              <w:tl2br w:val="nil"/>
              <w:tr2bl w:val="nil"/>
            </w:tcBorders>
            <w:vAlign w:val="center"/>
          </w:tcPr>
          <w:p w14:paraId="35895C15">
            <w:pPr>
              <w:jc w:val="center"/>
              <w:rPr>
                <w:rFonts w:ascii="Times New Roman" w:hAnsi="Times New Roman" w:cs="Times New Roman"/>
                <w:bCs/>
                <w:szCs w:val="21"/>
              </w:rPr>
            </w:pPr>
            <w:r>
              <w:rPr>
                <w:rFonts w:ascii="Times New Roman" w:hAnsi="Times New Roman" w:eastAsia="宋体" w:cs="Times New Roman"/>
                <w:color w:val="000000"/>
                <w:szCs w:val="21"/>
              </w:rPr>
              <w:t>90</w:t>
            </w:r>
          </w:p>
        </w:tc>
      </w:tr>
      <w:tr w14:paraId="03E8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5" w:type="pct"/>
            <w:vMerge w:val="restart"/>
            <w:tcBorders>
              <w:tl2br w:val="nil"/>
              <w:tr2bl w:val="nil"/>
            </w:tcBorders>
            <w:vAlign w:val="center"/>
          </w:tcPr>
          <w:p w14:paraId="3C01ACF8">
            <w:pPr>
              <w:jc w:val="center"/>
              <w:rPr>
                <w:rFonts w:ascii="Times New Roman" w:hAnsi="Times New Roman" w:cs="Times New Roman"/>
                <w:bCs/>
                <w:szCs w:val="21"/>
              </w:rPr>
            </w:pPr>
            <w:r>
              <w:rPr>
                <w:rFonts w:ascii="Times New Roman" w:hAnsi="Times New Roman" w:cs="Times New Roman"/>
                <w:bCs/>
                <w:szCs w:val="21"/>
              </w:rPr>
              <w:t>是否考虑岸线熏烟</w:t>
            </w:r>
          </w:p>
        </w:tc>
        <w:tc>
          <w:tcPr>
            <w:tcW w:w="1696" w:type="pct"/>
            <w:tcBorders>
              <w:tl2br w:val="nil"/>
              <w:tr2bl w:val="nil"/>
            </w:tcBorders>
            <w:vAlign w:val="center"/>
          </w:tcPr>
          <w:p w14:paraId="79118163">
            <w:pPr>
              <w:jc w:val="center"/>
              <w:rPr>
                <w:rFonts w:ascii="Times New Roman" w:hAnsi="Times New Roman" w:cs="Times New Roman"/>
                <w:bCs/>
                <w:szCs w:val="21"/>
              </w:rPr>
            </w:pPr>
            <w:r>
              <w:rPr>
                <w:rFonts w:ascii="Times New Roman" w:hAnsi="Times New Roman" w:cs="Times New Roman"/>
                <w:bCs/>
                <w:szCs w:val="21"/>
              </w:rPr>
              <w:t>考虑岸线熏烟</w:t>
            </w:r>
          </w:p>
        </w:tc>
        <w:tc>
          <w:tcPr>
            <w:tcW w:w="1608" w:type="pct"/>
            <w:tcBorders>
              <w:tl2br w:val="nil"/>
              <w:tr2bl w:val="nil"/>
            </w:tcBorders>
            <w:vAlign w:val="center"/>
          </w:tcPr>
          <w:p w14:paraId="4982AEC8">
            <w:pPr>
              <w:jc w:val="center"/>
              <w:rPr>
                <w:rFonts w:ascii="Times New Roman" w:hAnsi="Times New Roman" w:cs="Times New Roman"/>
                <w:bCs/>
                <w:szCs w:val="21"/>
              </w:rPr>
            </w:pPr>
            <w:r>
              <w:rPr>
                <w:rFonts w:ascii="Times New Roman" w:hAnsi="Times New Roman" w:cs="Times New Roman"/>
                <w:bCs/>
                <w:szCs w:val="21"/>
              </w:rPr>
              <w:sym w:font="Wingdings" w:char="00A8"/>
            </w:r>
            <w:r>
              <w:rPr>
                <w:rFonts w:ascii="Times New Roman" w:hAnsi="Times New Roman" w:cs="Times New Roman"/>
                <w:bCs/>
                <w:szCs w:val="21"/>
              </w:rPr>
              <w:t xml:space="preserve">是  </w:t>
            </w:r>
            <w:r>
              <w:rPr>
                <w:rFonts w:ascii="Times New Roman" w:hAnsi="Times New Roman" w:cs="Times New Roman"/>
                <w:bCs/>
                <w:szCs w:val="21"/>
              </w:rPr>
              <w:sym w:font="Wingdings" w:char="00FE"/>
            </w:r>
            <w:r>
              <w:rPr>
                <w:rFonts w:ascii="Times New Roman" w:hAnsi="Times New Roman" w:cs="Times New Roman"/>
                <w:bCs/>
                <w:szCs w:val="21"/>
              </w:rPr>
              <w:t>否</w:t>
            </w:r>
          </w:p>
        </w:tc>
      </w:tr>
      <w:tr w14:paraId="4E69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vMerge w:val="continue"/>
            <w:tcBorders>
              <w:tl2br w:val="nil"/>
              <w:tr2bl w:val="nil"/>
            </w:tcBorders>
            <w:vAlign w:val="center"/>
          </w:tcPr>
          <w:p w14:paraId="16D65012">
            <w:pPr>
              <w:jc w:val="center"/>
              <w:rPr>
                <w:rFonts w:ascii="Times New Roman" w:hAnsi="Times New Roman" w:cs="Times New Roman"/>
                <w:bCs/>
                <w:szCs w:val="21"/>
              </w:rPr>
            </w:pPr>
          </w:p>
        </w:tc>
        <w:tc>
          <w:tcPr>
            <w:tcW w:w="1696" w:type="pct"/>
            <w:tcBorders>
              <w:tl2br w:val="nil"/>
              <w:tr2bl w:val="nil"/>
            </w:tcBorders>
            <w:vAlign w:val="center"/>
          </w:tcPr>
          <w:p w14:paraId="3E331F64">
            <w:pPr>
              <w:jc w:val="center"/>
              <w:rPr>
                <w:rFonts w:ascii="Times New Roman" w:hAnsi="Times New Roman" w:cs="Times New Roman"/>
                <w:bCs/>
                <w:szCs w:val="21"/>
              </w:rPr>
            </w:pPr>
            <w:r>
              <w:rPr>
                <w:rFonts w:ascii="Times New Roman" w:hAnsi="Times New Roman" w:cs="Times New Roman"/>
                <w:bCs/>
                <w:szCs w:val="21"/>
              </w:rPr>
              <w:t>岸线距离/km</w:t>
            </w:r>
          </w:p>
        </w:tc>
        <w:tc>
          <w:tcPr>
            <w:tcW w:w="1608" w:type="pct"/>
            <w:tcBorders>
              <w:tl2br w:val="nil"/>
              <w:tr2bl w:val="nil"/>
            </w:tcBorders>
            <w:vAlign w:val="center"/>
          </w:tcPr>
          <w:p w14:paraId="1FA1F2D8">
            <w:pPr>
              <w:jc w:val="center"/>
              <w:rPr>
                <w:rFonts w:ascii="Times New Roman" w:hAnsi="Times New Roman" w:cs="Times New Roman"/>
                <w:bCs/>
                <w:szCs w:val="21"/>
              </w:rPr>
            </w:pPr>
            <w:r>
              <w:rPr>
                <w:rFonts w:ascii="Times New Roman" w:hAnsi="Times New Roman" w:cs="Times New Roman"/>
                <w:bCs/>
                <w:szCs w:val="21"/>
              </w:rPr>
              <w:t>/</w:t>
            </w:r>
          </w:p>
        </w:tc>
      </w:tr>
      <w:tr w14:paraId="22E3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vMerge w:val="continue"/>
            <w:tcBorders>
              <w:tl2br w:val="nil"/>
              <w:tr2bl w:val="nil"/>
            </w:tcBorders>
            <w:vAlign w:val="center"/>
          </w:tcPr>
          <w:p w14:paraId="3A141404">
            <w:pPr>
              <w:jc w:val="center"/>
              <w:rPr>
                <w:rFonts w:ascii="Times New Roman" w:hAnsi="Times New Roman" w:cs="Times New Roman"/>
                <w:bCs/>
                <w:szCs w:val="21"/>
              </w:rPr>
            </w:pPr>
          </w:p>
        </w:tc>
        <w:tc>
          <w:tcPr>
            <w:tcW w:w="1696" w:type="pct"/>
            <w:tcBorders>
              <w:tl2br w:val="nil"/>
              <w:tr2bl w:val="nil"/>
            </w:tcBorders>
            <w:vAlign w:val="center"/>
          </w:tcPr>
          <w:p w14:paraId="07AE63B9">
            <w:pPr>
              <w:jc w:val="center"/>
              <w:rPr>
                <w:rFonts w:ascii="Times New Roman" w:hAnsi="Times New Roman" w:cs="Times New Roman"/>
                <w:bCs/>
                <w:szCs w:val="21"/>
              </w:rPr>
            </w:pPr>
            <w:r>
              <w:rPr>
                <w:rFonts w:ascii="Times New Roman" w:hAnsi="Times New Roman" w:cs="Times New Roman"/>
                <w:bCs/>
                <w:szCs w:val="21"/>
              </w:rPr>
              <w:t>岸线方向/°</w:t>
            </w:r>
          </w:p>
        </w:tc>
        <w:tc>
          <w:tcPr>
            <w:tcW w:w="1608" w:type="pct"/>
            <w:tcBorders>
              <w:tl2br w:val="nil"/>
              <w:tr2bl w:val="nil"/>
            </w:tcBorders>
            <w:vAlign w:val="center"/>
          </w:tcPr>
          <w:p w14:paraId="7A217FD8">
            <w:pPr>
              <w:jc w:val="center"/>
              <w:rPr>
                <w:rFonts w:ascii="Times New Roman" w:hAnsi="Times New Roman" w:cs="Times New Roman"/>
                <w:bCs/>
                <w:szCs w:val="21"/>
              </w:rPr>
            </w:pPr>
            <w:r>
              <w:rPr>
                <w:rFonts w:ascii="Times New Roman" w:hAnsi="Times New Roman" w:cs="Times New Roman"/>
                <w:bCs/>
                <w:szCs w:val="21"/>
              </w:rPr>
              <w:t>/</w:t>
            </w:r>
          </w:p>
        </w:tc>
      </w:tr>
    </w:tbl>
    <w:p w14:paraId="1D225A87">
      <w:pPr>
        <w:spacing w:line="360" w:lineRule="auto"/>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、评价标准</w:t>
      </w:r>
    </w:p>
    <w:p w14:paraId="69005C34">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本次大气环境预测评价因子评价标准见</w:t>
      </w:r>
      <w:r>
        <w:rPr>
          <w:rFonts w:hint="eastAsia" w:ascii="Times New Roman" w:hAnsi="Times New Roman" w:cs="Times New Roman"/>
          <w:color w:val="000000" w:themeColor="text1"/>
          <w:sz w:val="24"/>
          <w14:textFill>
            <w14:solidFill>
              <w14:schemeClr w14:val="tx1"/>
            </w14:solidFill>
          </w14:textFill>
        </w:rPr>
        <w:t>下</w:t>
      </w:r>
      <w:r>
        <w:rPr>
          <w:rFonts w:ascii="Times New Roman" w:hAnsi="Times New Roman" w:cs="Times New Roman"/>
          <w:color w:val="000000" w:themeColor="text1"/>
          <w:sz w:val="24"/>
          <w14:textFill>
            <w14:solidFill>
              <w14:schemeClr w14:val="tx1"/>
            </w14:solidFill>
          </w14:textFill>
        </w:rPr>
        <w:t>表。</w:t>
      </w:r>
    </w:p>
    <w:p w14:paraId="1754EA69">
      <w:pPr>
        <w:numPr>
          <w:ilvl w:val="0"/>
          <w:numId w:val="59"/>
        </w:num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szCs w:val="21"/>
        </w:rPr>
        <w:t xml:space="preserve"> </w:t>
      </w:r>
      <w:r>
        <w:rPr>
          <w:rFonts w:ascii="Times New Roman" w:hAnsi="Times New Roman" w:cs="Times New Roman"/>
          <w:b/>
          <w:bCs/>
          <w:color w:val="000000" w:themeColor="text1"/>
          <w:szCs w:val="21"/>
          <w14:textFill>
            <w14:solidFill>
              <w14:schemeClr w14:val="tx1"/>
            </w14:solidFill>
          </w14:textFill>
        </w:rPr>
        <w:t xml:space="preserve"> 大气环境预测评价因子评价标准一览表</w:t>
      </w:r>
    </w:p>
    <w:tbl>
      <w:tblPr>
        <w:tblStyle w:val="30"/>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19"/>
        <w:gridCol w:w="3306"/>
        <w:gridCol w:w="3931"/>
      </w:tblGrid>
      <w:tr w14:paraId="19E8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1119" w:type="dxa"/>
            <w:tcBorders>
              <w:tl2br w:val="nil"/>
              <w:tr2bl w:val="nil"/>
            </w:tcBorders>
            <w:tcMar>
              <w:top w:w="57" w:type="dxa"/>
              <w:left w:w="28" w:type="dxa"/>
              <w:bottom w:w="57" w:type="dxa"/>
              <w:right w:w="28" w:type="dxa"/>
            </w:tcMar>
            <w:vAlign w:val="center"/>
          </w:tcPr>
          <w:p w14:paraId="680B6275">
            <w:pPr>
              <w:jc w:val="center"/>
              <w:rPr>
                <w:rFonts w:ascii="Times New Roman" w:hAnsi="Times New Roman" w:cs="Times New Roman"/>
                <w:color w:val="000000"/>
                <w:szCs w:val="21"/>
              </w:rPr>
            </w:pPr>
            <w:r>
              <w:rPr>
                <w:rFonts w:ascii="Times New Roman" w:hAnsi="Times New Roman" w:cs="Times New Roman"/>
                <w:color w:val="000000"/>
                <w:szCs w:val="21"/>
              </w:rPr>
              <w:t>评价因子</w:t>
            </w:r>
          </w:p>
        </w:tc>
        <w:tc>
          <w:tcPr>
            <w:tcW w:w="3306" w:type="dxa"/>
            <w:tcBorders>
              <w:tl2br w:val="nil"/>
              <w:tr2bl w:val="nil"/>
            </w:tcBorders>
            <w:tcMar>
              <w:top w:w="57" w:type="dxa"/>
              <w:left w:w="28" w:type="dxa"/>
              <w:bottom w:w="57" w:type="dxa"/>
              <w:right w:w="28" w:type="dxa"/>
            </w:tcMar>
            <w:vAlign w:val="center"/>
          </w:tcPr>
          <w:p w14:paraId="2E9EF210">
            <w:pPr>
              <w:jc w:val="center"/>
              <w:rPr>
                <w:rFonts w:ascii="Times New Roman" w:hAnsi="Times New Roman" w:cs="Times New Roman"/>
                <w:color w:val="000000"/>
                <w:szCs w:val="21"/>
              </w:rPr>
            </w:pPr>
            <w:r>
              <w:rPr>
                <w:rFonts w:ascii="Times New Roman" w:hAnsi="Times New Roman" w:cs="Times New Roman"/>
                <w:color w:val="000000"/>
                <w:szCs w:val="21"/>
              </w:rPr>
              <w:t>评价指标</w:t>
            </w:r>
          </w:p>
        </w:tc>
        <w:tc>
          <w:tcPr>
            <w:tcW w:w="3931" w:type="dxa"/>
            <w:tcBorders>
              <w:tl2br w:val="nil"/>
              <w:tr2bl w:val="nil"/>
            </w:tcBorders>
            <w:tcMar>
              <w:top w:w="57" w:type="dxa"/>
              <w:left w:w="28" w:type="dxa"/>
              <w:bottom w:w="57" w:type="dxa"/>
              <w:right w:w="28" w:type="dxa"/>
            </w:tcMar>
            <w:vAlign w:val="center"/>
          </w:tcPr>
          <w:p w14:paraId="310D0D1C">
            <w:pPr>
              <w:jc w:val="center"/>
              <w:rPr>
                <w:rFonts w:ascii="Times New Roman" w:hAnsi="Times New Roman" w:cs="Times New Roman"/>
                <w:color w:val="000000"/>
                <w:szCs w:val="21"/>
              </w:rPr>
            </w:pPr>
            <w:r>
              <w:rPr>
                <w:rFonts w:ascii="Times New Roman" w:hAnsi="Times New Roman" w:cs="Times New Roman"/>
                <w:color w:val="000000"/>
                <w:szCs w:val="21"/>
              </w:rPr>
              <w:t>参考标准</w:t>
            </w:r>
          </w:p>
        </w:tc>
      </w:tr>
      <w:tr w14:paraId="6CF9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1119" w:type="dxa"/>
            <w:tcBorders>
              <w:tl2br w:val="nil"/>
              <w:tr2bl w:val="nil"/>
            </w:tcBorders>
            <w:tcMar>
              <w:top w:w="57" w:type="dxa"/>
              <w:left w:w="28" w:type="dxa"/>
              <w:bottom w:w="57" w:type="dxa"/>
              <w:right w:w="28" w:type="dxa"/>
            </w:tcMar>
            <w:vAlign w:val="center"/>
          </w:tcPr>
          <w:p w14:paraId="5C74FD25">
            <w:pPr>
              <w:jc w:val="center"/>
              <w:rPr>
                <w:rFonts w:ascii="Times New Roman" w:hAnsi="Times New Roman" w:cs="Times New Roman"/>
                <w:color w:val="000000"/>
                <w:szCs w:val="21"/>
              </w:rPr>
            </w:pPr>
            <w:r>
              <w:rPr>
                <w:rFonts w:ascii="Times New Roman" w:hAnsi="Times New Roman" w:cs="Times New Roman"/>
                <w:color w:val="000000"/>
                <w:szCs w:val="21"/>
              </w:rPr>
              <w:t>PM</w:t>
            </w:r>
            <w:r>
              <w:rPr>
                <w:rFonts w:ascii="Times New Roman" w:hAnsi="Times New Roman" w:cs="Times New Roman"/>
                <w:color w:val="000000"/>
                <w:szCs w:val="21"/>
                <w:vertAlign w:val="subscript"/>
              </w:rPr>
              <w:t>10</w:t>
            </w:r>
          </w:p>
        </w:tc>
        <w:tc>
          <w:tcPr>
            <w:tcW w:w="3306" w:type="dxa"/>
            <w:tcBorders>
              <w:tl2br w:val="nil"/>
              <w:tr2bl w:val="nil"/>
            </w:tcBorders>
            <w:tcMar>
              <w:top w:w="57" w:type="dxa"/>
              <w:left w:w="28" w:type="dxa"/>
              <w:bottom w:w="57" w:type="dxa"/>
              <w:right w:w="28" w:type="dxa"/>
            </w:tcMar>
            <w:vAlign w:val="center"/>
          </w:tcPr>
          <w:p w14:paraId="0358B728">
            <w:pPr>
              <w:jc w:val="center"/>
              <w:rPr>
                <w:rFonts w:ascii="Times New Roman" w:hAnsi="Times New Roman" w:cs="Times New Roman"/>
                <w:color w:val="000000"/>
                <w:szCs w:val="21"/>
              </w:rPr>
            </w:pPr>
            <w:r>
              <w:rPr>
                <w:rFonts w:ascii="Times New Roman" w:hAnsi="Times New Roman" w:cs="Times New Roman"/>
                <w:color w:val="000000"/>
                <w:szCs w:val="21"/>
              </w:rPr>
              <w:t>24小时平均浓度值3倍（0.45mg/m</w:t>
            </w:r>
            <w:r>
              <w:rPr>
                <w:rFonts w:ascii="Times New Roman" w:hAnsi="Times New Roman" w:cs="Times New Roman"/>
                <w:color w:val="000000"/>
                <w:szCs w:val="21"/>
                <w:vertAlign w:val="superscript"/>
              </w:rPr>
              <w:t>3</w:t>
            </w:r>
            <w:r>
              <w:rPr>
                <w:rFonts w:ascii="Times New Roman" w:hAnsi="Times New Roman" w:cs="Times New Roman"/>
                <w:color w:val="000000"/>
                <w:szCs w:val="21"/>
              </w:rPr>
              <w:t>）</w:t>
            </w:r>
          </w:p>
        </w:tc>
        <w:tc>
          <w:tcPr>
            <w:tcW w:w="3931" w:type="dxa"/>
            <w:tcBorders>
              <w:tl2br w:val="nil"/>
              <w:tr2bl w:val="nil"/>
            </w:tcBorders>
            <w:tcMar>
              <w:top w:w="57" w:type="dxa"/>
              <w:left w:w="28" w:type="dxa"/>
              <w:bottom w:w="57" w:type="dxa"/>
              <w:right w:w="28" w:type="dxa"/>
            </w:tcMar>
            <w:vAlign w:val="center"/>
          </w:tcPr>
          <w:p w14:paraId="63E2FCDF">
            <w:pPr>
              <w:jc w:val="center"/>
              <w:rPr>
                <w:rFonts w:ascii="Times New Roman" w:hAnsi="Times New Roman" w:cs="Times New Roman"/>
                <w:color w:val="000000"/>
                <w:szCs w:val="21"/>
              </w:rPr>
            </w:pPr>
            <w:r>
              <w:rPr>
                <w:rFonts w:ascii="Times New Roman" w:hAnsi="Times New Roman" w:cs="Times New Roman"/>
                <w:color w:val="000000"/>
                <w:szCs w:val="21"/>
              </w:rPr>
              <w:t>《环境空气质量标准》（GB3095-2012）中二级标准</w:t>
            </w:r>
            <w:r>
              <w:rPr>
                <w:rFonts w:hint="eastAsia" w:ascii="Times New Roman" w:hAnsi="Times New Roman" w:cs="Times New Roman"/>
                <w:color w:val="000000"/>
                <w:szCs w:val="21"/>
              </w:rPr>
              <w:t>及其修改单</w:t>
            </w:r>
          </w:p>
        </w:tc>
      </w:tr>
      <w:tr w14:paraId="5DF1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1119" w:type="dxa"/>
            <w:tcBorders>
              <w:tl2br w:val="nil"/>
              <w:tr2bl w:val="nil"/>
            </w:tcBorders>
            <w:tcMar>
              <w:top w:w="57" w:type="dxa"/>
              <w:left w:w="28" w:type="dxa"/>
              <w:bottom w:w="57" w:type="dxa"/>
              <w:right w:w="28" w:type="dxa"/>
            </w:tcMar>
            <w:vAlign w:val="center"/>
          </w:tcPr>
          <w:p w14:paraId="1D25D9E2">
            <w:pPr>
              <w:jc w:val="center"/>
              <w:rPr>
                <w:rFonts w:ascii="Times New Roman" w:hAnsi="Times New Roman" w:cs="Times New Roman"/>
                <w:szCs w:val="21"/>
              </w:rPr>
            </w:pPr>
            <w:r>
              <w:rPr>
                <w:rFonts w:ascii="Times New Roman" w:hAnsi="Times New Roman" w:cs="Times New Roman"/>
                <w:szCs w:val="21"/>
              </w:rPr>
              <w:t>非甲烷总烃</w:t>
            </w:r>
          </w:p>
        </w:tc>
        <w:tc>
          <w:tcPr>
            <w:tcW w:w="3306" w:type="dxa"/>
            <w:tcBorders>
              <w:tl2br w:val="nil"/>
              <w:tr2bl w:val="nil"/>
            </w:tcBorders>
            <w:tcMar>
              <w:top w:w="57" w:type="dxa"/>
              <w:left w:w="28" w:type="dxa"/>
              <w:bottom w:w="57" w:type="dxa"/>
              <w:right w:w="28" w:type="dxa"/>
            </w:tcMar>
            <w:vAlign w:val="center"/>
          </w:tcPr>
          <w:p w14:paraId="7515CB8A">
            <w:pPr>
              <w:jc w:val="center"/>
              <w:rPr>
                <w:rFonts w:ascii="Times New Roman" w:hAnsi="Times New Roman" w:cs="Times New Roman"/>
                <w:szCs w:val="21"/>
              </w:rPr>
            </w:pPr>
            <w:r>
              <w:rPr>
                <w:rFonts w:ascii="Times New Roman" w:hAnsi="Times New Roman" w:cs="Times New Roman"/>
                <w:szCs w:val="21"/>
              </w:rPr>
              <w:t>1h平均浓度值</w:t>
            </w:r>
            <w:r>
              <w:rPr>
                <w:rFonts w:hint="eastAsia" w:ascii="Times New Roman" w:hAnsi="Times New Roman" w:cs="Times New Roman"/>
                <w:szCs w:val="21"/>
              </w:rPr>
              <w:t>2.0</w:t>
            </w:r>
            <w:r>
              <w:rPr>
                <w:rFonts w:ascii="Times New Roman" w:hAnsi="Times New Roman" w:cs="Times New Roman"/>
                <w:szCs w:val="21"/>
              </w:rPr>
              <w:t>mg/m</w:t>
            </w:r>
            <w:r>
              <w:rPr>
                <w:rFonts w:ascii="Times New Roman" w:hAnsi="Times New Roman" w:cs="Times New Roman"/>
                <w:szCs w:val="21"/>
                <w:vertAlign w:val="superscript"/>
              </w:rPr>
              <w:t>3</w:t>
            </w:r>
          </w:p>
        </w:tc>
        <w:tc>
          <w:tcPr>
            <w:tcW w:w="3931" w:type="dxa"/>
            <w:tcBorders>
              <w:tl2br w:val="nil"/>
              <w:tr2bl w:val="nil"/>
            </w:tcBorders>
            <w:tcMar>
              <w:top w:w="57" w:type="dxa"/>
              <w:left w:w="28" w:type="dxa"/>
              <w:bottom w:w="57" w:type="dxa"/>
              <w:right w:w="28" w:type="dxa"/>
            </w:tcMar>
            <w:vAlign w:val="center"/>
          </w:tcPr>
          <w:p w14:paraId="11575AD2">
            <w:pPr>
              <w:jc w:val="center"/>
              <w:rPr>
                <w:rFonts w:ascii="Times New Roman" w:hAnsi="Times New Roman" w:cs="Times New Roman"/>
                <w:color w:val="000000"/>
                <w:szCs w:val="21"/>
              </w:rPr>
            </w:pPr>
            <w:r>
              <w:rPr>
                <w:rFonts w:ascii="Times New Roman" w:hAnsi="Times New Roman" w:cs="Times New Roman"/>
                <w:color w:val="000000"/>
                <w:szCs w:val="21"/>
              </w:rPr>
              <w:t>《大气污染物综合排放标准详解》中推荐值</w:t>
            </w:r>
          </w:p>
        </w:tc>
      </w:tr>
      <w:tr w14:paraId="207C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1119" w:type="dxa"/>
            <w:tcBorders>
              <w:tl2br w:val="nil"/>
              <w:tr2bl w:val="nil"/>
            </w:tcBorders>
            <w:tcMar>
              <w:top w:w="57" w:type="dxa"/>
              <w:left w:w="28" w:type="dxa"/>
              <w:bottom w:w="57" w:type="dxa"/>
              <w:right w:w="28" w:type="dxa"/>
            </w:tcMar>
            <w:vAlign w:val="center"/>
          </w:tcPr>
          <w:p w14:paraId="0AC763A9">
            <w:pPr>
              <w:jc w:val="center"/>
              <w:rPr>
                <w:rFonts w:ascii="Times New Roman" w:hAnsi="Times New Roman" w:cs="Times New Roman"/>
                <w:szCs w:val="21"/>
              </w:rPr>
            </w:pPr>
            <w:r>
              <w:rPr>
                <w:rFonts w:ascii="Times New Roman" w:hAnsi="Times New Roman" w:cs="Times New Roman"/>
                <w:szCs w:val="21"/>
              </w:rPr>
              <w:t>二甲苯</w:t>
            </w:r>
          </w:p>
        </w:tc>
        <w:tc>
          <w:tcPr>
            <w:tcW w:w="3306" w:type="dxa"/>
            <w:tcBorders>
              <w:tl2br w:val="nil"/>
              <w:tr2bl w:val="nil"/>
            </w:tcBorders>
            <w:tcMar>
              <w:top w:w="57" w:type="dxa"/>
              <w:left w:w="28" w:type="dxa"/>
              <w:bottom w:w="57" w:type="dxa"/>
              <w:right w:w="28" w:type="dxa"/>
            </w:tcMar>
            <w:vAlign w:val="center"/>
          </w:tcPr>
          <w:p w14:paraId="45235857">
            <w:pPr>
              <w:jc w:val="center"/>
              <w:rPr>
                <w:rFonts w:ascii="Times New Roman" w:hAnsi="Times New Roman" w:cs="Times New Roman"/>
                <w:szCs w:val="21"/>
              </w:rPr>
            </w:pPr>
            <w:r>
              <w:rPr>
                <w:rFonts w:ascii="Times New Roman" w:hAnsi="Times New Roman" w:cs="Times New Roman"/>
                <w:szCs w:val="21"/>
              </w:rPr>
              <w:t>1h平均浓度值0.2mg/m</w:t>
            </w:r>
            <w:r>
              <w:rPr>
                <w:rFonts w:ascii="Times New Roman" w:hAnsi="Times New Roman" w:cs="Times New Roman"/>
                <w:szCs w:val="21"/>
                <w:vertAlign w:val="superscript"/>
              </w:rPr>
              <w:t>3</w:t>
            </w:r>
          </w:p>
        </w:tc>
        <w:tc>
          <w:tcPr>
            <w:tcW w:w="3931" w:type="dxa"/>
            <w:vMerge w:val="restart"/>
            <w:tcBorders>
              <w:tl2br w:val="nil"/>
              <w:tr2bl w:val="nil"/>
            </w:tcBorders>
            <w:tcMar>
              <w:top w:w="57" w:type="dxa"/>
              <w:left w:w="28" w:type="dxa"/>
              <w:bottom w:w="57" w:type="dxa"/>
              <w:right w:w="28" w:type="dxa"/>
            </w:tcMar>
            <w:vAlign w:val="center"/>
          </w:tcPr>
          <w:p w14:paraId="0241FA76">
            <w:pPr>
              <w:jc w:val="center"/>
              <w:rPr>
                <w:rFonts w:ascii="Times New Roman" w:hAnsi="Times New Roman" w:cs="Times New Roman"/>
                <w:color w:val="000000"/>
                <w:szCs w:val="21"/>
              </w:rPr>
            </w:pPr>
            <w:r>
              <w:rPr>
                <w:rFonts w:ascii="Times New Roman" w:hAnsi="Times New Roman" w:cs="Times New Roman"/>
                <w:szCs w:val="21"/>
              </w:rPr>
              <w:t>《环境影响评价技术导则-大气环境》附录D中参考限值</w:t>
            </w:r>
          </w:p>
        </w:tc>
      </w:tr>
      <w:tr w14:paraId="186E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1119" w:type="dxa"/>
            <w:tcBorders>
              <w:tl2br w:val="nil"/>
              <w:tr2bl w:val="nil"/>
            </w:tcBorders>
            <w:tcMar>
              <w:top w:w="57" w:type="dxa"/>
              <w:left w:w="28" w:type="dxa"/>
              <w:bottom w:w="57" w:type="dxa"/>
              <w:right w:w="28" w:type="dxa"/>
            </w:tcMar>
            <w:vAlign w:val="center"/>
          </w:tcPr>
          <w:p w14:paraId="5C29E232">
            <w:pPr>
              <w:jc w:val="center"/>
              <w:rPr>
                <w:rFonts w:ascii="Times New Roman" w:hAnsi="Times New Roman" w:cs="Times New Roman"/>
                <w:szCs w:val="21"/>
              </w:rPr>
            </w:pPr>
            <w:r>
              <w:rPr>
                <w:rFonts w:ascii="Times New Roman" w:hAnsi="Times New Roman" w:cs="Times New Roman"/>
                <w:szCs w:val="21"/>
              </w:rPr>
              <w:t>甲苯</w:t>
            </w:r>
          </w:p>
        </w:tc>
        <w:tc>
          <w:tcPr>
            <w:tcW w:w="3306" w:type="dxa"/>
            <w:tcBorders>
              <w:tl2br w:val="nil"/>
              <w:tr2bl w:val="nil"/>
            </w:tcBorders>
            <w:tcMar>
              <w:top w:w="57" w:type="dxa"/>
              <w:left w:w="28" w:type="dxa"/>
              <w:bottom w:w="57" w:type="dxa"/>
              <w:right w:w="28" w:type="dxa"/>
            </w:tcMar>
            <w:vAlign w:val="center"/>
          </w:tcPr>
          <w:p w14:paraId="17E315EE">
            <w:pPr>
              <w:jc w:val="center"/>
              <w:rPr>
                <w:rFonts w:ascii="Times New Roman" w:hAnsi="Times New Roman" w:cs="Times New Roman"/>
                <w:szCs w:val="21"/>
              </w:rPr>
            </w:pPr>
            <w:r>
              <w:rPr>
                <w:rFonts w:ascii="Times New Roman" w:hAnsi="Times New Roman" w:cs="Times New Roman"/>
                <w:szCs w:val="21"/>
              </w:rPr>
              <w:t>1h平均浓度值0.2mg/m</w:t>
            </w:r>
            <w:r>
              <w:rPr>
                <w:rFonts w:ascii="Times New Roman" w:hAnsi="Times New Roman" w:cs="Times New Roman"/>
                <w:szCs w:val="21"/>
                <w:vertAlign w:val="superscript"/>
              </w:rPr>
              <w:t>3</w:t>
            </w:r>
          </w:p>
        </w:tc>
        <w:tc>
          <w:tcPr>
            <w:tcW w:w="3931" w:type="dxa"/>
            <w:vMerge w:val="continue"/>
            <w:tcBorders>
              <w:tl2br w:val="nil"/>
              <w:tr2bl w:val="nil"/>
            </w:tcBorders>
            <w:tcMar>
              <w:top w:w="57" w:type="dxa"/>
              <w:left w:w="28" w:type="dxa"/>
              <w:bottom w:w="57" w:type="dxa"/>
              <w:right w:w="28" w:type="dxa"/>
            </w:tcMar>
            <w:vAlign w:val="center"/>
          </w:tcPr>
          <w:p w14:paraId="12A1FB5B">
            <w:pPr>
              <w:jc w:val="center"/>
              <w:rPr>
                <w:rFonts w:ascii="Times New Roman" w:hAnsi="Times New Roman" w:cs="Times New Roman"/>
                <w:color w:val="000000"/>
                <w:szCs w:val="21"/>
              </w:rPr>
            </w:pPr>
          </w:p>
        </w:tc>
      </w:tr>
      <w:tr w14:paraId="3CDB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1119" w:type="dxa"/>
            <w:tcBorders>
              <w:tl2br w:val="nil"/>
              <w:tr2bl w:val="nil"/>
            </w:tcBorders>
            <w:tcMar>
              <w:top w:w="57" w:type="dxa"/>
              <w:left w:w="28" w:type="dxa"/>
              <w:bottom w:w="57" w:type="dxa"/>
              <w:right w:w="28" w:type="dxa"/>
            </w:tcMar>
            <w:vAlign w:val="center"/>
          </w:tcPr>
          <w:p w14:paraId="12CDA2D9">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苯</w:t>
            </w:r>
          </w:p>
        </w:tc>
        <w:tc>
          <w:tcPr>
            <w:tcW w:w="3306" w:type="dxa"/>
            <w:tcBorders>
              <w:tl2br w:val="nil"/>
              <w:tr2bl w:val="nil"/>
            </w:tcBorders>
            <w:tcMar>
              <w:top w:w="57" w:type="dxa"/>
              <w:left w:w="28" w:type="dxa"/>
              <w:bottom w:w="57" w:type="dxa"/>
              <w:right w:w="28" w:type="dxa"/>
            </w:tcMar>
            <w:vAlign w:val="center"/>
          </w:tcPr>
          <w:p w14:paraId="075B3481">
            <w:pPr>
              <w:jc w:val="center"/>
              <w:rPr>
                <w:rFonts w:ascii="Times New Roman" w:hAnsi="Times New Roman" w:cs="Times New Roman"/>
                <w:szCs w:val="21"/>
              </w:rPr>
            </w:pPr>
            <w:r>
              <w:rPr>
                <w:rFonts w:ascii="Times New Roman" w:hAnsi="Times New Roman" w:cs="Times New Roman"/>
                <w:szCs w:val="21"/>
              </w:rPr>
              <w:t>1h平均浓度值0.</w:t>
            </w:r>
            <w:r>
              <w:rPr>
                <w:rFonts w:hint="eastAsia" w:ascii="Times New Roman" w:hAnsi="Times New Roman" w:cs="Times New Roman"/>
                <w:szCs w:val="21"/>
                <w:lang w:val="en-US" w:eastAsia="zh-CN"/>
              </w:rPr>
              <w:t>11</w:t>
            </w:r>
            <w:r>
              <w:rPr>
                <w:rFonts w:ascii="Times New Roman" w:hAnsi="Times New Roman" w:cs="Times New Roman"/>
                <w:szCs w:val="21"/>
              </w:rPr>
              <w:t>mg/m</w:t>
            </w:r>
            <w:r>
              <w:rPr>
                <w:rFonts w:ascii="Times New Roman" w:hAnsi="Times New Roman" w:cs="Times New Roman"/>
                <w:szCs w:val="21"/>
                <w:vertAlign w:val="superscript"/>
              </w:rPr>
              <w:t>3</w:t>
            </w:r>
          </w:p>
        </w:tc>
        <w:tc>
          <w:tcPr>
            <w:tcW w:w="3931" w:type="dxa"/>
            <w:vMerge w:val="continue"/>
            <w:tcBorders>
              <w:tl2br w:val="nil"/>
              <w:tr2bl w:val="nil"/>
            </w:tcBorders>
            <w:tcMar>
              <w:top w:w="57" w:type="dxa"/>
              <w:left w:w="28" w:type="dxa"/>
              <w:bottom w:w="57" w:type="dxa"/>
              <w:right w:w="28" w:type="dxa"/>
            </w:tcMar>
            <w:vAlign w:val="center"/>
          </w:tcPr>
          <w:p w14:paraId="58CA6A9A">
            <w:pPr>
              <w:jc w:val="center"/>
              <w:rPr>
                <w:rFonts w:ascii="Times New Roman" w:hAnsi="Times New Roman" w:cs="Times New Roman"/>
                <w:color w:val="000000"/>
                <w:szCs w:val="21"/>
              </w:rPr>
            </w:pPr>
          </w:p>
        </w:tc>
      </w:tr>
    </w:tbl>
    <w:p w14:paraId="5C4B432D">
      <w:pPr>
        <w:spacing w:line="360" w:lineRule="auto"/>
        <w:ind w:firstLine="480"/>
        <w:rPr>
          <w:rFonts w:ascii="Times New Roman" w:hAnsi="Times New Roman" w:cs="Times New Roman"/>
          <w:color w:val="000000" w:themeColor="text1"/>
          <w:sz w:val="24"/>
          <w:lang w:val="zh-CN"/>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6</w:t>
      </w:r>
      <w:r>
        <w:rPr>
          <w:rFonts w:ascii="Times New Roman" w:hAnsi="Times New Roman" w:cs="Times New Roman"/>
          <w:color w:val="000000" w:themeColor="text1"/>
          <w:sz w:val="24"/>
          <w:lang w:val="zh-CN"/>
          <w14:textFill>
            <w14:solidFill>
              <w14:schemeClr w14:val="tx1"/>
            </w14:solidFill>
          </w14:textFill>
        </w:rPr>
        <w:t>、估算模型计算结果表</w:t>
      </w:r>
    </w:p>
    <w:p w14:paraId="29DB36A2">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（1）各污染物在评价范围内不同距离处的最大落地浓度预测</w:t>
      </w:r>
    </w:p>
    <w:p w14:paraId="1388A8E2">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采用估算模式计算出的各污染物在评价范围内不同距离处的最大落地浓度见</w:t>
      </w:r>
      <w:r>
        <w:rPr>
          <w:rFonts w:hint="eastAsia" w:ascii="Times New Roman" w:hAnsi="Times New Roman" w:cs="Times New Roman"/>
          <w:color w:val="000000" w:themeColor="text1"/>
          <w:sz w:val="24"/>
          <w14:textFill>
            <w14:solidFill>
              <w14:schemeClr w14:val="tx1"/>
            </w14:solidFill>
          </w14:textFill>
        </w:rPr>
        <w:t>下</w:t>
      </w:r>
      <w:r>
        <w:rPr>
          <w:rFonts w:ascii="Times New Roman" w:hAnsi="Times New Roman" w:cs="Times New Roman"/>
          <w:color w:val="000000" w:themeColor="text1"/>
          <w:sz w:val="24"/>
          <w14:textFill>
            <w14:solidFill>
              <w14:schemeClr w14:val="tx1"/>
            </w14:solidFill>
          </w14:textFill>
        </w:rPr>
        <w:t>表。</w:t>
      </w:r>
    </w:p>
    <w:p w14:paraId="3D640BD8">
      <w:pPr>
        <w:numPr>
          <w:ilvl w:val="0"/>
          <w:numId w:val="59"/>
        </w:numPr>
        <w:autoSpaceDE w:val="0"/>
        <w:autoSpaceDN w:val="0"/>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eastAsia="宋体" w:cs="Times New Roman"/>
          <w:b/>
          <w:szCs w:val="21"/>
        </w:rPr>
        <w:t xml:space="preserve"> </w:t>
      </w:r>
      <w:r>
        <w:rPr>
          <w:rFonts w:ascii="Times New Roman" w:hAnsi="Times New Roman" w:cs="Times New Roman"/>
          <w:b/>
          <w:bCs/>
          <w:color w:val="000000" w:themeColor="text1"/>
          <w:szCs w:val="21"/>
          <w14:textFill>
            <w14:solidFill>
              <w14:schemeClr w14:val="tx1"/>
            </w14:solidFill>
          </w14:textFill>
        </w:rPr>
        <w:t xml:space="preserve"> 无组织废气</w:t>
      </w:r>
      <w:r>
        <w:rPr>
          <w:rFonts w:hint="eastAsia" w:ascii="Times New Roman" w:hAnsi="Times New Roman" w:cs="Times New Roman"/>
          <w:b/>
          <w:bCs/>
          <w:color w:val="000000" w:themeColor="text1"/>
          <w:szCs w:val="21"/>
          <w14:textFill>
            <w14:solidFill>
              <w14:schemeClr w14:val="tx1"/>
            </w14:solidFill>
          </w14:textFill>
        </w:rPr>
        <w:t>估算模型计算结果表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autofit"/>
        <w:tblCellMar>
          <w:top w:w="57" w:type="dxa"/>
          <w:left w:w="57" w:type="dxa"/>
          <w:bottom w:w="57" w:type="dxa"/>
          <w:right w:w="57" w:type="dxa"/>
        </w:tblCellMar>
      </w:tblPr>
      <w:tblGrid>
        <w:gridCol w:w="761"/>
        <w:gridCol w:w="754"/>
        <w:gridCol w:w="764"/>
        <w:gridCol w:w="759"/>
        <w:gridCol w:w="759"/>
        <w:gridCol w:w="759"/>
        <w:gridCol w:w="757"/>
        <w:gridCol w:w="763"/>
        <w:gridCol w:w="798"/>
        <w:gridCol w:w="763"/>
        <w:gridCol w:w="778"/>
      </w:tblGrid>
      <w:tr w14:paraId="08290E3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13" w:hRule="atLeast"/>
          <w:jc w:val="center"/>
        </w:trPr>
        <w:tc>
          <w:tcPr>
            <w:tcW w:w="454" w:type="pct"/>
            <w:vMerge w:val="restart"/>
            <w:tcBorders>
              <w:tl2br w:val="nil"/>
              <w:tr2bl w:val="nil"/>
            </w:tcBorders>
            <w:vAlign w:val="center"/>
          </w:tcPr>
          <w:p w14:paraId="73D69FA4">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距源中心下风向距离D(m)</w:t>
            </w:r>
          </w:p>
        </w:tc>
        <w:tc>
          <w:tcPr>
            <w:tcW w:w="906" w:type="pct"/>
            <w:gridSpan w:val="2"/>
            <w:tcBorders>
              <w:tl2br w:val="nil"/>
              <w:tr2bl w:val="nil"/>
            </w:tcBorders>
            <w:vAlign w:val="center"/>
          </w:tcPr>
          <w:p w14:paraId="3F94FD74">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颗粒物（TSP）</w:t>
            </w:r>
          </w:p>
        </w:tc>
        <w:tc>
          <w:tcPr>
            <w:tcW w:w="1524" w:type="dxa"/>
            <w:gridSpan w:val="2"/>
            <w:tcBorders>
              <w:tl2br w:val="nil"/>
              <w:tr2bl w:val="nil"/>
            </w:tcBorders>
            <w:vAlign w:val="center"/>
          </w:tcPr>
          <w:p w14:paraId="3BAEAEF6">
            <w:pPr>
              <w:jc w:val="center"/>
              <w:rPr>
                <w:rFonts w:hint="eastAsia" w:ascii="Times New Roman" w:hAnsi="Times New Roman" w:cs="Times New Roman" w:eastAsiaTheme="minorEastAsia"/>
                <w:color w:val="000000" w:themeColor="text1"/>
                <w:spacing w:val="-11"/>
                <w:szCs w:val="21"/>
                <w:lang w:val="en-US" w:eastAsia="zh-CN"/>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甲苯</w:t>
            </w:r>
          </w:p>
        </w:tc>
        <w:tc>
          <w:tcPr>
            <w:tcW w:w="1522" w:type="dxa"/>
            <w:gridSpan w:val="2"/>
            <w:tcBorders>
              <w:tl2br w:val="nil"/>
              <w:tr2bl w:val="nil"/>
            </w:tcBorders>
            <w:vAlign w:val="center"/>
          </w:tcPr>
          <w:p w14:paraId="48AD9257">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二甲苯</w:t>
            </w:r>
          </w:p>
        </w:tc>
        <w:tc>
          <w:tcPr>
            <w:tcW w:w="1527" w:type="dxa"/>
            <w:gridSpan w:val="2"/>
            <w:tcBorders>
              <w:tl2br w:val="nil"/>
              <w:tr2bl w:val="nil"/>
            </w:tcBorders>
            <w:vAlign w:val="center"/>
          </w:tcPr>
          <w:p w14:paraId="3198F8CD">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非甲烷总烃</w:t>
            </w:r>
          </w:p>
        </w:tc>
        <w:tc>
          <w:tcPr>
            <w:tcW w:w="919" w:type="pct"/>
            <w:gridSpan w:val="2"/>
            <w:tcBorders>
              <w:tl2br w:val="nil"/>
              <w:tr2bl w:val="nil"/>
            </w:tcBorders>
            <w:vAlign w:val="center"/>
          </w:tcPr>
          <w:p w14:paraId="206BEC35">
            <w:pPr>
              <w:jc w:val="center"/>
              <w:rPr>
                <w:rFonts w:hint="eastAsia" w:ascii="Times New Roman" w:hAnsi="Times New Roman" w:cs="Times New Roman" w:eastAsiaTheme="minorEastAsia"/>
                <w:color w:val="000000" w:themeColor="text1"/>
                <w:spacing w:val="-11"/>
                <w:szCs w:val="21"/>
                <w:lang w:eastAsia="zh-CN"/>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苯</w:t>
            </w:r>
          </w:p>
        </w:tc>
      </w:tr>
      <w:tr w14:paraId="4952E6C5">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763" w:hRule="atLeast"/>
          <w:jc w:val="center"/>
        </w:trPr>
        <w:tc>
          <w:tcPr>
            <w:tcW w:w="454" w:type="pct"/>
            <w:vMerge w:val="continue"/>
            <w:tcBorders>
              <w:tl2br w:val="nil"/>
              <w:tr2bl w:val="nil"/>
            </w:tcBorders>
            <w:vAlign w:val="center"/>
          </w:tcPr>
          <w:p w14:paraId="7D3AF825">
            <w:pPr>
              <w:widowControl/>
              <w:jc w:val="center"/>
              <w:rPr>
                <w:rFonts w:ascii="Times New Roman" w:hAnsi="Times New Roman" w:cs="Times New Roman"/>
                <w:color w:val="000000" w:themeColor="text1"/>
                <w:spacing w:val="-11"/>
                <w:szCs w:val="21"/>
                <w14:textFill>
                  <w14:solidFill>
                    <w14:schemeClr w14:val="tx1"/>
                  </w14:solidFill>
                </w14:textFill>
              </w:rPr>
            </w:pPr>
          </w:p>
        </w:tc>
        <w:tc>
          <w:tcPr>
            <w:tcW w:w="450" w:type="pct"/>
            <w:tcBorders>
              <w:tl2br w:val="nil"/>
              <w:tr2bl w:val="nil"/>
            </w:tcBorders>
            <w:vAlign w:val="center"/>
          </w:tcPr>
          <w:p w14:paraId="51BC728C">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占标率(%)</w:t>
            </w:r>
          </w:p>
        </w:tc>
        <w:tc>
          <w:tcPr>
            <w:tcW w:w="456" w:type="pct"/>
            <w:tcBorders>
              <w:tl2br w:val="nil"/>
              <w:tr2bl w:val="nil"/>
            </w:tcBorders>
            <w:vAlign w:val="center"/>
          </w:tcPr>
          <w:p w14:paraId="4AC23588">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w:t>
            </w:r>
          </w:p>
          <w:p w14:paraId="3E5AA864">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ascii="Times New Roman" w:hAnsi="Times New Roman" w:cs="Times New Roman"/>
                <w:color w:val="000000" w:themeColor="text1"/>
                <w:spacing w:val="-11"/>
                <w:szCs w:val="21"/>
                <w14:textFill>
                  <w14:solidFill>
                    <w14:schemeClr w14:val="tx1"/>
                  </w14:solidFill>
                </w14:textFill>
              </w:rPr>
              <w:t>)</w:t>
            </w:r>
          </w:p>
        </w:tc>
        <w:tc>
          <w:tcPr>
            <w:tcW w:w="759" w:type="dxa"/>
            <w:tcBorders>
              <w:tl2br w:val="nil"/>
              <w:tr2bl w:val="nil"/>
            </w:tcBorders>
            <w:vAlign w:val="center"/>
          </w:tcPr>
          <w:p w14:paraId="7AB8854C">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占标率(%)</w:t>
            </w:r>
          </w:p>
        </w:tc>
        <w:tc>
          <w:tcPr>
            <w:tcW w:w="759" w:type="dxa"/>
            <w:tcBorders>
              <w:tl2br w:val="nil"/>
              <w:tr2bl w:val="nil"/>
            </w:tcBorders>
            <w:vAlign w:val="center"/>
          </w:tcPr>
          <w:p w14:paraId="25060D39">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w:t>
            </w:r>
          </w:p>
          <w:p w14:paraId="166F0742">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ascii="Times New Roman" w:hAnsi="Times New Roman" w:cs="Times New Roman"/>
                <w:color w:val="000000" w:themeColor="text1"/>
                <w:spacing w:val="-11"/>
                <w:szCs w:val="21"/>
                <w14:textFill>
                  <w14:solidFill>
                    <w14:schemeClr w14:val="tx1"/>
                  </w14:solidFill>
                </w14:textFill>
              </w:rPr>
              <w:t>)</w:t>
            </w:r>
          </w:p>
        </w:tc>
        <w:tc>
          <w:tcPr>
            <w:tcW w:w="759" w:type="dxa"/>
            <w:tcBorders>
              <w:tl2br w:val="nil"/>
              <w:tr2bl w:val="nil"/>
            </w:tcBorders>
            <w:vAlign w:val="center"/>
          </w:tcPr>
          <w:p w14:paraId="5B54D163">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占标率(%)</w:t>
            </w:r>
          </w:p>
        </w:tc>
        <w:tc>
          <w:tcPr>
            <w:tcW w:w="757" w:type="dxa"/>
            <w:tcBorders>
              <w:tl2br w:val="nil"/>
              <w:tr2bl w:val="nil"/>
            </w:tcBorders>
            <w:vAlign w:val="center"/>
          </w:tcPr>
          <w:p w14:paraId="1748AFF1">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w:t>
            </w:r>
          </w:p>
          <w:p w14:paraId="3872E832">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ascii="Times New Roman" w:hAnsi="Times New Roman" w:cs="Times New Roman"/>
                <w:color w:val="000000" w:themeColor="text1"/>
                <w:spacing w:val="-11"/>
                <w:szCs w:val="21"/>
                <w14:textFill>
                  <w14:solidFill>
                    <w14:schemeClr w14:val="tx1"/>
                  </w14:solidFill>
                </w14:textFill>
              </w:rPr>
              <w:t>)</w:t>
            </w:r>
          </w:p>
        </w:tc>
        <w:tc>
          <w:tcPr>
            <w:tcW w:w="763" w:type="dxa"/>
            <w:tcBorders>
              <w:tl2br w:val="nil"/>
              <w:tr2bl w:val="nil"/>
            </w:tcBorders>
            <w:vAlign w:val="center"/>
          </w:tcPr>
          <w:p w14:paraId="30B0BCCA">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占标率(%)</w:t>
            </w:r>
          </w:p>
        </w:tc>
        <w:tc>
          <w:tcPr>
            <w:tcW w:w="798" w:type="dxa"/>
            <w:tcBorders>
              <w:tl2br w:val="nil"/>
              <w:tr2bl w:val="nil"/>
            </w:tcBorders>
            <w:vAlign w:val="center"/>
          </w:tcPr>
          <w:p w14:paraId="6378C761">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w:t>
            </w:r>
          </w:p>
          <w:p w14:paraId="7223BF2F">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ascii="Times New Roman" w:hAnsi="Times New Roman" w:cs="Times New Roman"/>
                <w:color w:val="000000" w:themeColor="text1"/>
                <w:spacing w:val="-11"/>
                <w:szCs w:val="21"/>
                <w14:textFill>
                  <w14:solidFill>
                    <w14:schemeClr w14:val="tx1"/>
                  </w14:solidFill>
                </w14:textFill>
              </w:rPr>
              <w:t>)</w:t>
            </w:r>
          </w:p>
        </w:tc>
        <w:tc>
          <w:tcPr>
            <w:tcW w:w="763" w:type="dxa"/>
            <w:tcBorders>
              <w:tl2br w:val="nil"/>
              <w:tr2bl w:val="nil"/>
            </w:tcBorders>
            <w:vAlign w:val="center"/>
          </w:tcPr>
          <w:p w14:paraId="5FFFBD4A">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占标率(%)</w:t>
            </w:r>
          </w:p>
        </w:tc>
        <w:tc>
          <w:tcPr>
            <w:tcW w:w="778" w:type="dxa"/>
            <w:tcBorders>
              <w:tl2br w:val="nil"/>
              <w:tr2bl w:val="nil"/>
            </w:tcBorders>
            <w:vAlign w:val="center"/>
          </w:tcPr>
          <w:p w14:paraId="14C49044">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w:t>
            </w:r>
          </w:p>
          <w:p w14:paraId="19F5374E">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ascii="Times New Roman" w:hAnsi="Times New Roman" w:cs="Times New Roman"/>
                <w:color w:val="000000" w:themeColor="text1"/>
                <w:spacing w:val="-11"/>
                <w:szCs w:val="21"/>
                <w14:textFill>
                  <w14:solidFill>
                    <w14:schemeClr w14:val="tx1"/>
                  </w14:solidFill>
                </w14:textFill>
              </w:rPr>
              <w:t>)</w:t>
            </w:r>
          </w:p>
        </w:tc>
      </w:tr>
      <w:tr w14:paraId="0A933BD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90" w:hRule="atLeast"/>
          <w:jc w:val="center"/>
        </w:trPr>
        <w:tc>
          <w:tcPr>
            <w:tcW w:w="454" w:type="pct"/>
            <w:tcBorders>
              <w:tl2br w:val="nil"/>
              <w:tr2bl w:val="nil"/>
            </w:tcBorders>
            <w:vAlign w:val="center"/>
          </w:tcPr>
          <w:p w14:paraId="4063FBE1">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50</w:t>
            </w:r>
          </w:p>
        </w:tc>
        <w:tc>
          <w:tcPr>
            <w:tcW w:w="757" w:type="dxa"/>
            <w:tcBorders>
              <w:tl2br w:val="nil"/>
              <w:tr2bl w:val="nil"/>
            </w:tcBorders>
            <w:vAlign w:val="center"/>
          </w:tcPr>
          <w:p w14:paraId="65C7DE7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7.53</w:t>
            </w:r>
          </w:p>
        </w:tc>
        <w:tc>
          <w:tcPr>
            <w:tcW w:w="774" w:type="dxa"/>
            <w:tcBorders>
              <w:tl2br w:val="nil"/>
              <w:tr2bl w:val="nil"/>
            </w:tcBorders>
            <w:vAlign w:val="center"/>
          </w:tcPr>
          <w:p w14:paraId="22B9F5FA">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67.789</w:t>
            </w:r>
          </w:p>
        </w:tc>
        <w:tc>
          <w:tcPr>
            <w:tcW w:w="762" w:type="dxa"/>
            <w:tcBorders>
              <w:tl2br w:val="nil"/>
              <w:tr2bl w:val="nil"/>
            </w:tcBorders>
            <w:vAlign w:val="center"/>
          </w:tcPr>
          <w:p w14:paraId="4882AFB6">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1.93</w:t>
            </w:r>
          </w:p>
        </w:tc>
        <w:tc>
          <w:tcPr>
            <w:tcW w:w="762" w:type="dxa"/>
            <w:tcBorders>
              <w:tl2br w:val="nil"/>
              <w:tr2bl w:val="nil"/>
            </w:tcBorders>
            <w:vAlign w:val="center"/>
          </w:tcPr>
          <w:p w14:paraId="4BBEEC73">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3.8676</w:t>
            </w:r>
          </w:p>
        </w:tc>
        <w:tc>
          <w:tcPr>
            <w:tcW w:w="762" w:type="dxa"/>
            <w:tcBorders>
              <w:tl2br w:val="nil"/>
              <w:tr2bl w:val="nil"/>
            </w:tcBorders>
            <w:vAlign w:val="center"/>
          </w:tcPr>
          <w:p w14:paraId="002D7FB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4.04</w:t>
            </w:r>
          </w:p>
        </w:tc>
        <w:tc>
          <w:tcPr>
            <w:tcW w:w="760" w:type="dxa"/>
            <w:tcBorders>
              <w:tl2br w:val="nil"/>
              <w:tr2bl w:val="nil"/>
            </w:tcBorders>
            <w:vAlign w:val="center"/>
          </w:tcPr>
          <w:p w14:paraId="07F8299A">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8.0869</w:t>
            </w:r>
          </w:p>
        </w:tc>
        <w:tc>
          <w:tcPr>
            <w:tcW w:w="766" w:type="dxa"/>
            <w:tcBorders>
              <w:tl2br w:val="nil"/>
              <w:tr2bl w:val="nil"/>
            </w:tcBorders>
            <w:vAlign w:val="center"/>
          </w:tcPr>
          <w:p w14:paraId="6565236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3.43</w:t>
            </w:r>
          </w:p>
        </w:tc>
        <w:tc>
          <w:tcPr>
            <w:tcW w:w="761" w:type="dxa"/>
            <w:tcBorders>
              <w:tl2br w:val="nil"/>
              <w:tr2bl w:val="nil"/>
            </w:tcBorders>
            <w:vAlign w:val="center"/>
          </w:tcPr>
          <w:p w14:paraId="348C111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68.5625</w:t>
            </w:r>
          </w:p>
        </w:tc>
        <w:tc>
          <w:tcPr>
            <w:tcW w:w="766" w:type="dxa"/>
            <w:tcBorders>
              <w:tl2br w:val="nil"/>
              <w:tr2bl w:val="nil"/>
            </w:tcBorders>
            <w:vAlign w:val="center"/>
          </w:tcPr>
          <w:p w14:paraId="45276E0E">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0.64</w:t>
            </w:r>
          </w:p>
        </w:tc>
        <w:tc>
          <w:tcPr>
            <w:tcW w:w="781" w:type="dxa"/>
            <w:tcBorders>
              <w:tl2br w:val="nil"/>
              <w:tr2bl w:val="nil"/>
            </w:tcBorders>
            <w:vAlign w:val="center"/>
          </w:tcPr>
          <w:p w14:paraId="6CF12110">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0.7032</w:t>
            </w:r>
          </w:p>
        </w:tc>
      </w:tr>
      <w:tr w14:paraId="2B6A0375">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370" w:hRule="atLeast"/>
          <w:jc w:val="center"/>
        </w:trPr>
        <w:tc>
          <w:tcPr>
            <w:tcW w:w="454" w:type="pct"/>
            <w:tcBorders>
              <w:tl2br w:val="nil"/>
              <w:tr2bl w:val="nil"/>
            </w:tcBorders>
            <w:vAlign w:val="center"/>
          </w:tcPr>
          <w:p w14:paraId="4AEA8648">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75</w:t>
            </w:r>
          </w:p>
        </w:tc>
        <w:tc>
          <w:tcPr>
            <w:tcW w:w="757" w:type="dxa"/>
            <w:tcBorders>
              <w:tl2br w:val="nil"/>
              <w:tr2bl w:val="nil"/>
            </w:tcBorders>
            <w:vAlign w:val="center"/>
          </w:tcPr>
          <w:p w14:paraId="750EFA71">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8.55</w:t>
            </w:r>
          </w:p>
        </w:tc>
        <w:tc>
          <w:tcPr>
            <w:tcW w:w="774" w:type="dxa"/>
            <w:tcBorders>
              <w:tl2br w:val="nil"/>
              <w:tr2bl w:val="nil"/>
            </w:tcBorders>
            <w:vAlign w:val="center"/>
          </w:tcPr>
          <w:p w14:paraId="4198388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76.93</w:t>
            </w:r>
          </w:p>
        </w:tc>
        <w:tc>
          <w:tcPr>
            <w:tcW w:w="762" w:type="dxa"/>
            <w:tcBorders>
              <w:tl2br w:val="nil"/>
              <w:tr2bl w:val="nil"/>
            </w:tcBorders>
            <w:vAlign w:val="center"/>
          </w:tcPr>
          <w:p w14:paraId="18F48FEF">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2.19</w:t>
            </w:r>
          </w:p>
        </w:tc>
        <w:tc>
          <w:tcPr>
            <w:tcW w:w="762" w:type="dxa"/>
            <w:tcBorders>
              <w:tl2br w:val="nil"/>
              <w:tr2bl w:val="nil"/>
            </w:tcBorders>
            <w:vAlign w:val="center"/>
          </w:tcPr>
          <w:p w14:paraId="60F4B26D">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4.3892</w:t>
            </w:r>
          </w:p>
        </w:tc>
        <w:tc>
          <w:tcPr>
            <w:tcW w:w="762" w:type="dxa"/>
            <w:tcBorders>
              <w:tl2br w:val="nil"/>
              <w:tr2bl w:val="nil"/>
            </w:tcBorders>
            <w:vAlign w:val="center"/>
          </w:tcPr>
          <w:p w14:paraId="2D9CE9F2">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4.59</w:t>
            </w:r>
          </w:p>
        </w:tc>
        <w:tc>
          <w:tcPr>
            <w:tcW w:w="760" w:type="dxa"/>
            <w:tcBorders>
              <w:tl2br w:val="nil"/>
              <w:tr2bl w:val="nil"/>
            </w:tcBorders>
            <w:vAlign w:val="center"/>
          </w:tcPr>
          <w:p w14:paraId="246EC04C">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9.1773</w:t>
            </w:r>
          </w:p>
        </w:tc>
        <w:tc>
          <w:tcPr>
            <w:tcW w:w="766" w:type="dxa"/>
            <w:tcBorders>
              <w:tl2br w:val="nil"/>
              <w:tr2bl w:val="nil"/>
            </w:tcBorders>
            <w:vAlign w:val="center"/>
          </w:tcPr>
          <w:p w14:paraId="62FD1D32">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3.89</w:t>
            </w:r>
          </w:p>
        </w:tc>
        <w:tc>
          <w:tcPr>
            <w:tcW w:w="761" w:type="dxa"/>
            <w:tcBorders>
              <w:tl2br w:val="nil"/>
              <w:tr2bl w:val="nil"/>
            </w:tcBorders>
            <w:vAlign w:val="center"/>
          </w:tcPr>
          <w:p w14:paraId="7911E99E">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77.8078</w:t>
            </w:r>
          </w:p>
        </w:tc>
        <w:tc>
          <w:tcPr>
            <w:tcW w:w="766" w:type="dxa"/>
            <w:tcBorders>
              <w:tl2br w:val="nil"/>
              <w:tr2bl w:val="nil"/>
            </w:tcBorders>
            <w:vAlign w:val="center"/>
          </w:tcPr>
          <w:p w14:paraId="564CBD21">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0.73</w:t>
            </w:r>
          </w:p>
        </w:tc>
        <w:tc>
          <w:tcPr>
            <w:tcW w:w="781" w:type="dxa"/>
            <w:tcBorders>
              <w:tl2br w:val="nil"/>
              <w:tr2bl w:val="nil"/>
            </w:tcBorders>
            <w:vAlign w:val="center"/>
          </w:tcPr>
          <w:p w14:paraId="301FAFD0">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0.798</w:t>
            </w:r>
          </w:p>
        </w:tc>
      </w:tr>
      <w:tr w14:paraId="019BDFAC">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104" w:hRule="atLeast"/>
          <w:jc w:val="center"/>
        </w:trPr>
        <w:tc>
          <w:tcPr>
            <w:tcW w:w="454" w:type="pct"/>
            <w:tcBorders>
              <w:tl2br w:val="nil"/>
              <w:tr2bl w:val="nil"/>
            </w:tcBorders>
            <w:vAlign w:val="center"/>
          </w:tcPr>
          <w:p w14:paraId="398123D2">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100</w:t>
            </w:r>
          </w:p>
        </w:tc>
        <w:tc>
          <w:tcPr>
            <w:tcW w:w="757" w:type="dxa"/>
            <w:tcBorders>
              <w:tl2br w:val="nil"/>
              <w:tr2bl w:val="nil"/>
            </w:tcBorders>
            <w:vAlign w:val="center"/>
          </w:tcPr>
          <w:p w14:paraId="3DC1A87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9.13</w:t>
            </w:r>
          </w:p>
        </w:tc>
        <w:tc>
          <w:tcPr>
            <w:tcW w:w="774" w:type="dxa"/>
            <w:tcBorders>
              <w:tl2br w:val="nil"/>
              <w:tr2bl w:val="nil"/>
            </w:tcBorders>
            <w:vAlign w:val="center"/>
          </w:tcPr>
          <w:p w14:paraId="4829F56C">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82.16</w:t>
            </w:r>
          </w:p>
        </w:tc>
        <w:tc>
          <w:tcPr>
            <w:tcW w:w="762" w:type="dxa"/>
            <w:tcBorders>
              <w:tl2br w:val="nil"/>
              <w:tr2bl w:val="nil"/>
            </w:tcBorders>
            <w:vAlign w:val="center"/>
          </w:tcPr>
          <w:p w14:paraId="01113075">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2.34</w:t>
            </w:r>
          </w:p>
        </w:tc>
        <w:tc>
          <w:tcPr>
            <w:tcW w:w="762" w:type="dxa"/>
            <w:tcBorders>
              <w:tl2br w:val="nil"/>
              <w:tr2bl w:val="nil"/>
            </w:tcBorders>
            <w:vAlign w:val="center"/>
          </w:tcPr>
          <w:p w14:paraId="5F4D4243">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4.6876</w:t>
            </w:r>
          </w:p>
        </w:tc>
        <w:tc>
          <w:tcPr>
            <w:tcW w:w="762" w:type="dxa"/>
            <w:tcBorders>
              <w:tl2br w:val="nil"/>
              <w:tr2bl w:val="nil"/>
            </w:tcBorders>
            <w:vAlign w:val="center"/>
          </w:tcPr>
          <w:p w14:paraId="2DF347A7">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4.9</w:t>
            </w:r>
          </w:p>
        </w:tc>
        <w:tc>
          <w:tcPr>
            <w:tcW w:w="760" w:type="dxa"/>
            <w:tcBorders>
              <w:tl2br w:val="nil"/>
              <w:tr2bl w:val="nil"/>
            </w:tcBorders>
            <w:vAlign w:val="center"/>
          </w:tcPr>
          <w:p w14:paraId="617119D1">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9.8012</w:t>
            </w:r>
          </w:p>
        </w:tc>
        <w:tc>
          <w:tcPr>
            <w:tcW w:w="766" w:type="dxa"/>
            <w:tcBorders>
              <w:tl2br w:val="nil"/>
              <w:tr2bl w:val="nil"/>
            </w:tcBorders>
            <w:vAlign w:val="center"/>
          </w:tcPr>
          <w:p w14:paraId="6FCF89F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4.15</w:t>
            </w:r>
          </w:p>
        </w:tc>
        <w:tc>
          <w:tcPr>
            <w:tcW w:w="761" w:type="dxa"/>
            <w:tcBorders>
              <w:tl2br w:val="nil"/>
              <w:tr2bl w:val="nil"/>
            </w:tcBorders>
            <w:vAlign w:val="center"/>
          </w:tcPr>
          <w:p w14:paraId="31973CF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83.0975</w:t>
            </w:r>
          </w:p>
        </w:tc>
        <w:tc>
          <w:tcPr>
            <w:tcW w:w="766" w:type="dxa"/>
            <w:tcBorders>
              <w:tl2br w:val="nil"/>
              <w:tr2bl w:val="nil"/>
            </w:tcBorders>
            <w:vAlign w:val="center"/>
          </w:tcPr>
          <w:p w14:paraId="6D374D8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0.77</w:t>
            </w:r>
          </w:p>
        </w:tc>
        <w:tc>
          <w:tcPr>
            <w:tcW w:w="781" w:type="dxa"/>
            <w:tcBorders>
              <w:tl2br w:val="nil"/>
              <w:tr2bl w:val="nil"/>
            </w:tcBorders>
            <w:vAlign w:val="center"/>
          </w:tcPr>
          <w:p w14:paraId="701E435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0.8523</w:t>
            </w:r>
          </w:p>
        </w:tc>
      </w:tr>
      <w:tr w14:paraId="7F93C766">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90" w:hRule="atLeast"/>
          <w:jc w:val="center"/>
        </w:trPr>
        <w:tc>
          <w:tcPr>
            <w:tcW w:w="454" w:type="pct"/>
            <w:tcBorders>
              <w:tl2br w:val="nil"/>
              <w:tr2bl w:val="nil"/>
            </w:tcBorders>
            <w:vAlign w:val="center"/>
          </w:tcPr>
          <w:p w14:paraId="726388C1">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200</w:t>
            </w:r>
          </w:p>
        </w:tc>
        <w:tc>
          <w:tcPr>
            <w:tcW w:w="757" w:type="dxa"/>
            <w:tcBorders>
              <w:tl2br w:val="nil"/>
              <w:tr2bl w:val="nil"/>
            </w:tcBorders>
            <w:vAlign w:val="center"/>
          </w:tcPr>
          <w:p w14:paraId="312570FB">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6.12</w:t>
            </w:r>
          </w:p>
        </w:tc>
        <w:tc>
          <w:tcPr>
            <w:tcW w:w="774" w:type="dxa"/>
            <w:tcBorders>
              <w:tl2br w:val="nil"/>
              <w:tr2bl w:val="nil"/>
            </w:tcBorders>
            <w:vAlign w:val="center"/>
          </w:tcPr>
          <w:p w14:paraId="260E6FD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55.055</w:t>
            </w:r>
          </w:p>
        </w:tc>
        <w:tc>
          <w:tcPr>
            <w:tcW w:w="762" w:type="dxa"/>
            <w:tcBorders>
              <w:tl2br w:val="nil"/>
              <w:tr2bl w:val="nil"/>
            </w:tcBorders>
            <w:vAlign w:val="center"/>
          </w:tcPr>
          <w:p w14:paraId="09E1212F">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1.57</w:t>
            </w:r>
          </w:p>
        </w:tc>
        <w:tc>
          <w:tcPr>
            <w:tcW w:w="762" w:type="dxa"/>
            <w:tcBorders>
              <w:tl2br w:val="nil"/>
              <w:tr2bl w:val="nil"/>
            </w:tcBorders>
            <w:vAlign w:val="center"/>
          </w:tcPr>
          <w:p w14:paraId="39795C5A">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3.1411</w:t>
            </w:r>
          </w:p>
        </w:tc>
        <w:tc>
          <w:tcPr>
            <w:tcW w:w="762" w:type="dxa"/>
            <w:tcBorders>
              <w:tl2br w:val="nil"/>
              <w:tr2bl w:val="nil"/>
            </w:tcBorders>
            <w:vAlign w:val="center"/>
          </w:tcPr>
          <w:p w14:paraId="2CF43B82">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3.28</w:t>
            </w:r>
          </w:p>
        </w:tc>
        <w:tc>
          <w:tcPr>
            <w:tcW w:w="760" w:type="dxa"/>
            <w:tcBorders>
              <w:tl2br w:val="nil"/>
              <w:tr2bl w:val="nil"/>
            </w:tcBorders>
            <w:vAlign w:val="center"/>
          </w:tcPr>
          <w:p w14:paraId="6E96AE71">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6.5678</w:t>
            </w:r>
          </w:p>
        </w:tc>
        <w:tc>
          <w:tcPr>
            <w:tcW w:w="766" w:type="dxa"/>
            <w:tcBorders>
              <w:tl2br w:val="nil"/>
              <w:tr2bl w:val="nil"/>
            </w:tcBorders>
            <w:vAlign w:val="center"/>
          </w:tcPr>
          <w:p w14:paraId="72C8854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2.78</w:t>
            </w:r>
          </w:p>
        </w:tc>
        <w:tc>
          <w:tcPr>
            <w:tcW w:w="761" w:type="dxa"/>
            <w:tcBorders>
              <w:tl2br w:val="nil"/>
              <w:tr2bl w:val="nil"/>
            </w:tcBorders>
            <w:vAlign w:val="center"/>
          </w:tcPr>
          <w:p w14:paraId="020B0A2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55.6832</w:t>
            </w:r>
          </w:p>
        </w:tc>
        <w:tc>
          <w:tcPr>
            <w:tcW w:w="766" w:type="dxa"/>
            <w:tcBorders>
              <w:tl2br w:val="nil"/>
              <w:tr2bl w:val="nil"/>
            </w:tcBorders>
            <w:vAlign w:val="center"/>
          </w:tcPr>
          <w:p w14:paraId="18A72C5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0.52</w:t>
            </w:r>
          </w:p>
        </w:tc>
        <w:tc>
          <w:tcPr>
            <w:tcW w:w="781" w:type="dxa"/>
            <w:tcBorders>
              <w:tl2br w:val="nil"/>
              <w:tr2bl w:val="nil"/>
            </w:tcBorders>
            <w:vAlign w:val="center"/>
          </w:tcPr>
          <w:p w14:paraId="6F874EDC">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0.5711</w:t>
            </w:r>
          </w:p>
        </w:tc>
      </w:tr>
      <w:tr w14:paraId="00E136FD">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334" w:hRule="atLeast"/>
          <w:jc w:val="center"/>
        </w:trPr>
        <w:tc>
          <w:tcPr>
            <w:tcW w:w="454" w:type="pct"/>
            <w:tcBorders>
              <w:tl2br w:val="nil"/>
              <w:tr2bl w:val="nil"/>
            </w:tcBorders>
            <w:vAlign w:val="center"/>
          </w:tcPr>
          <w:p w14:paraId="03E1823D">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300</w:t>
            </w:r>
          </w:p>
        </w:tc>
        <w:tc>
          <w:tcPr>
            <w:tcW w:w="757" w:type="dxa"/>
            <w:tcBorders>
              <w:tl2br w:val="nil"/>
              <w:tr2bl w:val="nil"/>
            </w:tcBorders>
            <w:vAlign w:val="center"/>
          </w:tcPr>
          <w:p w14:paraId="592CBAC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4.08</w:t>
            </w:r>
          </w:p>
        </w:tc>
        <w:tc>
          <w:tcPr>
            <w:tcW w:w="774" w:type="dxa"/>
            <w:tcBorders>
              <w:tl2br w:val="nil"/>
              <w:tr2bl w:val="nil"/>
            </w:tcBorders>
            <w:vAlign w:val="center"/>
          </w:tcPr>
          <w:p w14:paraId="471FACE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36.741</w:t>
            </w:r>
          </w:p>
        </w:tc>
        <w:tc>
          <w:tcPr>
            <w:tcW w:w="762" w:type="dxa"/>
            <w:tcBorders>
              <w:tl2br w:val="nil"/>
              <w:tr2bl w:val="nil"/>
            </w:tcBorders>
            <w:vAlign w:val="center"/>
          </w:tcPr>
          <w:p w14:paraId="7A57C26C">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1.05</w:t>
            </w:r>
          </w:p>
        </w:tc>
        <w:tc>
          <w:tcPr>
            <w:tcW w:w="762" w:type="dxa"/>
            <w:tcBorders>
              <w:tl2br w:val="nil"/>
              <w:tr2bl w:val="nil"/>
            </w:tcBorders>
            <w:vAlign w:val="center"/>
          </w:tcPr>
          <w:p w14:paraId="225068CC">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2.0962</w:t>
            </w:r>
          </w:p>
        </w:tc>
        <w:tc>
          <w:tcPr>
            <w:tcW w:w="762" w:type="dxa"/>
            <w:tcBorders>
              <w:tl2br w:val="nil"/>
              <w:tr2bl w:val="nil"/>
            </w:tcBorders>
            <w:vAlign w:val="center"/>
          </w:tcPr>
          <w:p w14:paraId="6DCE6864">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2.19</w:t>
            </w:r>
          </w:p>
        </w:tc>
        <w:tc>
          <w:tcPr>
            <w:tcW w:w="760" w:type="dxa"/>
            <w:tcBorders>
              <w:tl2br w:val="nil"/>
              <w:tr2bl w:val="nil"/>
            </w:tcBorders>
            <w:vAlign w:val="center"/>
          </w:tcPr>
          <w:p w14:paraId="3C580ADA">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4.383</w:t>
            </w:r>
          </w:p>
        </w:tc>
        <w:tc>
          <w:tcPr>
            <w:tcW w:w="766" w:type="dxa"/>
            <w:tcBorders>
              <w:tl2br w:val="nil"/>
              <w:tr2bl w:val="nil"/>
            </w:tcBorders>
            <w:vAlign w:val="center"/>
          </w:tcPr>
          <w:p w14:paraId="697A8EB9">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1.86</w:t>
            </w:r>
          </w:p>
        </w:tc>
        <w:tc>
          <w:tcPr>
            <w:tcW w:w="761" w:type="dxa"/>
            <w:tcBorders>
              <w:tl2br w:val="nil"/>
              <w:tr2bl w:val="nil"/>
            </w:tcBorders>
            <w:vAlign w:val="center"/>
          </w:tcPr>
          <w:p w14:paraId="6D22645C">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37.1602</w:t>
            </w:r>
          </w:p>
        </w:tc>
        <w:tc>
          <w:tcPr>
            <w:tcW w:w="766" w:type="dxa"/>
            <w:tcBorders>
              <w:tl2br w:val="nil"/>
              <w:tr2bl w:val="nil"/>
            </w:tcBorders>
            <w:vAlign w:val="center"/>
          </w:tcPr>
          <w:p w14:paraId="32381A5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0.35</w:t>
            </w:r>
          </w:p>
        </w:tc>
        <w:tc>
          <w:tcPr>
            <w:tcW w:w="781" w:type="dxa"/>
            <w:tcBorders>
              <w:tl2br w:val="nil"/>
              <w:tr2bl w:val="nil"/>
            </w:tcBorders>
            <w:vAlign w:val="center"/>
          </w:tcPr>
          <w:p w14:paraId="0303195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0.3811</w:t>
            </w:r>
          </w:p>
        </w:tc>
      </w:tr>
      <w:tr w14:paraId="2F50F616">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167" w:hRule="atLeast"/>
          <w:jc w:val="center"/>
        </w:trPr>
        <w:tc>
          <w:tcPr>
            <w:tcW w:w="454" w:type="pct"/>
            <w:tcBorders>
              <w:tl2br w:val="nil"/>
              <w:tr2bl w:val="nil"/>
            </w:tcBorders>
            <w:vAlign w:val="center"/>
          </w:tcPr>
          <w:p w14:paraId="7FB4A36E">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400</w:t>
            </w:r>
          </w:p>
        </w:tc>
        <w:tc>
          <w:tcPr>
            <w:tcW w:w="757" w:type="dxa"/>
            <w:tcBorders>
              <w:tl2br w:val="nil"/>
              <w:tr2bl w:val="nil"/>
            </w:tcBorders>
            <w:vAlign w:val="center"/>
          </w:tcPr>
          <w:p w14:paraId="7BFAFA77">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2.94</w:t>
            </w:r>
          </w:p>
        </w:tc>
        <w:tc>
          <w:tcPr>
            <w:tcW w:w="774" w:type="dxa"/>
            <w:tcBorders>
              <w:tl2br w:val="nil"/>
              <w:tr2bl w:val="nil"/>
            </w:tcBorders>
            <w:vAlign w:val="center"/>
          </w:tcPr>
          <w:p w14:paraId="75A1BAA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26.463</w:t>
            </w:r>
          </w:p>
        </w:tc>
        <w:tc>
          <w:tcPr>
            <w:tcW w:w="762" w:type="dxa"/>
            <w:tcBorders>
              <w:tl2br w:val="nil"/>
              <w:tr2bl w:val="nil"/>
            </w:tcBorders>
            <w:vAlign w:val="center"/>
          </w:tcPr>
          <w:p w14:paraId="48C24D30">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0.75</w:t>
            </w:r>
          </w:p>
        </w:tc>
        <w:tc>
          <w:tcPr>
            <w:tcW w:w="762" w:type="dxa"/>
            <w:tcBorders>
              <w:tl2br w:val="nil"/>
              <w:tr2bl w:val="nil"/>
            </w:tcBorders>
            <w:vAlign w:val="center"/>
          </w:tcPr>
          <w:p w14:paraId="33F20758">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1.5098</w:t>
            </w:r>
          </w:p>
        </w:tc>
        <w:tc>
          <w:tcPr>
            <w:tcW w:w="762" w:type="dxa"/>
            <w:tcBorders>
              <w:tl2br w:val="nil"/>
              <w:tr2bl w:val="nil"/>
            </w:tcBorders>
            <w:vAlign w:val="center"/>
          </w:tcPr>
          <w:p w14:paraId="2757EA2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1.58</w:t>
            </w:r>
          </w:p>
        </w:tc>
        <w:tc>
          <w:tcPr>
            <w:tcW w:w="760" w:type="dxa"/>
            <w:tcBorders>
              <w:tl2br w:val="nil"/>
              <w:tr2bl w:val="nil"/>
            </w:tcBorders>
            <w:vAlign w:val="center"/>
          </w:tcPr>
          <w:p w14:paraId="211384C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3.1569</w:t>
            </w:r>
          </w:p>
        </w:tc>
        <w:tc>
          <w:tcPr>
            <w:tcW w:w="766" w:type="dxa"/>
            <w:tcBorders>
              <w:tl2br w:val="nil"/>
              <w:tr2bl w:val="nil"/>
            </w:tcBorders>
            <w:vAlign w:val="center"/>
          </w:tcPr>
          <w:p w14:paraId="757E8FA7">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1.34</w:t>
            </w:r>
          </w:p>
        </w:tc>
        <w:tc>
          <w:tcPr>
            <w:tcW w:w="761" w:type="dxa"/>
            <w:tcBorders>
              <w:tl2br w:val="nil"/>
              <w:tr2bl w:val="nil"/>
            </w:tcBorders>
            <w:vAlign w:val="center"/>
          </w:tcPr>
          <w:p w14:paraId="6F2E0DE9">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26.765</w:t>
            </w:r>
          </w:p>
        </w:tc>
        <w:tc>
          <w:tcPr>
            <w:tcW w:w="766" w:type="dxa"/>
            <w:tcBorders>
              <w:tl2br w:val="nil"/>
              <w:tr2bl w:val="nil"/>
            </w:tcBorders>
            <w:vAlign w:val="center"/>
          </w:tcPr>
          <w:p w14:paraId="7E1A8BF0">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0.25</w:t>
            </w:r>
          </w:p>
        </w:tc>
        <w:tc>
          <w:tcPr>
            <w:tcW w:w="781" w:type="dxa"/>
            <w:tcBorders>
              <w:tl2br w:val="nil"/>
              <w:tr2bl w:val="nil"/>
            </w:tcBorders>
            <w:vAlign w:val="center"/>
          </w:tcPr>
          <w:p w14:paraId="5AFDEB40">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0.2745</w:t>
            </w:r>
          </w:p>
        </w:tc>
      </w:tr>
      <w:tr w14:paraId="23921D57">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11" w:hRule="atLeast"/>
          <w:jc w:val="center"/>
        </w:trPr>
        <w:tc>
          <w:tcPr>
            <w:tcW w:w="454" w:type="pct"/>
            <w:tcBorders>
              <w:tl2br w:val="nil"/>
              <w:tr2bl w:val="nil"/>
            </w:tcBorders>
            <w:vAlign w:val="center"/>
          </w:tcPr>
          <w:p w14:paraId="6B00A62B">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500</w:t>
            </w:r>
          </w:p>
        </w:tc>
        <w:tc>
          <w:tcPr>
            <w:tcW w:w="757" w:type="dxa"/>
            <w:tcBorders>
              <w:tl2br w:val="nil"/>
              <w:tr2bl w:val="nil"/>
            </w:tcBorders>
            <w:vAlign w:val="center"/>
          </w:tcPr>
          <w:p w14:paraId="6E45C8A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2.25</w:t>
            </w:r>
          </w:p>
        </w:tc>
        <w:tc>
          <w:tcPr>
            <w:tcW w:w="774" w:type="dxa"/>
            <w:tcBorders>
              <w:tl2br w:val="nil"/>
              <w:tr2bl w:val="nil"/>
            </w:tcBorders>
            <w:vAlign w:val="center"/>
          </w:tcPr>
          <w:p w14:paraId="65C3022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20.218</w:t>
            </w:r>
          </w:p>
        </w:tc>
        <w:tc>
          <w:tcPr>
            <w:tcW w:w="762" w:type="dxa"/>
            <w:tcBorders>
              <w:tl2br w:val="nil"/>
              <w:tr2bl w:val="nil"/>
            </w:tcBorders>
            <w:vAlign w:val="center"/>
          </w:tcPr>
          <w:p w14:paraId="3067AE4F">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0.58</w:t>
            </w:r>
          </w:p>
        </w:tc>
        <w:tc>
          <w:tcPr>
            <w:tcW w:w="762" w:type="dxa"/>
            <w:tcBorders>
              <w:tl2br w:val="nil"/>
              <w:tr2bl w:val="nil"/>
            </w:tcBorders>
            <w:vAlign w:val="center"/>
          </w:tcPr>
          <w:p w14:paraId="57174090">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1.1535</w:t>
            </w:r>
          </w:p>
        </w:tc>
        <w:tc>
          <w:tcPr>
            <w:tcW w:w="762" w:type="dxa"/>
            <w:tcBorders>
              <w:tl2br w:val="nil"/>
              <w:tr2bl w:val="nil"/>
            </w:tcBorders>
            <w:vAlign w:val="center"/>
          </w:tcPr>
          <w:p w14:paraId="4F7453E1">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1.21</w:t>
            </w:r>
          </w:p>
        </w:tc>
        <w:tc>
          <w:tcPr>
            <w:tcW w:w="760" w:type="dxa"/>
            <w:tcBorders>
              <w:tl2br w:val="nil"/>
              <w:tr2bl w:val="nil"/>
            </w:tcBorders>
            <w:vAlign w:val="center"/>
          </w:tcPr>
          <w:p w14:paraId="163EA77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2.4119</w:t>
            </w:r>
          </w:p>
        </w:tc>
        <w:tc>
          <w:tcPr>
            <w:tcW w:w="766" w:type="dxa"/>
            <w:tcBorders>
              <w:tl2br w:val="nil"/>
              <w:tr2bl w:val="nil"/>
            </w:tcBorders>
            <w:vAlign w:val="center"/>
          </w:tcPr>
          <w:p w14:paraId="5854EF9E">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1.02</w:t>
            </w:r>
          </w:p>
        </w:tc>
        <w:tc>
          <w:tcPr>
            <w:tcW w:w="761" w:type="dxa"/>
            <w:tcBorders>
              <w:tl2br w:val="nil"/>
              <w:tr2bl w:val="nil"/>
            </w:tcBorders>
            <w:vAlign w:val="center"/>
          </w:tcPr>
          <w:p w14:paraId="25B2715C">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20.4487</w:t>
            </w:r>
          </w:p>
        </w:tc>
        <w:tc>
          <w:tcPr>
            <w:tcW w:w="766" w:type="dxa"/>
            <w:tcBorders>
              <w:tl2br w:val="nil"/>
              <w:tr2bl w:val="nil"/>
            </w:tcBorders>
            <w:vAlign w:val="center"/>
          </w:tcPr>
          <w:p w14:paraId="5EB11229">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0.19</w:t>
            </w:r>
          </w:p>
        </w:tc>
        <w:tc>
          <w:tcPr>
            <w:tcW w:w="781" w:type="dxa"/>
            <w:tcBorders>
              <w:tl2br w:val="nil"/>
              <w:tr2bl w:val="nil"/>
            </w:tcBorders>
            <w:vAlign w:val="center"/>
          </w:tcPr>
          <w:p w14:paraId="6D960242">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0.2097</w:t>
            </w:r>
          </w:p>
        </w:tc>
      </w:tr>
      <w:tr w14:paraId="21BE67EE">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58" w:hRule="atLeast"/>
          <w:jc w:val="center"/>
        </w:trPr>
        <w:tc>
          <w:tcPr>
            <w:tcW w:w="454" w:type="pct"/>
            <w:tcBorders>
              <w:tl2br w:val="nil"/>
              <w:tr2bl w:val="nil"/>
            </w:tcBorders>
            <w:vAlign w:val="center"/>
          </w:tcPr>
          <w:p w14:paraId="3B553EBE">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1000</w:t>
            </w:r>
          </w:p>
        </w:tc>
        <w:tc>
          <w:tcPr>
            <w:tcW w:w="757" w:type="dxa"/>
            <w:tcBorders>
              <w:tl2br w:val="nil"/>
              <w:tr2bl w:val="nil"/>
            </w:tcBorders>
            <w:vAlign w:val="center"/>
          </w:tcPr>
          <w:p w14:paraId="1786AC1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0.94</w:t>
            </w:r>
          </w:p>
        </w:tc>
        <w:tc>
          <w:tcPr>
            <w:tcW w:w="774" w:type="dxa"/>
            <w:tcBorders>
              <w:tl2br w:val="nil"/>
              <w:tr2bl w:val="nil"/>
            </w:tcBorders>
            <w:vAlign w:val="center"/>
          </w:tcPr>
          <w:p w14:paraId="4DF16A97">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8.4264</w:t>
            </w:r>
          </w:p>
        </w:tc>
        <w:tc>
          <w:tcPr>
            <w:tcW w:w="762" w:type="dxa"/>
            <w:tcBorders>
              <w:tl2br w:val="nil"/>
              <w:tr2bl w:val="nil"/>
            </w:tcBorders>
            <w:vAlign w:val="center"/>
          </w:tcPr>
          <w:p w14:paraId="64A7CCE0">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0.24</w:t>
            </w:r>
          </w:p>
        </w:tc>
        <w:tc>
          <w:tcPr>
            <w:tcW w:w="762" w:type="dxa"/>
            <w:tcBorders>
              <w:tl2br w:val="nil"/>
              <w:tr2bl w:val="nil"/>
            </w:tcBorders>
            <w:vAlign w:val="center"/>
          </w:tcPr>
          <w:p w14:paraId="48ED1E53">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0.4808</w:t>
            </w:r>
          </w:p>
        </w:tc>
        <w:tc>
          <w:tcPr>
            <w:tcW w:w="762" w:type="dxa"/>
            <w:tcBorders>
              <w:tl2br w:val="nil"/>
              <w:tr2bl w:val="nil"/>
            </w:tcBorders>
            <w:vAlign w:val="center"/>
          </w:tcPr>
          <w:p w14:paraId="2A96DFE9">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0.5</w:t>
            </w:r>
          </w:p>
        </w:tc>
        <w:tc>
          <w:tcPr>
            <w:tcW w:w="760" w:type="dxa"/>
            <w:tcBorders>
              <w:tl2br w:val="nil"/>
              <w:tr2bl w:val="nil"/>
            </w:tcBorders>
            <w:vAlign w:val="center"/>
          </w:tcPr>
          <w:p w14:paraId="4B226FCB">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1.0052</w:t>
            </w:r>
          </w:p>
        </w:tc>
        <w:tc>
          <w:tcPr>
            <w:tcW w:w="766" w:type="dxa"/>
            <w:tcBorders>
              <w:tl2br w:val="nil"/>
              <w:tr2bl w:val="nil"/>
            </w:tcBorders>
            <w:vAlign w:val="center"/>
          </w:tcPr>
          <w:p w14:paraId="7A739C99">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0.43</w:t>
            </w:r>
          </w:p>
        </w:tc>
        <w:tc>
          <w:tcPr>
            <w:tcW w:w="761" w:type="dxa"/>
            <w:tcBorders>
              <w:tl2br w:val="nil"/>
              <w:tr2bl w:val="nil"/>
            </w:tcBorders>
            <w:vAlign w:val="center"/>
          </w:tcPr>
          <w:p w14:paraId="161D47C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8.5226</w:t>
            </w:r>
          </w:p>
        </w:tc>
        <w:tc>
          <w:tcPr>
            <w:tcW w:w="766" w:type="dxa"/>
            <w:tcBorders>
              <w:tl2br w:val="nil"/>
              <w:tr2bl w:val="nil"/>
            </w:tcBorders>
            <w:vAlign w:val="center"/>
          </w:tcPr>
          <w:p w14:paraId="4823F4B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0.08</w:t>
            </w:r>
          </w:p>
        </w:tc>
        <w:tc>
          <w:tcPr>
            <w:tcW w:w="781" w:type="dxa"/>
            <w:tcBorders>
              <w:tl2br w:val="nil"/>
              <w:tr2bl w:val="nil"/>
            </w:tcBorders>
            <w:vAlign w:val="center"/>
          </w:tcPr>
          <w:p w14:paraId="6A29C3F2">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0.0874</w:t>
            </w:r>
          </w:p>
        </w:tc>
      </w:tr>
      <w:tr w14:paraId="35E91E17">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173" w:hRule="atLeast"/>
          <w:jc w:val="center"/>
        </w:trPr>
        <w:tc>
          <w:tcPr>
            <w:tcW w:w="454" w:type="pct"/>
            <w:tcBorders>
              <w:tl2br w:val="nil"/>
              <w:tr2bl w:val="nil"/>
            </w:tcBorders>
            <w:vAlign w:val="center"/>
          </w:tcPr>
          <w:p w14:paraId="3A83806B">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1500</w:t>
            </w:r>
          </w:p>
        </w:tc>
        <w:tc>
          <w:tcPr>
            <w:tcW w:w="757" w:type="dxa"/>
            <w:tcBorders>
              <w:tl2br w:val="nil"/>
              <w:tr2bl w:val="nil"/>
            </w:tcBorders>
            <w:vAlign w:val="center"/>
          </w:tcPr>
          <w:p w14:paraId="4220ECD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0.55</w:t>
            </w:r>
          </w:p>
        </w:tc>
        <w:tc>
          <w:tcPr>
            <w:tcW w:w="774" w:type="dxa"/>
            <w:tcBorders>
              <w:tl2br w:val="nil"/>
              <w:tr2bl w:val="nil"/>
            </w:tcBorders>
            <w:vAlign w:val="center"/>
          </w:tcPr>
          <w:p w14:paraId="629D7722">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4.9178</w:t>
            </w:r>
          </w:p>
        </w:tc>
        <w:tc>
          <w:tcPr>
            <w:tcW w:w="762" w:type="dxa"/>
            <w:tcBorders>
              <w:tl2br w:val="nil"/>
              <w:tr2bl w:val="nil"/>
            </w:tcBorders>
            <w:vAlign w:val="center"/>
          </w:tcPr>
          <w:p w14:paraId="7356D98F">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0.14</w:t>
            </w:r>
          </w:p>
        </w:tc>
        <w:tc>
          <w:tcPr>
            <w:tcW w:w="762" w:type="dxa"/>
            <w:tcBorders>
              <w:tl2br w:val="nil"/>
              <w:tr2bl w:val="nil"/>
            </w:tcBorders>
            <w:vAlign w:val="center"/>
          </w:tcPr>
          <w:p w14:paraId="5EB2FC3B">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0.2806</w:t>
            </w:r>
          </w:p>
        </w:tc>
        <w:tc>
          <w:tcPr>
            <w:tcW w:w="762" w:type="dxa"/>
            <w:tcBorders>
              <w:tl2br w:val="nil"/>
              <w:tr2bl w:val="nil"/>
            </w:tcBorders>
            <w:vAlign w:val="center"/>
          </w:tcPr>
          <w:p w14:paraId="4C88FAD4">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0.29</w:t>
            </w:r>
          </w:p>
        </w:tc>
        <w:tc>
          <w:tcPr>
            <w:tcW w:w="760" w:type="dxa"/>
            <w:tcBorders>
              <w:tl2br w:val="nil"/>
              <w:tr2bl w:val="nil"/>
            </w:tcBorders>
            <w:vAlign w:val="center"/>
          </w:tcPr>
          <w:p w14:paraId="0AC3EFD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0.5867</w:t>
            </w:r>
          </w:p>
        </w:tc>
        <w:tc>
          <w:tcPr>
            <w:tcW w:w="766" w:type="dxa"/>
            <w:tcBorders>
              <w:tl2br w:val="nil"/>
              <w:tr2bl w:val="nil"/>
            </w:tcBorders>
            <w:vAlign w:val="center"/>
          </w:tcPr>
          <w:p w14:paraId="21D2038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0.25</w:t>
            </w:r>
          </w:p>
        </w:tc>
        <w:tc>
          <w:tcPr>
            <w:tcW w:w="761" w:type="dxa"/>
            <w:tcBorders>
              <w:tl2br w:val="nil"/>
              <w:tr2bl w:val="nil"/>
            </w:tcBorders>
            <w:vAlign w:val="center"/>
          </w:tcPr>
          <w:p w14:paraId="7C1B941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4.9739</w:t>
            </w:r>
          </w:p>
        </w:tc>
        <w:tc>
          <w:tcPr>
            <w:tcW w:w="766" w:type="dxa"/>
            <w:tcBorders>
              <w:tl2br w:val="nil"/>
              <w:tr2bl w:val="nil"/>
            </w:tcBorders>
            <w:vAlign w:val="center"/>
          </w:tcPr>
          <w:p w14:paraId="3FFF6EA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0.05</w:t>
            </w:r>
          </w:p>
        </w:tc>
        <w:tc>
          <w:tcPr>
            <w:tcW w:w="781" w:type="dxa"/>
            <w:tcBorders>
              <w:tl2br w:val="nil"/>
              <w:tr2bl w:val="nil"/>
            </w:tcBorders>
            <w:vAlign w:val="center"/>
          </w:tcPr>
          <w:p w14:paraId="5B8014A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0.051</w:t>
            </w:r>
          </w:p>
        </w:tc>
      </w:tr>
      <w:tr w14:paraId="33D0E9F8">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181" w:hRule="atLeast"/>
          <w:jc w:val="center"/>
        </w:trPr>
        <w:tc>
          <w:tcPr>
            <w:tcW w:w="454" w:type="pct"/>
            <w:tcBorders>
              <w:tl2br w:val="nil"/>
              <w:tr2bl w:val="nil"/>
            </w:tcBorders>
            <w:vAlign w:val="center"/>
          </w:tcPr>
          <w:p w14:paraId="24E2566A">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2000</w:t>
            </w:r>
          </w:p>
        </w:tc>
        <w:tc>
          <w:tcPr>
            <w:tcW w:w="757" w:type="dxa"/>
            <w:tcBorders>
              <w:tl2br w:val="nil"/>
              <w:tr2bl w:val="nil"/>
            </w:tcBorders>
            <w:vAlign w:val="center"/>
          </w:tcPr>
          <w:p w14:paraId="4E197A31">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0.37</w:t>
            </w:r>
          </w:p>
        </w:tc>
        <w:tc>
          <w:tcPr>
            <w:tcW w:w="774" w:type="dxa"/>
            <w:tcBorders>
              <w:tl2br w:val="nil"/>
              <w:tr2bl w:val="nil"/>
            </w:tcBorders>
            <w:vAlign w:val="center"/>
          </w:tcPr>
          <w:p w14:paraId="61E40EA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3.3442</w:t>
            </w:r>
          </w:p>
        </w:tc>
        <w:tc>
          <w:tcPr>
            <w:tcW w:w="762" w:type="dxa"/>
            <w:tcBorders>
              <w:tl2br w:val="nil"/>
              <w:tr2bl w:val="nil"/>
            </w:tcBorders>
            <w:vAlign w:val="center"/>
          </w:tcPr>
          <w:p w14:paraId="6B9927C2">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w:t>
            </w:r>
          </w:p>
        </w:tc>
        <w:tc>
          <w:tcPr>
            <w:tcW w:w="762" w:type="dxa"/>
            <w:tcBorders>
              <w:tl2br w:val="nil"/>
              <w:tr2bl w:val="nil"/>
            </w:tcBorders>
            <w:vAlign w:val="center"/>
          </w:tcPr>
          <w:p w14:paraId="403587B5">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0.1908</w:t>
            </w:r>
          </w:p>
        </w:tc>
        <w:tc>
          <w:tcPr>
            <w:tcW w:w="762" w:type="dxa"/>
            <w:tcBorders>
              <w:tl2br w:val="nil"/>
              <w:tr2bl w:val="nil"/>
            </w:tcBorders>
            <w:vAlign w:val="center"/>
          </w:tcPr>
          <w:p w14:paraId="2A5E3BC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w:t>
            </w:r>
          </w:p>
        </w:tc>
        <w:tc>
          <w:tcPr>
            <w:tcW w:w="760" w:type="dxa"/>
            <w:tcBorders>
              <w:tl2br w:val="nil"/>
              <w:tr2bl w:val="nil"/>
            </w:tcBorders>
            <w:vAlign w:val="center"/>
          </w:tcPr>
          <w:p w14:paraId="6DE7FDA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0.3989</w:t>
            </w:r>
          </w:p>
        </w:tc>
        <w:tc>
          <w:tcPr>
            <w:tcW w:w="766" w:type="dxa"/>
            <w:tcBorders>
              <w:tl2br w:val="nil"/>
              <w:tr2bl w:val="nil"/>
            </w:tcBorders>
            <w:vAlign w:val="center"/>
          </w:tcPr>
          <w:p w14:paraId="6C55CFF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0.17</w:t>
            </w:r>
          </w:p>
        </w:tc>
        <w:tc>
          <w:tcPr>
            <w:tcW w:w="761" w:type="dxa"/>
            <w:tcBorders>
              <w:tl2br w:val="nil"/>
              <w:tr2bl w:val="nil"/>
            </w:tcBorders>
            <w:vAlign w:val="center"/>
          </w:tcPr>
          <w:p w14:paraId="43595F2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3.3824</w:t>
            </w:r>
          </w:p>
        </w:tc>
        <w:tc>
          <w:tcPr>
            <w:tcW w:w="766" w:type="dxa"/>
            <w:tcBorders>
              <w:tl2br w:val="nil"/>
              <w:tr2bl w:val="nil"/>
            </w:tcBorders>
            <w:vAlign w:val="center"/>
          </w:tcPr>
          <w:p w14:paraId="432C69B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0.03</w:t>
            </w:r>
          </w:p>
        </w:tc>
        <w:tc>
          <w:tcPr>
            <w:tcW w:w="781" w:type="dxa"/>
            <w:tcBorders>
              <w:tl2br w:val="nil"/>
              <w:tr2bl w:val="nil"/>
            </w:tcBorders>
            <w:vAlign w:val="center"/>
          </w:tcPr>
          <w:p w14:paraId="4BD4237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0.0347</w:t>
            </w:r>
          </w:p>
        </w:tc>
      </w:tr>
      <w:tr w14:paraId="33FB14E9">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65" w:hRule="atLeast"/>
          <w:jc w:val="center"/>
        </w:trPr>
        <w:tc>
          <w:tcPr>
            <w:tcW w:w="454" w:type="pct"/>
            <w:tcBorders>
              <w:bottom w:val="single" w:color="000000" w:sz="4" w:space="0"/>
              <w:tl2br w:val="nil"/>
              <w:tr2bl w:val="nil"/>
            </w:tcBorders>
            <w:vAlign w:val="center"/>
          </w:tcPr>
          <w:p w14:paraId="30B362FA">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2500</w:t>
            </w:r>
          </w:p>
        </w:tc>
        <w:tc>
          <w:tcPr>
            <w:tcW w:w="757" w:type="dxa"/>
            <w:tcBorders>
              <w:bottom w:val="single" w:color="000000" w:sz="4" w:space="0"/>
              <w:tl2br w:val="nil"/>
              <w:tr2bl w:val="nil"/>
            </w:tcBorders>
            <w:vAlign w:val="center"/>
          </w:tcPr>
          <w:p w14:paraId="5B01DBC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0.28</w:t>
            </w:r>
          </w:p>
        </w:tc>
        <w:tc>
          <w:tcPr>
            <w:tcW w:w="774" w:type="dxa"/>
            <w:tcBorders>
              <w:bottom w:val="single" w:color="000000" w:sz="4" w:space="0"/>
              <w:tl2br w:val="nil"/>
              <w:tr2bl w:val="nil"/>
            </w:tcBorders>
            <w:vAlign w:val="center"/>
          </w:tcPr>
          <w:p w14:paraId="161E128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2.4762</w:t>
            </w:r>
          </w:p>
        </w:tc>
        <w:tc>
          <w:tcPr>
            <w:tcW w:w="762" w:type="dxa"/>
            <w:tcBorders>
              <w:bottom w:val="single" w:color="000000" w:sz="4" w:space="0"/>
              <w:tl2br w:val="nil"/>
              <w:tr2bl w:val="nil"/>
            </w:tcBorders>
            <w:vAlign w:val="center"/>
          </w:tcPr>
          <w:p w14:paraId="324F98A4">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0.07</w:t>
            </w:r>
          </w:p>
        </w:tc>
        <w:tc>
          <w:tcPr>
            <w:tcW w:w="762" w:type="dxa"/>
            <w:tcBorders>
              <w:bottom w:val="single" w:color="000000" w:sz="4" w:space="0"/>
              <w:tl2br w:val="nil"/>
              <w:tr2bl w:val="nil"/>
            </w:tcBorders>
            <w:vAlign w:val="center"/>
          </w:tcPr>
          <w:p w14:paraId="098503F5">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0.1413</w:t>
            </w:r>
          </w:p>
        </w:tc>
        <w:tc>
          <w:tcPr>
            <w:tcW w:w="762" w:type="dxa"/>
            <w:tcBorders>
              <w:bottom w:val="single" w:color="000000" w:sz="4" w:space="0"/>
              <w:tl2br w:val="nil"/>
              <w:tr2bl w:val="nil"/>
            </w:tcBorders>
            <w:vAlign w:val="center"/>
          </w:tcPr>
          <w:p w14:paraId="608804F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0.15</w:t>
            </w:r>
          </w:p>
        </w:tc>
        <w:tc>
          <w:tcPr>
            <w:tcW w:w="760" w:type="dxa"/>
            <w:tcBorders>
              <w:bottom w:val="single" w:color="000000" w:sz="4" w:space="0"/>
              <w:tl2br w:val="nil"/>
              <w:tr2bl w:val="nil"/>
            </w:tcBorders>
            <w:vAlign w:val="center"/>
          </w:tcPr>
          <w:p w14:paraId="5EB2290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0.2954</w:t>
            </w:r>
          </w:p>
        </w:tc>
        <w:tc>
          <w:tcPr>
            <w:tcW w:w="766" w:type="dxa"/>
            <w:tcBorders>
              <w:bottom w:val="single" w:color="000000" w:sz="4" w:space="0"/>
              <w:tl2br w:val="nil"/>
              <w:tr2bl w:val="nil"/>
            </w:tcBorders>
            <w:vAlign w:val="center"/>
          </w:tcPr>
          <w:p w14:paraId="51F48DB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0.13</w:t>
            </w:r>
          </w:p>
        </w:tc>
        <w:tc>
          <w:tcPr>
            <w:tcW w:w="761" w:type="dxa"/>
            <w:tcBorders>
              <w:bottom w:val="single" w:color="000000" w:sz="4" w:space="0"/>
              <w:tl2br w:val="nil"/>
              <w:tr2bl w:val="nil"/>
            </w:tcBorders>
            <w:vAlign w:val="center"/>
          </w:tcPr>
          <w:p w14:paraId="68C7A46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2.5045</w:t>
            </w:r>
          </w:p>
        </w:tc>
        <w:tc>
          <w:tcPr>
            <w:tcW w:w="766" w:type="dxa"/>
            <w:tcBorders>
              <w:bottom w:val="single" w:color="000000" w:sz="4" w:space="0"/>
              <w:tl2br w:val="nil"/>
              <w:tr2bl w:val="nil"/>
            </w:tcBorders>
            <w:vAlign w:val="center"/>
          </w:tcPr>
          <w:p w14:paraId="2644666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0.02</w:t>
            </w:r>
          </w:p>
        </w:tc>
        <w:tc>
          <w:tcPr>
            <w:tcW w:w="781" w:type="dxa"/>
            <w:tcBorders>
              <w:bottom w:val="single" w:color="000000" w:sz="4" w:space="0"/>
              <w:tl2br w:val="nil"/>
              <w:tr2bl w:val="nil"/>
            </w:tcBorders>
            <w:vAlign w:val="center"/>
          </w:tcPr>
          <w:p w14:paraId="434084B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0.0257</w:t>
            </w:r>
          </w:p>
        </w:tc>
      </w:tr>
      <w:tr w14:paraId="731D433C">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20" w:hRule="atLeast"/>
          <w:jc w:val="center"/>
        </w:trPr>
        <w:tc>
          <w:tcPr>
            <w:tcW w:w="454" w:type="pct"/>
            <w:tcBorders>
              <w:top w:val="single" w:color="000000" w:sz="4" w:space="0"/>
              <w:bottom w:val="single" w:color="000000" w:sz="4" w:space="0"/>
              <w:tl2br w:val="nil"/>
              <w:tr2bl w:val="nil"/>
            </w:tcBorders>
            <w:vAlign w:val="center"/>
          </w:tcPr>
          <w:p w14:paraId="01D56A3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450" w:type="pct"/>
            <w:tcBorders>
              <w:top w:val="single" w:color="000000" w:sz="4" w:space="0"/>
              <w:bottom w:val="single" w:color="000000" w:sz="4" w:space="0"/>
              <w:tl2br w:val="nil"/>
              <w:tr2bl w:val="nil"/>
            </w:tcBorders>
            <w:vAlign w:val="center"/>
          </w:tcPr>
          <w:p w14:paraId="01A957DC">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456" w:type="pct"/>
            <w:tcBorders>
              <w:top w:val="single" w:color="000000" w:sz="4" w:space="0"/>
              <w:bottom w:val="single" w:color="000000" w:sz="4" w:space="0"/>
              <w:tl2br w:val="nil"/>
              <w:tr2bl w:val="nil"/>
            </w:tcBorders>
            <w:vAlign w:val="center"/>
          </w:tcPr>
          <w:p w14:paraId="050315C4">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453" w:type="pct"/>
            <w:tcBorders>
              <w:top w:val="single" w:color="000000" w:sz="4" w:space="0"/>
              <w:bottom w:val="single" w:color="000000" w:sz="4" w:space="0"/>
              <w:tl2br w:val="nil"/>
              <w:tr2bl w:val="nil"/>
            </w:tcBorders>
            <w:vAlign w:val="center"/>
          </w:tcPr>
          <w:p w14:paraId="51C2D389">
            <w:pPr>
              <w:widowControl/>
              <w:jc w:val="center"/>
              <w:textAlignment w:val="center"/>
              <w:rPr>
                <w:rFonts w:hint="eastAsia" w:ascii="Times New Roman" w:hAnsi="Times New Roman" w:eastAsia="宋体" w:cs="Times New Roman"/>
                <w:bCs/>
                <w:kern w:val="0"/>
                <w:szCs w:val="21"/>
                <w:lang w:bidi="ar"/>
              </w:rPr>
            </w:pPr>
          </w:p>
        </w:tc>
        <w:tc>
          <w:tcPr>
            <w:tcW w:w="453" w:type="pct"/>
            <w:tcBorders>
              <w:top w:val="single" w:color="000000" w:sz="4" w:space="0"/>
              <w:bottom w:val="single" w:color="000000" w:sz="4" w:space="0"/>
              <w:tl2br w:val="nil"/>
              <w:tr2bl w:val="nil"/>
            </w:tcBorders>
            <w:vAlign w:val="center"/>
          </w:tcPr>
          <w:p w14:paraId="17CB3F79">
            <w:pPr>
              <w:widowControl/>
              <w:jc w:val="center"/>
              <w:textAlignment w:val="center"/>
              <w:rPr>
                <w:rFonts w:hint="eastAsia" w:ascii="Times New Roman" w:hAnsi="Times New Roman" w:eastAsia="宋体" w:cs="Times New Roman"/>
                <w:bCs/>
                <w:kern w:val="0"/>
                <w:szCs w:val="21"/>
                <w:lang w:bidi="ar"/>
              </w:rPr>
            </w:pPr>
          </w:p>
        </w:tc>
        <w:tc>
          <w:tcPr>
            <w:tcW w:w="453" w:type="pct"/>
            <w:tcBorders>
              <w:top w:val="single" w:color="000000" w:sz="4" w:space="0"/>
              <w:bottom w:val="single" w:color="000000" w:sz="4" w:space="0"/>
              <w:tl2br w:val="nil"/>
              <w:tr2bl w:val="nil"/>
            </w:tcBorders>
            <w:vAlign w:val="center"/>
          </w:tcPr>
          <w:p w14:paraId="0A99EEDE">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452" w:type="pct"/>
            <w:tcBorders>
              <w:top w:val="single" w:color="000000" w:sz="4" w:space="0"/>
              <w:bottom w:val="single" w:color="000000" w:sz="4" w:space="0"/>
              <w:tl2br w:val="nil"/>
              <w:tr2bl w:val="nil"/>
            </w:tcBorders>
            <w:vAlign w:val="center"/>
          </w:tcPr>
          <w:p w14:paraId="3EAA563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455" w:type="pct"/>
            <w:tcBorders>
              <w:top w:val="single" w:color="000000" w:sz="4" w:space="0"/>
              <w:bottom w:val="single" w:color="000000" w:sz="4" w:space="0"/>
              <w:tl2br w:val="nil"/>
              <w:tr2bl w:val="nil"/>
            </w:tcBorders>
            <w:vAlign w:val="center"/>
          </w:tcPr>
          <w:p w14:paraId="7DFF621E">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452" w:type="pct"/>
            <w:tcBorders>
              <w:top w:val="single" w:color="000000" w:sz="4" w:space="0"/>
              <w:bottom w:val="single" w:color="000000" w:sz="4" w:space="0"/>
              <w:tl2br w:val="nil"/>
              <w:tr2bl w:val="nil"/>
            </w:tcBorders>
            <w:vAlign w:val="center"/>
          </w:tcPr>
          <w:p w14:paraId="59BE3DA9">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455" w:type="pct"/>
            <w:tcBorders>
              <w:top w:val="single" w:color="000000" w:sz="4" w:space="0"/>
              <w:bottom w:val="single" w:color="000000" w:sz="4" w:space="0"/>
              <w:tl2br w:val="nil"/>
              <w:tr2bl w:val="nil"/>
            </w:tcBorders>
            <w:vAlign w:val="center"/>
          </w:tcPr>
          <w:p w14:paraId="62736A0E">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464" w:type="pct"/>
            <w:tcBorders>
              <w:top w:val="single" w:color="000000" w:sz="4" w:space="0"/>
              <w:bottom w:val="single" w:color="000000" w:sz="4" w:space="0"/>
              <w:tl2br w:val="nil"/>
              <w:tr2bl w:val="nil"/>
            </w:tcBorders>
            <w:vAlign w:val="center"/>
          </w:tcPr>
          <w:p w14:paraId="5C706772">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r>
      <w:tr w14:paraId="3C587A6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16" w:hRule="atLeast"/>
          <w:jc w:val="center"/>
        </w:trPr>
        <w:tc>
          <w:tcPr>
            <w:tcW w:w="454" w:type="pct"/>
            <w:tcBorders>
              <w:top w:val="single" w:color="000000" w:sz="4" w:space="0"/>
              <w:tl2br w:val="nil"/>
              <w:tr2bl w:val="nil"/>
            </w:tcBorders>
            <w:vAlign w:val="center"/>
          </w:tcPr>
          <w:p w14:paraId="1282768C">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25000</w:t>
            </w:r>
          </w:p>
        </w:tc>
        <w:tc>
          <w:tcPr>
            <w:tcW w:w="757" w:type="dxa"/>
            <w:tcBorders>
              <w:top w:val="single" w:color="000000" w:sz="4" w:space="0"/>
              <w:tl2br w:val="nil"/>
              <w:tr2bl w:val="nil"/>
            </w:tcBorders>
            <w:vAlign w:val="center"/>
          </w:tcPr>
          <w:p w14:paraId="44B67907">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0.01</w:t>
            </w:r>
          </w:p>
        </w:tc>
        <w:tc>
          <w:tcPr>
            <w:tcW w:w="774" w:type="dxa"/>
            <w:tcBorders>
              <w:top w:val="single" w:color="000000" w:sz="4" w:space="0"/>
              <w:tl2br w:val="nil"/>
              <w:tr2bl w:val="nil"/>
            </w:tcBorders>
            <w:vAlign w:val="center"/>
          </w:tcPr>
          <w:p w14:paraId="75CCCFF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0.1087</w:t>
            </w:r>
          </w:p>
        </w:tc>
        <w:tc>
          <w:tcPr>
            <w:tcW w:w="762" w:type="dxa"/>
            <w:tcBorders>
              <w:top w:val="single" w:color="000000" w:sz="4" w:space="0"/>
              <w:tl2br w:val="nil"/>
              <w:tr2bl w:val="nil"/>
            </w:tcBorders>
            <w:vAlign w:val="center"/>
          </w:tcPr>
          <w:p w14:paraId="48F79117">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w:t>
            </w:r>
          </w:p>
        </w:tc>
        <w:tc>
          <w:tcPr>
            <w:tcW w:w="762" w:type="dxa"/>
            <w:tcBorders>
              <w:top w:val="single" w:color="000000" w:sz="4" w:space="0"/>
              <w:tl2br w:val="nil"/>
              <w:tr2bl w:val="nil"/>
            </w:tcBorders>
            <w:vAlign w:val="center"/>
          </w:tcPr>
          <w:p w14:paraId="2D07DE11">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0.0062</w:t>
            </w:r>
          </w:p>
        </w:tc>
        <w:tc>
          <w:tcPr>
            <w:tcW w:w="762" w:type="dxa"/>
            <w:tcBorders>
              <w:top w:val="single" w:color="000000" w:sz="4" w:space="0"/>
              <w:tl2br w:val="nil"/>
              <w:tr2bl w:val="nil"/>
            </w:tcBorders>
            <w:vAlign w:val="center"/>
          </w:tcPr>
          <w:p w14:paraId="036E041B">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0.01</w:t>
            </w:r>
          </w:p>
        </w:tc>
        <w:tc>
          <w:tcPr>
            <w:tcW w:w="760" w:type="dxa"/>
            <w:tcBorders>
              <w:top w:val="single" w:color="000000" w:sz="4" w:space="0"/>
              <w:tl2br w:val="nil"/>
              <w:tr2bl w:val="nil"/>
            </w:tcBorders>
            <w:vAlign w:val="center"/>
          </w:tcPr>
          <w:p w14:paraId="154677AA">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0.013</w:t>
            </w:r>
          </w:p>
        </w:tc>
        <w:tc>
          <w:tcPr>
            <w:tcW w:w="766" w:type="dxa"/>
            <w:tcBorders>
              <w:top w:val="single" w:color="000000" w:sz="4" w:space="0"/>
              <w:tl2br w:val="nil"/>
              <w:tr2bl w:val="nil"/>
            </w:tcBorders>
            <w:vAlign w:val="center"/>
          </w:tcPr>
          <w:p w14:paraId="263EC720">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0.01</w:t>
            </w:r>
          </w:p>
        </w:tc>
        <w:tc>
          <w:tcPr>
            <w:tcW w:w="761" w:type="dxa"/>
            <w:tcBorders>
              <w:top w:val="single" w:color="000000" w:sz="4" w:space="0"/>
              <w:tl2br w:val="nil"/>
              <w:tr2bl w:val="nil"/>
            </w:tcBorders>
            <w:vAlign w:val="center"/>
          </w:tcPr>
          <w:p w14:paraId="6B918A5C">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0.1099</w:t>
            </w:r>
          </w:p>
        </w:tc>
        <w:tc>
          <w:tcPr>
            <w:tcW w:w="766" w:type="dxa"/>
            <w:tcBorders>
              <w:top w:val="single" w:color="000000" w:sz="4" w:space="0"/>
              <w:tl2br w:val="nil"/>
              <w:tr2bl w:val="nil"/>
            </w:tcBorders>
            <w:vAlign w:val="center"/>
          </w:tcPr>
          <w:p w14:paraId="3D304A4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w:t>
            </w:r>
          </w:p>
        </w:tc>
        <w:tc>
          <w:tcPr>
            <w:tcW w:w="781" w:type="dxa"/>
            <w:tcBorders>
              <w:top w:val="single" w:color="000000" w:sz="4" w:space="0"/>
              <w:tl2br w:val="nil"/>
              <w:tr2bl w:val="nil"/>
            </w:tcBorders>
            <w:vAlign w:val="center"/>
          </w:tcPr>
          <w:p w14:paraId="08BA06D1">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0.0011</w:t>
            </w:r>
          </w:p>
        </w:tc>
      </w:tr>
      <w:tr w14:paraId="2C4EF917">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304" w:hRule="atLeast"/>
          <w:jc w:val="center"/>
        </w:trPr>
        <w:tc>
          <w:tcPr>
            <w:tcW w:w="454" w:type="pct"/>
            <w:tcBorders>
              <w:tl2br w:val="nil"/>
              <w:tr2bl w:val="nil"/>
            </w:tcBorders>
            <w:vAlign w:val="center"/>
          </w:tcPr>
          <w:p w14:paraId="0E632DE3">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bCs/>
                <w:szCs w:val="21"/>
              </w:rPr>
              <w:t>下风向最大质量浓度及占标率/%</w:t>
            </w:r>
          </w:p>
        </w:tc>
        <w:tc>
          <w:tcPr>
            <w:tcW w:w="758" w:type="dxa"/>
            <w:tcBorders>
              <w:tl2br w:val="nil"/>
              <w:tr2bl w:val="nil"/>
            </w:tcBorders>
            <w:vAlign w:val="center"/>
          </w:tcPr>
          <w:p w14:paraId="3D7517C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9.13</w:t>
            </w:r>
          </w:p>
        </w:tc>
        <w:tc>
          <w:tcPr>
            <w:tcW w:w="768" w:type="dxa"/>
            <w:tcBorders>
              <w:tl2br w:val="nil"/>
              <w:tr2bl w:val="nil"/>
            </w:tcBorders>
            <w:vAlign w:val="center"/>
          </w:tcPr>
          <w:p w14:paraId="18A9AAC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82.168</w:t>
            </w:r>
          </w:p>
        </w:tc>
        <w:tc>
          <w:tcPr>
            <w:tcW w:w="762" w:type="dxa"/>
            <w:tcBorders>
              <w:tl2br w:val="nil"/>
              <w:tr2bl w:val="nil"/>
            </w:tcBorders>
            <w:vAlign w:val="center"/>
          </w:tcPr>
          <w:p w14:paraId="4AF2A55B">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2.34</w:t>
            </w:r>
          </w:p>
        </w:tc>
        <w:tc>
          <w:tcPr>
            <w:tcW w:w="762" w:type="dxa"/>
            <w:tcBorders>
              <w:tl2br w:val="nil"/>
              <w:tr2bl w:val="nil"/>
            </w:tcBorders>
            <w:vAlign w:val="center"/>
          </w:tcPr>
          <w:p w14:paraId="0B75564C">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4.688</w:t>
            </w:r>
          </w:p>
        </w:tc>
        <w:tc>
          <w:tcPr>
            <w:tcW w:w="762" w:type="dxa"/>
            <w:tcBorders>
              <w:tl2br w:val="nil"/>
              <w:tr2bl w:val="nil"/>
            </w:tcBorders>
            <w:vAlign w:val="center"/>
          </w:tcPr>
          <w:p w14:paraId="3A3D3BBC">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4.9</w:t>
            </w:r>
          </w:p>
        </w:tc>
        <w:tc>
          <w:tcPr>
            <w:tcW w:w="760" w:type="dxa"/>
            <w:tcBorders>
              <w:tl2br w:val="nil"/>
              <w:tr2bl w:val="nil"/>
            </w:tcBorders>
            <w:vAlign w:val="center"/>
          </w:tcPr>
          <w:p w14:paraId="7274045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9.8022</w:t>
            </w:r>
          </w:p>
        </w:tc>
        <w:tc>
          <w:tcPr>
            <w:tcW w:w="766" w:type="dxa"/>
            <w:tcBorders>
              <w:tl2br w:val="nil"/>
              <w:tr2bl w:val="nil"/>
            </w:tcBorders>
            <w:vAlign w:val="center"/>
          </w:tcPr>
          <w:p w14:paraId="7A7A655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4.16</w:t>
            </w:r>
          </w:p>
        </w:tc>
        <w:tc>
          <w:tcPr>
            <w:tcW w:w="761" w:type="dxa"/>
            <w:tcBorders>
              <w:tl2br w:val="nil"/>
              <w:tr2bl w:val="nil"/>
            </w:tcBorders>
            <w:vAlign w:val="center"/>
          </w:tcPr>
          <w:p w14:paraId="0097259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83.1056</w:t>
            </w:r>
          </w:p>
        </w:tc>
        <w:tc>
          <w:tcPr>
            <w:tcW w:w="766" w:type="dxa"/>
            <w:tcBorders>
              <w:tl2br w:val="nil"/>
              <w:tr2bl w:val="nil"/>
            </w:tcBorders>
            <w:vAlign w:val="center"/>
          </w:tcPr>
          <w:p w14:paraId="00F6654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0.77</w:t>
            </w:r>
          </w:p>
        </w:tc>
        <w:tc>
          <w:tcPr>
            <w:tcW w:w="781" w:type="dxa"/>
            <w:tcBorders>
              <w:tl2br w:val="nil"/>
              <w:tr2bl w:val="nil"/>
            </w:tcBorders>
            <w:vAlign w:val="center"/>
          </w:tcPr>
          <w:p w14:paraId="4AD4D6F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0.8524</w:t>
            </w:r>
          </w:p>
        </w:tc>
      </w:tr>
      <w:tr w14:paraId="54C4BE5B">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394" w:hRule="atLeast"/>
          <w:jc w:val="center"/>
        </w:trPr>
        <w:tc>
          <w:tcPr>
            <w:tcW w:w="454" w:type="pct"/>
            <w:tcBorders>
              <w:tl2br w:val="nil"/>
              <w:tr2bl w:val="nil"/>
            </w:tcBorders>
            <w:vAlign w:val="center"/>
          </w:tcPr>
          <w:p w14:paraId="2F1FBCA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bCs/>
                <w:szCs w:val="21"/>
              </w:rPr>
              <w:t>D10%最远</w:t>
            </w:r>
            <w:r>
              <w:rPr>
                <w:rFonts w:ascii="Times New Roman" w:hAnsi="Times New Roman" w:cs="Times New Roman"/>
                <w:bCs/>
                <w:szCs w:val="21"/>
              </w:rPr>
              <w:t>距离/m</w:t>
            </w:r>
          </w:p>
        </w:tc>
        <w:tc>
          <w:tcPr>
            <w:tcW w:w="906" w:type="pct"/>
            <w:gridSpan w:val="2"/>
            <w:tcBorders>
              <w:tl2br w:val="nil"/>
              <w:tr2bl w:val="nil"/>
            </w:tcBorders>
            <w:vAlign w:val="center"/>
          </w:tcPr>
          <w:p w14:paraId="2F066099">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0</w:t>
            </w:r>
          </w:p>
        </w:tc>
        <w:tc>
          <w:tcPr>
            <w:tcW w:w="906" w:type="pct"/>
            <w:gridSpan w:val="2"/>
            <w:tcBorders>
              <w:tl2br w:val="nil"/>
              <w:tr2bl w:val="nil"/>
            </w:tcBorders>
            <w:vAlign w:val="center"/>
          </w:tcPr>
          <w:p w14:paraId="01F9333C">
            <w:pPr>
              <w:widowControl/>
              <w:jc w:val="center"/>
              <w:textAlignment w:val="center"/>
              <w:rPr>
                <w:rFonts w:hint="eastAsia" w:ascii="Times New Roman" w:hAnsi="Times New Roman" w:eastAsia="宋体" w:cs="Times New Roman"/>
                <w:bCs/>
                <w:kern w:val="0"/>
                <w:szCs w:val="21"/>
                <w:lang w:val="en-US" w:eastAsia="zh-CN" w:bidi="ar"/>
              </w:rPr>
            </w:pPr>
            <w:r>
              <w:rPr>
                <w:rFonts w:hint="eastAsia" w:ascii="Times New Roman" w:hAnsi="Times New Roman" w:eastAsia="宋体" w:cs="Times New Roman"/>
                <w:bCs/>
                <w:kern w:val="0"/>
                <w:szCs w:val="21"/>
                <w:lang w:val="en-US" w:eastAsia="zh-CN" w:bidi="ar"/>
              </w:rPr>
              <w:t>0</w:t>
            </w:r>
          </w:p>
        </w:tc>
        <w:tc>
          <w:tcPr>
            <w:tcW w:w="905" w:type="pct"/>
            <w:gridSpan w:val="2"/>
            <w:tcBorders>
              <w:tl2br w:val="nil"/>
              <w:tr2bl w:val="nil"/>
            </w:tcBorders>
            <w:vAlign w:val="center"/>
          </w:tcPr>
          <w:p w14:paraId="2B064FEB">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0</w:t>
            </w:r>
          </w:p>
        </w:tc>
        <w:tc>
          <w:tcPr>
            <w:tcW w:w="907" w:type="pct"/>
            <w:gridSpan w:val="2"/>
            <w:tcBorders>
              <w:tl2br w:val="nil"/>
              <w:tr2bl w:val="nil"/>
            </w:tcBorders>
            <w:vAlign w:val="center"/>
          </w:tcPr>
          <w:p w14:paraId="0106221C">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0</w:t>
            </w:r>
          </w:p>
        </w:tc>
        <w:tc>
          <w:tcPr>
            <w:tcW w:w="919" w:type="pct"/>
            <w:gridSpan w:val="2"/>
            <w:tcBorders>
              <w:tl2br w:val="nil"/>
              <w:tr2bl w:val="nil"/>
            </w:tcBorders>
            <w:vAlign w:val="center"/>
          </w:tcPr>
          <w:p w14:paraId="7B12EAB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0</w:t>
            </w:r>
          </w:p>
        </w:tc>
      </w:tr>
    </w:tbl>
    <w:p w14:paraId="0196299B">
      <w:pPr>
        <w:numPr>
          <w:ilvl w:val="0"/>
          <w:numId w:val="59"/>
        </w:num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 xml:space="preserve">  木加工、打磨工序</w:t>
      </w:r>
      <w:r>
        <w:rPr>
          <w:rFonts w:ascii="Times New Roman" w:hAnsi="Times New Roman" w:cs="Times New Roman"/>
          <w:b/>
          <w:bCs/>
          <w:color w:val="000000" w:themeColor="text1"/>
          <w:szCs w:val="21"/>
          <w14:textFill>
            <w14:solidFill>
              <w14:schemeClr w14:val="tx1"/>
            </w14:solidFill>
          </w14:textFill>
        </w:rPr>
        <w:t>有组织废气估算模型计算结果表</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248"/>
        <w:gridCol w:w="3627"/>
        <w:gridCol w:w="2543"/>
      </w:tblGrid>
      <w:tr w14:paraId="5821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vMerge w:val="restart"/>
            <w:tcBorders>
              <w:tl2br w:val="nil"/>
              <w:tr2bl w:val="nil"/>
            </w:tcBorders>
            <w:vAlign w:val="center"/>
          </w:tcPr>
          <w:p w14:paraId="6CF57FB1">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距源中心下风向距离D(m)</w:t>
            </w:r>
          </w:p>
        </w:tc>
        <w:tc>
          <w:tcPr>
            <w:tcW w:w="3664" w:type="pct"/>
            <w:gridSpan w:val="2"/>
            <w:tcBorders>
              <w:tl2br w:val="nil"/>
              <w:tr2bl w:val="nil"/>
            </w:tcBorders>
            <w:vAlign w:val="center"/>
          </w:tcPr>
          <w:p w14:paraId="5AC4640B">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木加工</w:t>
            </w:r>
          </w:p>
        </w:tc>
      </w:tr>
      <w:tr w14:paraId="5AE9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vMerge w:val="continue"/>
            <w:tcBorders>
              <w:tl2br w:val="nil"/>
              <w:tr2bl w:val="nil"/>
            </w:tcBorders>
            <w:vAlign w:val="center"/>
          </w:tcPr>
          <w:p w14:paraId="785E05AA">
            <w:pPr>
              <w:jc w:val="center"/>
              <w:rPr>
                <w:rFonts w:ascii="Times New Roman" w:hAnsi="Times New Roman" w:cs="Times New Roman"/>
                <w:color w:val="000000" w:themeColor="text1"/>
                <w:spacing w:val="-11"/>
                <w:szCs w:val="21"/>
                <w14:textFill>
                  <w14:solidFill>
                    <w14:schemeClr w14:val="tx1"/>
                  </w14:solidFill>
                </w14:textFill>
              </w:rPr>
            </w:pPr>
          </w:p>
        </w:tc>
        <w:tc>
          <w:tcPr>
            <w:tcW w:w="3664" w:type="pct"/>
            <w:gridSpan w:val="2"/>
            <w:tcBorders>
              <w:tl2br w:val="nil"/>
              <w:tr2bl w:val="nil"/>
            </w:tcBorders>
            <w:vAlign w:val="center"/>
          </w:tcPr>
          <w:p w14:paraId="4BAF6960">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颗粒物（PM</w:t>
            </w:r>
            <w:r>
              <w:rPr>
                <w:rFonts w:hint="eastAsia" w:ascii="Times New Roman" w:hAnsi="Times New Roman" w:cs="Times New Roman"/>
                <w:color w:val="000000" w:themeColor="text1"/>
                <w:spacing w:val="-11"/>
                <w:szCs w:val="21"/>
                <w:vertAlign w:val="subscript"/>
                <w14:textFill>
                  <w14:solidFill>
                    <w14:schemeClr w14:val="tx1"/>
                  </w14:solidFill>
                </w14:textFill>
              </w:rPr>
              <w:t>10</w:t>
            </w:r>
            <w:r>
              <w:rPr>
                <w:rFonts w:hint="eastAsia" w:ascii="Times New Roman" w:hAnsi="Times New Roman" w:cs="Times New Roman"/>
                <w:color w:val="000000" w:themeColor="text1"/>
                <w:spacing w:val="-11"/>
                <w:szCs w:val="21"/>
                <w14:textFill>
                  <w14:solidFill>
                    <w14:schemeClr w14:val="tx1"/>
                  </w14:solidFill>
                </w14:textFill>
              </w:rPr>
              <w:t>）</w:t>
            </w:r>
          </w:p>
        </w:tc>
      </w:tr>
      <w:tr w14:paraId="052A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vMerge w:val="continue"/>
            <w:tcBorders>
              <w:tl2br w:val="nil"/>
              <w:tr2bl w:val="nil"/>
            </w:tcBorders>
            <w:vAlign w:val="center"/>
          </w:tcPr>
          <w:p w14:paraId="39BB9BAA">
            <w:pPr>
              <w:jc w:val="center"/>
              <w:rPr>
                <w:rFonts w:ascii="Times New Roman" w:hAnsi="Times New Roman" w:cs="Times New Roman"/>
                <w:color w:val="000000" w:themeColor="text1"/>
                <w:spacing w:val="-11"/>
                <w:szCs w:val="21"/>
                <w14:textFill>
                  <w14:solidFill>
                    <w14:schemeClr w14:val="tx1"/>
                  </w14:solidFill>
                </w14:textFill>
              </w:rPr>
            </w:pPr>
          </w:p>
        </w:tc>
        <w:tc>
          <w:tcPr>
            <w:tcW w:w="2154" w:type="pct"/>
            <w:tcBorders>
              <w:tl2br w:val="nil"/>
              <w:tr2bl w:val="nil"/>
            </w:tcBorders>
            <w:vAlign w:val="center"/>
          </w:tcPr>
          <w:p w14:paraId="6494E8D9">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预测浓度</w:t>
            </w:r>
            <w:r>
              <w:rPr>
                <w:rFonts w:hint="eastAsia" w:ascii="Times New Roman" w:hAnsi="Times New Roman" w:cs="Times New Roman"/>
                <w:color w:val="000000" w:themeColor="text1"/>
                <w:spacing w:val="-11"/>
                <w:szCs w:val="21"/>
                <w14:textFill>
                  <w14:solidFill>
                    <w14:schemeClr w14:val="tx1"/>
                  </w14:solidFill>
                </w14:textFill>
              </w:rPr>
              <w:t>（</w:t>
            </w:r>
            <w:r>
              <w:rPr>
                <w:rFonts w:ascii="Times New Roman" w:hAnsi="Times New Roman" w:cs="Times New Roman"/>
                <w:color w:val="000000" w:themeColor="text1"/>
                <w:spacing w:val="-11"/>
                <w:szCs w:val="21"/>
                <w14:textFill>
                  <w14:solidFill>
                    <w14:schemeClr w14:val="tx1"/>
                  </w14:solidFill>
                </w14:textFill>
              </w:rPr>
              <w:t>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hint="eastAsia" w:ascii="Times New Roman" w:hAnsi="Times New Roman" w:cs="Times New Roman"/>
                <w:color w:val="000000" w:themeColor="text1"/>
                <w:spacing w:val="-11"/>
                <w:szCs w:val="21"/>
                <w14:textFill>
                  <w14:solidFill>
                    <w14:schemeClr w14:val="tx1"/>
                  </w14:solidFill>
                </w14:textFill>
              </w:rPr>
              <w:t>）</w:t>
            </w:r>
          </w:p>
        </w:tc>
        <w:tc>
          <w:tcPr>
            <w:tcW w:w="1510" w:type="pct"/>
            <w:tcBorders>
              <w:tl2br w:val="nil"/>
              <w:tr2bl w:val="nil"/>
            </w:tcBorders>
            <w:vAlign w:val="center"/>
          </w:tcPr>
          <w:p w14:paraId="2E1F3434">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浓度占标率</w:t>
            </w:r>
            <w:r>
              <w:rPr>
                <w:rFonts w:hint="eastAsia" w:ascii="Times New Roman" w:hAnsi="Times New Roman" w:cs="Times New Roman"/>
                <w:color w:val="000000" w:themeColor="text1"/>
                <w:spacing w:val="-11"/>
                <w:szCs w:val="21"/>
                <w14:textFill>
                  <w14:solidFill>
                    <w14:schemeClr w14:val="tx1"/>
                  </w14:solidFill>
                </w14:textFill>
              </w:rPr>
              <w:t>（</w:t>
            </w:r>
            <w:r>
              <w:rPr>
                <w:rFonts w:ascii="Times New Roman" w:hAnsi="Times New Roman" w:cs="Times New Roman"/>
                <w:color w:val="000000" w:themeColor="text1"/>
                <w:spacing w:val="-11"/>
                <w:szCs w:val="21"/>
                <w14:textFill>
                  <w14:solidFill>
                    <w14:schemeClr w14:val="tx1"/>
                  </w14:solidFill>
                </w14:textFill>
              </w:rPr>
              <w:t>%</w:t>
            </w:r>
            <w:r>
              <w:rPr>
                <w:rFonts w:hint="eastAsia" w:ascii="Times New Roman" w:hAnsi="Times New Roman" w:cs="Times New Roman"/>
                <w:color w:val="000000" w:themeColor="text1"/>
                <w:spacing w:val="-11"/>
                <w:szCs w:val="21"/>
                <w14:textFill>
                  <w14:solidFill>
                    <w14:schemeClr w14:val="tx1"/>
                  </w14:solidFill>
                </w14:textFill>
              </w:rPr>
              <w:t>）</w:t>
            </w:r>
          </w:p>
        </w:tc>
      </w:tr>
      <w:tr w14:paraId="2ED0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2A3EC67F">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50</w:t>
            </w:r>
          </w:p>
        </w:tc>
        <w:tc>
          <w:tcPr>
            <w:tcW w:w="3627" w:type="dxa"/>
            <w:tcBorders>
              <w:tl2br w:val="nil"/>
              <w:tr2bl w:val="nil"/>
            </w:tcBorders>
            <w:vAlign w:val="center"/>
          </w:tcPr>
          <w:p w14:paraId="1777562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1.2655</w:t>
            </w:r>
          </w:p>
        </w:tc>
        <w:tc>
          <w:tcPr>
            <w:tcW w:w="2543" w:type="dxa"/>
            <w:tcBorders>
              <w:tl2br w:val="nil"/>
              <w:tr2bl w:val="nil"/>
            </w:tcBorders>
            <w:vAlign w:val="center"/>
          </w:tcPr>
          <w:p w14:paraId="5F9BC6C1">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0.28</w:t>
            </w:r>
          </w:p>
        </w:tc>
      </w:tr>
      <w:tr w14:paraId="4904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36605CD2">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75</w:t>
            </w:r>
          </w:p>
        </w:tc>
        <w:tc>
          <w:tcPr>
            <w:tcW w:w="3627" w:type="dxa"/>
            <w:tcBorders>
              <w:tl2br w:val="nil"/>
              <w:tr2bl w:val="nil"/>
            </w:tcBorders>
            <w:vAlign w:val="center"/>
          </w:tcPr>
          <w:p w14:paraId="39DB90C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2.4819</w:t>
            </w:r>
          </w:p>
        </w:tc>
        <w:tc>
          <w:tcPr>
            <w:tcW w:w="2543" w:type="dxa"/>
            <w:tcBorders>
              <w:tl2br w:val="nil"/>
              <w:tr2bl w:val="nil"/>
            </w:tcBorders>
            <w:vAlign w:val="center"/>
          </w:tcPr>
          <w:p w14:paraId="6E554D11">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0.55</w:t>
            </w:r>
          </w:p>
        </w:tc>
      </w:tr>
      <w:tr w14:paraId="2A55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4326AB83">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100</w:t>
            </w:r>
          </w:p>
        </w:tc>
        <w:tc>
          <w:tcPr>
            <w:tcW w:w="3627" w:type="dxa"/>
            <w:tcBorders>
              <w:tl2br w:val="nil"/>
              <w:tr2bl w:val="nil"/>
            </w:tcBorders>
            <w:vAlign w:val="center"/>
          </w:tcPr>
          <w:p w14:paraId="0CA970E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2.5613</w:t>
            </w:r>
          </w:p>
        </w:tc>
        <w:tc>
          <w:tcPr>
            <w:tcW w:w="2543" w:type="dxa"/>
            <w:tcBorders>
              <w:tl2br w:val="nil"/>
              <w:tr2bl w:val="nil"/>
            </w:tcBorders>
            <w:vAlign w:val="center"/>
          </w:tcPr>
          <w:p w14:paraId="2D49C700">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0.57</w:t>
            </w:r>
          </w:p>
        </w:tc>
      </w:tr>
      <w:tr w14:paraId="76D6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27E076CB">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200</w:t>
            </w:r>
          </w:p>
        </w:tc>
        <w:tc>
          <w:tcPr>
            <w:tcW w:w="3627" w:type="dxa"/>
            <w:tcBorders>
              <w:tl2br w:val="nil"/>
              <w:tr2bl w:val="nil"/>
            </w:tcBorders>
            <w:vAlign w:val="center"/>
          </w:tcPr>
          <w:p w14:paraId="204A1B7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1.8914</w:t>
            </w:r>
          </w:p>
        </w:tc>
        <w:tc>
          <w:tcPr>
            <w:tcW w:w="2543" w:type="dxa"/>
            <w:tcBorders>
              <w:tl2br w:val="nil"/>
              <w:tr2bl w:val="nil"/>
            </w:tcBorders>
            <w:vAlign w:val="center"/>
          </w:tcPr>
          <w:p w14:paraId="533B0E2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0.42</w:t>
            </w:r>
          </w:p>
        </w:tc>
      </w:tr>
      <w:tr w14:paraId="4B9F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68BD5B27">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300</w:t>
            </w:r>
          </w:p>
        </w:tc>
        <w:tc>
          <w:tcPr>
            <w:tcW w:w="3627" w:type="dxa"/>
            <w:tcBorders>
              <w:tl2br w:val="nil"/>
              <w:tr2bl w:val="nil"/>
            </w:tcBorders>
            <w:vAlign w:val="center"/>
          </w:tcPr>
          <w:p w14:paraId="43DA50C7">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1.2841</w:t>
            </w:r>
          </w:p>
        </w:tc>
        <w:tc>
          <w:tcPr>
            <w:tcW w:w="2543" w:type="dxa"/>
            <w:tcBorders>
              <w:tl2br w:val="nil"/>
              <w:tr2bl w:val="nil"/>
            </w:tcBorders>
            <w:vAlign w:val="center"/>
          </w:tcPr>
          <w:p w14:paraId="4184890A">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0.29</w:t>
            </w:r>
          </w:p>
        </w:tc>
      </w:tr>
      <w:tr w14:paraId="0233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6E1FAC48">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400</w:t>
            </w:r>
          </w:p>
        </w:tc>
        <w:tc>
          <w:tcPr>
            <w:tcW w:w="3627" w:type="dxa"/>
            <w:tcBorders>
              <w:tl2br w:val="nil"/>
              <w:tr2bl w:val="nil"/>
            </w:tcBorders>
            <w:vAlign w:val="center"/>
          </w:tcPr>
          <w:p w14:paraId="0CA9F29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0.93</w:t>
            </w:r>
          </w:p>
        </w:tc>
        <w:tc>
          <w:tcPr>
            <w:tcW w:w="2543" w:type="dxa"/>
            <w:tcBorders>
              <w:tl2br w:val="nil"/>
              <w:tr2bl w:val="nil"/>
            </w:tcBorders>
            <w:vAlign w:val="center"/>
          </w:tcPr>
          <w:p w14:paraId="235FD48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0.21</w:t>
            </w:r>
          </w:p>
        </w:tc>
      </w:tr>
      <w:tr w14:paraId="5B45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4C8E74F1">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500</w:t>
            </w:r>
          </w:p>
        </w:tc>
        <w:tc>
          <w:tcPr>
            <w:tcW w:w="3627" w:type="dxa"/>
            <w:tcBorders>
              <w:tl2br w:val="nil"/>
              <w:tr2bl w:val="nil"/>
            </w:tcBorders>
            <w:vAlign w:val="center"/>
          </w:tcPr>
          <w:p w14:paraId="6FE1666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0.7115</w:t>
            </w:r>
          </w:p>
        </w:tc>
        <w:tc>
          <w:tcPr>
            <w:tcW w:w="2543" w:type="dxa"/>
            <w:tcBorders>
              <w:tl2br w:val="nil"/>
              <w:tr2bl w:val="nil"/>
            </w:tcBorders>
            <w:vAlign w:val="center"/>
          </w:tcPr>
          <w:p w14:paraId="1310954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0.16</w:t>
            </w:r>
          </w:p>
        </w:tc>
      </w:tr>
      <w:tr w14:paraId="0F85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1542F4A3">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1000</w:t>
            </w:r>
          </w:p>
        </w:tc>
        <w:tc>
          <w:tcPr>
            <w:tcW w:w="3627" w:type="dxa"/>
            <w:tcBorders>
              <w:tl2br w:val="nil"/>
              <w:tr2bl w:val="nil"/>
            </w:tcBorders>
            <w:vAlign w:val="center"/>
          </w:tcPr>
          <w:p w14:paraId="28F418D6">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0.2921</w:t>
            </w:r>
          </w:p>
        </w:tc>
        <w:tc>
          <w:tcPr>
            <w:tcW w:w="2543" w:type="dxa"/>
            <w:tcBorders>
              <w:tl2br w:val="nil"/>
              <w:tr2bl w:val="nil"/>
            </w:tcBorders>
            <w:vAlign w:val="center"/>
          </w:tcPr>
          <w:p w14:paraId="5B37751B">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0.06</w:t>
            </w:r>
          </w:p>
        </w:tc>
      </w:tr>
      <w:tr w14:paraId="0258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52936228">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1500</w:t>
            </w:r>
          </w:p>
        </w:tc>
        <w:tc>
          <w:tcPr>
            <w:tcW w:w="3627" w:type="dxa"/>
            <w:tcBorders>
              <w:tl2br w:val="nil"/>
              <w:tr2bl w:val="nil"/>
            </w:tcBorders>
            <w:vAlign w:val="center"/>
          </w:tcPr>
          <w:p w14:paraId="4B7CDE8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0.1692</w:t>
            </w:r>
          </w:p>
        </w:tc>
        <w:tc>
          <w:tcPr>
            <w:tcW w:w="2543" w:type="dxa"/>
            <w:tcBorders>
              <w:tl2br w:val="nil"/>
              <w:tr2bl w:val="nil"/>
            </w:tcBorders>
            <w:vAlign w:val="center"/>
          </w:tcPr>
          <w:p w14:paraId="5BD76FCE">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0.04</w:t>
            </w:r>
          </w:p>
        </w:tc>
      </w:tr>
      <w:tr w14:paraId="70C4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00877E29">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2000</w:t>
            </w:r>
          </w:p>
        </w:tc>
        <w:tc>
          <w:tcPr>
            <w:tcW w:w="3627" w:type="dxa"/>
            <w:tcBorders>
              <w:tl2br w:val="nil"/>
              <w:tr2bl w:val="nil"/>
            </w:tcBorders>
            <w:vAlign w:val="center"/>
          </w:tcPr>
          <w:p w14:paraId="679CF7A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0.1139</w:t>
            </w:r>
          </w:p>
        </w:tc>
        <w:tc>
          <w:tcPr>
            <w:tcW w:w="2543" w:type="dxa"/>
            <w:tcBorders>
              <w:tl2br w:val="nil"/>
              <w:tr2bl w:val="nil"/>
            </w:tcBorders>
            <w:vAlign w:val="center"/>
          </w:tcPr>
          <w:p w14:paraId="19662BCB">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0.03</w:t>
            </w:r>
          </w:p>
        </w:tc>
      </w:tr>
      <w:tr w14:paraId="031A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2" w:hRule="atLeast"/>
          <w:jc w:val="center"/>
        </w:trPr>
        <w:tc>
          <w:tcPr>
            <w:tcW w:w="1335" w:type="pct"/>
            <w:tcBorders>
              <w:bottom w:val="single" w:color="000000" w:sz="4" w:space="0"/>
              <w:tl2br w:val="nil"/>
              <w:tr2bl w:val="nil"/>
            </w:tcBorders>
            <w:vAlign w:val="center"/>
          </w:tcPr>
          <w:p w14:paraId="47D2C99C">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2500</w:t>
            </w:r>
          </w:p>
        </w:tc>
        <w:tc>
          <w:tcPr>
            <w:tcW w:w="3627" w:type="dxa"/>
            <w:tcBorders>
              <w:bottom w:val="single" w:color="000000" w:sz="4" w:space="0"/>
              <w:tl2br w:val="nil"/>
              <w:tr2bl w:val="nil"/>
            </w:tcBorders>
            <w:vAlign w:val="center"/>
          </w:tcPr>
          <w:p w14:paraId="7630826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0.0835</w:t>
            </w:r>
          </w:p>
        </w:tc>
        <w:tc>
          <w:tcPr>
            <w:tcW w:w="2543" w:type="dxa"/>
            <w:tcBorders>
              <w:bottom w:val="single" w:color="000000" w:sz="4" w:space="0"/>
              <w:tl2br w:val="nil"/>
              <w:tr2bl w:val="nil"/>
            </w:tcBorders>
            <w:vAlign w:val="center"/>
          </w:tcPr>
          <w:p w14:paraId="1B10D4B0">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0.02</w:t>
            </w:r>
          </w:p>
        </w:tc>
      </w:tr>
      <w:tr w14:paraId="3D53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0" w:hRule="atLeast"/>
          <w:jc w:val="center"/>
        </w:trPr>
        <w:tc>
          <w:tcPr>
            <w:tcW w:w="1335" w:type="pct"/>
            <w:tcBorders>
              <w:top w:val="single" w:color="000000" w:sz="4" w:space="0"/>
              <w:bottom w:val="single" w:color="000000" w:sz="4" w:space="0"/>
              <w:tl2br w:val="nil"/>
              <w:tr2bl w:val="nil"/>
            </w:tcBorders>
            <w:vAlign w:val="center"/>
          </w:tcPr>
          <w:p w14:paraId="24FB4AA9">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2154" w:type="pct"/>
            <w:tcBorders>
              <w:top w:val="single" w:color="000000" w:sz="4" w:space="0"/>
              <w:bottom w:val="single" w:color="000000" w:sz="4" w:space="0"/>
              <w:tl2br w:val="nil"/>
              <w:tr2bl w:val="nil"/>
            </w:tcBorders>
            <w:vAlign w:val="center"/>
          </w:tcPr>
          <w:p w14:paraId="0246D69D">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1510" w:type="pct"/>
            <w:tcBorders>
              <w:top w:val="single" w:color="000000" w:sz="4" w:space="0"/>
              <w:bottom w:val="single" w:color="000000" w:sz="4" w:space="0"/>
              <w:tl2br w:val="nil"/>
              <w:tr2bl w:val="nil"/>
            </w:tcBorders>
            <w:vAlign w:val="center"/>
          </w:tcPr>
          <w:p w14:paraId="3434142B">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r>
      <w:tr w14:paraId="740D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6" w:hRule="atLeast"/>
          <w:jc w:val="center"/>
        </w:trPr>
        <w:tc>
          <w:tcPr>
            <w:tcW w:w="1335" w:type="pct"/>
            <w:tcBorders>
              <w:top w:val="single" w:color="000000" w:sz="4" w:space="0"/>
              <w:tl2br w:val="nil"/>
              <w:tr2bl w:val="nil"/>
            </w:tcBorders>
            <w:vAlign w:val="center"/>
          </w:tcPr>
          <w:p w14:paraId="393F6EB5">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25000</w:t>
            </w:r>
          </w:p>
        </w:tc>
        <w:tc>
          <w:tcPr>
            <w:tcW w:w="3627" w:type="dxa"/>
            <w:tcBorders>
              <w:top w:val="single" w:color="000000" w:sz="4" w:space="0"/>
              <w:tl2br w:val="nil"/>
              <w:tr2bl w:val="nil"/>
            </w:tcBorders>
            <w:vAlign w:val="center"/>
          </w:tcPr>
          <w:p w14:paraId="48052919">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0.0026</w:t>
            </w:r>
          </w:p>
        </w:tc>
        <w:tc>
          <w:tcPr>
            <w:tcW w:w="2543" w:type="dxa"/>
            <w:tcBorders>
              <w:top w:val="single" w:color="000000" w:sz="4" w:space="0"/>
              <w:tl2br w:val="nil"/>
              <w:tr2bl w:val="nil"/>
            </w:tcBorders>
            <w:vAlign w:val="center"/>
          </w:tcPr>
          <w:p w14:paraId="77797EE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w:t>
            </w:r>
          </w:p>
        </w:tc>
      </w:tr>
      <w:tr w14:paraId="75C0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72" w:hRule="atLeast"/>
          <w:jc w:val="center"/>
        </w:trPr>
        <w:tc>
          <w:tcPr>
            <w:tcW w:w="1335" w:type="pct"/>
            <w:tcBorders>
              <w:tl2br w:val="nil"/>
              <w:tr2bl w:val="nil"/>
            </w:tcBorders>
            <w:vAlign w:val="center"/>
          </w:tcPr>
          <w:p w14:paraId="0A2FEDC3">
            <w:pPr>
              <w:widowControl/>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下风向最大质量浓度及占标率/%</w:t>
            </w:r>
          </w:p>
        </w:tc>
        <w:tc>
          <w:tcPr>
            <w:tcW w:w="3627" w:type="dxa"/>
            <w:tcBorders>
              <w:tl2br w:val="nil"/>
              <w:tr2bl w:val="nil"/>
            </w:tcBorders>
            <w:vAlign w:val="center"/>
          </w:tcPr>
          <w:p w14:paraId="7D666448">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2.5737</w:t>
            </w:r>
          </w:p>
        </w:tc>
        <w:tc>
          <w:tcPr>
            <w:tcW w:w="2543" w:type="dxa"/>
            <w:tcBorders>
              <w:tl2br w:val="nil"/>
              <w:tr2bl w:val="nil"/>
            </w:tcBorders>
            <w:vAlign w:val="center"/>
          </w:tcPr>
          <w:p w14:paraId="21C5E7F3">
            <w:pPr>
              <w:widowControl/>
              <w:jc w:val="center"/>
              <w:textAlignment w:val="center"/>
              <w:rPr>
                <w:rFonts w:hint="eastAsia"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val="en-US" w:eastAsia="zh-CN" w:bidi="ar"/>
              </w:rPr>
              <w:t>0.57</w:t>
            </w:r>
          </w:p>
        </w:tc>
      </w:tr>
      <w:tr w14:paraId="6F58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335" w:type="pct"/>
            <w:tcBorders>
              <w:tl2br w:val="nil"/>
              <w:tr2bl w:val="nil"/>
            </w:tcBorders>
            <w:vAlign w:val="center"/>
          </w:tcPr>
          <w:p w14:paraId="2E7CC7D0">
            <w:pPr>
              <w:jc w:val="center"/>
              <w:rPr>
                <w:rFonts w:ascii="Times New Roman" w:hAnsi="Times New Roman" w:eastAsia="宋体" w:cs="Times New Roman"/>
                <w:color w:val="000000" w:themeColor="text1"/>
                <w:spacing w:val="-23"/>
                <w:szCs w:val="21"/>
                <w14:textFill>
                  <w14:solidFill>
                    <w14:schemeClr w14:val="tx1"/>
                  </w14:solidFill>
                </w14:textFill>
              </w:rPr>
            </w:pPr>
            <w:r>
              <w:rPr>
                <w:rFonts w:ascii="Times New Roman" w:hAnsi="Times New Roman" w:eastAsia="宋体" w:cs="Times New Roman"/>
                <w:bCs/>
                <w:szCs w:val="21"/>
              </w:rPr>
              <w:t>D10%最远距离/m</w:t>
            </w:r>
          </w:p>
        </w:tc>
        <w:tc>
          <w:tcPr>
            <w:tcW w:w="3664" w:type="pct"/>
            <w:gridSpan w:val="2"/>
            <w:tcBorders>
              <w:tl2br w:val="nil"/>
              <w:tr2bl w:val="nil"/>
            </w:tcBorders>
            <w:vAlign w:val="center"/>
          </w:tcPr>
          <w:p w14:paraId="28CE3BBF">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0</w:t>
            </w:r>
          </w:p>
        </w:tc>
      </w:tr>
    </w:tbl>
    <w:p w14:paraId="4E084A82">
      <w:pPr>
        <w:numPr>
          <w:ilvl w:val="0"/>
          <w:numId w:val="59"/>
        </w:num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lang w:val="en-US" w:eastAsia="zh-CN"/>
          <w14:textFill>
            <w14:solidFill>
              <w14:schemeClr w14:val="tx1"/>
            </w14:solidFill>
          </w14:textFill>
        </w:rPr>
        <w:t>DA002</w:t>
      </w:r>
      <w:r>
        <w:rPr>
          <w:rFonts w:ascii="Times New Roman" w:hAnsi="Times New Roman" w:cs="Times New Roman"/>
          <w:b/>
          <w:bCs/>
          <w:color w:val="000000" w:themeColor="text1"/>
          <w:szCs w:val="21"/>
          <w14:textFill>
            <w14:solidFill>
              <w14:schemeClr w14:val="tx1"/>
            </w14:solidFill>
          </w14:textFill>
        </w:rPr>
        <w:t>废气估算模型计算结果表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autofit"/>
        <w:tblCellMar>
          <w:top w:w="57" w:type="dxa"/>
          <w:left w:w="57" w:type="dxa"/>
          <w:bottom w:w="57" w:type="dxa"/>
          <w:right w:w="57" w:type="dxa"/>
        </w:tblCellMar>
      </w:tblPr>
      <w:tblGrid>
        <w:gridCol w:w="765"/>
        <w:gridCol w:w="758"/>
        <w:gridCol w:w="768"/>
        <w:gridCol w:w="763"/>
        <w:gridCol w:w="763"/>
        <w:gridCol w:w="763"/>
        <w:gridCol w:w="761"/>
        <w:gridCol w:w="766"/>
        <w:gridCol w:w="761"/>
        <w:gridCol w:w="766"/>
        <w:gridCol w:w="781"/>
      </w:tblGrid>
      <w:tr w14:paraId="62A4D38B">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13" w:hRule="atLeast"/>
          <w:jc w:val="center"/>
        </w:trPr>
        <w:tc>
          <w:tcPr>
            <w:tcW w:w="454" w:type="pct"/>
            <w:vMerge w:val="restart"/>
            <w:tcBorders>
              <w:tl2br w:val="nil"/>
              <w:tr2bl w:val="nil"/>
            </w:tcBorders>
            <w:vAlign w:val="center"/>
          </w:tcPr>
          <w:p w14:paraId="5ACFF88E">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距源中心下风向距离D(m)</w:t>
            </w:r>
          </w:p>
        </w:tc>
        <w:tc>
          <w:tcPr>
            <w:tcW w:w="906" w:type="pct"/>
            <w:gridSpan w:val="2"/>
            <w:tcBorders>
              <w:tl2br w:val="nil"/>
              <w:tr2bl w:val="nil"/>
            </w:tcBorders>
            <w:vAlign w:val="center"/>
          </w:tcPr>
          <w:p w14:paraId="6214DE0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颗粒物</w:t>
            </w:r>
          </w:p>
        </w:tc>
        <w:tc>
          <w:tcPr>
            <w:tcW w:w="1524" w:type="dxa"/>
            <w:gridSpan w:val="2"/>
            <w:tcBorders>
              <w:tl2br w:val="nil"/>
              <w:tr2bl w:val="nil"/>
            </w:tcBorders>
            <w:vAlign w:val="center"/>
          </w:tcPr>
          <w:p w14:paraId="732BA6F4">
            <w:pPr>
              <w:jc w:val="center"/>
              <w:rPr>
                <w:rFonts w:hint="eastAsia" w:ascii="Times New Roman" w:hAnsi="Times New Roman" w:cs="Times New Roman" w:eastAsiaTheme="minorEastAsia"/>
                <w:color w:val="000000" w:themeColor="text1"/>
                <w:spacing w:val="-11"/>
                <w:szCs w:val="21"/>
                <w:lang w:val="en-US" w:eastAsia="zh-CN"/>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甲苯</w:t>
            </w:r>
          </w:p>
        </w:tc>
        <w:tc>
          <w:tcPr>
            <w:tcW w:w="1522" w:type="dxa"/>
            <w:gridSpan w:val="2"/>
            <w:tcBorders>
              <w:tl2br w:val="nil"/>
              <w:tr2bl w:val="nil"/>
            </w:tcBorders>
            <w:vAlign w:val="center"/>
          </w:tcPr>
          <w:p w14:paraId="46EEE4F3">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二甲苯</w:t>
            </w:r>
          </w:p>
        </w:tc>
        <w:tc>
          <w:tcPr>
            <w:tcW w:w="1527" w:type="dxa"/>
            <w:gridSpan w:val="2"/>
            <w:tcBorders>
              <w:tl2br w:val="nil"/>
              <w:tr2bl w:val="nil"/>
            </w:tcBorders>
            <w:vAlign w:val="center"/>
          </w:tcPr>
          <w:p w14:paraId="4248DA80">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非甲烷总烃</w:t>
            </w:r>
          </w:p>
        </w:tc>
        <w:tc>
          <w:tcPr>
            <w:tcW w:w="919" w:type="pct"/>
            <w:gridSpan w:val="2"/>
            <w:tcBorders>
              <w:tl2br w:val="nil"/>
              <w:tr2bl w:val="nil"/>
            </w:tcBorders>
            <w:vAlign w:val="center"/>
          </w:tcPr>
          <w:p w14:paraId="3511D64E">
            <w:pPr>
              <w:jc w:val="center"/>
              <w:rPr>
                <w:rFonts w:hint="eastAsia" w:ascii="Times New Roman" w:hAnsi="Times New Roman" w:cs="Times New Roman" w:eastAsiaTheme="minorEastAsia"/>
                <w:color w:val="000000" w:themeColor="text1"/>
                <w:spacing w:val="-11"/>
                <w:szCs w:val="21"/>
                <w:lang w:eastAsia="zh-CN"/>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苯</w:t>
            </w:r>
          </w:p>
        </w:tc>
      </w:tr>
      <w:tr w14:paraId="182FBDE3">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763" w:hRule="atLeast"/>
          <w:jc w:val="center"/>
        </w:trPr>
        <w:tc>
          <w:tcPr>
            <w:tcW w:w="454" w:type="pct"/>
            <w:vMerge w:val="continue"/>
            <w:tcBorders>
              <w:tl2br w:val="nil"/>
              <w:tr2bl w:val="nil"/>
            </w:tcBorders>
            <w:vAlign w:val="center"/>
          </w:tcPr>
          <w:p w14:paraId="66779528">
            <w:pPr>
              <w:widowControl/>
              <w:jc w:val="center"/>
              <w:rPr>
                <w:rFonts w:ascii="Times New Roman" w:hAnsi="Times New Roman" w:cs="Times New Roman"/>
                <w:color w:val="000000" w:themeColor="text1"/>
                <w:spacing w:val="-11"/>
                <w:szCs w:val="21"/>
                <w14:textFill>
                  <w14:solidFill>
                    <w14:schemeClr w14:val="tx1"/>
                  </w14:solidFill>
                </w14:textFill>
              </w:rPr>
            </w:pPr>
          </w:p>
        </w:tc>
        <w:tc>
          <w:tcPr>
            <w:tcW w:w="450" w:type="pct"/>
            <w:tcBorders>
              <w:tl2br w:val="nil"/>
              <w:tr2bl w:val="nil"/>
            </w:tcBorders>
            <w:vAlign w:val="center"/>
          </w:tcPr>
          <w:p w14:paraId="20948602">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w:t>
            </w:r>
          </w:p>
          <w:p w14:paraId="071160CB">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ascii="Times New Roman" w:hAnsi="Times New Roman" w:cs="Times New Roman"/>
                <w:color w:val="000000" w:themeColor="text1"/>
                <w:spacing w:val="-11"/>
                <w:szCs w:val="21"/>
                <w14:textFill>
                  <w14:solidFill>
                    <w14:schemeClr w14:val="tx1"/>
                  </w14:solidFill>
                </w14:textFill>
              </w:rPr>
              <w:t>)</w:t>
            </w:r>
          </w:p>
        </w:tc>
        <w:tc>
          <w:tcPr>
            <w:tcW w:w="456" w:type="pct"/>
            <w:tcBorders>
              <w:tl2br w:val="nil"/>
              <w:tr2bl w:val="nil"/>
            </w:tcBorders>
            <w:vAlign w:val="center"/>
          </w:tcPr>
          <w:p w14:paraId="47B41C61">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浓度占标率(%)</w:t>
            </w:r>
          </w:p>
        </w:tc>
        <w:tc>
          <w:tcPr>
            <w:tcW w:w="453" w:type="pct"/>
            <w:tcBorders>
              <w:tl2br w:val="nil"/>
              <w:tr2bl w:val="nil"/>
            </w:tcBorders>
            <w:vAlign w:val="center"/>
          </w:tcPr>
          <w:p w14:paraId="771A57FA">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w:t>
            </w:r>
          </w:p>
          <w:p w14:paraId="0BBD4FB8">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ascii="Times New Roman" w:hAnsi="Times New Roman" w:cs="Times New Roman"/>
                <w:color w:val="000000" w:themeColor="text1"/>
                <w:spacing w:val="-11"/>
                <w:szCs w:val="21"/>
                <w14:textFill>
                  <w14:solidFill>
                    <w14:schemeClr w14:val="tx1"/>
                  </w14:solidFill>
                </w14:textFill>
              </w:rPr>
              <w:t>)</w:t>
            </w:r>
          </w:p>
        </w:tc>
        <w:tc>
          <w:tcPr>
            <w:tcW w:w="453" w:type="pct"/>
            <w:tcBorders>
              <w:tl2br w:val="nil"/>
              <w:tr2bl w:val="nil"/>
            </w:tcBorders>
            <w:vAlign w:val="center"/>
          </w:tcPr>
          <w:p w14:paraId="61006527">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浓度占标率(%)</w:t>
            </w:r>
          </w:p>
        </w:tc>
        <w:tc>
          <w:tcPr>
            <w:tcW w:w="453" w:type="pct"/>
            <w:tcBorders>
              <w:tl2br w:val="nil"/>
              <w:tr2bl w:val="nil"/>
            </w:tcBorders>
            <w:vAlign w:val="center"/>
          </w:tcPr>
          <w:p w14:paraId="4B63CE50">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w:t>
            </w:r>
          </w:p>
          <w:p w14:paraId="182AD104">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ascii="Times New Roman" w:hAnsi="Times New Roman" w:cs="Times New Roman"/>
                <w:color w:val="000000" w:themeColor="text1"/>
                <w:spacing w:val="-11"/>
                <w:szCs w:val="21"/>
                <w14:textFill>
                  <w14:solidFill>
                    <w14:schemeClr w14:val="tx1"/>
                  </w14:solidFill>
                </w14:textFill>
              </w:rPr>
              <w:t>)</w:t>
            </w:r>
          </w:p>
        </w:tc>
        <w:tc>
          <w:tcPr>
            <w:tcW w:w="452" w:type="pct"/>
            <w:tcBorders>
              <w:tl2br w:val="nil"/>
              <w:tr2bl w:val="nil"/>
            </w:tcBorders>
            <w:vAlign w:val="center"/>
          </w:tcPr>
          <w:p w14:paraId="5D985F8A">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浓度占标率(%)</w:t>
            </w:r>
          </w:p>
        </w:tc>
        <w:tc>
          <w:tcPr>
            <w:tcW w:w="455" w:type="pct"/>
            <w:tcBorders>
              <w:tl2br w:val="nil"/>
              <w:tr2bl w:val="nil"/>
            </w:tcBorders>
            <w:vAlign w:val="center"/>
          </w:tcPr>
          <w:p w14:paraId="400224D2">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w:t>
            </w:r>
          </w:p>
          <w:p w14:paraId="58B416B9">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ascii="Times New Roman" w:hAnsi="Times New Roman" w:cs="Times New Roman"/>
                <w:color w:val="000000" w:themeColor="text1"/>
                <w:spacing w:val="-11"/>
                <w:szCs w:val="21"/>
                <w14:textFill>
                  <w14:solidFill>
                    <w14:schemeClr w14:val="tx1"/>
                  </w14:solidFill>
                </w14:textFill>
              </w:rPr>
              <w:t>)</w:t>
            </w:r>
          </w:p>
        </w:tc>
        <w:tc>
          <w:tcPr>
            <w:tcW w:w="452" w:type="pct"/>
            <w:tcBorders>
              <w:tl2br w:val="nil"/>
              <w:tr2bl w:val="nil"/>
            </w:tcBorders>
            <w:vAlign w:val="center"/>
          </w:tcPr>
          <w:p w14:paraId="3265A0F0">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浓度占标率(%)</w:t>
            </w:r>
          </w:p>
        </w:tc>
        <w:tc>
          <w:tcPr>
            <w:tcW w:w="455" w:type="pct"/>
            <w:tcBorders>
              <w:tl2br w:val="nil"/>
              <w:tr2bl w:val="nil"/>
            </w:tcBorders>
            <w:vAlign w:val="center"/>
          </w:tcPr>
          <w:p w14:paraId="5F6A15D5">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预测浓度(μg/m</w:t>
            </w:r>
            <w:r>
              <w:rPr>
                <w:rFonts w:ascii="Times New Roman" w:hAnsi="Times New Roman" w:cs="Times New Roman"/>
                <w:color w:val="000000" w:themeColor="text1"/>
                <w:spacing w:val="-11"/>
                <w:szCs w:val="21"/>
                <w:vertAlign w:val="superscript"/>
                <w14:textFill>
                  <w14:solidFill>
                    <w14:schemeClr w14:val="tx1"/>
                  </w14:solidFill>
                </w14:textFill>
              </w:rPr>
              <w:t>3</w:t>
            </w:r>
            <w:r>
              <w:rPr>
                <w:rFonts w:ascii="Times New Roman" w:hAnsi="Times New Roman" w:cs="Times New Roman"/>
                <w:color w:val="000000" w:themeColor="text1"/>
                <w:spacing w:val="-11"/>
                <w:szCs w:val="21"/>
                <w14:textFill>
                  <w14:solidFill>
                    <w14:schemeClr w14:val="tx1"/>
                  </w14:solidFill>
                </w14:textFill>
              </w:rPr>
              <w:t>)</w:t>
            </w:r>
          </w:p>
        </w:tc>
        <w:tc>
          <w:tcPr>
            <w:tcW w:w="464" w:type="pct"/>
            <w:tcBorders>
              <w:tl2br w:val="nil"/>
              <w:tr2bl w:val="nil"/>
            </w:tcBorders>
            <w:vAlign w:val="center"/>
          </w:tcPr>
          <w:p w14:paraId="555110D1">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color w:val="000000" w:themeColor="text1"/>
                <w:spacing w:val="-11"/>
                <w:szCs w:val="21"/>
                <w14:textFill>
                  <w14:solidFill>
                    <w14:schemeClr w14:val="tx1"/>
                  </w14:solidFill>
                </w14:textFill>
              </w:rPr>
              <w:t>浓度占标率(%)</w:t>
            </w:r>
          </w:p>
        </w:tc>
      </w:tr>
      <w:tr w14:paraId="410D659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90" w:hRule="atLeast"/>
          <w:jc w:val="center"/>
        </w:trPr>
        <w:tc>
          <w:tcPr>
            <w:tcW w:w="454" w:type="pct"/>
            <w:tcBorders>
              <w:tl2br w:val="nil"/>
              <w:tr2bl w:val="nil"/>
            </w:tcBorders>
            <w:vAlign w:val="center"/>
          </w:tcPr>
          <w:p w14:paraId="095DFF9F">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50</w:t>
            </w:r>
          </w:p>
        </w:tc>
        <w:tc>
          <w:tcPr>
            <w:tcW w:w="757" w:type="dxa"/>
            <w:tcBorders>
              <w:tl2br w:val="nil"/>
              <w:tr2bl w:val="nil"/>
            </w:tcBorders>
            <w:vAlign w:val="center"/>
          </w:tcPr>
          <w:p w14:paraId="14D240F5">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1.582</w:t>
            </w:r>
          </w:p>
        </w:tc>
        <w:tc>
          <w:tcPr>
            <w:tcW w:w="774" w:type="dxa"/>
            <w:tcBorders>
              <w:tl2br w:val="nil"/>
              <w:tr2bl w:val="nil"/>
            </w:tcBorders>
            <w:vAlign w:val="center"/>
          </w:tcPr>
          <w:p w14:paraId="3346F8C6">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0.35</w:t>
            </w:r>
          </w:p>
        </w:tc>
        <w:tc>
          <w:tcPr>
            <w:tcW w:w="762" w:type="dxa"/>
            <w:tcBorders>
              <w:tl2br w:val="nil"/>
              <w:tr2bl w:val="nil"/>
            </w:tcBorders>
            <w:vAlign w:val="center"/>
          </w:tcPr>
          <w:p w14:paraId="1CC2D193">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0.8453</w:t>
            </w:r>
          </w:p>
        </w:tc>
        <w:tc>
          <w:tcPr>
            <w:tcW w:w="762" w:type="dxa"/>
            <w:tcBorders>
              <w:tl2br w:val="nil"/>
              <w:tr2bl w:val="nil"/>
            </w:tcBorders>
            <w:vAlign w:val="center"/>
          </w:tcPr>
          <w:p w14:paraId="3BDC20DA">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0.42</w:t>
            </w:r>
          </w:p>
        </w:tc>
        <w:tc>
          <w:tcPr>
            <w:tcW w:w="762" w:type="dxa"/>
            <w:tcBorders>
              <w:tl2br w:val="nil"/>
              <w:tr2bl w:val="nil"/>
            </w:tcBorders>
            <w:vAlign w:val="center"/>
          </w:tcPr>
          <w:p w14:paraId="0D8B64DC">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1.8748</w:t>
            </w:r>
          </w:p>
        </w:tc>
        <w:tc>
          <w:tcPr>
            <w:tcW w:w="760" w:type="dxa"/>
            <w:tcBorders>
              <w:tl2br w:val="nil"/>
              <w:tr2bl w:val="nil"/>
            </w:tcBorders>
            <w:vAlign w:val="center"/>
          </w:tcPr>
          <w:p w14:paraId="6E8D2847">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0.94</w:t>
            </w:r>
          </w:p>
        </w:tc>
        <w:tc>
          <w:tcPr>
            <w:tcW w:w="766" w:type="dxa"/>
            <w:tcBorders>
              <w:tl2br w:val="nil"/>
              <w:tr2bl w:val="nil"/>
            </w:tcBorders>
            <w:vAlign w:val="center"/>
          </w:tcPr>
          <w:p w14:paraId="51A6356C">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14.5332</w:t>
            </w:r>
          </w:p>
        </w:tc>
        <w:tc>
          <w:tcPr>
            <w:tcW w:w="761" w:type="dxa"/>
            <w:tcBorders>
              <w:tl2br w:val="nil"/>
              <w:tr2bl w:val="nil"/>
            </w:tcBorders>
            <w:vAlign w:val="center"/>
          </w:tcPr>
          <w:p w14:paraId="6B9E2B26">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0.73</w:t>
            </w:r>
          </w:p>
        </w:tc>
        <w:tc>
          <w:tcPr>
            <w:tcW w:w="766" w:type="dxa"/>
            <w:tcBorders>
              <w:tl2br w:val="nil"/>
              <w:tr2bl w:val="nil"/>
            </w:tcBorders>
            <w:vAlign w:val="center"/>
          </w:tcPr>
          <w:p w14:paraId="63ACD742">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0.1842</w:t>
            </w:r>
          </w:p>
        </w:tc>
        <w:tc>
          <w:tcPr>
            <w:tcW w:w="781" w:type="dxa"/>
            <w:tcBorders>
              <w:tl2br w:val="nil"/>
              <w:tr2bl w:val="nil"/>
            </w:tcBorders>
            <w:vAlign w:val="center"/>
          </w:tcPr>
          <w:p w14:paraId="4839A872">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0.17</w:t>
            </w:r>
          </w:p>
        </w:tc>
      </w:tr>
      <w:tr w14:paraId="6A98BF3F">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370" w:hRule="atLeast"/>
          <w:jc w:val="center"/>
        </w:trPr>
        <w:tc>
          <w:tcPr>
            <w:tcW w:w="454" w:type="pct"/>
            <w:tcBorders>
              <w:tl2br w:val="nil"/>
              <w:tr2bl w:val="nil"/>
            </w:tcBorders>
            <w:vAlign w:val="center"/>
          </w:tcPr>
          <w:p w14:paraId="11AB4F32">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75</w:t>
            </w:r>
          </w:p>
        </w:tc>
        <w:tc>
          <w:tcPr>
            <w:tcW w:w="757" w:type="dxa"/>
            <w:tcBorders>
              <w:tl2br w:val="nil"/>
              <w:tr2bl w:val="nil"/>
            </w:tcBorders>
            <w:vAlign w:val="center"/>
          </w:tcPr>
          <w:p w14:paraId="5C95348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2.0494</w:t>
            </w:r>
          </w:p>
        </w:tc>
        <w:tc>
          <w:tcPr>
            <w:tcW w:w="774" w:type="dxa"/>
            <w:tcBorders>
              <w:tl2br w:val="nil"/>
              <w:tr2bl w:val="nil"/>
            </w:tcBorders>
            <w:vAlign w:val="center"/>
          </w:tcPr>
          <w:p w14:paraId="0E689E14">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0.46</w:t>
            </w:r>
          </w:p>
        </w:tc>
        <w:tc>
          <w:tcPr>
            <w:tcW w:w="762" w:type="dxa"/>
            <w:tcBorders>
              <w:tl2br w:val="nil"/>
              <w:tr2bl w:val="nil"/>
            </w:tcBorders>
            <w:vAlign w:val="center"/>
          </w:tcPr>
          <w:p w14:paraId="6A5BEF73">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1.0951</w:t>
            </w:r>
          </w:p>
        </w:tc>
        <w:tc>
          <w:tcPr>
            <w:tcW w:w="762" w:type="dxa"/>
            <w:tcBorders>
              <w:tl2br w:val="nil"/>
              <w:tr2bl w:val="nil"/>
            </w:tcBorders>
            <w:vAlign w:val="center"/>
          </w:tcPr>
          <w:p w14:paraId="107D4D47">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0.55</w:t>
            </w:r>
          </w:p>
        </w:tc>
        <w:tc>
          <w:tcPr>
            <w:tcW w:w="762" w:type="dxa"/>
            <w:tcBorders>
              <w:tl2br w:val="nil"/>
              <w:tr2bl w:val="nil"/>
            </w:tcBorders>
            <w:vAlign w:val="center"/>
          </w:tcPr>
          <w:p w14:paraId="1615A3D3">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2.4287</w:t>
            </w:r>
          </w:p>
        </w:tc>
        <w:tc>
          <w:tcPr>
            <w:tcW w:w="760" w:type="dxa"/>
            <w:tcBorders>
              <w:tl2br w:val="nil"/>
              <w:tr2bl w:val="nil"/>
            </w:tcBorders>
            <w:vAlign w:val="center"/>
          </w:tcPr>
          <w:p w14:paraId="25779A67">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1.21</w:t>
            </w:r>
          </w:p>
        </w:tc>
        <w:tc>
          <w:tcPr>
            <w:tcW w:w="766" w:type="dxa"/>
            <w:tcBorders>
              <w:tl2br w:val="nil"/>
              <w:tr2bl w:val="nil"/>
            </w:tcBorders>
            <w:vAlign w:val="center"/>
          </w:tcPr>
          <w:p w14:paraId="2F35C7AB">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18.827</w:t>
            </w:r>
          </w:p>
        </w:tc>
        <w:tc>
          <w:tcPr>
            <w:tcW w:w="761" w:type="dxa"/>
            <w:tcBorders>
              <w:tl2br w:val="nil"/>
              <w:tr2bl w:val="nil"/>
            </w:tcBorders>
            <w:vAlign w:val="center"/>
          </w:tcPr>
          <w:p w14:paraId="618E9391">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0.94</w:t>
            </w:r>
          </w:p>
        </w:tc>
        <w:tc>
          <w:tcPr>
            <w:tcW w:w="766" w:type="dxa"/>
            <w:tcBorders>
              <w:tl2br w:val="nil"/>
              <w:tr2bl w:val="nil"/>
            </w:tcBorders>
            <w:vAlign w:val="center"/>
          </w:tcPr>
          <w:p w14:paraId="383B40F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0.2386</w:t>
            </w:r>
          </w:p>
        </w:tc>
        <w:tc>
          <w:tcPr>
            <w:tcW w:w="781" w:type="dxa"/>
            <w:tcBorders>
              <w:tl2br w:val="nil"/>
              <w:tr2bl w:val="nil"/>
            </w:tcBorders>
            <w:vAlign w:val="center"/>
          </w:tcPr>
          <w:p w14:paraId="3E7C3E00">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0.22</w:t>
            </w:r>
          </w:p>
        </w:tc>
      </w:tr>
      <w:tr w14:paraId="6EC8F7E1">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104" w:hRule="atLeast"/>
          <w:jc w:val="center"/>
        </w:trPr>
        <w:tc>
          <w:tcPr>
            <w:tcW w:w="454" w:type="pct"/>
            <w:tcBorders>
              <w:tl2br w:val="nil"/>
              <w:tr2bl w:val="nil"/>
            </w:tcBorders>
            <w:vAlign w:val="center"/>
          </w:tcPr>
          <w:p w14:paraId="78B6CAD6">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100</w:t>
            </w:r>
          </w:p>
        </w:tc>
        <w:tc>
          <w:tcPr>
            <w:tcW w:w="757" w:type="dxa"/>
            <w:tcBorders>
              <w:tl2br w:val="nil"/>
              <w:tr2bl w:val="nil"/>
            </w:tcBorders>
            <w:vAlign w:val="center"/>
          </w:tcPr>
          <w:p w14:paraId="06BB857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2.0545</w:t>
            </w:r>
          </w:p>
        </w:tc>
        <w:tc>
          <w:tcPr>
            <w:tcW w:w="774" w:type="dxa"/>
            <w:tcBorders>
              <w:tl2br w:val="nil"/>
              <w:tr2bl w:val="nil"/>
            </w:tcBorders>
            <w:vAlign w:val="center"/>
          </w:tcPr>
          <w:p w14:paraId="1D34537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0.46</w:t>
            </w:r>
          </w:p>
        </w:tc>
        <w:tc>
          <w:tcPr>
            <w:tcW w:w="762" w:type="dxa"/>
            <w:tcBorders>
              <w:tl2br w:val="nil"/>
              <w:tr2bl w:val="nil"/>
            </w:tcBorders>
            <w:vAlign w:val="center"/>
          </w:tcPr>
          <w:p w14:paraId="14EDB987">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1.0978</w:t>
            </w:r>
          </w:p>
        </w:tc>
        <w:tc>
          <w:tcPr>
            <w:tcW w:w="762" w:type="dxa"/>
            <w:tcBorders>
              <w:tl2br w:val="nil"/>
              <w:tr2bl w:val="nil"/>
            </w:tcBorders>
            <w:vAlign w:val="center"/>
          </w:tcPr>
          <w:p w14:paraId="3BE159AC">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0.55</w:t>
            </w:r>
          </w:p>
        </w:tc>
        <w:tc>
          <w:tcPr>
            <w:tcW w:w="762" w:type="dxa"/>
            <w:tcBorders>
              <w:tl2br w:val="nil"/>
              <w:tr2bl w:val="nil"/>
            </w:tcBorders>
            <w:vAlign w:val="center"/>
          </w:tcPr>
          <w:p w14:paraId="158A7383">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2.4347</w:t>
            </w:r>
          </w:p>
        </w:tc>
        <w:tc>
          <w:tcPr>
            <w:tcW w:w="760" w:type="dxa"/>
            <w:tcBorders>
              <w:tl2br w:val="nil"/>
              <w:tr2bl w:val="nil"/>
            </w:tcBorders>
            <w:vAlign w:val="center"/>
          </w:tcPr>
          <w:p w14:paraId="286E96D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1.22</w:t>
            </w:r>
          </w:p>
        </w:tc>
        <w:tc>
          <w:tcPr>
            <w:tcW w:w="766" w:type="dxa"/>
            <w:tcBorders>
              <w:tl2br w:val="nil"/>
              <w:tr2bl w:val="nil"/>
            </w:tcBorders>
            <w:vAlign w:val="center"/>
          </w:tcPr>
          <w:p w14:paraId="161964F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18.8738</w:t>
            </w:r>
          </w:p>
        </w:tc>
        <w:tc>
          <w:tcPr>
            <w:tcW w:w="761" w:type="dxa"/>
            <w:tcBorders>
              <w:tl2br w:val="nil"/>
              <w:tr2bl w:val="nil"/>
            </w:tcBorders>
            <w:vAlign w:val="center"/>
          </w:tcPr>
          <w:p w14:paraId="090C31ED">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0.94</w:t>
            </w:r>
          </w:p>
        </w:tc>
        <w:tc>
          <w:tcPr>
            <w:tcW w:w="766" w:type="dxa"/>
            <w:tcBorders>
              <w:tl2br w:val="nil"/>
              <w:tr2bl w:val="nil"/>
            </w:tcBorders>
            <w:vAlign w:val="center"/>
          </w:tcPr>
          <w:p w14:paraId="4D6CC6C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0.2392</w:t>
            </w:r>
          </w:p>
        </w:tc>
        <w:tc>
          <w:tcPr>
            <w:tcW w:w="781" w:type="dxa"/>
            <w:tcBorders>
              <w:tl2br w:val="nil"/>
              <w:tr2bl w:val="nil"/>
            </w:tcBorders>
            <w:vAlign w:val="center"/>
          </w:tcPr>
          <w:p w14:paraId="0BD2E59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0.22</w:t>
            </w:r>
          </w:p>
        </w:tc>
      </w:tr>
      <w:tr w14:paraId="4FE0FC02">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90" w:hRule="atLeast"/>
          <w:jc w:val="center"/>
        </w:trPr>
        <w:tc>
          <w:tcPr>
            <w:tcW w:w="454" w:type="pct"/>
            <w:tcBorders>
              <w:tl2br w:val="nil"/>
              <w:tr2bl w:val="nil"/>
            </w:tcBorders>
            <w:vAlign w:val="center"/>
          </w:tcPr>
          <w:p w14:paraId="7FE17F8D">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200</w:t>
            </w:r>
          </w:p>
        </w:tc>
        <w:tc>
          <w:tcPr>
            <w:tcW w:w="757" w:type="dxa"/>
            <w:tcBorders>
              <w:tl2br w:val="nil"/>
              <w:tr2bl w:val="nil"/>
            </w:tcBorders>
            <w:vAlign w:val="center"/>
          </w:tcPr>
          <w:p w14:paraId="70EA290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1.2708</w:t>
            </w:r>
          </w:p>
        </w:tc>
        <w:tc>
          <w:tcPr>
            <w:tcW w:w="774" w:type="dxa"/>
            <w:tcBorders>
              <w:tl2br w:val="nil"/>
              <w:tr2bl w:val="nil"/>
            </w:tcBorders>
            <w:vAlign w:val="center"/>
          </w:tcPr>
          <w:p w14:paraId="6798A84D">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0.28</w:t>
            </w:r>
          </w:p>
        </w:tc>
        <w:tc>
          <w:tcPr>
            <w:tcW w:w="762" w:type="dxa"/>
            <w:tcBorders>
              <w:tl2br w:val="nil"/>
              <w:tr2bl w:val="nil"/>
            </w:tcBorders>
            <w:vAlign w:val="center"/>
          </w:tcPr>
          <w:p w14:paraId="27709A3A">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0.679</w:t>
            </w:r>
          </w:p>
        </w:tc>
        <w:tc>
          <w:tcPr>
            <w:tcW w:w="762" w:type="dxa"/>
            <w:tcBorders>
              <w:tl2br w:val="nil"/>
              <w:tr2bl w:val="nil"/>
            </w:tcBorders>
            <w:vAlign w:val="center"/>
          </w:tcPr>
          <w:p w14:paraId="68169621">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0.34</w:t>
            </w:r>
          </w:p>
        </w:tc>
        <w:tc>
          <w:tcPr>
            <w:tcW w:w="762" w:type="dxa"/>
            <w:tcBorders>
              <w:tl2br w:val="nil"/>
              <w:tr2bl w:val="nil"/>
            </w:tcBorders>
            <w:vAlign w:val="center"/>
          </w:tcPr>
          <w:p w14:paraId="3DEF84B1">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1.506</w:t>
            </w:r>
          </w:p>
        </w:tc>
        <w:tc>
          <w:tcPr>
            <w:tcW w:w="760" w:type="dxa"/>
            <w:tcBorders>
              <w:tl2br w:val="nil"/>
              <w:tr2bl w:val="nil"/>
            </w:tcBorders>
            <w:vAlign w:val="center"/>
          </w:tcPr>
          <w:p w14:paraId="69F2B2A2">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0.75</w:t>
            </w:r>
          </w:p>
        </w:tc>
        <w:tc>
          <w:tcPr>
            <w:tcW w:w="766" w:type="dxa"/>
            <w:tcBorders>
              <w:tl2br w:val="nil"/>
              <w:tr2bl w:val="nil"/>
            </w:tcBorders>
            <w:vAlign w:val="center"/>
          </w:tcPr>
          <w:p w14:paraId="67D4267B">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11.6743</w:t>
            </w:r>
          </w:p>
        </w:tc>
        <w:tc>
          <w:tcPr>
            <w:tcW w:w="761" w:type="dxa"/>
            <w:tcBorders>
              <w:tl2br w:val="nil"/>
              <w:tr2bl w:val="nil"/>
            </w:tcBorders>
            <w:vAlign w:val="center"/>
          </w:tcPr>
          <w:p w14:paraId="2F93CDC8">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0.58</w:t>
            </w:r>
          </w:p>
        </w:tc>
        <w:tc>
          <w:tcPr>
            <w:tcW w:w="766" w:type="dxa"/>
            <w:tcBorders>
              <w:tl2br w:val="nil"/>
              <w:tr2bl w:val="nil"/>
            </w:tcBorders>
            <w:vAlign w:val="center"/>
          </w:tcPr>
          <w:p w14:paraId="397FBC2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0.1479</w:t>
            </w:r>
          </w:p>
        </w:tc>
        <w:tc>
          <w:tcPr>
            <w:tcW w:w="781" w:type="dxa"/>
            <w:tcBorders>
              <w:tl2br w:val="nil"/>
              <w:tr2bl w:val="nil"/>
            </w:tcBorders>
            <w:vAlign w:val="center"/>
          </w:tcPr>
          <w:p w14:paraId="0FB6FFA6">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0.13</w:t>
            </w:r>
          </w:p>
        </w:tc>
      </w:tr>
      <w:tr w14:paraId="4ED468C7">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334" w:hRule="atLeast"/>
          <w:jc w:val="center"/>
        </w:trPr>
        <w:tc>
          <w:tcPr>
            <w:tcW w:w="454" w:type="pct"/>
            <w:tcBorders>
              <w:tl2br w:val="nil"/>
              <w:tr2bl w:val="nil"/>
            </w:tcBorders>
            <w:vAlign w:val="center"/>
          </w:tcPr>
          <w:p w14:paraId="0A939263">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300</w:t>
            </w:r>
          </w:p>
        </w:tc>
        <w:tc>
          <w:tcPr>
            <w:tcW w:w="757" w:type="dxa"/>
            <w:tcBorders>
              <w:tl2br w:val="nil"/>
              <w:tr2bl w:val="nil"/>
            </w:tcBorders>
            <w:vAlign w:val="center"/>
          </w:tcPr>
          <w:p w14:paraId="3E684EC3">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1.2636</w:t>
            </w:r>
          </w:p>
        </w:tc>
        <w:tc>
          <w:tcPr>
            <w:tcW w:w="774" w:type="dxa"/>
            <w:tcBorders>
              <w:tl2br w:val="nil"/>
              <w:tr2bl w:val="nil"/>
            </w:tcBorders>
            <w:vAlign w:val="center"/>
          </w:tcPr>
          <w:p w14:paraId="3F479150">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0.28</w:t>
            </w:r>
          </w:p>
        </w:tc>
        <w:tc>
          <w:tcPr>
            <w:tcW w:w="762" w:type="dxa"/>
            <w:tcBorders>
              <w:tl2br w:val="nil"/>
              <w:tr2bl w:val="nil"/>
            </w:tcBorders>
            <w:vAlign w:val="center"/>
          </w:tcPr>
          <w:p w14:paraId="10F5C30F">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0.6752</w:t>
            </w:r>
          </w:p>
        </w:tc>
        <w:tc>
          <w:tcPr>
            <w:tcW w:w="762" w:type="dxa"/>
            <w:tcBorders>
              <w:tl2br w:val="nil"/>
              <w:tr2bl w:val="nil"/>
            </w:tcBorders>
            <w:vAlign w:val="center"/>
          </w:tcPr>
          <w:p w14:paraId="10ED84C5">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0.34</w:t>
            </w:r>
          </w:p>
        </w:tc>
        <w:tc>
          <w:tcPr>
            <w:tcW w:w="762" w:type="dxa"/>
            <w:tcBorders>
              <w:tl2br w:val="nil"/>
              <w:tr2bl w:val="nil"/>
            </w:tcBorders>
            <w:vAlign w:val="center"/>
          </w:tcPr>
          <w:p w14:paraId="6F6AB21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1.4975</w:t>
            </w:r>
          </w:p>
        </w:tc>
        <w:tc>
          <w:tcPr>
            <w:tcW w:w="760" w:type="dxa"/>
            <w:tcBorders>
              <w:tl2br w:val="nil"/>
              <w:tr2bl w:val="nil"/>
            </w:tcBorders>
            <w:vAlign w:val="center"/>
          </w:tcPr>
          <w:p w14:paraId="2B2F8E3A">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0.75</w:t>
            </w:r>
          </w:p>
        </w:tc>
        <w:tc>
          <w:tcPr>
            <w:tcW w:w="766" w:type="dxa"/>
            <w:tcBorders>
              <w:tl2br w:val="nil"/>
              <w:tr2bl w:val="nil"/>
            </w:tcBorders>
            <w:vAlign w:val="center"/>
          </w:tcPr>
          <w:p w14:paraId="6C014C23">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11.6081</w:t>
            </w:r>
          </w:p>
        </w:tc>
        <w:tc>
          <w:tcPr>
            <w:tcW w:w="761" w:type="dxa"/>
            <w:tcBorders>
              <w:tl2br w:val="nil"/>
              <w:tr2bl w:val="nil"/>
            </w:tcBorders>
            <w:vAlign w:val="center"/>
          </w:tcPr>
          <w:p w14:paraId="184AF6FB">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0.58</w:t>
            </w:r>
          </w:p>
        </w:tc>
        <w:tc>
          <w:tcPr>
            <w:tcW w:w="766" w:type="dxa"/>
            <w:tcBorders>
              <w:tl2br w:val="nil"/>
              <w:tr2bl w:val="nil"/>
            </w:tcBorders>
            <w:vAlign w:val="center"/>
          </w:tcPr>
          <w:p w14:paraId="301B213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0.1471</w:t>
            </w:r>
          </w:p>
        </w:tc>
        <w:tc>
          <w:tcPr>
            <w:tcW w:w="781" w:type="dxa"/>
            <w:tcBorders>
              <w:tl2br w:val="nil"/>
              <w:tr2bl w:val="nil"/>
            </w:tcBorders>
            <w:vAlign w:val="center"/>
          </w:tcPr>
          <w:p w14:paraId="631C34F3">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0.13</w:t>
            </w:r>
          </w:p>
        </w:tc>
      </w:tr>
      <w:tr w14:paraId="3A65B73A">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167" w:hRule="atLeast"/>
          <w:jc w:val="center"/>
        </w:trPr>
        <w:tc>
          <w:tcPr>
            <w:tcW w:w="454" w:type="pct"/>
            <w:tcBorders>
              <w:tl2br w:val="nil"/>
              <w:tr2bl w:val="nil"/>
            </w:tcBorders>
            <w:vAlign w:val="center"/>
          </w:tcPr>
          <w:p w14:paraId="17F411C1">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400</w:t>
            </w:r>
          </w:p>
        </w:tc>
        <w:tc>
          <w:tcPr>
            <w:tcW w:w="757" w:type="dxa"/>
            <w:tcBorders>
              <w:tl2br w:val="nil"/>
              <w:tr2bl w:val="nil"/>
            </w:tcBorders>
            <w:vAlign w:val="center"/>
          </w:tcPr>
          <w:p w14:paraId="788B5E1B">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1.4308</w:t>
            </w:r>
          </w:p>
        </w:tc>
        <w:tc>
          <w:tcPr>
            <w:tcW w:w="774" w:type="dxa"/>
            <w:tcBorders>
              <w:tl2br w:val="nil"/>
              <w:tr2bl w:val="nil"/>
            </w:tcBorders>
            <w:vAlign w:val="center"/>
          </w:tcPr>
          <w:p w14:paraId="51A76860">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0.32</w:t>
            </w:r>
          </w:p>
        </w:tc>
        <w:tc>
          <w:tcPr>
            <w:tcW w:w="762" w:type="dxa"/>
            <w:tcBorders>
              <w:tl2br w:val="nil"/>
              <w:tr2bl w:val="nil"/>
            </w:tcBorders>
            <w:vAlign w:val="center"/>
          </w:tcPr>
          <w:p w14:paraId="5E740C7E">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0.7645</w:t>
            </w:r>
          </w:p>
        </w:tc>
        <w:tc>
          <w:tcPr>
            <w:tcW w:w="762" w:type="dxa"/>
            <w:tcBorders>
              <w:tl2br w:val="nil"/>
              <w:tr2bl w:val="nil"/>
            </w:tcBorders>
            <w:vAlign w:val="center"/>
          </w:tcPr>
          <w:p w14:paraId="1A8CD41B">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0.38</w:t>
            </w:r>
          </w:p>
        </w:tc>
        <w:tc>
          <w:tcPr>
            <w:tcW w:w="762" w:type="dxa"/>
            <w:tcBorders>
              <w:tl2br w:val="nil"/>
              <w:tr2bl w:val="nil"/>
            </w:tcBorders>
            <w:vAlign w:val="center"/>
          </w:tcPr>
          <w:p w14:paraId="1567E380">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1.6956</w:t>
            </w:r>
          </w:p>
        </w:tc>
        <w:tc>
          <w:tcPr>
            <w:tcW w:w="760" w:type="dxa"/>
            <w:tcBorders>
              <w:tl2br w:val="nil"/>
              <w:tr2bl w:val="nil"/>
            </w:tcBorders>
            <w:vAlign w:val="center"/>
          </w:tcPr>
          <w:p w14:paraId="4B8C50B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0.85</w:t>
            </w:r>
          </w:p>
        </w:tc>
        <w:tc>
          <w:tcPr>
            <w:tcW w:w="766" w:type="dxa"/>
            <w:tcBorders>
              <w:tl2br w:val="nil"/>
              <w:tr2bl w:val="nil"/>
            </w:tcBorders>
            <w:vAlign w:val="center"/>
          </w:tcPr>
          <w:p w14:paraId="343723B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13.1441</w:t>
            </w:r>
          </w:p>
        </w:tc>
        <w:tc>
          <w:tcPr>
            <w:tcW w:w="761" w:type="dxa"/>
            <w:tcBorders>
              <w:tl2br w:val="nil"/>
              <w:tr2bl w:val="nil"/>
            </w:tcBorders>
            <w:vAlign w:val="center"/>
          </w:tcPr>
          <w:p w14:paraId="20A5ACB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0.66</w:t>
            </w:r>
          </w:p>
        </w:tc>
        <w:tc>
          <w:tcPr>
            <w:tcW w:w="766" w:type="dxa"/>
            <w:tcBorders>
              <w:tl2br w:val="nil"/>
              <w:tr2bl w:val="nil"/>
            </w:tcBorders>
            <w:vAlign w:val="center"/>
          </w:tcPr>
          <w:p w14:paraId="5CC53986">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0.1666</w:t>
            </w:r>
          </w:p>
        </w:tc>
        <w:tc>
          <w:tcPr>
            <w:tcW w:w="781" w:type="dxa"/>
            <w:tcBorders>
              <w:tl2br w:val="nil"/>
              <w:tr2bl w:val="nil"/>
            </w:tcBorders>
            <w:vAlign w:val="center"/>
          </w:tcPr>
          <w:p w14:paraId="4F7F790A">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0.15</w:t>
            </w:r>
          </w:p>
        </w:tc>
      </w:tr>
      <w:tr w14:paraId="0202D1BD">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11" w:hRule="atLeast"/>
          <w:jc w:val="center"/>
        </w:trPr>
        <w:tc>
          <w:tcPr>
            <w:tcW w:w="454" w:type="pct"/>
            <w:tcBorders>
              <w:tl2br w:val="nil"/>
              <w:tr2bl w:val="nil"/>
            </w:tcBorders>
            <w:vAlign w:val="center"/>
          </w:tcPr>
          <w:p w14:paraId="04C45E48">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500</w:t>
            </w:r>
          </w:p>
        </w:tc>
        <w:tc>
          <w:tcPr>
            <w:tcW w:w="757" w:type="dxa"/>
            <w:tcBorders>
              <w:tl2br w:val="nil"/>
              <w:tr2bl w:val="nil"/>
            </w:tcBorders>
            <w:vAlign w:val="center"/>
          </w:tcPr>
          <w:p w14:paraId="28E1BA8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1.4334</w:t>
            </w:r>
          </w:p>
        </w:tc>
        <w:tc>
          <w:tcPr>
            <w:tcW w:w="774" w:type="dxa"/>
            <w:tcBorders>
              <w:tl2br w:val="nil"/>
              <w:tr2bl w:val="nil"/>
            </w:tcBorders>
            <w:vAlign w:val="center"/>
          </w:tcPr>
          <w:p w14:paraId="09A0AA42">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0.32</w:t>
            </w:r>
          </w:p>
        </w:tc>
        <w:tc>
          <w:tcPr>
            <w:tcW w:w="762" w:type="dxa"/>
            <w:tcBorders>
              <w:tl2br w:val="nil"/>
              <w:tr2bl w:val="nil"/>
            </w:tcBorders>
            <w:vAlign w:val="center"/>
          </w:tcPr>
          <w:p w14:paraId="311339B9">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0.7659</w:t>
            </w:r>
          </w:p>
        </w:tc>
        <w:tc>
          <w:tcPr>
            <w:tcW w:w="762" w:type="dxa"/>
            <w:tcBorders>
              <w:tl2br w:val="nil"/>
              <w:tr2bl w:val="nil"/>
            </w:tcBorders>
            <w:vAlign w:val="center"/>
          </w:tcPr>
          <w:p w14:paraId="0C1C3B86">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0.38</w:t>
            </w:r>
          </w:p>
        </w:tc>
        <w:tc>
          <w:tcPr>
            <w:tcW w:w="762" w:type="dxa"/>
            <w:tcBorders>
              <w:tl2br w:val="nil"/>
              <w:tr2bl w:val="nil"/>
            </w:tcBorders>
            <w:vAlign w:val="center"/>
          </w:tcPr>
          <w:p w14:paraId="7185D90D">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1.6987</w:t>
            </w:r>
          </w:p>
        </w:tc>
        <w:tc>
          <w:tcPr>
            <w:tcW w:w="760" w:type="dxa"/>
            <w:tcBorders>
              <w:tl2br w:val="nil"/>
              <w:tr2bl w:val="nil"/>
            </w:tcBorders>
            <w:vAlign w:val="center"/>
          </w:tcPr>
          <w:p w14:paraId="65F7894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0.85</w:t>
            </w:r>
          </w:p>
        </w:tc>
        <w:tc>
          <w:tcPr>
            <w:tcW w:w="766" w:type="dxa"/>
            <w:tcBorders>
              <w:tl2br w:val="nil"/>
              <w:tr2bl w:val="nil"/>
            </w:tcBorders>
            <w:vAlign w:val="center"/>
          </w:tcPr>
          <w:p w14:paraId="72BCFDC5">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13.168</w:t>
            </w:r>
          </w:p>
        </w:tc>
        <w:tc>
          <w:tcPr>
            <w:tcW w:w="761" w:type="dxa"/>
            <w:tcBorders>
              <w:tl2br w:val="nil"/>
              <w:tr2bl w:val="nil"/>
            </w:tcBorders>
            <w:vAlign w:val="center"/>
          </w:tcPr>
          <w:p w14:paraId="3317831C">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0.66</w:t>
            </w:r>
          </w:p>
        </w:tc>
        <w:tc>
          <w:tcPr>
            <w:tcW w:w="766" w:type="dxa"/>
            <w:tcBorders>
              <w:tl2br w:val="nil"/>
              <w:tr2bl w:val="nil"/>
            </w:tcBorders>
            <w:vAlign w:val="center"/>
          </w:tcPr>
          <w:p w14:paraId="38A9DB7A">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0.1669</w:t>
            </w:r>
          </w:p>
        </w:tc>
        <w:tc>
          <w:tcPr>
            <w:tcW w:w="781" w:type="dxa"/>
            <w:tcBorders>
              <w:tl2br w:val="nil"/>
              <w:tr2bl w:val="nil"/>
            </w:tcBorders>
            <w:vAlign w:val="center"/>
          </w:tcPr>
          <w:p w14:paraId="4EFDD76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0.15</w:t>
            </w:r>
          </w:p>
        </w:tc>
      </w:tr>
      <w:tr w14:paraId="512D00F8">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58" w:hRule="atLeast"/>
          <w:jc w:val="center"/>
        </w:trPr>
        <w:tc>
          <w:tcPr>
            <w:tcW w:w="454" w:type="pct"/>
            <w:tcBorders>
              <w:tl2br w:val="nil"/>
              <w:tr2bl w:val="nil"/>
            </w:tcBorders>
            <w:vAlign w:val="center"/>
          </w:tcPr>
          <w:p w14:paraId="12F3E47B">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1000</w:t>
            </w:r>
          </w:p>
        </w:tc>
        <w:tc>
          <w:tcPr>
            <w:tcW w:w="757" w:type="dxa"/>
            <w:tcBorders>
              <w:tl2br w:val="nil"/>
              <w:tr2bl w:val="nil"/>
            </w:tcBorders>
            <w:vAlign w:val="center"/>
          </w:tcPr>
          <w:p w14:paraId="2A50AA8D">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1.25</w:t>
            </w:r>
          </w:p>
        </w:tc>
        <w:tc>
          <w:tcPr>
            <w:tcW w:w="774" w:type="dxa"/>
            <w:tcBorders>
              <w:tl2br w:val="nil"/>
              <w:tr2bl w:val="nil"/>
            </w:tcBorders>
            <w:vAlign w:val="center"/>
          </w:tcPr>
          <w:p w14:paraId="5D9CCC57">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0.28</w:t>
            </w:r>
          </w:p>
        </w:tc>
        <w:tc>
          <w:tcPr>
            <w:tcW w:w="762" w:type="dxa"/>
            <w:tcBorders>
              <w:tl2br w:val="nil"/>
              <w:tr2bl w:val="nil"/>
            </w:tcBorders>
            <w:vAlign w:val="center"/>
          </w:tcPr>
          <w:p w14:paraId="43F4C5BB">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0.6679</w:t>
            </w:r>
          </w:p>
        </w:tc>
        <w:tc>
          <w:tcPr>
            <w:tcW w:w="762" w:type="dxa"/>
            <w:tcBorders>
              <w:tl2br w:val="nil"/>
              <w:tr2bl w:val="nil"/>
            </w:tcBorders>
            <w:vAlign w:val="center"/>
          </w:tcPr>
          <w:p w14:paraId="4F7C1D8B">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0.33</w:t>
            </w:r>
          </w:p>
        </w:tc>
        <w:tc>
          <w:tcPr>
            <w:tcW w:w="762" w:type="dxa"/>
            <w:tcBorders>
              <w:tl2br w:val="nil"/>
              <w:tr2bl w:val="nil"/>
            </w:tcBorders>
            <w:vAlign w:val="center"/>
          </w:tcPr>
          <w:p w14:paraId="4B4FD34B">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1.4813</w:t>
            </w:r>
          </w:p>
        </w:tc>
        <w:tc>
          <w:tcPr>
            <w:tcW w:w="760" w:type="dxa"/>
            <w:tcBorders>
              <w:tl2br w:val="nil"/>
              <w:tr2bl w:val="nil"/>
            </w:tcBorders>
            <w:vAlign w:val="center"/>
          </w:tcPr>
          <w:p w14:paraId="50E09975">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0.74</w:t>
            </w:r>
          </w:p>
        </w:tc>
        <w:tc>
          <w:tcPr>
            <w:tcW w:w="766" w:type="dxa"/>
            <w:tcBorders>
              <w:tl2br w:val="nil"/>
              <w:tr2bl w:val="nil"/>
            </w:tcBorders>
            <w:vAlign w:val="center"/>
          </w:tcPr>
          <w:p w14:paraId="0932911C">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11.4832</w:t>
            </w:r>
          </w:p>
        </w:tc>
        <w:tc>
          <w:tcPr>
            <w:tcW w:w="761" w:type="dxa"/>
            <w:tcBorders>
              <w:tl2br w:val="nil"/>
              <w:tr2bl w:val="nil"/>
            </w:tcBorders>
            <w:vAlign w:val="center"/>
          </w:tcPr>
          <w:p w14:paraId="71A3D5E6">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0.57</w:t>
            </w:r>
          </w:p>
        </w:tc>
        <w:tc>
          <w:tcPr>
            <w:tcW w:w="766" w:type="dxa"/>
            <w:tcBorders>
              <w:tl2br w:val="nil"/>
              <w:tr2bl w:val="nil"/>
            </w:tcBorders>
            <w:vAlign w:val="center"/>
          </w:tcPr>
          <w:p w14:paraId="002149D8">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0.1455</w:t>
            </w:r>
          </w:p>
        </w:tc>
        <w:tc>
          <w:tcPr>
            <w:tcW w:w="781" w:type="dxa"/>
            <w:tcBorders>
              <w:tl2br w:val="nil"/>
              <w:tr2bl w:val="nil"/>
            </w:tcBorders>
            <w:vAlign w:val="center"/>
          </w:tcPr>
          <w:p w14:paraId="43BC14A4">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0.13</w:t>
            </w:r>
          </w:p>
        </w:tc>
      </w:tr>
      <w:tr w14:paraId="21E32A85">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173" w:hRule="atLeast"/>
          <w:jc w:val="center"/>
        </w:trPr>
        <w:tc>
          <w:tcPr>
            <w:tcW w:w="454" w:type="pct"/>
            <w:tcBorders>
              <w:tl2br w:val="nil"/>
              <w:tr2bl w:val="nil"/>
            </w:tcBorders>
            <w:vAlign w:val="center"/>
          </w:tcPr>
          <w:p w14:paraId="4579D83D">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1500</w:t>
            </w:r>
          </w:p>
        </w:tc>
        <w:tc>
          <w:tcPr>
            <w:tcW w:w="757" w:type="dxa"/>
            <w:tcBorders>
              <w:tl2br w:val="nil"/>
              <w:tr2bl w:val="nil"/>
            </w:tcBorders>
            <w:vAlign w:val="center"/>
          </w:tcPr>
          <w:p w14:paraId="4C1EA36D">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0.9482</w:t>
            </w:r>
          </w:p>
        </w:tc>
        <w:tc>
          <w:tcPr>
            <w:tcW w:w="774" w:type="dxa"/>
            <w:tcBorders>
              <w:tl2br w:val="nil"/>
              <w:tr2bl w:val="nil"/>
            </w:tcBorders>
            <w:vAlign w:val="center"/>
          </w:tcPr>
          <w:p w14:paraId="6D4EB021">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0.21</w:t>
            </w:r>
          </w:p>
        </w:tc>
        <w:tc>
          <w:tcPr>
            <w:tcW w:w="762" w:type="dxa"/>
            <w:tcBorders>
              <w:tl2br w:val="nil"/>
              <w:tr2bl w:val="nil"/>
            </w:tcBorders>
            <w:vAlign w:val="center"/>
          </w:tcPr>
          <w:p w14:paraId="4531CF39">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0.5067</w:t>
            </w:r>
          </w:p>
        </w:tc>
        <w:tc>
          <w:tcPr>
            <w:tcW w:w="762" w:type="dxa"/>
            <w:tcBorders>
              <w:tl2br w:val="nil"/>
              <w:tr2bl w:val="nil"/>
            </w:tcBorders>
            <w:vAlign w:val="center"/>
          </w:tcPr>
          <w:p w14:paraId="3B18CCE2">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0.25</w:t>
            </w:r>
          </w:p>
        </w:tc>
        <w:tc>
          <w:tcPr>
            <w:tcW w:w="762" w:type="dxa"/>
            <w:tcBorders>
              <w:tl2br w:val="nil"/>
              <w:tr2bl w:val="nil"/>
            </w:tcBorders>
            <w:vAlign w:val="center"/>
          </w:tcPr>
          <w:p w14:paraId="7E31D2F1">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1.1237</w:t>
            </w:r>
          </w:p>
        </w:tc>
        <w:tc>
          <w:tcPr>
            <w:tcW w:w="760" w:type="dxa"/>
            <w:tcBorders>
              <w:tl2br w:val="nil"/>
              <w:tr2bl w:val="nil"/>
            </w:tcBorders>
            <w:vAlign w:val="center"/>
          </w:tcPr>
          <w:p w14:paraId="025832F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0.56</w:t>
            </w:r>
          </w:p>
        </w:tc>
        <w:tc>
          <w:tcPr>
            <w:tcW w:w="766" w:type="dxa"/>
            <w:tcBorders>
              <w:tl2br w:val="nil"/>
              <w:tr2bl w:val="nil"/>
            </w:tcBorders>
            <w:vAlign w:val="center"/>
          </w:tcPr>
          <w:p w14:paraId="2D1C8F9C">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8.711</w:t>
            </w:r>
          </w:p>
        </w:tc>
        <w:tc>
          <w:tcPr>
            <w:tcW w:w="761" w:type="dxa"/>
            <w:tcBorders>
              <w:tl2br w:val="nil"/>
              <w:tr2bl w:val="nil"/>
            </w:tcBorders>
            <w:vAlign w:val="center"/>
          </w:tcPr>
          <w:p w14:paraId="2FFEE32A">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0.44</w:t>
            </w:r>
          </w:p>
        </w:tc>
        <w:tc>
          <w:tcPr>
            <w:tcW w:w="766" w:type="dxa"/>
            <w:tcBorders>
              <w:tl2br w:val="nil"/>
              <w:tr2bl w:val="nil"/>
            </w:tcBorders>
            <w:vAlign w:val="center"/>
          </w:tcPr>
          <w:p w14:paraId="32DC6B24">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0.1104</w:t>
            </w:r>
          </w:p>
        </w:tc>
        <w:tc>
          <w:tcPr>
            <w:tcW w:w="781" w:type="dxa"/>
            <w:tcBorders>
              <w:tl2br w:val="nil"/>
              <w:tr2bl w:val="nil"/>
            </w:tcBorders>
            <w:vAlign w:val="center"/>
          </w:tcPr>
          <w:p w14:paraId="19434B88">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w:t>
            </w:r>
          </w:p>
        </w:tc>
      </w:tr>
      <w:tr w14:paraId="1DFBFEDA">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181" w:hRule="atLeast"/>
          <w:jc w:val="center"/>
        </w:trPr>
        <w:tc>
          <w:tcPr>
            <w:tcW w:w="454" w:type="pct"/>
            <w:tcBorders>
              <w:tl2br w:val="nil"/>
              <w:tr2bl w:val="nil"/>
            </w:tcBorders>
            <w:vAlign w:val="center"/>
          </w:tcPr>
          <w:p w14:paraId="77DFDBF9">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2000</w:t>
            </w:r>
          </w:p>
        </w:tc>
        <w:tc>
          <w:tcPr>
            <w:tcW w:w="757" w:type="dxa"/>
            <w:tcBorders>
              <w:tl2br w:val="nil"/>
              <w:tr2bl w:val="nil"/>
            </w:tcBorders>
            <w:vAlign w:val="center"/>
          </w:tcPr>
          <w:p w14:paraId="59C3D503">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0.7294</w:t>
            </w:r>
          </w:p>
        </w:tc>
        <w:tc>
          <w:tcPr>
            <w:tcW w:w="774" w:type="dxa"/>
            <w:tcBorders>
              <w:tl2br w:val="nil"/>
              <w:tr2bl w:val="nil"/>
            </w:tcBorders>
            <w:vAlign w:val="center"/>
          </w:tcPr>
          <w:p w14:paraId="0A158BDB">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0.16</w:t>
            </w:r>
          </w:p>
        </w:tc>
        <w:tc>
          <w:tcPr>
            <w:tcW w:w="762" w:type="dxa"/>
            <w:tcBorders>
              <w:tl2br w:val="nil"/>
              <w:tr2bl w:val="nil"/>
            </w:tcBorders>
            <w:vAlign w:val="center"/>
          </w:tcPr>
          <w:p w14:paraId="4CE31310">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0.3898</w:t>
            </w:r>
          </w:p>
        </w:tc>
        <w:tc>
          <w:tcPr>
            <w:tcW w:w="762" w:type="dxa"/>
            <w:tcBorders>
              <w:tl2br w:val="nil"/>
              <w:tr2bl w:val="nil"/>
            </w:tcBorders>
            <w:vAlign w:val="center"/>
          </w:tcPr>
          <w:p w14:paraId="0A015E07">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0.19</w:t>
            </w:r>
          </w:p>
        </w:tc>
        <w:tc>
          <w:tcPr>
            <w:tcW w:w="762" w:type="dxa"/>
            <w:tcBorders>
              <w:tl2br w:val="nil"/>
              <w:tr2bl w:val="nil"/>
            </w:tcBorders>
            <w:vAlign w:val="center"/>
          </w:tcPr>
          <w:p w14:paraId="4BA23E4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0.8644</w:t>
            </w:r>
          </w:p>
        </w:tc>
        <w:tc>
          <w:tcPr>
            <w:tcW w:w="760" w:type="dxa"/>
            <w:tcBorders>
              <w:tl2br w:val="nil"/>
              <w:tr2bl w:val="nil"/>
            </w:tcBorders>
            <w:vAlign w:val="center"/>
          </w:tcPr>
          <w:p w14:paraId="01FE43E6">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0.43</w:t>
            </w:r>
          </w:p>
        </w:tc>
        <w:tc>
          <w:tcPr>
            <w:tcW w:w="766" w:type="dxa"/>
            <w:tcBorders>
              <w:tl2br w:val="nil"/>
              <w:tr2bl w:val="nil"/>
            </w:tcBorders>
            <w:vAlign w:val="center"/>
          </w:tcPr>
          <w:p w14:paraId="6932E413">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6.701</w:t>
            </w:r>
          </w:p>
        </w:tc>
        <w:tc>
          <w:tcPr>
            <w:tcW w:w="761" w:type="dxa"/>
            <w:tcBorders>
              <w:tl2br w:val="nil"/>
              <w:tr2bl w:val="nil"/>
            </w:tcBorders>
            <w:vAlign w:val="center"/>
          </w:tcPr>
          <w:p w14:paraId="5E565794">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0.34</w:t>
            </w:r>
          </w:p>
        </w:tc>
        <w:tc>
          <w:tcPr>
            <w:tcW w:w="766" w:type="dxa"/>
            <w:tcBorders>
              <w:tl2br w:val="nil"/>
              <w:tr2bl w:val="nil"/>
            </w:tcBorders>
            <w:vAlign w:val="center"/>
          </w:tcPr>
          <w:p w14:paraId="719453D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0.0849</w:t>
            </w:r>
          </w:p>
        </w:tc>
        <w:tc>
          <w:tcPr>
            <w:tcW w:w="781" w:type="dxa"/>
            <w:tcBorders>
              <w:tl2br w:val="nil"/>
              <w:tr2bl w:val="nil"/>
            </w:tcBorders>
            <w:vAlign w:val="center"/>
          </w:tcPr>
          <w:p w14:paraId="49D1B540">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0.08</w:t>
            </w:r>
          </w:p>
        </w:tc>
      </w:tr>
      <w:tr w14:paraId="7967BA03">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65" w:hRule="atLeast"/>
          <w:jc w:val="center"/>
        </w:trPr>
        <w:tc>
          <w:tcPr>
            <w:tcW w:w="454" w:type="pct"/>
            <w:tcBorders>
              <w:bottom w:val="single" w:color="000000" w:sz="4" w:space="0"/>
              <w:tl2br w:val="nil"/>
              <w:tr2bl w:val="nil"/>
            </w:tcBorders>
            <w:vAlign w:val="center"/>
          </w:tcPr>
          <w:p w14:paraId="76B1161B">
            <w:pPr>
              <w:widowControl/>
              <w:jc w:val="center"/>
              <w:textAlignment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eastAsia="宋体" w:cs="Times New Roman"/>
                <w:bCs/>
                <w:kern w:val="0"/>
                <w:szCs w:val="21"/>
                <w:lang w:bidi="ar"/>
              </w:rPr>
              <w:t>2500</w:t>
            </w:r>
          </w:p>
        </w:tc>
        <w:tc>
          <w:tcPr>
            <w:tcW w:w="757" w:type="dxa"/>
            <w:tcBorders>
              <w:bottom w:val="single" w:color="000000" w:sz="4" w:space="0"/>
              <w:tl2br w:val="nil"/>
              <w:tr2bl w:val="nil"/>
            </w:tcBorders>
            <w:vAlign w:val="center"/>
          </w:tcPr>
          <w:p w14:paraId="02516CE7">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0.5834</w:t>
            </w:r>
          </w:p>
        </w:tc>
        <w:tc>
          <w:tcPr>
            <w:tcW w:w="774" w:type="dxa"/>
            <w:tcBorders>
              <w:bottom w:val="single" w:color="000000" w:sz="4" w:space="0"/>
              <w:tl2br w:val="nil"/>
              <w:tr2bl w:val="nil"/>
            </w:tcBorders>
            <w:vAlign w:val="center"/>
          </w:tcPr>
          <w:p w14:paraId="583AE49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0.13</w:t>
            </w:r>
          </w:p>
        </w:tc>
        <w:tc>
          <w:tcPr>
            <w:tcW w:w="762" w:type="dxa"/>
            <w:tcBorders>
              <w:bottom w:val="single" w:color="000000" w:sz="4" w:space="0"/>
              <w:tl2br w:val="nil"/>
              <w:tr2bl w:val="nil"/>
            </w:tcBorders>
            <w:vAlign w:val="center"/>
          </w:tcPr>
          <w:p w14:paraId="25372FE0">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0.3117</w:t>
            </w:r>
          </w:p>
        </w:tc>
        <w:tc>
          <w:tcPr>
            <w:tcW w:w="762" w:type="dxa"/>
            <w:tcBorders>
              <w:bottom w:val="single" w:color="000000" w:sz="4" w:space="0"/>
              <w:tl2br w:val="nil"/>
              <w:tr2bl w:val="nil"/>
            </w:tcBorders>
            <w:vAlign w:val="center"/>
          </w:tcPr>
          <w:p w14:paraId="1AD4FE0D">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0.16</w:t>
            </w:r>
          </w:p>
        </w:tc>
        <w:tc>
          <w:tcPr>
            <w:tcW w:w="762" w:type="dxa"/>
            <w:tcBorders>
              <w:bottom w:val="single" w:color="000000" w:sz="4" w:space="0"/>
              <w:tl2br w:val="nil"/>
              <w:tr2bl w:val="nil"/>
            </w:tcBorders>
            <w:vAlign w:val="center"/>
          </w:tcPr>
          <w:p w14:paraId="0E317CD1">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0.6914</w:t>
            </w:r>
          </w:p>
        </w:tc>
        <w:tc>
          <w:tcPr>
            <w:tcW w:w="760" w:type="dxa"/>
            <w:tcBorders>
              <w:bottom w:val="single" w:color="000000" w:sz="4" w:space="0"/>
              <w:tl2br w:val="nil"/>
              <w:tr2bl w:val="nil"/>
            </w:tcBorders>
            <w:vAlign w:val="center"/>
          </w:tcPr>
          <w:p w14:paraId="4D10BF5E">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0.35</w:t>
            </w:r>
          </w:p>
        </w:tc>
        <w:tc>
          <w:tcPr>
            <w:tcW w:w="766" w:type="dxa"/>
            <w:tcBorders>
              <w:bottom w:val="single" w:color="000000" w:sz="4" w:space="0"/>
              <w:tl2br w:val="nil"/>
              <w:tr2bl w:val="nil"/>
            </w:tcBorders>
            <w:vAlign w:val="center"/>
          </w:tcPr>
          <w:p w14:paraId="1DFD4F8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5.3598</w:t>
            </w:r>
          </w:p>
        </w:tc>
        <w:tc>
          <w:tcPr>
            <w:tcW w:w="761" w:type="dxa"/>
            <w:tcBorders>
              <w:bottom w:val="single" w:color="000000" w:sz="4" w:space="0"/>
              <w:tl2br w:val="nil"/>
              <w:tr2bl w:val="nil"/>
            </w:tcBorders>
            <w:vAlign w:val="center"/>
          </w:tcPr>
          <w:p w14:paraId="12B312D8">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0.27</w:t>
            </w:r>
          </w:p>
        </w:tc>
        <w:tc>
          <w:tcPr>
            <w:tcW w:w="766" w:type="dxa"/>
            <w:tcBorders>
              <w:bottom w:val="single" w:color="000000" w:sz="4" w:space="0"/>
              <w:tl2br w:val="nil"/>
              <w:tr2bl w:val="nil"/>
            </w:tcBorders>
            <w:vAlign w:val="center"/>
          </w:tcPr>
          <w:p w14:paraId="2EB7F77D">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0.0679</w:t>
            </w:r>
          </w:p>
        </w:tc>
        <w:tc>
          <w:tcPr>
            <w:tcW w:w="781" w:type="dxa"/>
            <w:tcBorders>
              <w:bottom w:val="single" w:color="000000" w:sz="4" w:space="0"/>
              <w:tl2br w:val="nil"/>
              <w:tr2bl w:val="nil"/>
            </w:tcBorders>
            <w:vAlign w:val="center"/>
          </w:tcPr>
          <w:p w14:paraId="2F646C1C">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0.06</w:t>
            </w:r>
          </w:p>
        </w:tc>
      </w:tr>
      <w:tr w14:paraId="3B91103E">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20" w:hRule="atLeast"/>
          <w:jc w:val="center"/>
        </w:trPr>
        <w:tc>
          <w:tcPr>
            <w:tcW w:w="454" w:type="pct"/>
            <w:tcBorders>
              <w:top w:val="single" w:color="000000" w:sz="4" w:space="0"/>
              <w:bottom w:val="single" w:color="000000" w:sz="4" w:space="0"/>
              <w:tl2br w:val="nil"/>
              <w:tr2bl w:val="nil"/>
            </w:tcBorders>
            <w:vAlign w:val="center"/>
          </w:tcPr>
          <w:p w14:paraId="5832DBD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w:t>
            </w:r>
          </w:p>
        </w:tc>
        <w:tc>
          <w:tcPr>
            <w:tcW w:w="450" w:type="pct"/>
            <w:tcBorders>
              <w:top w:val="single" w:color="000000" w:sz="4" w:space="0"/>
              <w:bottom w:val="single" w:color="000000" w:sz="4" w:space="0"/>
              <w:tl2br w:val="nil"/>
              <w:tr2bl w:val="nil"/>
            </w:tcBorders>
            <w:vAlign w:val="center"/>
          </w:tcPr>
          <w:p w14:paraId="3788748B">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w:t>
            </w:r>
          </w:p>
        </w:tc>
        <w:tc>
          <w:tcPr>
            <w:tcW w:w="456" w:type="pct"/>
            <w:tcBorders>
              <w:top w:val="single" w:color="000000" w:sz="4" w:space="0"/>
              <w:bottom w:val="single" w:color="000000" w:sz="4" w:space="0"/>
              <w:tl2br w:val="nil"/>
              <w:tr2bl w:val="nil"/>
            </w:tcBorders>
            <w:vAlign w:val="center"/>
          </w:tcPr>
          <w:p w14:paraId="41441EA5">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w:t>
            </w:r>
          </w:p>
        </w:tc>
        <w:tc>
          <w:tcPr>
            <w:tcW w:w="453" w:type="pct"/>
            <w:tcBorders>
              <w:top w:val="single" w:color="000000" w:sz="4" w:space="0"/>
              <w:bottom w:val="single" w:color="000000" w:sz="4" w:space="0"/>
              <w:tl2br w:val="nil"/>
              <w:tr2bl w:val="nil"/>
            </w:tcBorders>
            <w:vAlign w:val="center"/>
          </w:tcPr>
          <w:p w14:paraId="6CEDA223">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w:t>
            </w:r>
          </w:p>
        </w:tc>
        <w:tc>
          <w:tcPr>
            <w:tcW w:w="453" w:type="pct"/>
            <w:tcBorders>
              <w:top w:val="single" w:color="000000" w:sz="4" w:space="0"/>
              <w:bottom w:val="single" w:color="000000" w:sz="4" w:space="0"/>
              <w:tl2br w:val="nil"/>
              <w:tr2bl w:val="nil"/>
            </w:tcBorders>
            <w:vAlign w:val="center"/>
          </w:tcPr>
          <w:p w14:paraId="7E80FCF0">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w:t>
            </w:r>
          </w:p>
        </w:tc>
        <w:tc>
          <w:tcPr>
            <w:tcW w:w="453" w:type="pct"/>
            <w:tcBorders>
              <w:top w:val="single" w:color="000000" w:sz="4" w:space="0"/>
              <w:bottom w:val="single" w:color="000000" w:sz="4" w:space="0"/>
              <w:tl2br w:val="nil"/>
              <w:tr2bl w:val="nil"/>
            </w:tcBorders>
            <w:vAlign w:val="center"/>
          </w:tcPr>
          <w:p w14:paraId="5FC0E461">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w:t>
            </w:r>
          </w:p>
        </w:tc>
        <w:tc>
          <w:tcPr>
            <w:tcW w:w="452" w:type="pct"/>
            <w:tcBorders>
              <w:top w:val="single" w:color="000000" w:sz="4" w:space="0"/>
              <w:bottom w:val="single" w:color="000000" w:sz="4" w:space="0"/>
              <w:tl2br w:val="nil"/>
              <w:tr2bl w:val="nil"/>
            </w:tcBorders>
            <w:vAlign w:val="center"/>
          </w:tcPr>
          <w:p w14:paraId="23FAEB84">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w:t>
            </w:r>
          </w:p>
        </w:tc>
        <w:tc>
          <w:tcPr>
            <w:tcW w:w="455" w:type="pct"/>
            <w:tcBorders>
              <w:top w:val="single" w:color="000000" w:sz="4" w:space="0"/>
              <w:bottom w:val="single" w:color="000000" w:sz="4" w:space="0"/>
              <w:tl2br w:val="nil"/>
              <w:tr2bl w:val="nil"/>
            </w:tcBorders>
            <w:vAlign w:val="center"/>
          </w:tcPr>
          <w:p w14:paraId="4EB1D374">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w:t>
            </w:r>
          </w:p>
        </w:tc>
        <w:tc>
          <w:tcPr>
            <w:tcW w:w="452" w:type="pct"/>
            <w:tcBorders>
              <w:top w:val="single" w:color="000000" w:sz="4" w:space="0"/>
              <w:bottom w:val="single" w:color="000000" w:sz="4" w:space="0"/>
              <w:tl2br w:val="nil"/>
              <w:tr2bl w:val="nil"/>
            </w:tcBorders>
            <w:vAlign w:val="center"/>
          </w:tcPr>
          <w:p w14:paraId="4268302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w:t>
            </w:r>
          </w:p>
        </w:tc>
        <w:tc>
          <w:tcPr>
            <w:tcW w:w="455" w:type="pct"/>
            <w:tcBorders>
              <w:top w:val="single" w:color="000000" w:sz="4" w:space="0"/>
              <w:bottom w:val="single" w:color="000000" w:sz="4" w:space="0"/>
              <w:tl2br w:val="nil"/>
              <w:tr2bl w:val="nil"/>
            </w:tcBorders>
            <w:vAlign w:val="center"/>
          </w:tcPr>
          <w:p w14:paraId="41271795">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w:t>
            </w:r>
          </w:p>
        </w:tc>
        <w:tc>
          <w:tcPr>
            <w:tcW w:w="464" w:type="pct"/>
            <w:tcBorders>
              <w:top w:val="single" w:color="000000" w:sz="4" w:space="0"/>
              <w:bottom w:val="single" w:color="000000" w:sz="4" w:space="0"/>
              <w:tl2br w:val="nil"/>
              <w:tr2bl w:val="nil"/>
            </w:tcBorders>
            <w:vAlign w:val="center"/>
          </w:tcPr>
          <w:p w14:paraId="63AA8838">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w:t>
            </w:r>
          </w:p>
        </w:tc>
      </w:tr>
      <w:tr w14:paraId="5E6FE50F">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216" w:hRule="atLeast"/>
          <w:jc w:val="center"/>
        </w:trPr>
        <w:tc>
          <w:tcPr>
            <w:tcW w:w="454" w:type="pct"/>
            <w:tcBorders>
              <w:top w:val="single" w:color="000000" w:sz="4" w:space="0"/>
              <w:tl2br w:val="nil"/>
              <w:tr2bl w:val="nil"/>
            </w:tcBorders>
            <w:vAlign w:val="center"/>
          </w:tcPr>
          <w:p w14:paraId="72BC06E0">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25000</w:t>
            </w:r>
          </w:p>
        </w:tc>
        <w:tc>
          <w:tcPr>
            <w:tcW w:w="757" w:type="dxa"/>
            <w:tcBorders>
              <w:top w:val="single" w:color="000000" w:sz="4" w:space="0"/>
              <w:tl2br w:val="nil"/>
              <w:tr2bl w:val="nil"/>
            </w:tcBorders>
            <w:vAlign w:val="center"/>
          </w:tcPr>
          <w:p w14:paraId="36E1BBD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0.0315</w:t>
            </w:r>
          </w:p>
        </w:tc>
        <w:tc>
          <w:tcPr>
            <w:tcW w:w="774" w:type="dxa"/>
            <w:tcBorders>
              <w:top w:val="single" w:color="000000" w:sz="4" w:space="0"/>
              <w:tl2br w:val="nil"/>
              <w:tr2bl w:val="nil"/>
            </w:tcBorders>
            <w:vAlign w:val="center"/>
          </w:tcPr>
          <w:p w14:paraId="54AB9882">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0.01</w:t>
            </w:r>
          </w:p>
        </w:tc>
        <w:tc>
          <w:tcPr>
            <w:tcW w:w="762" w:type="dxa"/>
            <w:tcBorders>
              <w:top w:val="single" w:color="000000" w:sz="4" w:space="0"/>
              <w:tl2br w:val="nil"/>
              <w:tr2bl w:val="nil"/>
            </w:tcBorders>
            <w:vAlign w:val="center"/>
          </w:tcPr>
          <w:p w14:paraId="2A92C05D">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0.0168</w:t>
            </w:r>
          </w:p>
        </w:tc>
        <w:tc>
          <w:tcPr>
            <w:tcW w:w="762" w:type="dxa"/>
            <w:tcBorders>
              <w:top w:val="single" w:color="000000" w:sz="4" w:space="0"/>
              <w:tl2br w:val="nil"/>
              <w:tr2bl w:val="nil"/>
            </w:tcBorders>
            <w:vAlign w:val="center"/>
          </w:tcPr>
          <w:p w14:paraId="0EF4CB6D">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0.01</w:t>
            </w:r>
          </w:p>
        </w:tc>
        <w:tc>
          <w:tcPr>
            <w:tcW w:w="762" w:type="dxa"/>
            <w:tcBorders>
              <w:top w:val="single" w:color="000000" w:sz="4" w:space="0"/>
              <w:tl2br w:val="nil"/>
              <w:tr2bl w:val="nil"/>
            </w:tcBorders>
            <w:vAlign w:val="center"/>
          </w:tcPr>
          <w:p w14:paraId="239A3B31">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0.0373</w:t>
            </w:r>
          </w:p>
        </w:tc>
        <w:tc>
          <w:tcPr>
            <w:tcW w:w="760" w:type="dxa"/>
            <w:tcBorders>
              <w:top w:val="single" w:color="000000" w:sz="4" w:space="0"/>
              <w:tl2br w:val="nil"/>
              <w:tr2bl w:val="nil"/>
            </w:tcBorders>
            <w:vAlign w:val="center"/>
          </w:tcPr>
          <w:p w14:paraId="55C627E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0.02</w:t>
            </w:r>
          </w:p>
        </w:tc>
        <w:tc>
          <w:tcPr>
            <w:tcW w:w="766" w:type="dxa"/>
            <w:tcBorders>
              <w:top w:val="single" w:color="000000" w:sz="4" w:space="0"/>
              <w:tl2br w:val="nil"/>
              <w:tr2bl w:val="nil"/>
            </w:tcBorders>
            <w:vAlign w:val="center"/>
          </w:tcPr>
          <w:p w14:paraId="37C132C4">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0.2892</w:t>
            </w:r>
          </w:p>
        </w:tc>
        <w:tc>
          <w:tcPr>
            <w:tcW w:w="761" w:type="dxa"/>
            <w:tcBorders>
              <w:top w:val="single" w:color="000000" w:sz="4" w:space="0"/>
              <w:tl2br w:val="nil"/>
              <w:tr2bl w:val="nil"/>
            </w:tcBorders>
            <w:vAlign w:val="center"/>
          </w:tcPr>
          <w:p w14:paraId="143DA435">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0.01</w:t>
            </w:r>
          </w:p>
        </w:tc>
        <w:tc>
          <w:tcPr>
            <w:tcW w:w="766" w:type="dxa"/>
            <w:tcBorders>
              <w:top w:val="single" w:color="000000" w:sz="4" w:space="0"/>
              <w:tl2br w:val="nil"/>
              <w:tr2bl w:val="nil"/>
            </w:tcBorders>
            <w:vAlign w:val="center"/>
          </w:tcPr>
          <w:p w14:paraId="77358E63">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0.0037</w:t>
            </w:r>
          </w:p>
        </w:tc>
        <w:tc>
          <w:tcPr>
            <w:tcW w:w="781" w:type="dxa"/>
            <w:tcBorders>
              <w:top w:val="single" w:color="000000" w:sz="4" w:space="0"/>
              <w:tl2br w:val="nil"/>
              <w:tr2bl w:val="nil"/>
            </w:tcBorders>
            <w:vAlign w:val="center"/>
          </w:tcPr>
          <w:p w14:paraId="005A9B37">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w:t>
            </w:r>
          </w:p>
        </w:tc>
      </w:tr>
      <w:tr w14:paraId="20BA36D8">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304" w:hRule="atLeast"/>
          <w:jc w:val="center"/>
        </w:trPr>
        <w:tc>
          <w:tcPr>
            <w:tcW w:w="454" w:type="pct"/>
            <w:tcBorders>
              <w:tl2br w:val="nil"/>
              <w:tr2bl w:val="nil"/>
            </w:tcBorders>
            <w:vAlign w:val="center"/>
          </w:tcPr>
          <w:p w14:paraId="6F1FEEAE">
            <w:pPr>
              <w:jc w:val="center"/>
              <w:rPr>
                <w:rFonts w:ascii="Times New Roman" w:hAnsi="Times New Roman" w:cs="Times New Roman"/>
                <w:color w:val="000000" w:themeColor="text1"/>
                <w:spacing w:val="-11"/>
                <w:szCs w:val="21"/>
                <w14:textFill>
                  <w14:solidFill>
                    <w14:schemeClr w14:val="tx1"/>
                  </w14:solidFill>
                </w14:textFill>
              </w:rPr>
            </w:pPr>
            <w:r>
              <w:rPr>
                <w:rFonts w:ascii="Times New Roman" w:hAnsi="Times New Roman" w:cs="Times New Roman"/>
                <w:bCs/>
                <w:szCs w:val="21"/>
              </w:rPr>
              <w:t>下风向最大质量浓度及占标率/%</w:t>
            </w:r>
          </w:p>
        </w:tc>
        <w:tc>
          <w:tcPr>
            <w:tcW w:w="758" w:type="dxa"/>
            <w:tcBorders>
              <w:tl2br w:val="nil"/>
              <w:tr2bl w:val="nil"/>
            </w:tcBorders>
            <w:vAlign w:val="center"/>
          </w:tcPr>
          <w:p w14:paraId="0F81375C">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2.0769</w:t>
            </w:r>
          </w:p>
        </w:tc>
        <w:tc>
          <w:tcPr>
            <w:tcW w:w="768" w:type="dxa"/>
            <w:tcBorders>
              <w:tl2br w:val="nil"/>
              <w:tr2bl w:val="nil"/>
            </w:tcBorders>
            <w:vAlign w:val="center"/>
          </w:tcPr>
          <w:p w14:paraId="4E944423">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0.46</w:t>
            </w:r>
          </w:p>
        </w:tc>
        <w:tc>
          <w:tcPr>
            <w:tcW w:w="762" w:type="dxa"/>
            <w:tcBorders>
              <w:tl2br w:val="nil"/>
              <w:tr2bl w:val="nil"/>
            </w:tcBorders>
            <w:vAlign w:val="center"/>
          </w:tcPr>
          <w:p w14:paraId="2E01B80A">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1.1097</w:t>
            </w:r>
          </w:p>
        </w:tc>
        <w:tc>
          <w:tcPr>
            <w:tcW w:w="762" w:type="dxa"/>
            <w:tcBorders>
              <w:tl2br w:val="nil"/>
              <w:tr2bl w:val="nil"/>
            </w:tcBorders>
            <w:vAlign w:val="center"/>
          </w:tcPr>
          <w:p w14:paraId="197C47DF">
            <w:pPr>
              <w:jc w:val="center"/>
              <w:rPr>
                <w:rFonts w:hint="eastAsia"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0.55</w:t>
            </w:r>
          </w:p>
        </w:tc>
        <w:tc>
          <w:tcPr>
            <w:tcW w:w="762" w:type="dxa"/>
            <w:tcBorders>
              <w:tl2br w:val="nil"/>
              <w:tr2bl w:val="nil"/>
            </w:tcBorders>
            <w:vAlign w:val="center"/>
          </w:tcPr>
          <w:p w14:paraId="09DB895B">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2.4613</w:t>
            </w:r>
          </w:p>
        </w:tc>
        <w:tc>
          <w:tcPr>
            <w:tcW w:w="760" w:type="dxa"/>
            <w:tcBorders>
              <w:tl2br w:val="nil"/>
              <w:tr2bl w:val="nil"/>
            </w:tcBorders>
            <w:vAlign w:val="center"/>
          </w:tcPr>
          <w:p w14:paraId="15AE2298">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1.23</w:t>
            </w:r>
          </w:p>
        </w:tc>
        <w:tc>
          <w:tcPr>
            <w:tcW w:w="766" w:type="dxa"/>
            <w:tcBorders>
              <w:tl2br w:val="nil"/>
              <w:tr2bl w:val="nil"/>
            </w:tcBorders>
            <w:vAlign w:val="center"/>
          </w:tcPr>
          <w:p w14:paraId="13B186E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19.0796</w:t>
            </w:r>
          </w:p>
        </w:tc>
        <w:tc>
          <w:tcPr>
            <w:tcW w:w="761" w:type="dxa"/>
            <w:tcBorders>
              <w:tl2br w:val="nil"/>
              <w:tr2bl w:val="nil"/>
            </w:tcBorders>
            <w:vAlign w:val="center"/>
          </w:tcPr>
          <w:p w14:paraId="04E4E10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0.95</w:t>
            </w:r>
          </w:p>
        </w:tc>
        <w:tc>
          <w:tcPr>
            <w:tcW w:w="766" w:type="dxa"/>
            <w:tcBorders>
              <w:tl2br w:val="nil"/>
              <w:tr2bl w:val="nil"/>
            </w:tcBorders>
            <w:vAlign w:val="center"/>
          </w:tcPr>
          <w:p w14:paraId="310463CF">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0.2418</w:t>
            </w:r>
          </w:p>
        </w:tc>
        <w:tc>
          <w:tcPr>
            <w:tcW w:w="781" w:type="dxa"/>
            <w:tcBorders>
              <w:tl2br w:val="nil"/>
              <w:tr2bl w:val="nil"/>
            </w:tcBorders>
            <w:vAlign w:val="center"/>
          </w:tcPr>
          <w:p w14:paraId="228E0169">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lang w:val="en-US" w:eastAsia="zh-CN"/>
                <w14:textFill>
                  <w14:solidFill>
                    <w14:schemeClr w14:val="tx1"/>
                  </w14:solidFill>
                </w14:textFill>
              </w:rPr>
              <w:t>0.22</w:t>
            </w:r>
          </w:p>
        </w:tc>
      </w:tr>
      <w:tr w14:paraId="714AA0A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57" w:type="dxa"/>
            <w:left w:w="57" w:type="dxa"/>
            <w:bottom w:w="57" w:type="dxa"/>
            <w:right w:w="57" w:type="dxa"/>
          </w:tblCellMar>
        </w:tblPrEx>
        <w:trPr>
          <w:trHeight w:val="394" w:hRule="atLeast"/>
          <w:jc w:val="center"/>
        </w:trPr>
        <w:tc>
          <w:tcPr>
            <w:tcW w:w="454" w:type="pct"/>
            <w:tcBorders>
              <w:tl2br w:val="nil"/>
              <w:tr2bl w:val="nil"/>
            </w:tcBorders>
            <w:vAlign w:val="center"/>
          </w:tcPr>
          <w:p w14:paraId="6F6EA5E6">
            <w:pPr>
              <w:jc w:val="center"/>
              <w:rPr>
                <w:rFonts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bCs/>
                <w:szCs w:val="21"/>
              </w:rPr>
              <w:t>D10%最远</w:t>
            </w:r>
            <w:r>
              <w:rPr>
                <w:rFonts w:ascii="Times New Roman" w:hAnsi="Times New Roman" w:cs="Times New Roman"/>
                <w:bCs/>
                <w:szCs w:val="21"/>
              </w:rPr>
              <w:t>距离/m</w:t>
            </w:r>
          </w:p>
        </w:tc>
        <w:tc>
          <w:tcPr>
            <w:tcW w:w="906" w:type="pct"/>
            <w:gridSpan w:val="2"/>
            <w:tcBorders>
              <w:tl2br w:val="nil"/>
              <w:tr2bl w:val="nil"/>
            </w:tcBorders>
            <w:vAlign w:val="center"/>
          </w:tcPr>
          <w:p w14:paraId="2D3D2EB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0</w:t>
            </w:r>
          </w:p>
        </w:tc>
        <w:tc>
          <w:tcPr>
            <w:tcW w:w="906" w:type="pct"/>
            <w:gridSpan w:val="2"/>
            <w:tcBorders>
              <w:tl2br w:val="nil"/>
              <w:tr2bl w:val="nil"/>
            </w:tcBorders>
            <w:vAlign w:val="center"/>
          </w:tcPr>
          <w:p w14:paraId="3E57549C">
            <w:pPr>
              <w:widowControl/>
              <w:jc w:val="center"/>
              <w:textAlignment w:val="center"/>
              <w:rPr>
                <w:rFonts w:hint="eastAsia" w:ascii="Times New Roman" w:hAnsi="Times New Roman" w:eastAsia="宋体" w:cs="Times New Roman"/>
                <w:bCs/>
                <w:kern w:val="0"/>
                <w:szCs w:val="21"/>
                <w:lang w:val="en-US" w:eastAsia="zh-CN" w:bidi="ar"/>
              </w:rPr>
            </w:pPr>
            <w:r>
              <w:rPr>
                <w:rFonts w:hint="eastAsia" w:ascii="Times New Roman" w:hAnsi="Times New Roman" w:eastAsia="宋体" w:cs="Times New Roman"/>
                <w:bCs/>
                <w:kern w:val="0"/>
                <w:szCs w:val="21"/>
                <w:lang w:val="en-US" w:eastAsia="zh-CN" w:bidi="ar"/>
              </w:rPr>
              <w:t>0</w:t>
            </w:r>
          </w:p>
        </w:tc>
        <w:tc>
          <w:tcPr>
            <w:tcW w:w="905" w:type="pct"/>
            <w:gridSpan w:val="2"/>
            <w:tcBorders>
              <w:tl2br w:val="nil"/>
              <w:tr2bl w:val="nil"/>
            </w:tcBorders>
            <w:vAlign w:val="center"/>
          </w:tcPr>
          <w:p w14:paraId="6ABEA144">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0</w:t>
            </w:r>
          </w:p>
        </w:tc>
        <w:tc>
          <w:tcPr>
            <w:tcW w:w="907" w:type="pct"/>
            <w:gridSpan w:val="2"/>
            <w:tcBorders>
              <w:tl2br w:val="nil"/>
              <w:tr2bl w:val="nil"/>
            </w:tcBorders>
            <w:vAlign w:val="center"/>
          </w:tcPr>
          <w:p w14:paraId="595443A3">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0</w:t>
            </w:r>
          </w:p>
        </w:tc>
        <w:tc>
          <w:tcPr>
            <w:tcW w:w="919" w:type="pct"/>
            <w:gridSpan w:val="2"/>
            <w:tcBorders>
              <w:tl2br w:val="nil"/>
              <w:tr2bl w:val="nil"/>
            </w:tcBorders>
            <w:vAlign w:val="center"/>
          </w:tcPr>
          <w:p w14:paraId="7660B988">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0</w:t>
            </w:r>
          </w:p>
        </w:tc>
      </w:tr>
    </w:tbl>
    <w:p w14:paraId="021EDDB5">
      <w:pPr>
        <w:pStyle w:val="82"/>
        <w:adjustRightInd w:val="0"/>
        <w:snapToGrid w:val="0"/>
        <w:spacing w:line="360" w:lineRule="auto"/>
        <w:ind w:firstLine="480"/>
        <w:rPr>
          <w:rFonts w:ascii="Times New Roman" w:hAnsi="Times New Roman" w:eastAsia="宋体" w:cs="Times New Roman"/>
        </w:rPr>
      </w:pPr>
      <w:r>
        <w:rPr>
          <w:rFonts w:hint="eastAsia" w:ascii="Times New Roman" w:hAnsi="Times New Roman" w:cs="Times New Roman"/>
        </w:rPr>
        <w:t>由上表可知，</w:t>
      </w:r>
      <w:r>
        <w:rPr>
          <w:rFonts w:ascii="Times New Roman" w:hAnsi="Times New Roman" w:cs="Times New Roman"/>
        </w:rPr>
        <w:t>根据《环境影响评价技术导则 大气环境》（HJ2.2-2018），本项目的大气环境影响评价等级为二级，评价范围为边长5km的矩形</w:t>
      </w:r>
      <w:r>
        <w:rPr>
          <w:rFonts w:hint="eastAsia" w:ascii="Times New Roman" w:hAnsi="Times New Roman" w:cs="Times New Roman"/>
        </w:rPr>
        <w:t>区域</w:t>
      </w:r>
      <w:r>
        <w:rPr>
          <w:rFonts w:ascii="Times New Roman" w:hAnsi="Times New Roman" w:cs="Times New Roman"/>
        </w:rPr>
        <w:t>。</w:t>
      </w:r>
    </w:p>
    <w:p w14:paraId="0BDFE448">
      <w:pPr>
        <w:pStyle w:val="4"/>
        <w:numPr>
          <w:ilvl w:val="2"/>
          <w:numId w:val="58"/>
        </w:numPr>
        <w:adjustRightInd w:val="0"/>
        <w:snapToGrid w:val="0"/>
      </w:pPr>
      <w:r>
        <w:t>大气环境防护距离</w:t>
      </w:r>
    </w:p>
    <w:p w14:paraId="22946EE3">
      <w:pPr>
        <w:widowControl/>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cs="Times New Roman"/>
          <w:color w:val="000000"/>
          <w:sz w:val="24"/>
        </w:rPr>
        <w:t>大气环境防护距离是为保护人群健康，减少正常排放条件下大气污染物对居住区的环境影响，在项目厂界以外设置的环境防护距离。</w:t>
      </w:r>
      <w:r>
        <w:rPr>
          <w:rFonts w:ascii="Times New Roman" w:hAnsi="Times New Roman" w:eastAsia="宋体" w:cs="Times New Roman"/>
          <w:sz w:val="24"/>
        </w:rPr>
        <w:t>按照《环境影响评价技术导则大气环境》（</w:t>
      </w:r>
      <w:r>
        <w:rPr>
          <w:rFonts w:ascii="Times New Roman" w:hAnsi="Times New Roman" w:eastAsia="TimesNewRomanPSMT" w:cs="Times New Roman"/>
          <w:sz w:val="24"/>
        </w:rPr>
        <w:t>HJ2.2-2018</w:t>
      </w:r>
      <w:r>
        <w:rPr>
          <w:rFonts w:ascii="Times New Roman" w:hAnsi="Times New Roman" w:eastAsia="宋体" w:cs="Times New Roman"/>
          <w:sz w:val="24"/>
        </w:rPr>
        <w:t>）中</w:t>
      </w:r>
      <w:r>
        <w:rPr>
          <w:rFonts w:ascii="Times New Roman" w:hAnsi="Times New Roman" w:eastAsia="TimesNewRomanPSMT" w:cs="Times New Roman"/>
          <w:sz w:val="24"/>
        </w:rPr>
        <w:t xml:space="preserve">“8.7.5 </w:t>
      </w:r>
      <w:r>
        <w:rPr>
          <w:rFonts w:ascii="Times New Roman" w:hAnsi="Times New Roman" w:eastAsia="宋体" w:cs="Times New Roman"/>
          <w:sz w:val="24"/>
        </w:rPr>
        <w:t>大气环境防护距离要求</w:t>
      </w:r>
      <w:r>
        <w:rPr>
          <w:rFonts w:ascii="Times New Roman" w:hAnsi="Times New Roman" w:eastAsia="TimesNewRomanPSMT" w:cs="Times New Roman"/>
          <w:sz w:val="24"/>
        </w:rPr>
        <w:t>”</w:t>
      </w:r>
      <w:r>
        <w:rPr>
          <w:rFonts w:ascii="Times New Roman" w:hAnsi="Times New Roman" w:eastAsia="宋体" w:cs="Times New Roman"/>
          <w:sz w:val="24"/>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项目评价等级为二级，无需设置大气环境防护距离</w:t>
      </w:r>
      <w:r>
        <w:rPr>
          <w:rFonts w:ascii="Times New Roman" w:hAnsi="Times New Roman" w:cs="Times New Roman"/>
          <w:sz w:val="24"/>
        </w:rPr>
        <w:t>。</w:t>
      </w:r>
    </w:p>
    <w:p w14:paraId="4ED78AE1">
      <w:pPr>
        <w:pStyle w:val="4"/>
        <w:numPr>
          <w:ilvl w:val="2"/>
          <w:numId w:val="58"/>
        </w:numPr>
        <w:adjustRightInd w:val="0"/>
        <w:snapToGrid w:val="0"/>
      </w:pPr>
      <w:r>
        <w:t>大气环境影响评价结论与建议</w:t>
      </w:r>
    </w:p>
    <w:p w14:paraId="2C167FC2">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本项目有组织及无组织废气均能达标排放，且大气环境评价等级为二级，依据《环境影响评价技术导则</w:t>
      </w:r>
      <w:r>
        <w:rPr>
          <w:rFonts w:hint="eastAsia" w:ascii="Times New Roman" w:hAnsi="Times New Roman" w:cs="Times New Roman"/>
          <w:sz w:val="24"/>
        </w:rPr>
        <w:t xml:space="preserve"> </w:t>
      </w:r>
      <w:r>
        <w:rPr>
          <w:rFonts w:ascii="Times New Roman" w:hAnsi="Times New Roman" w:cs="Times New Roman"/>
          <w:sz w:val="24"/>
        </w:rPr>
        <w:t>大气环境》（HJ/2.2-2018），评价结论为环境影响可接受。</w:t>
      </w:r>
    </w:p>
    <w:p w14:paraId="6A0EEC40">
      <w:pPr>
        <w:autoSpaceDE w:val="0"/>
        <w:autoSpaceDN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本项目污染物排放量核算详见</w:t>
      </w:r>
      <w:r>
        <w:rPr>
          <w:rFonts w:hint="eastAsia" w:ascii="Times New Roman" w:hAnsi="Times New Roman" w:eastAsia="宋体" w:cs="Times New Roman"/>
          <w:sz w:val="24"/>
        </w:rPr>
        <w:t>下</w:t>
      </w:r>
      <w:r>
        <w:rPr>
          <w:rFonts w:ascii="Times New Roman" w:hAnsi="Times New Roman" w:eastAsia="宋体" w:cs="Times New Roman"/>
          <w:sz w:val="24"/>
        </w:rPr>
        <w:t>表。</w:t>
      </w:r>
    </w:p>
    <w:p w14:paraId="36EA0125">
      <w:pPr>
        <w:numPr>
          <w:ilvl w:val="0"/>
          <w:numId w:val="59"/>
        </w:numPr>
        <w:autoSpaceDE w:val="0"/>
        <w:autoSpaceDN w:val="0"/>
        <w:adjustRightInd w:val="0"/>
        <w:snapToGrid w:val="0"/>
        <w:jc w:val="center"/>
        <w:rPr>
          <w:rFonts w:ascii="Times New Roman" w:hAnsi="Times New Roman" w:eastAsia="宋体" w:cs="Times New Roman"/>
          <w:b/>
          <w:szCs w:val="21"/>
          <w:lang w:bidi="ar"/>
        </w:rPr>
      </w:pPr>
      <w:r>
        <w:rPr>
          <w:rFonts w:hint="eastAsia" w:ascii="Times New Roman" w:hAnsi="Times New Roman" w:eastAsia="宋体" w:cs="Times New Roman"/>
          <w:b/>
          <w:szCs w:val="21"/>
          <w:lang w:bidi="ar"/>
        </w:rPr>
        <w:t xml:space="preserve"> </w:t>
      </w:r>
      <w:r>
        <w:rPr>
          <w:rFonts w:ascii="Times New Roman" w:hAnsi="Times New Roman" w:eastAsia="宋体" w:cs="Times New Roman"/>
          <w:b/>
          <w:szCs w:val="21"/>
          <w:lang w:bidi="ar"/>
        </w:rPr>
        <w:t xml:space="preserve"> </w:t>
      </w:r>
      <w:r>
        <w:rPr>
          <w:rFonts w:hint="eastAsia" w:cs="Times New Roman"/>
          <w:b/>
          <w:szCs w:val="21"/>
          <w:lang w:bidi="ar"/>
        </w:rPr>
        <w:t>本项目</w:t>
      </w:r>
      <w:r>
        <w:rPr>
          <w:rFonts w:ascii="Times New Roman" w:hAnsi="Times New Roman" w:eastAsia="宋体" w:cs="Times New Roman"/>
          <w:b/>
          <w:szCs w:val="21"/>
          <w:lang w:bidi="ar"/>
        </w:rPr>
        <w:t>大气污染物有组织排放量核算表</w:t>
      </w:r>
    </w:p>
    <w:tbl>
      <w:tblPr>
        <w:tblStyle w:val="30"/>
        <w:tblW w:w="8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218"/>
        <w:gridCol w:w="1999"/>
        <w:gridCol w:w="1573"/>
        <w:gridCol w:w="1423"/>
        <w:gridCol w:w="1334"/>
      </w:tblGrid>
      <w:tr w14:paraId="3BA3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88" w:type="dxa"/>
            <w:vAlign w:val="center"/>
          </w:tcPr>
          <w:p w14:paraId="779B3082">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序号</w:t>
            </w:r>
          </w:p>
        </w:tc>
        <w:tc>
          <w:tcPr>
            <w:tcW w:w="1218" w:type="dxa"/>
            <w:vAlign w:val="center"/>
          </w:tcPr>
          <w:p w14:paraId="301C27B7">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排放口编号</w:t>
            </w:r>
          </w:p>
        </w:tc>
        <w:tc>
          <w:tcPr>
            <w:tcW w:w="1999" w:type="dxa"/>
            <w:vAlign w:val="center"/>
          </w:tcPr>
          <w:p w14:paraId="333F2961">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污染物</w:t>
            </w:r>
          </w:p>
        </w:tc>
        <w:tc>
          <w:tcPr>
            <w:tcW w:w="1573" w:type="dxa"/>
            <w:vAlign w:val="center"/>
          </w:tcPr>
          <w:p w14:paraId="7EEBB0BF">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核算排放浓度/ （mg/m</w:t>
            </w:r>
            <w:r>
              <w:rPr>
                <w:rFonts w:ascii="Times New Roman" w:hAnsi="Times New Roman" w:eastAsia="宋体" w:cs="Times New Roman"/>
                <w:kern w:val="0"/>
                <w:szCs w:val="21"/>
                <w:vertAlign w:val="superscript"/>
                <w:lang w:bidi="ar"/>
              </w:rPr>
              <w:t>3</w:t>
            </w:r>
            <w:r>
              <w:rPr>
                <w:rFonts w:ascii="Times New Roman" w:hAnsi="Times New Roman" w:eastAsia="宋体" w:cs="Times New Roman"/>
                <w:kern w:val="0"/>
                <w:szCs w:val="21"/>
                <w:lang w:bidi="ar"/>
              </w:rPr>
              <w:t>）</w:t>
            </w:r>
          </w:p>
        </w:tc>
        <w:tc>
          <w:tcPr>
            <w:tcW w:w="1423" w:type="dxa"/>
            <w:vAlign w:val="center"/>
          </w:tcPr>
          <w:p w14:paraId="29FB88A8">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核算排放速率/（kg/h）</w:t>
            </w:r>
          </w:p>
        </w:tc>
        <w:tc>
          <w:tcPr>
            <w:tcW w:w="1334" w:type="dxa"/>
            <w:vAlign w:val="center"/>
          </w:tcPr>
          <w:p w14:paraId="710F057F">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核算年排放量/（t/a）</w:t>
            </w:r>
          </w:p>
        </w:tc>
      </w:tr>
      <w:tr w14:paraId="5CFF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5" w:type="dxa"/>
            <w:gridSpan w:val="6"/>
            <w:vAlign w:val="center"/>
          </w:tcPr>
          <w:p w14:paraId="58976E92">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主要排放口</w:t>
            </w:r>
          </w:p>
        </w:tc>
      </w:tr>
      <w:tr w14:paraId="6692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Merge w:val="restart"/>
            <w:vAlign w:val="center"/>
          </w:tcPr>
          <w:p w14:paraId="7714E2FE">
            <w:pPr>
              <w:widowControl/>
              <w:jc w:val="center"/>
              <w:textAlignment w:val="center"/>
              <w:rPr>
                <w:rFonts w:ascii="Times New Roman" w:hAnsi="Times New Roman" w:eastAsia="宋体" w:cs="Times New Roman"/>
                <w:kern w:val="0"/>
                <w:szCs w:val="21"/>
                <w:lang w:bidi="ar"/>
              </w:rPr>
            </w:pPr>
            <w:r>
              <w:rPr>
                <w:rFonts w:ascii="Times New Roman" w:hAnsi="Times New Roman" w:cs="Times New Roman"/>
                <w:kern w:val="0"/>
                <w:szCs w:val="21"/>
                <w:lang w:bidi="ar"/>
              </w:rPr>
              <w:t>1</w:t>
            </w:r>
          </w:p>
        </w:tc>
        <w:tc>
          <w:tcPr>
            <w:tcW w:w="1218" w:type="dxa"/>
            <w:vMerge w:val="restart"/>
            <w:vAlign w:val="center"/>
          </w:tcPr>
          <w:p w14:paraId="55E151FC">
            <w:pPr>
              <w:widowControl/>
              <w:jc w:val="center"/>
              <w:textAlignment w:val="center"/>
              <w:rPr>
                <w:rFonts w:hint="eastAsia" w:ascii="Times New Roman" w:hAnsi="Times New Roman" w:cs="Times New Roman" w:eastAsiaTheme="minorEastAsia"/>
                <w:kern w:val="0"/>
                <w:szCs w:val="21"/>
                <w:lang w:eastAsia="zh-CN" w:bidi="ar"/>
              </w:rPr>
            </w:pPr>
            <w:r>
              <w:rPr>
                <w:rFonts w:ascii="Times New Roman" w:hAnsi="Times New Roman" w:cs="Times New Roman"/>
                <w:kern w:val="0"/>
                <w:szCs w:val="21"/>
                <w:lang w:bidi="ar"/>
              </w:rPr>
              <w:t>DA00</w:t>
            </w:r>
            <w:r>
              <w:rPr>
                <w:rFonts w:hint="eastAsia" w:ascii="Times New Roman" w:hAnsi="Times New Roman" w:cs="Times New Roman"/>
                <w:kern w:val="0"/>
                <w:szCs w:val="21"/>
                <w:lang w:val="en-US" w:eastAsia="zh-CN" w:bidi="ar"/>
              </w:rPr>
              <w:t>2</w:t>
            </w:r>
          </w:p>
        </w:tc>
        <w:tc>
          <w:tcPr>
            <w:tcW w:w="1999" w:type="dxa"/>
            <w:vAlign w:val="center"/>
          </w:tcPr>
          <w:p w14:paraId="3DA7B4D3">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ascii="Times New Roman" w:hAnsi="Times New Roman" w:cs="Times New Roman"/>
                <w:kern w:val="0"/>
                <w:szCs w:val="21"/>
              </w:rPr>
              <w:t>颗粒物</w:t>
            </w:r>
          </w:p>
        </w:tc>
        <w:tc>
          <w:tcPr>
            <w:tcW w:w="1573" w:type="dxa"/>
            <w:vAlign w:val="center"/>
          </w:tcPr>
          <w:p w14:paraId="3F300CAC">
            <w:pPr>
              <w:adjustRightInd w:val="0"/>
              <w:snapToGrid w:val="0"/>
              <w:spacing w:line="280" w:lineRule="exact"/>
              <w:jc w:val="center"/>
              <w:textAlignment w:val="baseline"/>
              <w:rPr>
                <w:rFonts w:hint="default" w:ascii="Times New Roman" w:hAnsi="Times New Roman" w:eastAsia="宋体" w:cs="Times New Roman"/>
                <w:kern w:val="0"/>
                <w:szCs w:val="21"/>
                <w:lang w:val="en-US" w:bidi="ar"/>
              </w:rPr>
            </w:pPr>
            <w:r>
              <w:rPr>
                <w:rFonts w:hint="eastAsia" w:ascii="Times New Roman" w:hAnsi="Times New Roman" w:eastAsia="宋体" w:cs="Times New Roman"/>
                <w:kern w:val="0"/>
                <w:szCs w:val="21"/>
                <w:lang w:val="en-US" w:eastAsia="zh-CN"/>
              </w:rPr>
              <w:t>1.97</w:t>
            </w:r>
          </w:p>
        </w:tc>
        <w:tc>
          <w:tcPr>
            <w:tcW w:w="1423" w:type="dxa"/>
            <w:vAlign w:val="center"/>
          </w:tcPr>
          <w:p w14:paraId="02C92EF4">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 xml:space="preserve">0.134 </w:t>
            </w:r>
          </w:p>
        </w:tc>
        <w:tc>
          <w:tcPr>
            <w:tcW w:w="1334" w:type="dxa"/>
            <w:vAlign w:val="center"/>
          </w:tcPr>
          <w:p w14:paraId="37187B2E">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val="en-US" w:eastAsia="zh-CN"/>
              </w:rPr>
              <w:t>0.3222</w:t>
            </w:r>
          </w:p>
        </w:tc>
      </w:tr>
      <w:tr w14:paraId="5048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888" w:type="dxa"/>
            <w:vMerge w:val="continue"/>
            <w:vAlign w:val="center"/>
          </w:tcPr>
          <w:p w14:paraId="332141D6">
            <w:pPr>
              <w:widowControl/>
              <w:jc w:val="center"/>
              <w:textAlignment w:val="center"/>
              <w:rPr>
                <w:rFonts w:ascii="Times New Roman" w:hAnsi="Times New Roman" w:cs="Times New Roman"/>
                <w:kern w:val="0"/>
                <w:szCs w:val="21"/>
                <w:lang w:bidi="ar"/>
              </w:rPr>
            </w:pPr>
          </w:p>
        </w:tc>
        <w:tc>
          <w:tcPr>
            <w:tcW w:w="1218" w:type="dxa"/>
            <w:vMerge w:val="continue"/>
            <w:vAlign w:val="center"/>
          </w:tcPr>
          <w:p w14:paraId="421B2E41">
            <w:pPr>
              <w:widowControl/>
              <w:jc w:val="center"/>
              <w:textAlignment w:val="center"/>
              <w:rPr>
                <w:rFonts w:ascii="Times New Roman" w:hAnsi="Times New Roman" w:cs="Times New Roman"/>
                <w:kern w:val="0"/>
                <w:szCs w:val="21"/>
                <w:lang w:bidi="ar"/>
              </w:rPr>
            </w:pPr>
          </w:p>
        </w:tc>
        <w:tc>
          <w:tcPr>
            <w:tcW w:w="1999" w:type="dxa"/>
            <w:vAlign w:val="center"/>
          </w:tcPr>
          <w:p w14:paraId="0607F483">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ascii="Times New Roman" w:hAnsi="Times New Roman" w:cs="Times New Roman"/>
                <w:kern w:val="0"/>
                <w:szCs w:val="21"/>
              </w:rPr>
              <w:t>苯</w:t>
            </w:r>
          </w:p>
        </w:tc>
        <w:tc>
          <w:tcPr>
            <w:tcW w:w="1573" w:type="dxa"/>
            <w:vAlign w:val="center"/>
          </w:tcPr>
          <w:p w14:paraId="3F2DE21C">
            <w:pPr>
              <w:adjustRightInd w:val="0"/>
              <w:snapToGrid w:val="0"/>
              <w:spacing w:line="280" w:lineRule="exact"/>
              <w:jc w:val="center"/>
              <w:textAlignment w:val="baseline"/>
              <w:rPr>
                <w:rFonts w:hint="default" w:ascii="Times New Roman" w:hAnsi="Times New Roman" w:eastAsia="宋体" w:cs="Times New Roman"/>
                <w:kern w:val="0"/>
                <w:szCs w:val="21"/>
                <w:lang w:val="en-US" w:bidi="ar"/>
              </w:rPr>
            </w:pPr>
            <w:r>
              <w:rPr>
                <w:rFonts w:hint="eastAsia" w:ascii="Times New Roman" w:hAnsi="Times New Roman" w:cs="Times New Roman"/>
                <w:kern w:val="0"/>
                <w:szCs w:val="21"/>
                <w:lang w:val="en-US" w:eastAsia="zh-CN"/>
              </w:rPr>
              <w:t>0.23</w:t>
            </w:r>
          </w:p>
        </w:tc>
        <w:tc>
          <w:tcPr>
            <w:tcW w:w="1423" w:type="dxa"/>
            <w:vAlign w:val="center"/>
          </w:tcPr>
          <w:p w14:paraId="05E4D531">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0.0156</w:t>
            </w:r>
          </w:p>
        </w:tc>
        <w:tc>
          <w:tcPr>
            <w:tcW w:w="1334" w:type="dxa"/>
            <w:vAlign w:val="center"/>
          </w:tcPr>
          <w:p w14:paraId="68F3A4E2">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0.0135</w:t>
            </w:r>
          </w:p>
        </w:tc>
      </w:tr>
      <w:tr w14:paraId="59CE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88" w:type="dxa"/>
            <w:vMerge w:val="continue"/>
            <w:vAlign w:val="center"/>
          </w:tcPr>
          <w:p w14:paraId="5C620365">
            <w:pPr>
              <w:widowControl/>
              <w:jc w:val="center"/>
              <w:textAlignment w:val="center"/>
              <w:rPr>
                <w:rFonts w:ascii="Times New Roman" w:hAnsi="Times New Roman" w:cs="Times New Roman"/>
                <w:kern w:val="0"/>
                <w:szCs w:val="21"/>
                <w:lang w:bidi="ar"/>
              </w:rPr>
            </w:pPr>
          </w:p>
        </w:tc>
        <w:tc>
          <w:tcPr>
            <w:tcW w:w="1218" w:type="dxa"/>
            <w:vMerge w:val="continue"/>
            <w:vAlign w:val="center"/>
          </w:tcPr>
          <w:p w14:paraId="05B0DCEE">
            <w:pPr>
              <w:widowControl/>
              <w:jc w:val="center"/>
              <w:textAlignment w:val="center"/>
              <w:rPr>
                <w:rFonts w:ascii="Times New Roman" w:hAnsi="Times New Roman" w:cs="Times New Roman"/>
                <w:kern w:val="0"/>
                <w:szCs w:val="21"/>
                <w:lang w:bidi="ar"/>
              </w:rPr>
            </w:pPr>
          </w:p>
        </w:tc>
        <w:tc>
          <w:tcPr>
            <w:tcW w:w="1999" w:type="dxa"/>
            <w:vAlign w:val="center"/>
          </w:tcPr>
          <w:p w14:paraId="1C8C3B84">
            <w:pPr>
              <w:adjustRightInd w:val="0"/>
              <w:snapToGrid w:val="0"/>
              <w:spacing w:line="280" w:lineRule="exact"/>
              <w:jc w:val="center"/>
              <w:textAlignment w:val="baseline"/>
              <w:rPr>
                <w:rFonts w:ascii="Times New Roman" w:hAnsi="Times New Roman" w:cs="Times New Roman"/>
                <w:kern w:val="0"/>
                <w:szCs w:val="21"/>
              </w:rPr>
            </w:pPr>
            <w:r>
              <w:rPr>
                <w:rFonts w:ascii="Times New Roman" w:hAnsi="Times New Roman" w:cs="Times New Roman"/>
                <w:kern w:val="0"/>
                <w:szCs w:val="21"/>
              </w:rPr>
              <w:t>甲苯</w:t>
            </w:r>
          </w:p>
        </w:tc>
        <w:tc>
          <w:tcPr>
            <w:tcW w:w="1573" w:type="dxa"/>
            <w:vAlign w:val="center"/>
          </w:tcPr>
          <w:p w14:paraId="3F2D2DC6">
            <w:pPr>
              <w:adjustRightInd w:val="0"/>
              <w:snapToGrid w:val="0"/>
              <w:spacing w:line="280" w:lineRule="exact"/>
              <w:jc w:val="center"/>
              <w:textAlignment w:val="baseline"/>
              <w:rPr>
                <w:rFonts w:hint="default" w:ascii="Times New Roman" w:hAnsi="Times New Roman" w:eastAsia="宋体" w:cs="Times New Roman"/>
                <w:kern w:val="0"/>
                <w:szCs w:val="21"/>
                <w:lang w:val="en-US"/>
              </w:rPr>
            </w:pPr>
            <w:r>
              <w:rPr>
                <w:rFonts w:hint="eastAsia" w:ascii="Times New Roman" w:hAnsi="Times New Roman" w:cs="Times New Roman"/>
                <w:kern w:val="0"/>
                <w:szCs w:val="21"/>
                <w:lang w:val="en-US" w:eastAsia="zh-CN"/>
              </w:rPr>
              <w:t>1.05</w:t>
            </w:r>
          </w:p>
        </w:tc>
        <w:tc>
          <w:tcPr>
            <w:tcW w:w="1423" w:type="dxa"/>
            <w:vAlign w:val="center"/>
          </w:tcPr>
          <w:p w14:paraId="4E122372">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0.0716</w:t>
            </w:r>
          </w:p>
        </w:tc>
        <w:tc>
          <w:tcPr>
            <w:tcW w:w="1334" w:type="dxa"/>
            <w:vAlign w:val="center"/>
          </w:tcPr>
          <w:p w14:paraId="4D74E10D">
            <w:pPr>
              <w:adjustRightInd w:val="0"/>
              <w:snapToGrid w:val="0"/>
              <w:spacing w:line="280" w:lineRule="exact"/>
              <w:jc w:val="center"/>
              <w:textAlignment w:val="baseline"/>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0.0608</w:t>
            </w:r>
          </w:p>
        </w:tc>
      </w:tr>
      <w:tr w14:paraId="6768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Merge w:val="continue"/>
            <w:vAlign w:val="center"/>
          </w:tcPr>
          <w:p w14:paraId="443C89AE">
            <w:pPr>
              <w:widowControl/>
              <w:jc w:val="center"/>
              <w:textAlignment w:val="center"/>
              <w:rPr>
                <w:rFonts w:ascii="Times New Roman" w:hAnsi="Times New Roman" w:cs="Times New Roman"/>
                <w:kern w:val="0"/>
                <w:szCs w:val="21"/>
                <w:lang w:bidi="ar"/>
              </w:rPr>
            </w:pPr>
          </w:p>
        </w:tc>
        <w:tc>
          <w:tcPr>
            <w:tcW w:w="1218" w:type="dxa"/>
            <w:vMerge w:val="continue"/>
            <w:vAlign w:val="center"/>
          </w:tcPr>
          <w:p w14:paraId="21AAB4DC">
            <w:pPr>
              <w:widowControl/>
              <w:jc w:val="center"/>
              <w:textAlignment w:val="center"/>
              <w:rPr>
                <w:rFonts w:ascii="Times New Roman" w:hAnsi="Times New Roman" w:cs="Times New Roman"/>
                <w:kern w:val="0"/>
                <w:szCs w:val="21"/>
                <w:lang w:bidi="ar"/>
              </w:rPr>
            </w:pPr>
          </w:p>
        </w:tc>
        <w:tc>
          <w:tcPr>
            <w:tcW w:w="1999" w:type="dxa"/>
            <w:tcBorders>
              <w:bottom w:val="single" w:color="000000" w:sz="4" w:space="0"/>
            </w:tcBorders>
            <w:vAlign w:val="center"/>
          </w:tcPr>
          <w:p w14:paraId="6518749D">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ascii="Times New Roman" w:hAnsi="Times New Roman" w:cs="Times New Roman"/>
                <w:kern w:val="0"/>
                <w:szCs w:val="21"/>
              </w:rPr>
              <w:t>二甲苯</w:t>
            </w:r>
          </w:p>
        </w:tc>
        <w:tc>
          <w:tcPr>
            <w:tcW w:w="1573" w:type="dxa"/>
            <w:vAlign w:val="center"/>
          </w:tcPr>
          <w:p w14:paraId="44710CD0">
            <w:pPr>
              <w:adjustRightInd w:val="0"/>
              <w:snapToGrid w:val="0"/>
              <w:spacing w:line="280" w:lineRule="exact"/>
              <w:jc w:val="center"/>
              <w:textAlignment w:val="baseline"/>
              <w:rPr>
                <w:rFonts w:hint="default" w:ascii="Times New Roman" w:hAnsi="Times New Roman" w:eastAsia="宋体" w:cs="Times New Roman"/>
                <w:color w:val="auto"/>
                <w:kern w:val="0"/>
                <w:szCs w:val="21"/>
                <w:lang w:val="en-US" w:bidi="ar"/>
              </w:rPr>
            </w:pPr>
            <w:r>
              <w:rPr>
                <w:rFonts w:hint="eastAsia" w:ascii="Times New Roman" w:hAnsi="Times New Roman" w:cs="Times New Roman"/>
                <w:kern w:val="0"/>
                <w:szCs w:val="21"/>
                <w:lang w:val="en-US" w:eastAsia="zh-CN"/>
              </w:rPr>
              <w:t>2.34</w:t>
            </w:r>
          </w:p>
        </w:tc>
        <w:tc>
          <w:tcPr>
            <w:tcW w:w="1423" w:type="dxa"/>
            <w:vAlign w:val="center"/>
          </w:tcPr>
          <w:p w14:paraId="5D332D05">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0.1588</w:t>
            </w:r>
          </w:p>
        </w:tc>
        <w:tc>
          <w:tcPr>
            <w:tcW w:w="1334" w:type="dxa"/>
            <w:vAlign w:val="center"/>
          </w:tcPr>
          <w:p w14:paraId="14C76214">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0.1351</w:t>
            </w:r>
          </w:p>
        </w:tc>
      </w:tr>
      <w:tr w14:paraId="7ABF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Merge w:val="continue"/>
            <w:vAlign w:val="center"/>
          </w:tcPr>
          <w:p w14:paraId="1CCA97E1">
            <w:pPr>
              <w:widowControl/>
              <w:jc w:val="center"/>
              <w:textAlignment w:val="center"/>
              <w:rPr>
                <w:rFonts w:ascii="Times New Roman" w:hAnsi="Times New Roman" w:cs="Times New Roman"/>
                <w:kern w:val="0"/>
                <w:szCs w:val="21"/>
                <w:lang w:bidi="ar"/>
              </w:rPr>
            </w:pPr>
          </w:p>
        </w:tc>
        <w:tc>
          <w:tcPr>
            <w:tcW w:w="1218" w:type="dxa"/>
            <w:vMerge w:val="continue"/>
            <w:tcBorders>
              <w:bottom w:val="single" w:color="000000" w:sz="4" w:space="0"/>
            </w:tcBorders>
            <w:vAlign w:val="center"/>
          </w:tcPr>
          <w:p w14:paraId="5C61BD8E">
            <w:pPr>
              <w:widowControl/>
              <w:jc w:val="center"/>
              <w:textAlignment w:val="center"/>
              <w:rPr>
                <w:rFonts w:ascii="Times New Roman" w:hAnsi="Times New Roman" w:cs="Times New Roman"/>
                <w:kern w:val="0"/>
                <w:szCs w:val="21"/>
                <w:lang w:bidi="ar"/>
              </w:rPr>
            </w:pPr>
          </w:p>
        </w:tc>
        <w:tc>
          <w:tcPr>
            <w:tcW w:w="1999" w:type="dxa"/>
            <w:tcBorders>
              <w:top w:val="single" w:color="000000" w:sz="4" w:space="0"/>
              <w:bottom w:val="single" w:color="000000" w:sz="4" w:space="0"/>
            </w:tcBorders>
            <w:vAlign w:val="center"/>
          </w:tcPr>
          <w:p w14:paraId="79A9D9BB">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ascii="Times New Roman" w:hAnsi="Times New Roman" w:cs="Times New Roman"/>
                <w:kern w:val="0"/>
                <w:szCs w:val="21"/>
              </w:rPr>
              <w:t>非甲烷总烃</w:t>
            </w:r>
          </w:p>
        </w:tc>
        <w:tc>
          <w:tcPr>
            <w:tcW w:w="1573" w:type="dxa"/>
            <w:vAlign w:val="center"/>
          </w:tcPr>
          <w:p w14:paraId="731D4CB5">
            <w:pPr>
              <w:adjustRightInd w:val="0"/>
              <w:snapToGrid w:val="0"/>
              <w:spacing w:line="280" w:lineRule="exact"/>
              <w:jc w:val="center"/>
              <w:textAlignment w:val="baseline"/>
              <w:rPr>
                <w:rFonts w:hint="default" w:ascii="Times New Roman" w:hAnsi="Times New Roman" w:eastAsia="宋体" w:cs="Times New Roman"/>
                <w:color w:val="auto"/>
                <w:kern w:val="0"/>
                <w:szCs w:val="21"/>
                <w:lang w:val="en-US" w:bidi="ar"/>
              </w:rPr>
            </w:pPr>
            <w:r>
              <w:rPr>
                <w:rFonts w:hint="eastAsia" w:ascii="Times New Roman" w:hAnsi="Times New Roman" w:cs="Times New Roman"/>
                <w:kern w:val="0"/>
                <w:szCs w:val="21"/>
                <w:lang w:val="en-US" w:eastAsia="zh-CN"/>
              </w:rPr>
              <w:t>19.88</w:t>
            </w:r>
          </w:p>
        </w:tc>
        <w:tc>
          <w:tcPr>
            <w:tcW w:w="1423" w:type="dxa"/>
            <w:vAlign w:val="center"/>
          </w:tcPr>
          <w:p w14:paraId="5CA3AA99">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1.352</w:t>
            </w:r>
          </w:p>
        </w:tc>
        <w:tc>
          <w:tcPr>
            <w:tcW w:w="1334" w:type="dxa"/>
            <w:vAlign w:val="center"/>
          </w:tcPr>
          <w:p w14:paraId="1EA7C0D4">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1.1473</w:t>
            </w:r>
          </w:p>
        </w:tc>
      </w:tr>
      <w:tr w14:paraId="1209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6" w:type="dxa"/>
            <w:gridSpan w:val="2"/>
            <w:vMerge w:val="restart"/>
            <w:vAlign w:val="center"/>
          </w:tcPr>
          <w:p w14:paraId="167BFDB5">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主要排放口合计</w:t>
            </w:r>
          </w:p>
        </w:tc>
        <w:tc>
          <w:tcPr>
            <w:tcW w:w="4995" w:type="dxa"/>
            <w:gridSpan w:val="3"/>
            <w:vAlign w:val="center"/>
          </w:tcPr>
          <w:p w14:paraId="1A7D41A7">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ascii="Times New Roman" w:hAnsi="Times New Roman" w:cs="Times New Roman"/>
                <w:color w:val="auto"/>
                <w:kern w:val="0"/>
                <w:szCs w:val="21"/>
              </w:rPr>
              <w:t>颗粒物</w:t>
            </w:r>
          </w:p>
        </w:tc>
        <w:tc>
          <w:tcPr>
            <w:tcW w:w="1334" w:type="dxa"/>
            <w:vAlign w:val="center"/>
          </w:tcPr>
          <w:p w14:paraId="35E64032">
            <w:pPr>
              <w:adjustRightInd w:val="0"/>
              <w:snapToGrid w:val="0"/>
              <w:spacing w:line="280" w:lineRule="exact"/>
              <w:jc w:val="center"/>
              <w:textAlignment w:val="baseline"/>
              <w:rPr>
                <w:rFonts w:ascii="Times New Roman" w:hAnsi="Times New Roman" w:cs="Times New Roman"/>
                <w:color w:val="auto"/>
                <w:kern w:val="0"/>
                <w:szCs w:val="21"/>
              </w:rPr>
            </w:pPr>
            <w:r>
              <w:rPr>
                <w:rFonts w:hint="eastAsia" w:ascii="Times New Roman" w:hAnsi="Times New Roman" w:eastAsia="宋体" w:cs="Times New Roman"/>
                <w:kern w:val="0"/>
                <w:szCs w:val="21"/>
                <w:lang w:val="en-US" w:eastAsia="zh-CN"/>
              </w:rPr>
              <w:t>0.3222</w:t>
            </w:r>
          </w:p>
        </w:tc>
      </w:tr>
      <w:tr w14:paraId="468C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106" w:type="dxa"/>
            <w:gridSpan w:val="2"/>
            <w:vMerge w:val="continue"/>
            <w:vAlign w:val="center"/>
          </w:tcPr>
          <w:p w14:paraId="308E26D6">
            <w:pPr>
              <w:widowControl/>
              <w:jc w:val="center"/>
              <w:textAlignment w:val="center"/>
              <w:rPr>
                <w:rFonts w:ascii="Times New Roman" w:hAnsi="Times New Roman" w:eastAsia="宋体" w:cs="Times New Roman"/>
                <w:kern w:val="0"/>
                <w:szCs w:val="21"/>
                <w:lang w:bidi="ar"/>
              </w:rPr>
            </w:pPr>
          </w:p>
        </w:tc>
        <w:tc>
          <w:tcPr>
            <w:tcW w:w="4995" w:type="dxa"/>
            <w:gridSpan w:val="3"/>
            <w:vAlign w:val="center"/>
          </w:tcPr>
          <w:p w14:paraId="6D4684A8">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ascii="Times New Roman" w:hAnsi="Times New Roman" w:cs="Times New Roman"/>
                <w:color w:val="auto"/>
                <w:kern w:val="0"/>
                <w:szCs w:val="21"/>
              </w:rPr>
              <w:t>苯</w:t>
            </w:r>
          </w:p>
        </w:tc>
        <w:tc>
          <w:tcPr>
            <w:tcW w:w="1334" w:type="dxa"/>
            <w:vAlign w:val="center"/>
          </w:tcPr>
          <w:p w14:paraId="06A5D925">
            <w:pPr>
              <w:adjustRightInd w:val="0"/>
              <w:snapToGrid w:val="0"/>
              <w:spacing w:line="280" w:lineRule="exact"/>
              <w:jc w:val="center"/>
              <w:textAlignment w:val="baseline"/>
              <w:rPr>
                <w:rFonts w:ascii="Times New Roman" w:hAnsi="Times New Roman" w:cs="Times New Roman"/>
                <w:color w:val="auto"/>
                <w:kern w:val="0"/>
                <w:szCs w:val="21"/>
              </w:rPr>
            </w:pPr>
            <w:r>
              <w:rPr>
                <w:rFonts w:hint="eastAsia" w:ascii="Times New Roman" w:hAnsi="Times New Roman" w:cs="Times New Roman"/>
                <w:kern w:val="0"/>
                <w:szCs w:val="21"/>
                <w:lang w:val="en-US" w:eastAsia="zh-CN"/>
              </w:rPr>
              <w:t>0.0135</w:t>
            </w:r>
          </w:p>
        </w:tc>
      </w:tr>
      <w:tr w14:paraId="3A4A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106" w:type="dxa"/>
            <w:gridSpan w:val="2"/>
            <w:vMerge w:val="continue"/>
            <w:vAlign w:val="center"/>
          </w:tcPr>
          <w:p w14:paraId="5A195CA5">
            <w:pPr>
              <w:widowControl/>
              <w:jc w:val="center"/>
              <w:textAlignment w:val="center"/>
              <w:rPr>
                <w:rFonts w:ascii="Times New Roman" w:hAnsi="Times New Roman" w:eastAsia="宋体" w:cs="Times New Roman"/>
                <w:kern w:val="0"/>
                <w:szCs w:val="21"/>
                <w:lang w:bidi="ar"/>
              </w:rPr>
            </w:pPr>
          </w:p>
        </w:tc>
        <w:tc>
          <w:tcPr>
            <w:tcW w:w="4995" w:type="dxa"/>
            <w:gridSpan w:val="3"/>
            <w:vAlign w:val="center"/>
          </w:tcPr>
          <w:p w14:paraId="627231F6">
            <w:pPr>
              <w:adjustRightInd w:val="0"/>
              <w:snapToGrid w:val="0"/>
              <w:spacing w:line="280" w:lineRule="exact"/>
              <w:jc w:val="center"/>
              <w:textAlignment w:val="baseline"/>
              <w:rPr>
                <w:rFonts w:ascii="Times New Roman" w:hAnsi="Times New Roman" w:cs="Times New Roman"/>
                <w:color w:val="auto"/>
                <w:kern w:val="0"/>
                <w:szCs w:val="21"/>
              </w:rPr>
            </w:pPr>
            <w:r>
              <w:rPr>
                <w:rFonts w:ascii="Times New Roman" w:hAnsi="Times New Roman" w:cs="Times New Roman"/>
                <w:color w:val="auto"/>
                <w:kern w:val="0"/>
                <w:szCs w:val="21"/>
              </w:rPr>
              <w:t>甲苯</w:t>
            </w:r>
          </w:p>
        </w:tc>
        <w:tc>
          <w:tcPr>
            <w:tcW w:w="1334" w:type="dxa"/>
            <w:vAlign w:val="center"/>
          </w:tcPr>
          <w:p w14:paraId="1107B31C">
            <w:pPr>
              <w:adjustRightInd w:val="0"/>
              <w:snapToGrid w:val="0"/>
              <w:spacing w:line="280" w:lineRule="exact"/>
              <w:jc w:val="center"/>
              <w:textAlignment w:val="baseline"/>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0.0608</w:t>
            </w:r>
          </w:p>
        </w:tc>
      </w:tr>
      <w:tr w14:paraId="2941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6" w:type="dxa"/>
            <w:gridSpan w:val="2"/>
            <w:vMerge w:val="continue"/>
            <w:vAlign w:val="center"/>
          </w:tcPr>
          <w:p w14:paraId="5C44FC6F">
            <w:pPr>
              <w:widowControl/>
              <w:jc w:val="center"/>
              <w:textAlignment w:val="center"/>
              <w:rPr>
                <w:rFonts w:ascii="Times New Roman" w:hAnsi="Times New Roman" w:eastAsia="宋体" w:cs="Times New Roman"/>
                <w:kern w:val="0"/>
                <w:szCs w:val="21"/>
                <w:lang w:bidi="ar"/>
              </w:rPr>
            </w:pPr>
          </w:p>
        </w:tc>
        <w:tc>
          <w:tcPr>
            <w:tcW w:w="4995" w:type="dxa"/>
            <w:gridSpan w:val="3"/>
            <w:vAlign w:val="center"/>
          </w:tcPr>
          <w:p w14:paraId="6B7143D1">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ascii="Times New Roman" w:hAnsi="Times New Roman" w:cs="Times New Roman"/>
                <w:color w:val="auto"/>
                <w:kern w:val="0"/>
                <w:szCs w:val="21"/>
              </w:rPr>
              <w:t>二甲苯</w:t>
            </w:r>
          </w:p>
        </w:tc>
        <w:tc>
          <w:tcPr>
            <w:tcW w:w="1334" w:type="dxa"/>
            <w:vAlign w:val="center"/>
          </w:tcPr>
          <w:p w14:paraId="04FFDEFB">
            <w:pPr>
              <w:adjustRightInd w:val="0"/>
              <w:snapToGrid w:val="0"/>
              <w:spacing w:line="280" w:lineRule="exact"/>
              <w:jc w:val="center"/>
              <w:textAlignment w:val="baseline"/>
              <w:rPr>
                <w:rFonts w:ascii="Times New Roman" w:hAnsi="Times New Roman" w:cs="Times New Roman"/>
                <w:color w:val="auto"/>
                <w:kern w:val="0"/>
                <w:szCs w:val="21"/>
              </w:rPr>
            </w:pPr>
            <w:r>
              <w:rPr>
                <w:rFonts w:hint="eastAsia" w:ascii="Times New Roman" w:hAnsi="Times New Roman" w:cs="Times New Roman"/>
                <w:kern w:val="0"/>
                <w:szCs w:val="21"/>
                <w:lang w:val="en-US" w:eastAsia="zh-CN"/>
              </w:rPr>
              <w:t>0.1351</w:t>
            </w:r>
          </w:p>
        </w:tc>
      </w:tr>
      <w:tr w14:paraId="06B0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6" w:type="dxa"/>
            <w:gridSpan w:val="2"/>
            <w:vMerge w:val="continue"/>
            <w:vAlign w:val="center"/>
          </w:tcPr>
          <w:p w14:paraId="4A242621">
            <w:pPr>
              <w:widowControl/>
              <w:jc w:val="center"/>
              <w:textAlignment w:val="center"/>
              <w:rPr>
                <w:rFonts w:ascii="Times New Roman" w:hAnsi="Times New Roman" w:eastAsia="宋体" w:cs="Times New Roman"/>
                <w:kern w:val="0"/>
                <w:szCs w:val="21"/>
                <w:lang w:bidi="ar"/>
              </w:rPr>
            </w:pPr>
          </w:p>
        </w:tc>
        <w:tc>
          <w:tcPr>
            <w:tcW w:w="4995" w:type="dxa"/>
            <w:gridSpan w:val="3"/>
            <w:vAlign w:val="center"/>
          </w:tcPr>
          <w:p w14:paraId="514DD21A">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ascii="Times New Roman" w:hAnsi="Times New Roman" w:cs="Times New Roman"/>
                <w:color w:val="auto"/>
                <w:kern w:val="0"/>
                <w:szCs w:val="21"/>
              </w:rPr>
              <w:t>非甲烷总烃</w:t>
            </w:r>
          </w:p>
        </w:tc>
        <w:tc>
          <w:tcPr>
            <w:tcW w:w="1334" w:type="dxa"/>
            <w:vAlign w:val="center"/>
          </w:tcPr>
          <w:p w14:paraId="3D5E39C8">
            <w:pPr>
              <w:adjustRightInd w:val="0"/>
              <w:snapToGrid w:val="0"/>
              <w:spacing w:line="280" w:lineRule="exact"/>
              <w:jc w:val="center"/>
              <w:textAlignment w:val="baseline"/>
              <w:rPr>
                <w:rFonts w:ascii="Times New Roman" w:hAnsi="Times New Roman" w:cs="Times New Roman"/>
                <w:color w:val="auto"/>
                <w:kern w:val="0"/>
                <w:szCs w:val="21"/>
              </w:rPr>
            </w:pPr>
            <w:r>
              <w:rPr>
                <w:rFonts w:hint="eastAsia" w:ascii="Times New Roman" w:hAnsi="Times New Roman" w:cs="Times New Roman"/>
                <w:kern w:val="0"/>
                <w:szCs w:val="21"/>
                <w:lang w:val="en-US" w:eastAsia="zh-CN"/>
              </w:rPr>
              <w:t>1.1473</w:t>
            </w:r>
          </w:p>
        </w:tc>
      </w:tr>
      <w:tr w14:paraId="7049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5" w:type="dxa"/>
            <w:gridSpan w:val="6"/>
            <w:vAlign w:val="center"/>
          </w:tcPr>
          <w:p w14:paraId="1E455FF9">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一般排放口</w:t>
            </w:r>
          </w:p>
        </w:tc>
      </w:tr>
      <w:tr w14:paraId="5388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88" w:type="dxa"/>
            <w:vAlign w:val="center"/>
          </w:tcPr>
          <w:p w14:paraId="13D62985">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w:t>
            </w:r>
          </w:p>
        </w:tc>
        <w:tc>
          <w:tcPr>
            <w:tcW w:w="1218" w:type="dxa"/>
            <w:vAlign w:val="center"/>
          </w:tcPr>
          <w:p w14:paraId="4DFAE3FC">
            <w:pPr>
              <w:widowControl/>
              <w:jc w:val="center"/>
              <w:textAlignment w:val="center"/>
              <w:rPr>
                <w:rFonts w:ascii="Times New Roman" w:hAnsi="Times New Roman" w:eastAsia="宋体" w:cs="Times New Roman"/>
                <w:szCs w:val="21"/>
              </w:rPr>
            </w:pPr>
            <w:r>
              <w:rPr>
                <w:rFonts w:ascii="Times New Roman" w:hAnsi="Times New Roman" w:cs="Times New Roman"/>
                <w:kern w:val="0"/>
                <w:szCs w:val="21"/>
                <w:lang w:bidi="ar"/>
              </w:rPr>
              <w:t>DA001</w:t>
            </w:r>
          </w:p>
        </w:tc>
        <w:tc>
          <w:tcPr>
            <w:tcW w:w="1999" w:type="dxa"/>
            <w:vAlign w:val="center"/>
          </w:tcPr>
          <w:p w14:paraId="6B966524">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颗粒物</w:t>
            </w:r>
          </w:p>
        </w:tc>
        <w:tc>
          <w:tcPr>
            <w:tcW w:w="1573" w:type="dxa"/>
            <w:vAlign w:val="center"/>
          </w:tcPr>
          <w:p w14:paraId="625E5E0B">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kern w:val="0"/>
                <w:szCs w:val="21"/>
                <w:highlight w:val="none"/>
                <w:lang w:val="en-US" w:eastAsia="zh-CN" w:bidi="ar"/>
              </w:rPr>
              <w:t>0.52</w:t>
            </w:r>
          </w:p>
        </w:tc>
        <w:tc>
          <w:tcPr>
            <w:tcW w:w="1423" w:type="dxa"/>
            <w:vAlign w:val="center"/>
          </w:tcPr>
          <w:p w14:paraId="11BAC884">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kern w:val="0"/>
                <w:szCs w:val="21"/>
                <w:highlight w:val="none"/>
                <w:lang w:bidi="ar"/>
              </w:rPr>
              <w:t>0.0</w:t>
            </w:r>
            <w:r>
              <w:rPr>
                <w:rFonts w:hint="eastAsia" w:ascii="Times New Roman" w:hAnsi="Times New Roman" w:eastAsia="宋体" w:cs="Times New Roman"/>
                <w:kern w:val="0"/>
                <w:szCs w:val="21"/>
                <w:highlight w:val="none"/>
                <w:lang w:val="en-US" w:eastAsia="zh-CN" w:bidi="ar"/>
              </w:rPr>
              <w:t>11</w:t>
            </w:r>
          </w:p>
        </w:tc>
        <w:tc>
          <w:tcPr>
            <w:tcW w:w="1334" w:type="dxa"/>
            <w:vAlign w:val="center"/>
          </w:tcPr>
          <w:p w14:paraId="3DADE400">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kern w:val="0"/>
                <w:szCs w:val="21"/>
                <w:highlight w:val="none"/>
                <w:lang w:bidi="ar"/>
              </w:rPr>
              <w:t>0.</w:t>
            </w:r>
            <w:r>
              <w:rPr>
                <w:rFonts w:hint="eastAsia" w:ascii="Times New Roman" w:hAnsi="Times New Roman" w:eastAsia="宋体" w:cs="Times New Roman"/>
                <w:kern w:val="0"/>
                <w:szCs w:val="21"/>
                <w:highlight w:val="none"/>
                <w:lang w:val="en-US" w:eastAsia="zh-CN" w:bidi="ar"/>
              </w:rPr>
              <w:t>026</w:t>
            </w:r>
          </w:p>
        </w:tc>
      </w:tr>
      <w:tr w14:paraId="1E62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6" w:type="dxa"/>
            <w:gridSpan w:val="2"/>
            <w:vAlign w:val="center"/>
          </w:tcPr>
          <w:p w14:paraId="46498EA0">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一般排放口合计</w:t>
            </w:r>
          </w:p>
        </w:tc>
        <w:tc>
          <w:tcPr>
            <w:tcW w:w="4995" w:type="dxa"/>
            <w:gridSpan w:val="3"/>
            <w:vAlign w:val="center"/>
          </w:tcPr>
          <w:p w14:paraId="2CBA468F">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颗粒物</w:t>
            </w:r>
          </w:p>
        </w:tc>
        <w:tc>
          <w:tcPr>
            <w:tcW w:w="1334" w:type="dxa"/>
            <w:vAlign w:val="center"/>
          </w:tcPr>
          <w:p w14:paraId="5B54E5FD">
            <w:pPr>
              <w:widowControl/>
              <w:jc w:val="center"/>
              <w:textAlignment w:val="center"/>
              <w:rPr>
                <w:rFonts w:hint="default" w:ascii="Times New Roman" w:hAnsi="Times New Roman" w:cs="Times New Roman" w:eastAsiaTheme="minorEastAsia"/>
                <w:szCs w:val="21"/>
                <w:lang w:val="en-US" w:eastAsia="zh-CN"/>
              </w:rPr>
            </w:pPr>
            <w:r>
              <w:rPr>
                <w:rFonts w:ascii="Times New Roman" w:hAnsi="Times New Roman" w:cs="Times New Roman"/>
                <w:szCs w:val="21"/>
              </w:rPr>
              <w:t>0.0</w:t>
            </w:r>
            <w:r>
              <w:rPr>
                <w:rFonts w:hint="eastAsia" w:ascii="Times New Roman" w:hAnsi="Times New Roman" w:cs="Times New Roman"/>
                <w:szCs w:val="21"/>
                <w:lang w:val="en-US" w:eastAsia="zh-CN"/>
              </w:rPr>
              <w:t>26</w:t>
            </w:r>
          </w:p>
        </w:tc>
      </w:tr>
      <w:tr w14:paraId="55B3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5" w:type="dxa"/>
            <w:gridSpan w:val="6"/>
            <w:vAlign w:val="center"/>
          </w:tcPr>
          <w:p w14:paraId="59B46540">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有组织排放</w:t>
            </w:r>
          </w:p>
        </w:tc>
      </w:tr>
      <w:tr w14:paraId="404D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106" w:type="dxa"/>
            <w:gridSpan w:val="2"/>
            <w:vMerge w:val="restart"/>
            <w:vAlign w:val="center"/>
          </w:tcPr>
          <w:p w14:paraId="2202E629">
            <w:pPr>
              <w:jc w:val="center"/>
              <w:rPr>
                <w:rFonts w:ascii="Times New Roman" w:hAnsi="Times New Roman" w:eastAsia="宋体" w:cs="Times New Roman"/>
                <w:szCs w:val="21"/>
              </w:rPr>
            </w:pPr>
            <w:r>
              <w:rPr>
                <w:rFonts w:ascii="Times New Roman" w:hAnsi="Times New Roman" w:eastAsia="宋体" w:cs="Times New Roman"/>
                <w:kern w:val="0"/>
                <w:szCs w:val="21"/>
                <w:lang w:bidi="ar"/>
              </w:rPr>
              <w:t>有组织排放总计</w:t>
            </w:r>
          </w:p>
        </w:tc>
        <w:tc>
          <w:tcPr>
            <w:tcW w:w="4995" w:type="dxa"/>
            <w:gridSpan w:val="3"/>
            <w:vAlign w:val="center"/>
          </w:tcPr>
          <w:p w14:paraId="49BCFCB0">
            <w:pPr>
              <w:jc w:val="center"/>
              <w:rPr>
                <w:rFonts w:ascii="Times New Roman" w:hAnsi="Times New Roman" w:eastAsia="宋体" w:cs="Times New Roman"/>
                <w:szCs w:val="21"/>
              </w:rPr>
            </w:pPr>
            <w:r>
              <w:rPr>
                <w:rFonts w:ascii="Times New Roman" w:hAnsi="Times New Roman" w:eastAsia="宋体" w:cs="Times New Roman"/>
                <w:kern w:val="0"/>
                <w:szCs w:val="21"/>
              </w:rPr>
              <w:t>颗粒物</w:t>
            </w:r>
          </w:p>
        </w:tc>
        <w:tc>
          <w:tcPr>
            <w:tcW w:w="1334" w:type="dxa"/>
            <w:noWrap/>
            <w:vAlign w:val="center"/>
          </w:tcPr>
          <w:p w14:paraId="1247A7AD">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bidi="ar"/>
              </w:rPr>
              <w:t>0.</w:t>
            </w:r>
            <w:r>
              <w:rPr>
                <w:rFonts w:hint="eastAsia" w:ascii="Times New Roman" w:hAnsi="Times New Roman" w:eastAsia="宋体" w:cs="Times New Roman"/>
                <w:kern w:val="0"/>
                <w:szCs w:val="21"/>
                <w:lang w:val="en-US" w:eastAsia="zh-CN" w:bidi="ar"/>
              </w:rPr>
              <w:t>3482</w:t>
            </w:r>
          </w:p>
        </w:tc>
      </w:tr>
      <w:tr w14:paraId="3C1A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106" w:type="dxa"/>
            <w:gridSpan w:val="2"/>
            <w:vMerge w:val="continue"/>
            <w:vAlign w:val="center"/>
          </w:tcPr>
          <w:p w14:paraId="547EEAAA">
            <w:pPr>
              <w:jc w:val="center"/>
              <w:rPr>
                <w:rFonts w:ascii="Times New Roman" w:hAnsi="Times New Roman" w:eastAsia="宋体" w:cs="Times New Roman"/>
                <w:kern w:val="0"/>
                <w:szCs w:val="21"/>
                <w:lang w:bidi="ar"/>
              </w:rPr>
            </w:pPr>
          </w:p>
        </w:tc>
        <w:tc>
          <w:tcPr>
            <w:tcW w:w="4995" w:type="dxa"/>
            <w:gridSpan w:val="3"/>
            <w:vAlign w:val="center"/>
          </w:tcPr>
          <w:p w14:paraId="194F5918">
            <w:pPr>
              <w:jc w:val="center"/>
              <w:rPr>
                <w:rFonts w:ascii="Times New Roman" w:hAnsi="Times New Roman" w:eastAsia="宋体" w:cs="Times New Roman"/>
                <w:kern w:val="0"/>
                <w:szCs w:val="21"/>
              </w:rPr>
            </w:pPr>
            <w:r>
              <w:rPr>
                <w:rFonts w:ascii="Times New Roman" w:hAnsi="Times New Roman" w:cs="Times New Roman"/>
                <w:kern w:val="0"/>
                <w:szCs w:val="21"/>
              </w:rPr>
              <w:t>苯</w:t>
            </w:r>
          </w:p>
        </w:tc>
        <w:tc>
          <w:tcPr>
            <w:tcW w:w="1334" w:type="dxa"/>
            <w:noWrap/>
            <w:vAlign w:val="center"/>
          </w:tcPr>
          <w:p w14:paraId="75D8FB0C">
            <w:pPr>
              <w:adjustRightInd w:val="0"/>
              <w:snapToGrid w:val="0"/>
              <w:spacing w:line="280" w:lineRule="exact"/>
              <w:jc w:val="center"/>
              <w:textAlignment w:val="baseline"/>
              <w:rPr>
                <w:rFonts w:hint="eastAsia"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0.0135</w:t>
            </w:r>
          </w:p>
        </w:tc>
      </w:tr>
      <w:tr w14:paraId="7DEA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6" w:type="dxa"/>
            <w:gridSpan w:val="2"/>
            <w:vMerge w:val="continue"/>
            <w:vAlign w:val="center"/>
          </w:tcPr>
          <w:p w14:paraId="58BDB9A5">
            <w:pPr>
              <w:jc w:val="center"/>
              <w:rPr>
                <w:rFonts w:ascii="Times New Roman" w:hAnsi="Times New Roman" w:eastAsia="宋体" w:cs="Times New Roman"/>
                <w:szCs w:val="21"/>
              </w:rPr>
            </w:pPr>
          </w:p>
        </w:tc>
        <w:tc>
          <w:tcPr>
            <w:tcW w:w="4995" w:type="dxa"/>
            <w:gridSpan w:val="3"/>
            <w:vAlign w:val="center"/>
          </w:tcPr>
          <w:p w14:paraId="4A196755">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ascii="Times New Roman" w:hAnsi="Times New Roman" w:cs="Times New Roman"/>
                <w:kern w:val="0"/>
                <w:szCs w:val="21"/>
              </w:rPr>
              <w:t>甲苯</w:t>
            </w:r>
          </w:p>
        </w:tc>
        <w:tc>
          <w:tcPr>
            <w:tcW w:w="1334" w:type="dxa"/>
            <w:noWrap/>
            <w:vAlign w:val="center"/>
          </w:tcPr>
          <w:p w14:paraId="4E1D8CF0">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0.0608</w:t>
            </w:r>
          </w:p>
        </w:tc>
      </w:tr>
      <w:tr w14:paraId="31A5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6" w:type="dxa"/>
            <w:gridSpan w:val="2"/>
            <w:vMerge w:val="continue"/>
            <w:vAlign w:val="center"/>
          </w:tcPr>
          <w:p w14:paraId="17868E3F">
            <w:pPr>
              <w:jc w:val="center"/>
              <w:rPr>
                <w:rFonts w:ascii="Times New Roman" w:hAnsi="Times New Roman" w:eastAsia="宋体" w:cs="Times New Roman"/>
                <w:szCs w:val="21"/>
              </w:rPr>
            </w:pPr>
          </w:p>
        </w:tc>
        <w:tc>
          <w:tcPr>
            <w:tcW w:w="4995" w:type="dxa"/>
            <w:gridSpan w:val="3"/>
            <w:vAlign w:val="center"/>
          </w:tcPr>
          <w:p w14:paraId="13CE8AFD">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ascii="Times New Roman" w:hAnsi="Times New Roman" w:cs="Times New Roman"/>
                <w:kern w:val="0"/>
                <w:szCs w:val="21"/>
              </w:rPr>
              <w:t>二甲苯</w:t>
            </w:r>
          </w:p>
        </w:tc>
        <w:tc>
          <w:tcPr>
            <w:tcW w:w="1334" w:type="dxa"/>
            <w:noWrap/>
            <w:vAlign w:val="center"/>
          </w:tcPr>
          <w:p w14:paraId="36AD06D5">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0.1351</w:t>
            </w:r>
          </w:p>
        </w:tc>
      </w:tr>
      <w:tr w14:paraId="437F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06" w:type="dxa"/>
            <w:gridSpan w:val="2"/>
            <w:vMerge w:val="continue"/>
            <w:vAlign w:val="center"/>
          </w:tcPr>
          <w:p w14:paraId="03CB0BA9">
            <w:pPr>
              <w:jc w:val="center"/>
              <w:rPr>
                <w:rFonts w:ascii="Times New Roman" w:hAnsi="Times New Roman" w:eastAsia="宋体" w:cs="Times New Roman"/>
                <w:szCs w:val="21"/>
              </w:rPr>
            </w:pPr>
          </w:p>
        </w:tc>
        <w:tc>
          <w:tcPr>
            <w:tcW w:w="4995" w:type="dxa"/>
            <w:gridSpan w:val="3"/>
            <w:vAlign w:val="center"/>
          </w:tcPr>
          <w:p w14:paraId="0B3AD0CA">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ascii="Times New Roman" w:hAnsi="Times New Roman" w:cs="Times New Roman"/>
                <w:kern w:val="0"/>
                <w:szCs w:val="21"/>
              </w:rPr>
              <w:t>非甲烷总烃</w:t>
            </w:r>
          </w:p>
        </w:tc>
        <w:tc>
          <w:tcPr>
            <w:tcW w:w="1334" w:type="dxa"/>
            <w:noWrap/>
            <w:vAlign w:val="center"/>
          </w:tcPr>
          <w:p w14:paraId="11D2299C">
            <w:pPr>
              <w:adjustRightInd w:val="0"/>
              <w:snapToGrid w:val="0"/>
              <w:spacing w:line="280" w:lineRule="exact"/>
              <w:jc w:val="center"/>
              <w:textAlignment w:val="baseline"/>
              <w:rPr>
                <w:rFonts w:ascii="Times New Roman" w:hAnsi="Times New Roman" w:eastAsia="宋体" w:cs="Times New Roman"/>
                <w:kern w:val="0"/>
                <w:szCs w:val="21"/>
                <w:lang w:bidi="ar"/>
              </w:rPr>
            </w:pPr>
            <w:r>
              <w:rPr>
                <w:rFonts w:hint="eastAsia" w:ascii="Times New Roman" w:hAnsi="Times New Roman" w:cs="Times New Roman"/>
                <w:kern w:val="0"/>
                <w:szCs w:val="21"/>
                <w:lang w:val="en-US" w:eastAsia="zh-CN"/>
              </w:rPr>
              <w:t>1.1473</w:t>
            </w:r>
          </w:p>
        </w:tc>
      </w:tr>
    </w:tbl>
    <w:p w14:paraId="7D19FFD5">
      <w:pPr>
        <w:numPr>
          <w:ilvl w:val="0"/>
          <w:numId w:val="59"/>
        </w:numPr>
        <w:autoSpaceDE w:val="0"/>
        <w:autoSpaceDN w:val="0"/>
        <w:adjustRightInd w:val="0"/>
        <w:snapToGrid w:val="0"/>
        <w:jc w:val="center"/>
        <w:rPr>
          <w:rFonts w:ascii="Times New Roman" w:hAnsi="Times New Roman" w:eastAsia="宋体" w:cs="Times New Roman"/>
          <w:b/>
          <w:szCs w:val="21"/>
          <w:lang w:bidi="ar"/>
        </w:rPr>
      </w:pPr>
      <w:r>
        <w:rPr>
          <w:rFonts w:ascii="Times New Roman" w:hAnsi="Times New Roman" w:eastAsia="宋体" w:cs="Times New Roman"/>
          <w:b/>
          <w:szCs w:val="21"/>
        </w:rPr>
        <w:t xml:space="preserve"> </w:t>
      </w:r>
      <w:r>
        <w:rPr>
          <w:rFonts w:ascii="Times New Roman" w:hAnsi="Times New Roman" w:cs="Times New Roman"/>
          <w:b/>
          <w:bCs/>
          <w:color w:val="000000" w:themeColor="text1"/>
          <w:szCs w:val="21"/>
          <w14:textFill>
            <w14:solidFill>
              <w14:schemeClr w14:val="tx1"/>
            </w14:solidFill>
          </w14:textFill>
        </w:rPr>
        <w:t xml:space="preserve"> </w:t>
      </w:r>
      <w:r>
        <w:rPr>
          <w:rFonts w:hint="eastAsia" w:cs="Times New Roman"/>
          <w:b/>
          <w:szCs w:val="21"/>
          <w:lang w:bidi="ar"/>
        </w:rPr>
        <w:t>本项目</w:t>
      </w:r>
      <w:r>
        <w:rPr>
          <w:rFonts w:ascii="Times New Roman" w:hAnsi="Times New Roman" w:eastAsia="宋体" w:cs="Times New Roman"/>
          <w:b/>
          <w:szCs w:val="21"/>
          <w:lang w:bidi="ar"/>
        </w:rPr>
        <w:t>大气污染物无组织排放量核算表</w:t>
      </w:r>
    </w:p>
    <w:tbl>
      <w:tblPr>
        <w:tblStyle w:val="30"/>
        <w:tblW w:w="8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0"/>
        <w:gridCol w:w="849"/>
        <w:gridCol w:w="738"/>
        <w:gridCol w:w="862"/>
        <w:gridCol w:w="3289"/>
        <w:gridCol w:w="1146"/>
        <w:gridCol w:w="866"/>
      </w:tblGrid>
      <w:tr w14:paraId="3ACC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60" w:type="dxa"/>
            <w:vMerge w:val="restart"/>
            <w:vAlign w:val="center"/>
          </w:tcPr>
          <w:p w14:paraId="20FDF2B5">
            <w:pPr>
              <w:tabs>
                <w:tab w:val="left" w:pos="0"/>
                <w:tab w:val="left" w:pos="540"/>
              </w:tabs>
              <w:jc w:val="center"/>
              <w:rPr>
                <w:rFonts w:ascii="Times New Roman" w:hAnsi="Times New Roman" w:eastAsia="宋体" w:cs="Times New Roman"/>
                <w:szCs w:val="21"/>
              </w:rPr>
            </w:pPr>
            <w:r>
              <w:rPr>
                <w:rFonts w:ascii="Times New Roman" w:hAnsi="Times New Roman" w:cs="Times New Roman"/>
                <w:szCs w:val="21"/>
              </w:rPr>
              <w:t>序号</w:t>
            </w:r>
          </w:p>
        </w:tc>
        <w:tc>
          <w:tcPr>
            <w:tcW w:w="849" w:type="dxa"/>
            <w:vMerge w:val="restart"/>
            <w:vAlign w:val="center"/>
          </w:tcPr>
          <w:p w14:paraId="0C6904B1">
            <w:pPr>
              <w:tabs>
                <w:tab w:val="left" w:pos="0"/>
                <w:tab w:val="left" w:pos="540"/>
              </w:tabs>
              <w:jc w:val="center"/>
              <w:rPr>
                <w:rFonts w:ascii="Times New Roman" w:hAnsi="Times New Roman" w:cs="Times New Roman"/>
                <w:szCs w:val="21"/>
              </w:rPr>
            </w:pPr>
            <w:r>
              <w:rPr>
                <w:rFonts w:ascii="Times New Roman" w:hAnsi="Times New Roman" w:cs="Times New Roman"/>
                <w:szCs w:val="21"/>
              </w:rPr>
              <w:t>排放口</w:t>
            </w:r>
          </w:p>
          <w:p w14:paraId="6E0EF9EB">
            <w:pPr>
              <w:tabs>
                <w:tab w:val="left" w:pos="0"/>
                <w:tab w:val="left" w:pos="540"/>
              </w:tabs>
              <w:jc w:val="center"/>
              <w:rPr>
                <w:rFonts w:ascii="Times New Roman" w:hAnsi="Times New Roman" w:eastAsia="宋体" w:cs="Times New Roman"/>
                <w:szCs w:val="21"/>
              </w:rPr>
            </w:pPr>
            <w:r>
              <w:rPr>
                <w:rFonts w:ascii="Times New Roman" w:hAnsi="Times New Roman" w:cs="Times New Roman"/>
                <w:szCs w:val="21"/>
              </w:rPr>
              <w:t>编号</w:t>
            </w:r>
          </w:p>
        </w:tc>
        <w:tc>
          <w:tcPr>
            <w:tcW w:w="738" w:type="dxa"/>
            <w:vMerge w:val="restart"/>
            <w:vAlign w:val="center"/>
          </w:tcPr>
          <w:p w14:paraId="67D7E2B0">
            <w:pPr>
              <w:tabs>
                <w:tab w:val="left" w:pos="0"/>
                <w:tab w:val="left" w:pos="540"/>
              </w:tabs>
              <w:jc w:val="center"/>
              <w:rPr>
                <w:rFonts w:ascii="Times New Roman" w:hAnsi="Times New Roman" w:cs="Times New Roman"/>
                <w:szCs w:val="21"/>
              </w:rPr>
            </w:pPr>
            <w:r>
              <w:rPr>
                <w:rFonts w:ascii="Times New Roman" w:hAnsi="Times New Roman" w:cs="Times New Roman"/>
                <w:szCs w:val="21"/>
              </w:rPr>
              <w:t>产污</w:t>
            </w:r>
          </w:p>
          <w:p w14:paraId="5AC97E6F">
            <w:pPr>
              <w:tabs>
                <w:tab w:val="left" w:pos="0"/>
                <w:tab w:val="left" w:pos="540"/>
              </w:tabs>
              <w:jc w:val="center"/>
              <w:rPr>
                <w:rFonts w:ascii="Times New Roman" w:hAnsi="Times New Roman" w:cs="Times New Roman"/>
                <w:szCs w:val="21"/>
              </w:rPr>
            </w:pPr>
            <w:r>
              <w:rPr>
                <w:rFonts w:ascii="Times New Roman" w:hAnsi="Times New Roman" w:cs="Times New Roman"/>
                <w:szCs w:val="21"/>
              </w:rPr>
              <w:t>环节</w:t>
            </w:r>
          </w:p>
        </w:tc>
        <w:tc>
          <w:tcPr>
            <w:tcW w:w="862" w:type="dxa"/>
            <w:vMerge w:val="restart"/>
            <w:vAlign w:val="center"/>
          </w:tcPr>
          <w:p w14:paraId="0FBBC412">
            <w:pPr>
              <w:tabs>
                <w:tab w:val="left" w:pos="0"/>
                <w:tab w:val="left" w:pos="540"/>
              </w:tabs>
              <w:jc w:val="center"/>
              <w:rPr>
                <w:rFonts w:ascii="Times New Roman" w:hAnsi="Times New Roman" w:cs="Times New Roman"/>
                <w:szCs w:val="21"/>
              </w:rPr>
            </w:pPr>
            <w:r>
              <w:rPr>
                <w:rFonts w:ascii="Times New Roman" w:hAnsi="Times New Roman" w:cs="Times New Roman"/>
                <w:szCs w:val="21"/>
              </w:rPr>
              <w:t>主要污染防治措施</w:t>
            </w:r>
          </w:p>
        </w:tc>
        <w:tc>
          <w:tcPr>
            <w:tcW w:w="4435" w:type="dxa"/>
            <w:gridSpan w:val="2"/>
            <w:vAlign w:val="center"/>
          </w:tcPr>
          <w:p w14:paraId="7CE398C0">
            <w:pPr>
              <w:tabs>
                <w:tab w:val="left" w:pos="0"/>
                <w:tab w:val="left" w:pos="540"/>
              </w:tabs>
              <w:jc w:val="center"/>
              <w:rPr>
                <w:rFonts w:ascii="Times New Roman" w:hAnsi="Times New Roman" w:cs="Times New Roman"/>
                <w:szCs w:val="21"/>
              </w:rPr>
            </w:pPr>
            <w:r>
              <w:rPr>
                <w:rFonts w:ascii="Times New Roman" w:hAnsi="Times New Roman" w:cs="Times New Roman"/>
                <w:szCs w:val="21"/>
              </w:rPr>
              <w:t>国家或地方污染物排放标准</w:t>
            </w:r>
          </w:p>
        </w:tc>
        <w:tc>
          <w:tcPr>
            <w:tcW w:w="866" w:type="dxa"/>
            <w:vMerge w:val="restart"/>
            <w:vAlign w:val="center"/>
          </w:tcPr>
          <w:p w14:paraId="404D6D85">
            <w:pPr>
              <w:tabs>
                <w:tab w:val="left" w:pos="0"/>
                <w:tab w:val="left" w:pos="540"/>
              </w:tabs>
              <w:jc w:val="center"/>
              <w:rPr>
                <w:rFonts w:ascii="Times New Roman" w:hAnsi="Times New Roman" w:cs="Times New Roman"/>
                <w:szCs w:val="21"/>
              </w:rPr>
            </w:pPr>
            <w:r>
              <w:rPr>
                <w:rFonts w:ascii="Times New Roman" w:hAnsi="Times New Roman" w:cs="Times New Roman"/>
                <w:szCs w:val="21"/>
              </w:rPr>
              <w:t>年排放量（t/a）</w:t>
            </w:r>
          </w:p>
        </w:tc>
      </w:tr>
      <w:tr w14:paraId="0BD8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60" w:type="dxa"/>
            <w:vMerge w:val="continue"/>
            <w:vAlign w:val="center"/>
          </w:tcPr>
          <w:p w14:paraId="6D6584D9">
            <w:pPr>
              <w:tabs>
                <w:tab w:val="left" w:pos="0"/>
                <w:tab w:val="left" w:pos="540"/>
              </w:tabs>
              <w:jc w:val="center"/>
              <w:rPr>
                <w:rFonts w:ascii="Times New Roman" w:hAnsi="Times New Roman" w:cs="Times New Roman"/>
                <w:szCs w:val="21"/>
              </w:rPr>
            </w:pPr>
          </w:p>
        </w:tc>
        <w:tc>
          <w:tcPr>
            <w:tcW w:w="849" w:type="dxa"/>
            <w:vMerge w:val="continue"/>
            <w:vAlign w:val="center"/>
          </w:tcPr>
          <w:p w14:paraId="286715A0">
            <w:pPr>
              <w:tabs>
                <w:tab w:val="left" w:pos="0"/>
                <w:tab w:val="left" w:pos="540"/>
              </w:tabs>
              <w:jc w:val="center"/>
              <w:rPr>
                <w:rFonts w:ascii="Times New Roman" w:hAnsi="Times New Roman" w:cs="Times New Roman"/>
                <w:szCs w:val="21"/>
              </w:rPr>
            </w:pPr>
          </w:p>
        </w:tc>
        <w:tc>
          <w:tcPr>
            <w:tcW w:w="738" w:type="dxa"/>
            <w:vMerge w:val="continue"/>
            <w:vAlign w:val="center"/>
          </w:tcPr>
          <w:p w14:paraId="70F17EE8">
            <w:pPr>
              <w:tabs>
                <w:tab w:val="left" w:pos="0"/>
                <w:tab w:val="left" w:pos="540"/>
              </w:tabs>
              <w:jc w:val="center"/>
              <w:rPr>
                <w:rFonts w:ascii="Times New Roman" w:hAnsi="Times New Roman" w:cs="Times New Roman"/>
                <w:szCs w:val="21"/>
              </w:rPr>
            </w:pPr>
          </w:p>
        </w:tc>
        <w:tc>
          <w:tcPr>
            <w:tcW w:w="862" w:type="dxa"/>
            <w:vMerge w:val="continue"/>
            <w:vAlign w:val="center"/>
          </w:tcPr>
          <w:p w14:paraId="33313799">
            <w:pPr>
              <w:tabs>
                <w:tab w:val="left" w:pos="0"/>
                <w:tab w:val="left" w:pos="540"/>
              </w:tabs>
              <w:jc w:val="center"/>
              <w:rPr>
                <w:rFonts w:ascii="Times New Roman" w:hAnsi="Times New Roman" w:cs="Times New Roman"/>
                <w:szCs w:val="21"/>
              </w:rPr>
            </w:pPr>
          </w:p>
        </w:tc>
        <w:tc>
          <w:tcPr>
            <w:tcW w:w="3289" w:type="dxa"/>
            <w:vAlign w:val="center"/>
          </w:tcPr>
          <w:p w14:paraId="0083DCB4">
            <w:pPr>
              <w:tabs>
                <w:tab w:val="left" w:pos="0"/>
                <w:tab w:val="left" w:pos="540"/>
              </w:tabs>
              <w:jc w:val="center"/>
              <w:rPr>
                <w:rFonts w:ascii="Times New Roman" w:hAnsi="Times New Roman" w:cs="Times New Roman"/>
                <w:szCs w:val="21"/>
              </w:rPr>
            </w:pPr>
            <w:r>
              <w:rPr>
                <w:rFonts w:ascii="Times New Roman" w:hAnsi="Times New Roman" w:cs="Times New Roman"/>
                <w:szCs w:val="21"/>
              </w:rPr>
              <w:t>标准名称</w:t>
            </w:r>
          </w:p>
        </w:tc>
        <w:tc>
          <w:tcPr>
            <w:tcW w:w="1146" w:type="dxa"/>
            <w:vAlign w:val="center"/>
          </w:tcPr>
          <w:p w14:paraId="66F4CA86">
            <w:pPr>
              <w:tabs>
                <w:tab w:val="left" w:pos="0"/>
                <w:tab w:val="left" w:pos="540"/>
              </w:tabs>
              <w:jc w:val="center"/>
              <w:rPr>
                <w:rFonts w:ascii="Times New Roman" w:hAnsi="Times New Roman" w:cs="Times New Roman"/>
                <w:szCs w:val="21"/>
              </w:rPr>
            </w:pPr>
            <w:r>
              <w:rPr>
                <w:rFonts w:ascii="Times New Roman" w:hAnsi="Times New Roman" w:cs="Times New Roman"/>
                <w:szCs w:val="21"/>
              </w:rPr>
              <w:t>浓度限值</w:t>
            </w:r>
          </w:p>
          <w:p w14:paraId="0651B788">
            <w:pPr>
              <w:tabs>
                <w:tab w:val="left" w:pos="0"/>
                <w:tab w:val="left" w:pos="540"/>
              </w:tabs>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866" w:type="dxa"/>
            <w:vMerge w:val="continue"/>
            <w:vAlign w:val="center"/>
          </w:tcPr>
          <w:p w14:paraId="457AB3D4">
            <w:pPr>
              <w:tabs>
                <w:tab w:val="left" w:pos="0"/>
                <w:tab w:val="left" w:pos="540"/>
              </w:tabs>
              <w:jc w:val="center"/>
              <w:rPr>
                <w:rFonts w:ascii="Times New Roman" w:hAnsi="Times New Roman" w:cs="Times New Roman"/>
                <w:szCs w:val="21"/>
              </w:rPr>
            </w:pPr>
          </w:p>
        </w:tc>
      </w:tr>
      <w:tr w14:paraId="5F01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560" w:type="dxa"/>
            <w:vAlign w:val="center"/>
          </w:tcPr>
          <w:p w14:paraId="17711E3B">
            <w:pPr>
              <w:tabs>
                <w:tab w:val="left" w:pos="0"/>
                <w:tab w:val="left" w:pos="540"/>
              </w:tabs>
              <w:jc w:val="center"/>
              <w:rPr>
                <w:rFonts w:ascii="Times New Roman" w:hAnsi="Times New Roman" w:cs="Times New Roman"/>
                <w:szCs w:val="21"/>
              </w:rPr>
            </w:pPr>
            <w:r>
              <w:rPr>
                <w:rFonts w:ascii="Times New Roman" w:hAnsi="Times New Roman" w:cs="Times New Roman"/>
                <w:szCs w:val="21"/>
              </w:rPr>
              <w:t>1</w:t>
            </w:r>
          </w:p>
        </w:tc>
        <w:tc>
          <w:tcPr>
            <w:tcW w:w="849" w:type="dxa"/>
            <w:vAlign w:val="center"/>
          </w:tcPr>
          <w:p w14:paraId="613E6E90">
            <w:pPr>
              <w:tabs>
                <w:tab w:val="left" w:pos="0"/>
                <w:tab w:val="left" w:pos="540"/>
              </w:tabs>
              <w:jc w:val="center"/>
              <w:rPr>
                <w:rFonts w:ascii="Times New Roman" w:hAnsi="Times New Roman" w:cs="Times New Roman"/>
                <w:szCs w:val="21"/>
              </w:rPr>
            </w:pPr>
            <w:r>
              <w:rPr>
                <w:rFonts w:ascii="Times New Roman" w:hAnsi="Times New Roman" w:cs="Times New Roman"/>
                <w:szCs w:val="21"/>
              </w:rPr>
              <w:t>木加工废气</w:t>
            </w:r>
            <w:r>
              <w:rPr>
                <w:rFonts w:hint="eastAsia" w:ascii="Times New Roman" w:hAnsi="Times New Roman" w:cs="Times New Roman"/>
                <w:szCs w:val="21"/>
              </w:rPr>
              <w:t>a</w:t>
            </w:r>
          </w:p>
        </w:tc>
        <w:tc>
          <w:tcPr>
            <w:tcW w:w="738" w:type="dxa"/>
            <w:vAlign w:val="center"/>
          </w:tcPr>
          <w:p w14:paraId="74DA4412">
            <w:pPr>
              <w:tabs>
                <w:tab w:val="left" w:pos="0"/>
                <w:tab w:val="left" w:pos="540"/>
              </w:tabs>
              <w:jc w:val="center"/>
              <w:rPr>
                <w:rFonts w:ascii="Times New Roman" w:hAnsi="Times New Roman" w:cs="Times New Roman"/>
                <w:szCs w:val="21"/>
              </w:rPr>
            </w:pPr>
            <w:r>
              <w:rPr>
                <w:rFonts w:ascii="Times New Roman" w:hAnsi="Times New Roman" w:cs="Times New Roman"/>
                <w:szCs w:val="21"/>
              </w:rPr>
              <w:t>颗粒物</w:t>
            </w:r>
          </w:p>
        </w:tc>
        <w:tc>
          <w:tcPr>
            <w:tcW w:w="862" w:type="dxa"/>
            <w:vAlign w:val="center"/>
          </w:tcPr>
          <w:p w14:paraId="34306036">
            <w:pPr>
              <w:tabs>
                <w:tab w:val="left" w:pos="0"/>
                <w:tab w:val="left" w:pos="540"/>
              </w:tabs>
              <w:jc w:val="center"/>
              <w:rPr>
                <w:rFonts w:ascii="Times New Roman" w:hAnsi="Times New Roman" w:cs="Times New Roman"/>
                <w:szCs w:val="21"/>
              </w:rPr>
            </w:pPr>
            <w:r>
              <w:rPr>
                <w:rFonts w:ascii="Times New Roman" w:hAnsi="Times New Roman" w:cs="Times New Roman"/>
                <w:szCs w:val="21"/>
              </w:rPr>
              <w:t>加强通风</w:t>
            </w:r>
          </w:p>
        </w:tc>
        <w:tc>
          <w:tcPr>
            <w:tcW w:w="3289" w:type="dxa"/>
            <w:vAlign w:val="center"/>
          </w:tcPr>
          <w:p w14:paraId="73912357">
            <w:pPr>
              <w:tabs>
                <w:tab w:val="left" w:pos="0"/>
                <w:tab w:val="left" w:pos="540"/>
              </w:tabs>
              <w:jc w:val="center"/>
              <w:rPr>
                <w:rFonts w:ascii="Times New Roman" w:hAnsi="Times New Roman" w:cs="Times New Roman"/>
                <w:szCs w:val="21"/>
              </w:rPr>
            </w:pPr>
            <w:r>
              <w:rPr>
                <w:rFonts w:ascii="Times New Roman" w:hAnsi="Times New Roman" w:cs="Times New Roman"/>
                <w:szCs w:val="21"/>
              </w:rPr>
              <w:t>《大气污染物综合排放标准》（GB16297-1996）</w:t>
            </w:r>
          </w:p>
        </w:tc>
        <w:tc>
          <w:tcPr>
            <w:tcW w:w="1146" w:type="dxa"/>
            <w:vAlign w:val="center"/>
          </w:tcPr>
          <w:p w14:paraId="6D6B598E">
            <w:pPr>
              <w:jc w:val="center"/>
              <w:rPr>
                <w:rFonts w:ascii="Times New Roman" w:hAnsi="Times New Roman" w:cs="Times New Roman"/>
                <w:szCs w:val="21"/>
              </w:rPr>
            </w:pPr>
            <w:r>
              <w:rPr>
                <w:rFonts w:ascii="Times New Roman" w:hAnsi="Times New Roman" w:cs="Times New Roman"/>
                <w:szCs w:val="21"/>
              </w:rPr>
              <w:t>1.0</w:t>
            </w:r>
          </w:p>
        </w:tc>
        <w:tc>
          <w:tcPr>
            <w:tcW w:w="866" w:type="dxa"/>
            <w:vAlign w:val="center"/>
          </w:tcPr>
          <w:p w14:paraId="1D4D9573">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highlight w:val="none"/>
                <w:lang w:val="en-US" w:eastAsia="zh-CN" w:bidi="ar"/>
              </w:rPr>
              <w:t>0.284</w:t>
            </w:r>
          </w:p>
        </w:tc>
      </w:tr>
      <w:tr w14:paraId="571B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560" w:type="dxa"/>
            <w:vAlign w:val="center"/>
          </w:tcPr>
          <w:p w14:paraId="6FD60ECE">
            <w:pPr>
              <w:tabs>
                <w:tab w:val="left" w:pos="0"/>
                <w:tab w:val="left" w:pos="540"/>
              </w:tabs>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2</w:t>
            </w:r>
          </w:p>
        </w:tc>
        <w:tc>
          <w:tcPr>
            <w:tcW w:w="849" w:type="dxa"/>
            <w:vAlign w:val="center"/>
          </w:tcPr>
          <w:p w14:paraId="533A5B28">
            <w:pPr>
              <w:tabs>
                <w:tab w:val="left" w:pos="0"/>
                <w:tab w:val="left" w:pos="540"/>
              </w:tabs>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打磨</w:t>
            </w:r>
            <w:r>
              <w:rPr>
                <w:rFonts w:ascii="Times New Roman" w:hAnsi="Times New Roman" w:cs="Times New Roman"/>
                <w:szCs w:val="21"/>
              </w:rPr>
              <w:t>工废气</w:t>
            </w:r>
            <w:r>
              <w:rPr>
                <w:rFonts w:hint="eastAsia" w:ascii="Times New Roman" w:hAnsi="Times New Roman" w:cs="Times New Roman"/>
                <w:szCs w:val="21"/>
                <w:lang w:val="en-US" w:eastAsia="zh-CN"/>
              </w:rPr>
              <w:t>b</w:t>
            </w:r>
          </w:p>
        </w:tc>
        <w:tc>
          <w:tcPr>
            <w:tcW w:w="738" w:type="dxa"/>
            <w:vAlign w:val="center"/>
          </w:tcPr>
          <w:p w14:paraId="0028CC9E">
            <w:pPr>
              <w:tabs>
                <w:tab w:val="left" w:pos="0"/>
                <w:tab w:val="left" w:pos="540"/>
              </w:tabs>
              <w:jc w:val="center"/>
              <w:rPr>
                <w:rFonts w:ascii="Times New Roman" w:hAnsi="Times New Roman" w:cs="Times New Roman"/>
                <w:szCs w:val="21"/>
              </w:rPr>
            </w:pPr>
            <w:r>
              <w:rPr>
                <w:rFonts w:ascii="Times New Roman" w:hAnsi="Times New Roman" w:cs="Times New Roman"/>
                <w:szCs w:val="21"/>
              </w:rPr>
              <w:t>颗粒物</w:t>
            </w:r>
          </w:p>
        </w:tc>
        <w:tc>
          <w:tcPr>
            <w:tcW w:w="862" w:type="dxa"/>
            <w:vAlign w:val="center"/>
          </w:tcPr>
          <w:p w14:paraId="505F7123">
            <w:pPr>
              <w:tabs>
                <w:tab w:val="left" w:pos="0"/>
                <w:tab w:val="left" w:pos="540"/>
              </w:tabs>
              <w:jc w:val="center"/>
              <w:rPr>
                <w:rFonts w:ascii="Times New Roman" w:hAnsi="Times New Roman" w:cs="Times New Roman"/>
                <w:szCs w:val="21"/>
              </w:rPr>
            </w:pPr>
            <w:r>
              <w:rPr>
                <w:rFonts w:ascii="Times New Roman" w:hAnsi="Times New Roman" w:cs="Times New Roman"/>
                <w:szCs w:val="21"/>
              </w:rPr>
              <w:t>加强通风</w:t>
            </w:r>
          </w:p>
        </w:tc>
        <w:tc>
          <w:tcPr>
            <w:tcW w:w="3289" w:type="dxa"/>
            <w:vAlign w:val="center"/>
          </w:tcPr>
          <w:p w14:paraId="09B65FCE">
            <w:pPr>
              <w:tabs>
                <w:tab w:val="left" w:pos="0"/>
                <w:tab w:val="left" w:pos="540"/>
              </w:tabs>
              <w:jc w:val="center"/>
              <w:rPr>
                <w:rFonts w:ascii="Times New Roman" w:hAnsi="Times New Roman" w:cs="Times New Roman"/>
                <w:szCs w:val="21"/>
              </w:rPr>
            </w:pPr>
            <w:r>
              <w:rPr>
                <w:rFonts w:ascii="Times New Roman" w:hAnsi="Times New Roman" w:cs="Times New Roman"/>
                <w:szCs w:val="21"/>
              </w:rPr>
              <w:t>《大气污染物综合排放标准》（GB16297-1996）</w:t>
            </w:r>
          </w:p>
        </w:tc>
        <w:tc>
          <w:tcPr>
            <w:tcW w:w="1146" w:type="dxa"/>
            <w:vAlign w:val="center"/>
          </w:tcPr>
          <w:p w14:paraId="482C742A">
            <w:pPr>
              <w:jc w:val="center"/>
              <w:rPr>
                <w:rFonts w:ascii="Times New Roman" w:hAnsi="Times New Roman" w:cs="Times New Roman"/>
                <w:szCs w:val="21"/>
              </w:rPr>
            </w:pPr>
            <w:r>
              <w:rPr>
                <w:rFonts w:ascii="Times New Roman" w:hAnsi="Times New Roman" w:cs="Times New Roman"/>
                <w:szCs w:val="21"/>
              </w:rPr>
              <w:t>1.0</w:t>
            </w:r>
          </w:p>
        </w:tc>
        <w:tc>
          <w:tcPr>
            <w:tcW w:w="866" w:type="dxa"/>
            <w:vAlign w:val="center"/>
          </w:tcPr>
          <w:p w14:paraId="361D5E49">
            <w:pPr>
              <w:widowControl/>
              <w:jc w:val="center"/>
              <w:textAlignment w:val="center"/>
              <w:rPr>
                <w:rFonts w:hint="eastAsia" w:ascii="Times New Roman" w:hAnsi="Times New Roman" w:cs="Times New Roman"/>
                <w:szCs w:val="21"/>
              </w:rPr>
            </w:pPr>
            <w:r>
              <w:rPr>
                <w:rFonts w:hint="eastAsia" w:ascii="Times New Roman" w:hAnsi="Times New Roman" w:eastAsia="宋体" w:cs="Times New Roman"/>
                <w:kern w:val="0"/>
                <w:szCs w:val="21"/>
                <w:lang w:val="en-US" w:eastAsia="zh-CN" w:bidi="ar"/>
              </w:rPr>
              <w:t>0.009</w:t>
            </w:r>
          </w:p>
        </w:tc>
      </w:tr>
      <w:tr w14:paraId="18BA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560" w:type="dxa"/>
            <w:vMerge w:val="restart"/>
            <w:vAlign w:val="center"/>
          </w:tcPr>
          <w:p w14:paraId="215C12C6">
            <w:pPr>
              <w:tabs>
                <w:tab w:val="left" w:pos="0"/>
                <w:tab w:val="left" w:pos="540"/>
              </w:tabs>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3</w:t>
            </w:r>
          </w:p>
        </w:tc>
        <w:tc>
          <w:tcPr>
            <w:tcW w:w="849" w:type="dxa"/>
            <w:vMerge w:val="restart"/>
            <w:vAlign w:val="center"/>
          </w:tcPr>
          <w:p w14:paraId="6B5FED19">
            <w:pPr>
              <w:tabs>
                <w:tab w:val="left" w:pos="0"/>
                <w:tab w:val="left" w:pos="540"/>
              </w:tabs>
              <w:jc w:val="center"/>
              <w:rPr>
                <w:rFonts w:hint="eastAsia" w:ascii="Times New Roman" w:hAnsi="Times New Roman" w:cs="Times New Roman" w:eastAsiaTheme="minorEastAsia"/>
                <w:szCs w:val="21"/>
                <w:lang w:eastAsia="zh-CN"/>
              </w:rPr>
            </w:pPr>
            <w:r>
              <w:rPr>
                <w:szCs w:val="21"/>
              </w:rPr>
              <w:t>拼板冷压、封边、热压、擦色、底漆房（含</w:t>
            </w:r>
            <w:r>
              <w:rPr>
                <w:rFonts w:hint="eastAsia" w:ascii="Times New Roman" w:hAnsi="Times New Roman" w:eastAsia="宋体" w:cs="Times New Roman"/>
                <w:color w:val="000000" w:themeColor="text1"/>
                <w:szCs w:val="21"/>
                <w14:textFill>
                  <w14:solidFill>
                    <w14:schemeClr w14:val="tx1"/>
                  </w14:solidFill>
                </w14:textFill>
              </w:rPr>
              <w:t>调漆、</w:t>
            </w:r>
            <w:r>
              <w:rPr>
                <w:szCs w:val="21"/>
              </w:rPr>
              <w:t>晾干）废气</w:t>
            </w:r>
            <w:r>
              <w:rPr>
                <w:rFonts w:hint="eastAsia" w:ascii="Times New Roman" w:hAnsi="Times New Roman" w:cs="Times New Roman"/>
                <w:szCs w:val="21"/>
                <w:lang w:val="en-US" w:eastAsia="zh-CN"/>
              </w:rPr>
              <w:t>c</w:t>
            </w:r>
          </w:p>
        </w:tc>
        <w:tc>
          <w:tcPr>
            <w:tcW w:w="738" w:type="dxa"/>
            <w:vAlign w:val="center"/>
          </w:tcPr>
          <w:p w14:paraId="07578859">
            <w:pPr>
              <w:tabs>
                <w:tab w:val="left" w:pos="0"/>
                <w:tab w:val="left" w:pos="540"/>
              </w:tabs>
              <w:jc w:val="center"/>
              <w:rPr>
                <w:rFonts w:ascii="Times New Roman" w:hAnsi="Times New Roman" w:cs="Times New Roman"/>
                <w:szCs w:val="21"/>
              </w:rPr>
            </w:pPr>
            <w:r>
              <w:rPr>
                <w:rFonts w:ascii="Times New Roman" w:hAnsi="Times New Roman" w:cs="Times New Roman"/>
                <w:szCs w:val="21"/>
              </w:rPr>
              <w:t>颗粒物</w:t>
            </w:r>
          </w:p>
        </w:tc>
        <w:tc>
          <w:tcPr>
            <w:tcW w:w="862" w:type="dxa"/>
            <w:vMerge w:val="restart"/>
            <w:vAlign w:val="center"/>
          </w:tcPr>
          <w:p w14:paraId="29E4B81B">
            <w:pPr>
              <w:tabs>
                <w:tab w:val="left" w:pos="0"/>
                <w:tab w:val="left" w:pos="540"/>
              </w:tabs>
              <w:jc w:val="center"/>
              <w:rPr>
                <w:rFonts w:ascii="Times New Roman" w:hAnsi="Times New Roman" w:cs="Times New Roman"/>
                <w:szCs w:val="21"/>
              </w:rPr>
            </w:pPr>
            <w:r>
              <w:rPr>
                <w:rFonts w:ascii="Times New Roman" w:hAnsi="Times New Roman" w:cs="Times New Roman"/>
                <w:szCs w:val="21"/>
              </w:rPr>
              <w:t>二次密闭，加强通风</w:t>
            </w:r>
          </w:p>
        </w:tc>
        <w:tc>
          <w:tcPr>
            <w:tcW w:w="3289" w:type="dxa"/>
            <w:vAlign w:val="center"/>
          </w:tcPr>
          <w:p w14:paraId="57964CD5">
            <w:pPr>
              <w:tabs>
                <w:tab w:val="left" w:pos="0"/>
                <w:tab w:val="left" w:pos="540"/>
              </w:tabs>
              <w:jc w:val="center"/>
              <w:rPr>
                <w:rFonts w:ascii="Times New Roman" w:hAnsi="Times New Roman" w:cs="Times New Roman"/>
                <w:szCs w:val="21"/>
              </w:rPr>
            </w:pPr>
            <w:r>
              <w:rPr>
                <w:rFonts w:ascii="Times New Roman" w:hAnsi="Times New Roman" w:cs="Times New Roman"/>
                <w:szCs w:val="21"/>
              </w:rPr>
              <w:t>《大气污染物综合排放标准》（GB16297-1996）</w:t>
            </w:r>
          </w:p>
        </w:tc>
        <w:tc>
          <w:tcPr>
            <w:tcW w:w="1146" w:type="dxa"/>
            <w:vAlign w:val="center"/>
          </w:tcPr>
          <w:p w14:paraId="1C5ABA06">
            <w:pPr>
              <w:jc w:val="center"/>
              <w:rPr>
                <w:rFonts w:ascii="Times New Roman" w:hAnsi="Times New Roman" w:cs="Times New Roman"/>
                <w:szCs w:val="21"/>
              </w:rPr>
            </w:pPr>
            <w:r>
              <w:rPr>
                <w:rFonts w:ascii="Times New Roman" w:hAnsi="Times New Roman" w:cs="Times New Roman"/>
                <w:szCs w:val="21"/>
              </w:rPr>
              <w:t>1.0</w:t>
            </w:r>
          </w:p>
        </w:tc>
        <w:tc>
          <w:tcPr>
            <w:tcW w:w="866" w:type="dxa"/>
            <w:vAlign w:val="center"/>
          </w:tcPr>
          <w:p w14:paraId="3F097FC1">
            <w:pPr>
              <w:widowControl/>
              <w:jc w:val="center"/>
              <w:rPr>
                <w:rFonts w:ascii="Times New Roman" w:hAnsi="Times New Roman" w:cs="Times New Roman"/>
                <w:szCs w:val="21"/>
              </w:rPr>
            </w:pPr>
            <w:r>
              <w:rPr>
                <w:rFonts w:hint="eastAsia" w:ascii="Times New Roman" w:hAnsi="Times New Roman" w:cs="Times New Roman"/>
                <w:szCs w:val="21"/>
              </w:rPr>
              <w:t>0.</w:t>
            </w:r>
            <w:r>
              <w:rPr>
                <w:rFonts w:hint="eastAsia" w:ascii="Times New Roman" w:hAnsi="Times New Roman" w:cs="Times New Roman"/>
                <w:szCs w:val="21"/>
                <w:lang w:val="en-US" w:eastAsia="zh-CN"/>
              </w:rPr>
              <w:t>17</w:t>
            </w:r>
          </w:p>
        </w:tc>
      </w:tr>
      <w:tr w14:paraId="7227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560" w:type="dxa"/>
            <w:vMerge w:val="continue"/>
            <w:vAlign w:val="center"/>
          </w:tcPr>
          <w:p w14:paraId="7E95EC7D">
            <w:pPr>
              <w:tabs>
                <w:tab w:val="left" w:pos="0"/>
                <w:tab w:val="left" w:pos="540"/>
              </w:tabs>
              <w:jc w:val="center"/>
              <w:rPr>
                <w:rFonts w:hint="eastAsia" w:ascii="Times New Roman" w:hAnsi="Times New Roman" w:cs="Times New Roman"/>
                <w:szCs w:val="21"/>
              </w:rPr>
            </w:pPr>
          </w:p>
        </w:tc>
        <w:tc>
          <w:tcPr>
            <w:tcW w:w="849" w:type="dxa"/>
            <w:vMerge w:val="continue"/>
            <w:vAlign w:val="center"/>
          </w:tcPr>
          <w:p w14:paraId="0CD9A857">
            <w:pPr>
              <w:tabs>
                <w:tab w:val="left" w:pos="0"/>
                <w:tab w:val="left" w:pos="540"/>
              </w:tabs>
              <w:jc w:val="center"/>
              <w:rPr>
                <w:szCs w:val="21"/>
              </w:rPr>
            </w:pPr>
          </w:p>
        </w:tc>
        <w:tc>
          <w:tcPr>
            <w:tcW w:w="738" w:type="dxa"/>
            <w:vAlign w:val="center"/>
          </w:tcPr>
          <w:p w14:paraId="028165F2">
            <w:pPr>
              <w:tabs>
                <w:tab w:val="left" w:pos="0"/>
                <w:tab w:val="left" w:pos="540"/>
              </w:tabs>
              <w:jc w:val="center"/>
              <w:rPr>
                <w:rFonts w:ascii="Times New Roman" w:hAnsi="Times New Roman" w:cs="Times New Roman"/>
                <w:szCs w:val="21"/>
              </w:rPr>
            </w:pPr>
            <w:r>
              <w:rPr>
                <w:rFonts w:ascii="Times New Roman" w:hAnsi="Times New Roman" w:cs="Times New Roman"/>
                <w:szCs w:val="21"/>
              </w:rPr>
              <w:t>苯</w:t>
            </w:r>
          </w:p>
        </w:tc>
        <w:tc>
          <w:tcPr>
            <w:tcW w:w="862" w:type="dxa"/>
            <w:vMerge w:val="continue"/>
            <w:vAlign w:val="center"/>
          </w:tcPr>
          <w:p w14:paraId="34944836">
            <w:pPr>
              <w:tabs>
                <w:tab w:val="left" w:pos="0"/>
                <w:tab w:val="left" w:pos="540"/>
              </w:tabs>
              <w:jc w:val="center"/>
              <w:rPr>
                <w:rFonts w:ascii="Times New Roman" w:hAnsi="Times New Roman" w:cs="Times New Roman"/>
                <w:szCs w:val="21"/>
              </w:rPr>
            </w:pPr>
          </w:p>
        </w:tc>
        <w:tc>
          <w:tcPr>
            <w:tcW w:w="3289" w:type="dxa"/>
            <w:vMerge w:val="restart"/>
            <w:vAlign w:val="center"/>
          </w:tcPr>
          <w:p w14:paraId="71D1CD5E">
            <w:pPr>
              <w:tabs>
                <w:tab w:val="left" w:pos="0"/>
                <w:tab w:val="left" w:pos="540"/>
              </w:tabs>
              <w:jc w:val="center"/>
              <w:rPr>
                <w:rFonts w:ascii="Times New Roman" w:hAnsi="Times New Roman" w:cs="Times New Roman"/>
                <w:szCs w:val="21"/>
              </w:rPr>
            </w:pPr>
            <w:r>
              <w:rPr>
                <w:rFonts w:ascii="Times New Roman" w:hAnsi="Times New Roman" w:cs="Times New Roman"/>
                <w:szCs w:val="21"/>
              </w:rPr>
              <w:t>《关于全省开展工业企业挥发性有机物专项治理工作中排放建议值的通知》（豫环攻坚办〔2017〕162）建议值、《挥发性有机物无组织排放控制标准》（GB37822-2019）特别排放限值中的较严格值</w:t>
            </w:r>
          </w:p>
        </w:tc>
        <w:tc>
          <w:tcPr>
            <w:tcW w:w="1146" w:type="dxa"/>
            <w:vAlign w:val="center"/>
          </w:tcPr>
          <w:p w14:paraId="235B0E21">
            <w:pPr>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0.1</w:t>
            </w:r>
          </w:p>
        </w:tc>
        <w:tc>
          <w:tcPr>
            <w:tcW w:w="866" w:type="dxa"/>
            <w:vAlign w:val="center"/>
          </w:tcPr>
          <w:p w14:paraId="6340515D">
            <w:pPr>
              <w:widowControl/>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0.0056</w:t>
            </w:r>
          </w:p>
        </w:tc>
      </w:tr>
      <w:tr w14:paraId="20F6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60" w:type="dxa"/>
            <w:vMerge w:val="continue"/>
            <w:vAlign w:val="center"/>
          </w:tcPr>
          <w:p w14:paraId="1B880624">
            <w:pPr>
              <w:tabs>
                <w:tab w:val="left" w:pos="0"/>
                <w:tab w:val="left" w:pos="540"/>
              </w:tabs>
              <w:jc w:val="center"/>
              <w:rPr>
                <w:rFonts w:ascii="Times New Roman" w:hAnsi="Times New Roman" w:cs="Times New Roman"/>
                <w:szCs w:val="21"/>
              </w:rPr>
            </w:pPr>
          </w:p>
        </w:tc>
        <w:tc>
          <w:tcPr>
            <w:tcW w:w="849" w:type="dxa"/>
            <w:vMerge w:val="continue"/>
            <w:vAlign w:val="center"/>
          </w:tcPr>
          <w:p w14:paraId="55CDABAD">
            <w:pPr>
              <w:tabs>
                <w:tab w:val="left" w:pos="0"/>
                <w:tab w:val="left" w:pos="540"/>
              </w:tabs>
              <w:jc w:val="center"/>
              <w:rPr>
                <w:rFonts w:ascii="Times New Roman" w:hAnsi="Times New Roman" w:cs="Times New Roman"/>
                <w:szCs w:val="21"/>
              </w:rPr>
            </w:pPr>
          </w:p>
        </w:tc>
        <w:tc>
          <w:tcPr>
            <w:tcW w:w="738" w:type="dxa"/>
            <w:tcBorders>
              <w:top w:val="single" w:color="000000" w:sz="4" w:space="0"/>
            </w:tcBorders>
            <w:vAlign w:val="center"/>
          </w:tcPr>
          <w:p w14:paraId="028118A7">
            <w:pPr>
              <w:tabs>
                <w:tab w:val="left" w:pos="0"/>
                <w:tab w:val="left" w:pos="540"/>
              </w:tabs>
              <w:jc w:val="center"/>
              <w:rPr>
                <w:rFonts w:ascii="Times New Roman" w:hAnsi="Times New Roman" w:cs="Times New Roman"/>
                <w:szCs w:val="21"/>
              </w:rPr>
            </w:pPr>
            <w:r>
              <w:rPr>
                <w:rFonts w:ascii="Times New Roman" w:hAnsi="Times New Roman" w:cs="Times New Roman"/>
                <w:szCs w:val="21"/>
              </w:rPr>
              <w:t>甲苯</w:t>
            </w:r>
          </w:p>
        </w:tc>
        <w:tc>
          <w:tcPr>
            <w:tcW w:w="862" w:type="dxa"/>
            <w:vMerge w:val="continue"/>
            <w:vAlign w:val="center"/>
          </w:tcPr>
          <w:p w14:paraId="6A06E1D8">
            <w:pPr>
              <w:tabs>
                <w:tab w:val="left" w:pos="0"/>
                <w:tab w:val="left" w:pos="540"/>
              </w:tabs>
              <w:jc w:val="center"/>
              <w:rPr>
                <w:rFonts w:ascii="Times New Roman" w:hAnsi="Times New Roman" w:cs="Times New Roman"/>
                <w:szCs w:val="21"/>
              </w:rPr>
            </w:pPr>
          </w:p>
        </w:tc>
        <w:tc>
          <w:tcPr>
            <w:tcW w:w="3289" w:type="dxa"/>
            <w:vMerge w:val="continue"/>
            <w:vAlign w:val="center"/>
          </w:tcPr>
          <w:p w14:paraId="7A3F33D7">
            <w:pPr>
              <w:tabs>
                <w:tab w:val="left" w:pos="0"/>
                <w:tab w:val="left" w:pos="540"/>
              </w:tabs>
              <w:jc w:val="center"/>
              <w:rPr>
                <w:rFonts w:ascii="Times New Roman" w:hAnsi="Times New Roman" w:cs="Times New Roman"/>
                <w:szCs w:val="21"/>
              </w:rPr>
            </w:pPr>
          </w:p>
        </w:tc>
        <w:tc>
          <w:tcPr>
            <w:tcW w:w="1146" w:type="dxa"/>
            <w:tcBorders>
              <w:top w:val="single" w:color="000000" w:sz="4" w:space="0"/>
            </w:tcBorders>
            <w:vAlign w:val="center"/>
          </w:tcPr>
          <w:p w14:paraId="6F43CB5D">
            <w:pPr>
              <w:jc w:val="center"/>
              <w:rPr>
                <w:rFonts w:ascii="Times New Roman" w:hAnsi="Times New Roman" w:cs="Times New Roman"/>
                <w:szCs w:val="21"/>
                <w:highlight w:val="none"/>
              </w:rPr>
            </w:pPr>
            <w:r>
              <w:rPr>
                <w:rFonts w:ascii="Times New Roman" w:hAnsi="Times New Roman" w:cs="Times New Roman"/>
                <w:szCs w:val="21"/>
                <w:highlight w:val="none"/>
              </w:rPr>
              <w:t>0.6</w:t>
            </w:r>
          </w:p>
        </w:tc>
        <w:tc>
          <w:tcPr>
            <w:tcW w:w="866" w:type="dxa"/>
            <w:tcBorders>
              <w:top w:val="single" w:color="000000" w:sz="4" w:space="0"/>
            </w:tcBorders>
            <w:vAlign w:val="center"/>
          </w:tcPr>
          <w:p w14:paraId="0CA34A1D">
            <w:pPr>
              <w:widowControl/>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rPr>
              <w:t>0.0</w:t>
            </w:r>
            <w:r>
              <w:rPr>
                <w:rFonts w:hint="eastAsia" w:ascii="Times New Roman" w:hAnsi="Times New Roman" w:cs="Times New Roman"/>
                <w:szCs w:val="21"/>
                <w:highlight w:val="none"/>
                <w:lang w:val="en-US" w:eastAsia="zh-CN"/>
              </w:rPr>
              <w:t>252</w:t>
            </w:r>
          </w:p>
        </w:tc>
      </w:tr>
      <w:tr w14:paraId="67A5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60" w:type="dxa"/>
            <w:vMerge w:val="continue"/>
            <w:vAlign w:val="center"/>
          </w:tcPr>
          <w:p w14:paraId="273DD0F5">
            <w:pPr>
              <w:tabs>
                <w:tab w:val="left" w:pos="0"/>
                <w:tab w:val="left" w:pos="540"/>
              </w:tabs>
              <w:jc w:val="center"/>
              <w:rPr>
                <w:rFonts w:ascii="Times New Roman" w:hAnsi="Times New Roman" w:cs="Times New Roman"/>
                <w:szCs w:val="21"/>
              </w:rPr>
            </w:pPr>
          </w:p>
        </w:tc>
        <w:tc>
          <w:tcPr>
            <w:tcW w:w="849" w:type="dxa"/>
            <w:vMerge w:val="continue"/>
            <w:vAlign w:val="center"/>
          </w:tcPr>
          <w:p w14:paraId="45B4B687">
            <w:pPr>
              <w:tabs>
                <w:tab w:val="left" w:pos="0"/>
                <w:tab w:val="left" w:pos="540"/>
              </w:tabs>
              <w:jc w:val="center"/>
              <w:rPr>
                <w:rFonts w:ascii="Times New Roman" w:hAnsi="Times New Roman" w:cs="Times New Roman"/>
                <w:szCs w:val="21"/>
              </w:rPr>
            </w:pPr>
          </w:p>
        </w:tc>
        <w:tc>
          <w:tcPr>
            <w:tcW w:w="738" w:type="dxa"/>
            <w:vAlign w:val="center"/>
          </w:tcPr>
          <w:p w14:paraId="46E2100A">
            <w:pPr>
              <w:jc w:val="center"/>
              <w:rPr>
                <w:rFonts w:ascii="Times New Roman" w:hAnsi="Times New Roman" w:cs="Times New Roman"/>
                <w:szCs w:val="21"/>
              </w:rPr>
            </w:pPr>
            <w:r>
              <w:rPr>
                <w:rFonts w:ascii="Times New Roman" w:hAnsi="Times New Roman" w:cs="Times New Roman"/>
                <w:color w:val="000000"/>
                <w:szCs w:val="21"/>
              </w:rPr>
              <w:t>二甲苯</w:t>
            </w:r>
          </w:p>
        </w:tc>
        <w:tc>
          <w:tcPr>
            <w:tcW w:w="862" w:type="dxa"/>
            <w:vMerge w:val="continue"/>
            <w:vAlign w:val="center"/>
          </w:tcPr>
          <w:p w14:paraId="7BE9D387">
            <w:pPr>
              <w:jc w:val="center"/>
              <w:rPr>
                <w:rFonts w:ascii="Times New Roman" w:hAnsi="Times New Roman" w:cs="Times New Roman"/>
                <w:szCs w:val="21"/>
              </w:rPr>
            </w:pPr>
          </w:p>
        </w:tc>
        <w:tc>
          <w:tcPr>
            <w:tcW w:w="3289" w:type="dxa"/>
            <w:vMerge w:val="continue"/>
            <w:vAlign w:val="center"/>
          </w:tcPr>
          <w:p w14:paraId="3ACC4035">
            <w:pPr>
              <w:jc w:val="center"/>
              <w:rPr>
                <w:rFonts w:ascii="Times New Roman" w:hAnsi="Times New Roman" w:cs="Times New Roman"/>
                <w:szCs w:val="21"/>
              </w:rPr>
            </w:pPr>
          </w:p>
        </w:tc>
        <w:tc>
          <w:tcPr>
            <w:tcW w:w="1146" w:type="dxa"/>
            <w:vAlign w:val="center"/>
          </w:tcPr>
          <w:p w14:paraId="33F24F33">
            <w:pPr>
              <w:jc w:val="center"/>
              <w:rPr>
                <w:rFonts w:ascii="Times New Roman" w:hAnsi="Times New Roman" w:cs="Times New Roman"/>
                <w:szCs w:val="21"/>
                <w:highlight w:val="none"/>
              </w:rPr>
            </w:pPr>
            <w:r>
              <w:rPr>
                <w:rFonts w:ascii="Times New Roman" w:hAnsi="Times New Roman" w:cs="Times New Roman"/>
                <w:szCs w:val="21"/>
                <w:highlight w:val="none"/>
              </w:rPr>
              <w:t>0.2</w:t>
            </w:r>
          </w:p>
        </w:tc>
        <w:tc>
          <w:tcPr>
            <w:tcW w:w="866" w:type="dxa"/>
            <w:vAlign w:val="center"/>
          </w:tcPr>
          <w:p w14:paraId="2DA9B19F">
            <w:pPr>
              <w:widowControl/>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0.056</w:t>
            </w:r>
          </w:p>
        </w:tc>
      </w:tr>
      <w:tr w14:paraId="063B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60" w:type="dxa"/>
            <w:vMerge w:val="continue"/>
            <w:tcBorders>
              <w:bottom w:val="single" w:color="000000" w:sz="4" w:space="0"/>
            </w:tcBorders>
            <w:vAlign w:val="center"/>
          </w:tcPr>
          <w:p w14:paraId="1500882E">
            <w:pPr>
              <w:tabs>
                <w:tab w:val="left" w:pos="0"/>
                <w:tab w:val="left" w:pos="540"/>
              </w:tabs>
              <w:jc w:val="center"/>
              <w:rPr>
                <w:rFonts w:ascii="Times New Roman" w:hAnsi="Times New Roman" w:cs="Times New Roman"/>
                <w:szCs w:val="21"/>
              </w:rPr>
            </w:pPr>
          </w:p>
        </w:tc>
        <w:tc>
          <w:tcPr>
            <w:tcW w:w="849" w:type="dxa"/>
            <w:vMerge w:val="continue"/>
            <w:tcBorders>
              <w:bottom w:val="single" w:color="000000" w:sz="4" w:space="0"/>
            </w:tcBorders>
            <w:vAlign w:val="center"/>
          </w:tcPr>
          <w:p w14:paraId="7AF94B41">
            <w:pPr>
              <w:tabs>
                <w:tab w:val="left" w:pos="0"/>
                <w:tab w:val="left" w:pos="540"/>
              </w:tabs>
              <w:jc w:val="center"/>
              <w:rPr>
                <w:rFonts w:ascii="Times New Roman" w:hAnsi="Times New Roman" w:cs="Times New Roman"/>
                <w:szCs w:val="21"/>
              </w:rPr>
            </w:pPr>
          </w:p>
        </w:tc>
        <w:tc>
          <w:tcPr>
            <w:tcW w:w="738" w:type="dxa"/>
            <w:tcBorders>
              <w:bottom w:val="single" w:color="000000" w:sz="4" w:space="0"/>
            </w:tcBorders>
            <w:vAlign w:val="center"/>
          </w:tcPr>
          <w:p w14:paraId="25F002C2">
            <w:pPr>
              <w:jc w:val="center"/>
              <w:rPr>
                <w:rFonts w:ascii="Times New Roman" w:hAnsi="Times New Roman" w:cs="Times New Roman"/>
                <w:szCs w:val="21"/>
              </w:rPr>
            </w:pPr>
            <w:r>
              <w:rPr>
                <w:rFonts w:ascii="Times New Roman" w:hAnsi="Times New Roman" w:cs="Times New Roman"/>
                <w:color w:val="000000"/>
                <w:szCs w:val="21"/>
              </w:rPr>
              <w:t>非甲烷总烃</w:t>
            </w:r>
          </w:p>
        </w:tc>
        <w:tc>
          <w:tcPr>
            <w:tcW w:w="862" w:type="dxa"/>
            <w:vMerge w:val="continue"/>
            <w:tcBorders>
              <w:bottom w:val="single" w:color="000000" w:sz="4" w:space="0"/>
            </w:tcBorders>
            <w:vAlign w:val="center"/>
          </w:tcPr>
          <w:p w14:paraId="449D2648">
            <w:pPr>
              <w:jc w:val="center"/>
              <w:rPr>
                <w:rFonts w:ascii="Times New Roman" w:hAnsi="Times New Roman" w:cs="Times New Roman"/>
                <w:szCs w:val="21"/>
              </w:rPr>
            </w:pPr>
          </w:p>
        </w:tc>
        <w:tc>
          <w:tcPr>
            <w:tcW w:w="3289" w:type="dxa"/>
            <w:vMerge w:val="continue"/>
            <w:tcBorders>
              <w:bottom w:val="single" w:color="000000" w:sz="4" w:space="0"/>
            </w:tcBorders>
            <w:vAlign w:val="center"/>
          </w:tcPr>
          <w:p w14:paraId="662A9644">
            <w:pPr>
              <w:jc w:val="center"/>
              <w:rPr>
                <w:rFonts w:ascii="Times New Roman" w:hAnsi="Times New Roman" w:cs="Times New Roman"/>
                <w:szCs w:val="21"/>
              </w:rPr>
            </w:pPr>
          </w:p>
        </w:tc>
        <w:tc>
          <w:tcPr>
            <w:tcW w:w="1146" w:type="dxa"/>
            <w:tcBorders>
              <w:bottom w:val="single" w:color="000000" w:sz="4" w:space="0"/>
            </w:tcBorders>
            <w:vAlign w:val="center"/>
          </w:tcPr>
          <w:p w14:paraId="1FD41116">
            <w:pPr>
              <w:jc w:val="center"/>
              <w:rPr>
                <w:rFonts w:ascii="Times New Roman" w:hAnsi="Times New Roman" w:cs="Times New Roman"/>
                <w:szCs w:val="21"/>
                <w:highlight w:val="none"/>
              </w:rPr>
            </w:pPr>
            <w:r>
              <w:rPr>
                <w:rFonts w:ascii="Times New Roman" w:hAnsi="Times New Roman" w:cs="Times New Roman"/>
                <w:szCs w:val="21"/>
                <w:highlight w:val="none"/>
              </w:rPr>
              <w:t>2.0</w:t>
            </w:r>
          </w:p>
        </w:tc>
        <w:tc>
          <w:tcPr>
            <w:tcW w:w="866" w:type="dxa"/>
            <w:tcBorders>
              <w:bottom w:val="single" w:color="000000" w:sz="4" w:space="0"/>
            </w:tcBorders>
            <w:vAlign w:val="center"/>
          </w:tcPr>
          <w:p w14:paraId="2F15363D">
            <w:pPr>
              <w:widowControl/>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lang w:val="en-US" w:eastAsia="zh-CN"/>
              </w:rPr>
              <w:t>0.4925</w:t>
            </w:r>
          </w:p>
        </w:tc>
      </w:tr>
      <w:tr w14:paraId="3E75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310" w:type="dxa"/>
            <w:gridSpan w:val="7"/>
            <w:vAlign w:val="center"/>
          </w:tcPr>
          <w:p w14:paraId="3D833826">
            <w:pPr>
              <w:jc w:val="center"/>
              <w:rPr>
                <w:rFonts w:ascii="Times New Roman" w:hAnsi="Times New Roman" w:cs="Times New Roman"/>
                <w:szCs w:val="21"/>
              </w:rPr>
            </w:pPr>
            <w:r>
              <w:rPr>
                <w:rFonts w:ascii="Times New Roman" w:hAnsi="Times New Roman" w:cs="Times New Roman"/>
                <w:szCs w:val="21"/>
              </w:rPr>
              <w:t>无组织排放总计</w:t>
            </w:r>
          </w:p>
        </w:tc>
      </w:tr>
      <w:tr w14:paraId="0702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 w:hRule="atLeast"/>
          <w:jc w:val="center"/>
        </w:trPr>
        <w:tc>
          <w:tcPr>
            <w:tcW w:w="1409" w:type="dxa"/>
            <w:gridSpan w:val="2"/>
            <w:vMerge w:val="restart"/>
            <w:vAlign w:val="center"/>
          </w:tcPr>
          <w:p w14:paraId="366E010C">
            <w:pPr>
              <w:jc w:val="center"/>
              <w:rPr>
                <w:rFonts w:ascii="Times New Roman" w:hAnsi="Times New Roman" w:cs="Times New Roman"/>
                <w:szCs w:val="21"/>
              </w:rPr>
            </w:pPr>
            <w:r>
              <w:rPr>
                <w:rFonts w:ascii="Times New Roman" w:hAnsi="Times New Roman" w:cs="Times New Roman"/>
                <w:szCs w:val="21"/>
              </w:rPr>
              <w:t>无组织排放总计</w:t>
            </w:r>
          </w:p>
        </w:tc>
        <w:tc>
          <w:tcPr>
            <w:tcW w:w="6035" w:type="dxa"/>
            <w:gridSpan w:val="4"/>
            <w:tcBorders>
              <w:bottom w:val="single" w:color="auto" w:sz="4" w:space="0"/>
            </w:tcBorders>
            <w:vAlign w:val="center"/>
          </w:tcPr>
          <w:p w14:paraId="0BC282F2">
            <w:pPr>
              <w:jc w:val="center"/>
              <w:rPr>
                <w:rFonts w:ascii="Times New Roman" w:hAnsi="Times New Roman" w:cs="Times New Roman"/>
                <w:szCs w:val="21"/>
              </w:rPr>
            </w:pPr>
            <w:r>
              <w:rPr>
                <w:rFonts w:ascii="Times New Roman" w:hAnsi="Times New Roman" w:cs="Times New Roman"/>
                <w:szCs w:val="21"/>
              </w:rPr>
              <w:t>颗粒物</w:t>
            </w:r>
          </w:p>
        </w:tc>
        <w:tc>
          <w:tcPr>
            <w:tcW w:w="866" w:type="dxa"/>
            <w:tcBorders>
              <w:bottom w:val="single" w:color="auto" w:sz="4" w:space="0"/>
            </w:tcBorders>
            <w:vAlign w:val="center"/>
          </w:tcPr>
          <w:p w14:paraId="3831A0FA">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rPr>
              <w:t>0.</w:t>
            </w:r>
            <w:r>
              <w:rPr>
                <w:rFonts w:hint="eastAsia" w:ascii="Times New Roman" w:hAnsi="Times New Roman" w:cs="Times New Roman"/>
                <w:szCs w:val="21"/>
                <w:lang w:val="en-US" w:eastAsia="zh-CN"/>
              </w:rPr>
              <w:t>463</w:t>
            </w:r>
          </w:p>
        </w:tc>
      </w:tr>
      <w:tr w14:paraId="704B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1409" w:type="dxa"/>
            <w:gridSpan w:val="2"/>
            <w:vMerge w:val="continue"/>
            <w:vAlign w:val="center"/>
          </w:tcPr>
          <w:p w14:paraId="2C280C48">
            <w:pPr>
              <w:jc w:val="center"/>
              <w:rPr>
                <w:rFonts w:ascii="Times New Roman" w:hAnsi="Times New Roman" w:cs="Times New Roman"/>
                <w:szCs w:val="21"/>
              </w:rPr>
            </w:pPr>
          </w:p>
        </w:tc>
        <w:tc>
          <w:tcPr>
            <w:tcW w:w="6035" w:type="dxa"/>
            <w:gridSpan w:val="4"/>
            <w:tcBorders>
              <w:bottom w:val="single" w:color="000000" w:sz="4" w:space="0"/>
            </w:tcBorders>
            <w:vAlign w:val="center"/>
          </w:tcPr>
          <w:p w14:paraId="49AF46BA">
            <w:pPr>
              <w:jc w:val="center"/>
              <w:rPr>
                <w:rFonts w:ascii="Times New Roman" w:hAnsi="Times New Roman" w:cs="Times New Roman"/>
                <w:szCs w:val="21"/>
              </w:rPr>
            </w:pPr>
            <w:r>
              <w:rPr>
                <w:rFonts w:ascii="Times New Roman" w:hAnsi="Times New Roman" w:cs="Times New Roman"/>
                <w:szCs w:val="21"/>
              </w:rPr>
              <w:t>苯</w:t>
            </w:r>
          </w:p>
        </w:tc>
        <w:tc>
          <w:tcPr>
            <w:tcW w:w="866" w:type="dxa"/>
            <w:tcBorders>
              <w:bottom w:val="single" w:color="000000" w:sz="4" w:space="0"/>
            </w:tcBorders>
            <w:vAlign w:val="center"/>
          </w:tcPr>
          <w:p w14:paraId="1D32BC7E">
            <w:pPr>
              <w:widowControl/>
              <w:jc w:val="center"/>
              <w:rPr>
                <w:rFonts w:hint="eastAsia" w:ascii="Times New Roman" w:hAnsi="Times New Roman" w:cs="Times New Roman"/>
                <w:szCs w:val="21"/>
              </w:rPr>
            </w:pPr>
            <w:r>
              <w:rPr>
                <w:rFonts w:hint="eastAsia" w:ascii="Times New Roman" w:hAnsi="Times New Roman" w:cs="Times New Roman"/>
                <w:szCs w:val="21"/>
                <w:highlight w:val="none"/>
                <w:lang w:val="en-US" w:eastAsia="zh-CN"/>
              </w:rPr>
              <w:t>0.0056</w:t>
            </w:r>
          </w:p>
        </w:tc>
      </w:tr>
      <w:tr w14:paraId="2E71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09" w:type="dxa"/>
            <w:gridSpan w:val="2"/>
            <w:vMerge w:val="continue"/>
            <w:vAlign w:val="center"/>
          </w:tcPr>
          <w:p w14:paraId="43DCB6A8">
            <w:pPr>
              <w:jc w:val="center"/>
              <w:rPr>
                <w:rFonts w:ascii="Times New Roman" w:hAnsi="Times New Roman" w:cs="Times New Roman"/>
                <w:szCs w:val="21"/>
              </w:rPr>
            </w:pPr>
          </w:p>
        </w:tc>
        <w:tc>
          <w:tcPr>
            <w:tcW w:w="6035" w:type="dxa"/>
            <w:gridSpan w:val="4"/>
            <w:vAlign w:val="center"/>
          </w:tcPr>
          <w:p w14:paraId="35190507">
            <w:pPr>
              <w:jc w:val="center"/>
              <w:rPr>
                <w:rFonts w:ascii="Times New Roman" w:hAnsi="Times New Roman" w:cs="Times New Roman"/>
                <w:szCs w:val="21"/>
              </w:rPr>
            </w:pPr>
            <w:r>
              <w:rPr>
                <w:rFonts w:ascii="Times New Roman" w:hAnsi="Times New Roman" w:cs="Times New Roman"/>
                <w:szCs w:val="21"/>
              </w:rPr>
              <w:t>甲苯</w:t>
            </w:r>
          </w:p>
        </w:tc>
        <w:tc>
          <w:tcPr>
            <w:tcW w:w="866" w:type="dxa"/>
            <w:vAlign w:val="center"/>
          </w:tcPr>
          <w:p w14:paraId="7365067A">
            <w:pPr>
              <w:widowControl/>
              <w:jc w:val="center"/>
              <w:rPr>
                <w:rFonts w:ascii="Times New Roman" w:hAnsi="Times New Roman" w:cs="Times New Roman"/>
                <w:szCs w:val="21"/>
              </w:rPr>
            </w:pPr>
            <w:r>
              <w:rPr>
                <w:rFonts w:hint="eastAsia" w:ascii="Times New Roman" w:hAnsi="Times New Roman" w:cs="Times New Roman"/>
                <w:szCs w:val="21"/>
                <w:highlight w:val="none"/>
              </w:rPr>
              <w:t>0.0</w:t>
            </w:r>
            <w:r>
              <w:rPr>
                <w:rFonts w:hint="eastAsia" w:ascii="Times New Roman" w:hAnsi="Times New Roman" w:cs="Times New Roman"/>
                <w:szCs w:val="21"/>
                <w:highlight w:val="none"/>
                <w:lang w:val="en-US" w:eastAsia="zh-CN"/>
              </w:rPr>
              <w:t>252</w:t>
            </w:r>
          </w:p>
        </w:tc>
      </w:tr>
      <w:tr w14:paraId="2A0C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09" w:type="dxa"/>
            <w:gridSpan w:val="2"/>
            <w:vMerge w:val="continue"/>
            <w:vAlign w:val="center"/>
          </w:tcPr>
          <w:p w14:paraId="14FBB283">
            <w:pPr>
              <w:jc w:val="center"/>
              <w:rPr>
                <w:rFonts w:ascii="Times New Roman" w:hAnsi="Times New Roman" w:cs="Times New Roman"/>
                <w:szCs w:val="21"/>
              </w:rPr>
            </w:pPr>
          </w:p>
        </w:tc>
        <w:tc>
          <w:tcPr>
            <w:tcW w:w="6035" w:type="dxa"/>
            <w:gridSpan w:val="4"/>
            <w:vAlign w:val="center"/>
          </w:tcPr>
          <w:p w14:paraId="782B4D4B">
            <w:pPr>
              <w:jc w:val="center"/>
              <w:rPr>
                <w:rFonts w:ascii="Times New Roman" w:hAnsi="Times New Roman" w:cs="Times New Roman"/>
                <w:szCs w:val="21"/>
              </w:rPr>
            </w:pPr>
            <w:r>
              <w:rPr>
                <w:rFonts w:ascii="Times New Roman" w:hAnsi="Times New Roman" w:cs="Times New Roman"/>
                <w:szCs w:val="21"/>
              </w:rPr>
              <w:t>二甲苯</w:t>
            </w:r>
          </w:p>
        </w:tc>
        <w:tc>
          <w:tcPr>
            <w:tcW w:w="866" w:type="dxa"/>
            <w:vAlign w:val="center"/>
          </w:tcPr>
          <w:p w14:paraId="0A56F0E8">
            <w:pPr>
              <w:widowControl/>
              <w:jc w:val="center"/>
              <w:rPr>
                <w:rFonts w:ascii="Times New Roman" w:hAnsi="Times New Roman" w:cs="Times New Roman"/>
                <w:szCs w:val="21"/>
              </w:rPr>
            </w:pPr>
            <w:r>
              <w:rPr>
                <w:rFonts w:hint="eastAsia" w:ascii="Times New Roman" w:hAnsi="Times New Roman" w:cs="Times New Roman"/>
                <w:szCs w:val="21"/>
                <w:highlight w:val="none"/>
                <w:lang w:val="en-US" w:eastAsia="zh-CN"/>
              </w:rPr>
              <w:t>0.056</w:t>
            </w:r>
          </w:p>
        </w:tc>
      </w:tr>
      <w:tr w14:paraId="120B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09" w:type="dxa"/>
            <w:gridSpan w:val="2"/>
            <w:vMerge w:val="continue"/>
            <w:vAlign w:val="center"/>
          </w:tcPr>
          <w:p w14:paraId="7DA33562">
            <w:pPr>
              <w:jc w:val="center"/>
              <w:rPr>
                <w:rFonts w:ascii="Times New Roman" w:hAnsi="Times New Roman" w:cs="Times New Roman"/>
                <w:szCs w:val="21"/>
              </w:rPr>
            </w:pPr>
          </w:p>
        </w:tc>
        <w:tc>
          <w:tcPr>
            <w:tcW w:w="6035" w:type="dxa"/>
            <w:gridSpan w:val="4"/>
            <w:vAlign w:val="center"/>
          </w:tcPr>
          <w:p w14:paraId="49CC0465">
            <w:pPr>
              <w:jc w:val="center"/>
              <w:rPr>
                <w:rFonts w:ascii="Times New Roman" w:hAnsi="Times New Roman" w:cs="Times New Roman"/>
                <w:szCs w:val="21"/>
              </w:rPr>
            </w:pPr>
            <w:r>
              <w:rPr>
                <w:rFonts w:ascii="Times New Roman" w:hAnsi="Times New Roman" w:cs="Times New Roman"/>
                <w:szCs w:val="21"/>
              </w:rPr>
              <w:t>非甲烷总烃</w:t>
            </w:r>
          </w:p>
        </w:tc>
        <w:tc>
          <w:tcPr>
            <w:tcW w:w="866" w:type="dxa"/>
            <w:vAlign w:val="center"/>
          </w:tcPr>
          <w:p w14:paraId="7B744077">
            <w:pPr>
              <w:widowControl/>
              <w:jc w:val="center"/>
              <w:rPr>
                <w:rFonts w:hint="default" w:ascii="Times New Roman" w:hAnsi="Times New Roman" w:cs="Times New Roman"/>
                <w:szCs w:val="21"/>
                <w:lang w:val="en-US"/>
              </w:rPr>
            </w:pPr>
            <w:r>
              <w:rPr>
                <w:rFonts w:hint="eastAsia" w:ascii="Times New Roman" w:hAnsi="Times New Roman" w:cs="Times New Roman"/>
                <w:szCs w:val="21"/>
                <w:highlight w:val="none"/>
                <w:lang w:val="en-US" w:eastAsia="zh-CN"/>
              </w:rPr>
              <w:t>0.4925</w:t>
            </w:r>
          </w:p>
        </w:tc>
      </w:tr>
    </w:tbl>
    <w:p w14:paraId="73550735">
      <w:pPr>
        <w:numPr>
          <w:ilvl w:val="0"/>
          <w:numId w:val="59"/>
        </w:numPr>
        <w:autoSpaceDE w:val="0"/>
        <w:autoSpaceDN w:val="0"/>
        <w:adjustRightInd w:val="0"/>
        <w:snapToGrid w:val="0"/>
        <w:jc w:val="center"/>
        <w:rPr>
          <w:rFonts w:ascii="Times New Roman" w:hAnsi="Times New Roman" w:eastAsia="宋体" w:cs="Times New Roman"/>
          <w:b/>
          <w:szCs w:val="22"/>
        </w:rPr>
      </w:pPr>
      <w:r>
        <w:rPr>
          <w:rFonts w:ascii="Times New Roman" w:hAnsi="Times New Roman" w:eastAsia="宋体" w:cs="Times New Roman"/>
          <w:b/>
          <w:szCs w:val="22"/>
        </w:rPr>
        <w:t xml:space="preserve">  </w:t>
      </w:r>
      <w:r>
        <w:rPr>
          <w:rFonts w:ascii="Times New Roman" w:hAnsi="Times New Roman" w:cs="Times New Roman"/>
          <w:b/>
          <w:szCs w:val="22"/>
        </w:rPr>
        <w:t>本项目</w:t>
      </w:r>
      <w:r>
        <w:rPr>
          <w:rFonts w:ascii="Times New Roman" w:hAnsi="Times New Roman" w:eastAsia="宋体" w:cs="Times New Roman"/>
          <w:b/>
          <w:szCs w:val="22"/>
        </w:rPr>
        <w:t>大气污染物年排放量核算表</w:t>
      </w:r>
    </w:p>
    <w:tbl>
      <w:tblPr>
        <w:tblStyle w:val="30"/>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8"/>
        <w:gridCol w:w="2839"/>
        <w:gridCol w:w="2839"/>
      </w:tblGrid>
      <w:tr w14:paraId="3060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838" w:type="dxa"/>
            <w:vAlign w:val="center"/>
          </w:tcPr>
          <w:p w14:paraId="6630FA3D">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kern w:val="0"/>
                <w:szCs w:val="21"/>
                <w:lang w:bidi="ar"/>
              </w:rPr>
              <w:t>序号</w:t>
            </w:r>
          </w:p>
        </w:tc>
        <w:tc>
          <w:tcPr>
            <w:tcW w:w="2839" w:type="dxa"/>
            <w:vAlign w:val="center"/>
          </w:tcPr>
          <w:p w14:paraId="733C09EB">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kern w:val="0"/>
                <w:szCs w:val="21"/>
                <w:lang w:bidi="ar"/>
              </w:rPr>
              <w:t>污染物</w:t>
            </w:r>
          </w:p>
        </w:tc>
        <w:tc>
          <w:tcPr>
            <w:tcW w:w="2839" w:type="dxa"/>
            <w:vAlign w:val="center"/>
          </w:tcPr>
          <w:p w14:paraId="226249B8">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kern w:val="0"/>
                <w:szCs w:val="21"/>
                <w:lang w:bidi="ar"/>
              </w:rPr>
              <w:t>年排放量/（t/a）</w:t>
            </w:r>
          </w:p>
        </w:tc>
      </w:tr>
      <w:tr w14:paraId="3FA5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838" w:type="dxa"/>
            <w:vAlign w:val="center"/>
          </w:tcPr>
          <w:p w14:paraId="7FD90CFA">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kern w:val="0"/>
                <w:szCs w:val="21"/>
                <w:lang w:bidi="ar"/>
              </w:rPr>
              <w:t>1</w:t>
            </w:r>
          </w:p>
        </w:tc>
        <w:tc>
          <w:tcPr>
            <w:tcW w:w="2839" w:type="dxa"/>
            <w:vAlign w:val="center"/>
          </w:tcPr>
          <w:p w14:paraId="20716A31">
            <w:pPr>
              <w:jc w:val="center"/>
              <w:rPr>
                <w:rFonts w:ascii="Times New Roman" w:hAnsi="Times New Roman" w:eastAsia="宋体" w:cs="Times New Roman"/>
                <w:bCs/>
                <w:szCs w:val="21"/>
              </w:rPr>
            </w:pPr>
            <w:r>
              <w:rPr>
                <w:rFonts w:ascii="Times New Roman" w:hAnsi="Times New Roman" w:cs="Times New Roman"/>
                <w:color w:val="000000"/>
                <w:szCs w:val="21"/>
              </w:rPr>
              <w:t>颗粒物</w:t>
            </w:r>
          </w:p>
        </w:tc>
        <w:tc>
          <w:tcPr>
            <w:tcW w:w="2839" w:type="dxa"/>
            <w:vAlign w:val="center"/>
          </w:tcPr>
          <w:p w14:paraId="1179AFCB">
            <w:pPr>
              <w:widowControl/>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0.8112</w:t>
            </w:r>
          </w:p>
        </w:tc>
      </w:tr>
      <w:tr w14:paraId="4413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838" w:type="dxa"/>
            <w:vAlign w:val="center"/>
          </w:tcPr>
          <w:p w14:paraId="69995E94">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2</w:t>
            </w:r>
          </w:p>
        </w:tc>
        <w:tc>
          <w:tcPr>
            <w:tcW w:w="2839" w:type="dxa"/>
            <w:vAlign w:val="center"/>
          </w:tcPr>
          <w:p w14:paraId="34F29FC9">
            <w:pPr>
              <w:jc w:val="center"/>
              <w:rPr>
                <w:rFonts w:ascii="Times New Roman" w:hAnsi="Times New Roman" w:cs="Times New Roman"/>
                <w:color w:val="000000"/>
                <w:szCs w:val="21"/>
              </w:rPr>
            </w:pPr>
            <w:r>
              <w:rPr>
                <w:rFonts w:ascii="Times New Roman" w:hAnsi="Times New Roman" w:cs="Times New Roman"/>
                <w:color w:val="000000"/>
                <w:szCs w:val="21"/>
              </w:rPr>
              <w:t>苯</w:t>
            </w:r>
          </w:p>
        </w:tc>
        <w:tc>
          <w:tcPr>
            <w:tcW w:w="2839" w:type="dxa"/>
            <w:vAlign w:val="center"/>
          </w:tcPr>
          <w:p w14:paraId="7ADAE65C">
            <w:pPr>
              <w:widowControl/>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0.0191</w:t>
            </w:r>
          </w:p>
        </w:tc>
      </w:tr>
      <w:tr w14:paraId="0122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8" w:type="dxa"/>
            <w:vAlign w:val="center"/>
          </w:tcPr>
          <w:p w14:paraId="5A06435C">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kern w:val="0"/>
                <w:szCs w:val="21"/>
                <w:lang w:bidi="ar"/>
              </w:rPr>
              <w:t>3</w:t>
            </w:r>
          </w:p>
        </w:tc>
        <w:tc>
          <w:tcPr>
            <w:tcW w:w="2839" w:type="dxa"/>
            <w:vAlign w:val="center"/>
          </w:tcPr>
          <w:p w14:paraId="63BD5736">
            <w:pPr>
              <w:jc w:val="center"/>
              <w:rPr>
                <w:rFonts w:ascii="Times New Roman" w:hAnsi="Times New Roman" w:eastAsia="宋体" w:cs="Times New Roman"/>
                <w:bCs/>
                <w:szCs w:val="21"/>
              </w:rPr>
            </w:pPr>
            <w:r>
              <w:rPr>
                <w:rFonts w:ascii="Times New Roman" w:hAnsi="Times New Roman" w:cs="Times New Roman"/>
                <w:color w:val="000000"/>
                <w:szCs w:val="21"/>
              </w:rPr>
              <w:t>甲苯</w:t>
            </w:r>
          </w:p>
        </w:tc>
        <w:tc>
          <w:tcPr>
            <w:tcW w:w="2839" w:type="dxa"/>
            <w:vAlign w:val="center"/>
          </w:tcPr>
          <w:p w14:paraId="29A191E5">
            <w:pPr>
              <w:widowControl/>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0.086</w:t>
            </w:r>
          </w:p>
        </w:tc>
      </w:tr>
      <w:tr w14:paraId="676A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8" w:type="dxa"/>
            <w:vAlign w:val="center"/>
          </w:tcPr>
          <w:p w14:paraId="71BF0332">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kern w:val="0"/>
                <w:szCs w:val="21"/>
                <w:lang w:bidi="ar"/>
              </w:rPr>
              <w:t>4</w:t>
            </w:r>
          </w:p>
        </w:tc>
        <w:tc>
          <w:tcPr>
            <w:tcW w:w="2839" w:type="dxa"/>
            <w:vAlign w:val="center"/>
          </w:tcPr>
          <w:p w14:paraId="1EC1BE32">
            <w:pPr>
              <w:jc w:val="center"/>
              <w:rPr>
                <w:rFonts w:ascii="Times New Roman" w:hAnsi="Times New Roman" w:eastAsia="宋体" w:cs="Times New Roman"/>
                <w:bCs/>
                <w:szCs w:val="21"/>
              </w:rPr>
            </w:pPr>
            <w:r>
              <w:rPr>
                <w:rFonts w:ascii="Times New Roman" w:hAnsi="Times New Roman" w:cs="Times New Roman"/>
                <w:color w:val="000000"/>
                <w:szCs w:val="21"/>
              </w:rPr>
              <w:t>二甲苯</w:t>
            </w:r>
          </w:p>
        </w:tc>
        <w:tc>
          <w:tcPr>
            <w:tcW w:w="2839" w:type="dxa"/>
            <w:vAlign w:val="center"/>
          </w:tcPr>
          <w:p w14:paraId="72F6DE25">
            <w:pPr>
              <w:widowControl/>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0.1911</w:t>
            </w:r>
          </w:p>
        </w:tc>
      </w:tr>
      <w:tr w14:paraId="2485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8" w:type="dxa"/>
            <w:vAlign w:val="center"/>
          </w:tcPr>
          <w:p w14:paraId="418BBEDC">
            <w:pPr>
              <w:widowControl/>
              <w:jc w:val="center"/>
              <w:textAlignment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kern w:val="0"/>
                <w:szCs w:val="21"/>
                <w:lang w:val="en-US" w:eastAsia="zh-CN" w:bidi="ar"/>
              </w:rPr>
              <w:t>5</w:t>
            </w:r>
          </w:p>
        </w:tc>
        <w:tc>
          <w:tcPr>
            <w:tcW w:w="2839" w:type="dxa"/>
            <w:vAlign w:val="center"/>
          </w:tcPr>
          <w:p w14:paraId="2098671B">
            <w:pPr>
              <w:jc w:val="center"/>
              <w:rPr>
                <w:rFonts w:ascii="Times New Roman" w:hAnsi="Times New Roman" w:eastAsia="宋体" w:cs="Times New Roman"/>
                <w:bCs/>
                <w:szCs w:val="21"/>
              </w:rPr>
            </w:pPr>
            <w:r>
              <w:rPr>
                <w:rFonts w:ascii="Times New Roman" w:hAnsi="Times New Roman" w:cs="Times New Roman"/>
                <w:color w:val="000000"/>
                <w:szCs w:val="21"/>
              </w:rPr>
              <w:t>非甲烷总烃</w:t>
            </w:r>
          </w:p>
        </w:tc>
        <w:tc>
          <w:tcPr>
            <w:tcW w:w="2839" w:type="dxa"/>
            <w:vAlign w:val="center"/>
          </w:tcPr>
          <w:p w14:paraId="2B29429B">
            <w:pPr>
              <w:widowControl/>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1.6398</w:t>
            </w:r>
          </w:p>
        </w:tc>
      </w:tr>
    </w:tbl>
    <w:p w14:paraId="0F828FAD">
      <w:pPr>
        <w:numPr>
          <w:ilvl w:val="0"/>
          <w:numId w:val="59"/>
        </w:numPr>
        <w:autoSpaceDE w:val="0"/>
        <w:autoSpaceDN w:val="0"/>
        <w:adjustRightInd w:val="0"/>
        <w:snapToGrid w:val="0"/>
        <w:jc w:val="center"/>
        <w:rPr>
          <w:rFonts w:ascii="Times New Roman" w:hAnsi="Times New Roman" w:eastAsia="宋体" w:cs="Times New Roman"/>
          <w:b/>
          <w:szCs w:val="21"/>
          <w:lang w:bidi="ar"/>
        </w:rPr>
      </w:pPr>
      <w:r>
        <w:rPr>
          <w:rFonts w:ascii="Times New Roman" w:hAnsi="Times New Roman" w:eastAsia="宋体" w:cs="Times New Roman"/>
          <w:b/>
          <w:szCs w:val="21"/>
        </w:rPr>
        <w:t xml:space="preserve"> </w:t>
      </w:r>
      <w:r>
        <w:rPr>
          <w:rFonts w:hint="eastAsia" w:ascii="Times New Roman" w:hAnsi="Times New Roman" w:eastAsia="宋体" w:cs="Times New Roman"/>
          <w:b/>
          <w:szCs w:val="21"/>
          <w:lang w:bidi="ar"/>
        </w:rPr>
        <w:t xml:space="preserve"> </w:t>
      </w:r>
      <w:r>
        <w:rPr>
          <w:rFonts w:ascii="Times New Roman" w:hAnsi="Times New Roman" w:eastAsia="宋体" w:cs="Times New Roman"/>
          <w:b/>
          <w:szCs w:val="21"/>
          <w:lang w:bidi="ar"/>
        </w:rPr>
        <w:t>大气环境影响评价自查表</w:t>
      </w:r>
    </w:p>
    <w:tbl>
      <w:tblPr>
        <w:tblStyle w:val="30"/>
        <w:tblW w:w="8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9"/>
        <w:gridCol w:w="1157"/>
        <w:gridCol w:w="892"/>
        <w:gridCol w:w="278"/>
        <w:gridCol w:w="642"/>
        <w:gridCol w:w="713"/>
        <w:gridCol w:w="501"/>
        <w:gridCol w:w="568"/>
        <w:gridCol w:w="1074"/>
        <w:gridCol w:w="891"/>
        <w:gridCol w:w="735"/>
      </w:tblGrid>
      <w:tr w14:paraId="63FE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17" w:type="dxa"/>
            <w:gridSpan w:val="2"/>
            <w:tcBorders>
              <w:top w:val="single" w:color="auto" w:sz="4" w:space="0"/>
              <w:left w:val="single" w:color="auto" w:sz="4" w:space="0"/>
              <w:bottom w:val="single" w:color="auto" w:sz="4" w:space="0"/>
              <w:right w:val="single" w:color="auto" w:sz="4" w:space="0"/>
            </w:tcBorders>
            <w:vAlign w:val="center"/>
          </w:tcPr>
          <w:p w14:paraId="2A2D83DE">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工作内容</w:t>
            </w:r>
          </w:p>
        </w:tc>
        <w:tc>
          <w:tcPr>
            <w:tcW w:w="6293" w:type="dxa"/>
            <w:gridSpan w:val="9"/>
            <w:tcBorders>
              <w:top w:val="single" w:color="auto" w:sz="4" w:space="0"/>
              <w:left w:val="single" w:color="auto" w:sz="4" w:space="0"/>
              <w:bottom w:val="single" w:color="auto" w:sz="4" w:space="0"/>
              <w:right w:val="single" w:color="auto" w:sz="4" w:space="0"/>
            </w:tcBorders>
            <w:vAlign w:val="center"/>
          </w:tcPr>
          <w:p w14:paraId="24EFC07D">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自查项目</w:t>
            </w:r>
          </w:p>
        </w:tc>
      </w:tr>
      <w:tr w14:paraId="528B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restart"/>
            <w:tcBorders>
              <w:top w:val="single" w:color="auto" w:sz="4" w:space="0"/>
              <w:left w:val="single" w:color="auto" w:sz="4" w:space="0"/>
              <w:right w:val="single" w:color="auto" w:sz="4" w:space="0"/>
            </w:tcBorders>
            <w:vAlign w:val="center"/>
          </w:tcPr>
          <w:p w14:paraId="45A36CBD">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评价等级与范围</w:t>
            </w:r>
          </w:p>
        </w:tc>
        <w:tc>
          <w:tcPr>
            <w:tcW w:w="1157" w:type="dxa"/>
            <w:tcBorders>
              <w:top w:val="single" w:color="auto" w:sz="4" w:space="0"/>
              <w:left w:val="single" w:color="auto" w:sz="4" w:space="0"/>
              <w:bottom w:val="single" w:color="auto" w:sz="4" w:space="0"/>
              <w:right w:val="single" w:color="auto" w:sz="4" w:space="0"/>
            </w:tcBorders>
            <w:vAlign w:val="center"/>
          </w:tcPr>
          <w:p w14:paraId="39B6A1C3">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评价等级</w:t>
            </w:r>
          </w:p>
        </w:tc>
        <w:tc>
          <w:tcPr>
            <w:tcW w:w="1812" w:type="dxa"/>
            <w:gridSpan w:val="3"/>
            <w:tcBorders>
              <w:top w:val="single" w:color="auto" w:sz="4" w:space="0"/>
              <w:left w:val="single" w:color="auto" w:sz="4" w:space="0"/>
              <w:bottom w:val="single" w:color="auto" w:sz="4" w:space="0"/>
              <w:right w:val="single" w:color="auto" w:sz="4" w:space="0"/>
            </w:tcBorders>
            <w:vAlign w:val="center"/>
          </w:tcPr>
          <w:p w14:paraId="1513B2AB">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一级</w:t>
            </w:r>
            <w:r>
              <w:rPr>
                <w:rFonts w:ascii="Times New Roman" w:hAnsi="Times New Roman" w:eastAsia="Times New Roman" w:cs="Times New Roman"/>
                <w:kern w:val="0"/>
                <w:szCs w:val="21"/>
              </w:rPr>
              <w:sym w:font="Wingdings 2" w:char="00A3"/>
            </w:r>
          </w:p>
        </w:tc>
        <w:tc>
          <w:tcPr>
            <w:tcW w:w="2855" w:type="dxa"/>
            <w:gridSpan w:val="4"/>
            <w:tcBorders>
              <w:top w:val="single" w:color="auto" w:sz="4" w:space="0"/>
              <w:left w:val="single" w:color="auto" w:sz="4" w:space="0"/>
              <w:bottom w:val="single" w:color="auto" w:sz="4" w:space="0"/>
              <w:right w:val="single" w:color="auto" w:sz="4" w:space="0"/>
            </w:tcBorders>
            <w:vAlign w:val="center"/>
          </w:tcPr>
          <w:p w14:paraId="145135F8">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二级</w:t>
            </w:r>
            <w:r>
              <w:rPr>
                <w:rFonts w:ascii="Times New Roman" w:hAnsi="Times New Roman" w:eastAsia="Times New Roman" w:cs="Times New Roman"/>
                <w:kern w:val="0"/>
                <w:szCs w:val="21"/>
              </w:rPr>
              <w:sym w:font="Wingdings 2" w:char="0052"/>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4A3967E0">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三级</w:t>
            </w:r>
            <w:r>
              <w:rPr>
                <w:rFonts w:ascii="Times New Roman" w:hAnsi="Times New Roman" w:eastAsia="Times New Roman" w:cs="Times New Roman"/>
                <w:kern w:val="0"/>
                <w:szCs w:val="21"/>
              </w:rPr>
              <w:t>□</w:t>
            </w:r>
          </w:p>
        </w:tc>
      </w:tr>
      <w:tr w14:paraId="5731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bottom w:val="single" w:color="auto" w:sz="4" w:space="0"/>
              <w:right w:val="single" w:color="auto" w:sz="4" w:space="0"/>
            </w:tcBorders>
            <w:vAlign w:val="center"/>
          </w:tcPr>
          <w:p w14:paraId="2F515A68">
            <w:pPr>
              <w:adjustRightInd w:val="0"/>
              <w:snapToGrid w:val="0"/>
              <w:jc w:val="center"/>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29198BB2">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评价范围</w:t>
            </w:r>
          </w:p>
        </w:tc>
        <w:tc>
          <w:tcPr>
            <w:tcW w:w="1812" w:type="dxa"/>
            <w:gridSpan w:val="3"/>
            <w:tcBorders>
              <w:top w:val="single" w:color="auto" w:sz="4" w:space="0"/>
              <w:left w:val="single" w:color="auto" w:sz="4" w:space="0"/>
              <w:bottom w:val="single" w:color="auto" w:sz="4" w:space="0"/>
              <w:right w:val="single" w:color="auto" w:sz="4" w:space="0"/>
            </w:tcBorders>
            <w:vAlign w:val="center"/>
          </w:tcPr>
          <w:p w14:paraId="587D5D81">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边长</w:t>
            </w:r>
            <w:r>
              <w:rPr>
                <w:rFonts w:ascii="Times New Roman" w:hAnsi="Times New Roman" w:eastAsia="Times New Roman" w:cs="Times New Roman"/>
                <w:kern w:val="0"/>
                <w:szCs w:val="21"/>
              </w:rPr>
              <w:t>=50km□</w:t>
            </w:r>
          </w:p>
        </w:tc>
        <w:tc>
          <w:tcPr>
            <w:tcW w:w="2855" w:type="dxa"/>
            <w:gridSpan w:val="4"/>
            <w:tcBorders>
              <w:top w:val="single" w:color="auto" w:sz="4" w:space="0"/>
              <w:left w:val="single" w:color="auto" w:sz="4" w:space="0"/>
              <w:bottom w:val="single" w:color="auto" w:sz="4" w:space="0"/>
              <w:right w:val="single" w:color="auto" w:sz="4" w:space="0"/>
            </w:tcBorders>
            <w:vAlign w:val="center"/>
          </w:tcPr>
          <w:p w14:paraId="6974B0DE">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边长</w:t>
            </w:r>
            <w:r>
              <w:rPr>
                <w:rFonts w:ascii="Times New Roman" w:hAnsi="Times New Roman" w:eastAsia="Times New Roman" w:cs="Times New Roman"/>
                <w:spacing w:val="-51"/>
                <w:kern w:val="0"/>
                <w:szCs w:val="21"/>
              </w:rPr>
              <w:t xml:space="preserve"> </w:t>
            </w:r>
            <w:r>
              <w:rPr>
                <w:rFonts w:ascii="Times New Roman" w:hAnsi="Times New Roman" w:eastAsia="Times New Roman" w:cs="Times New Roman"/>
                <w:kern w:val="0"/>
                <w:szCs w:val="21"/>
              </w:rPr>
              <w:t>5</w:t>
            </w:r>
            <w:r>
              <w:rPr>
                <w:rFonts w:ascii="Times New Roman" w:hAnsi="Times New Roman" w:eastAsia="宋体" w:cs="Times New Roman"/>
                <w:kern w:val="0"/>
                <w:szCs w:val="21"/>
              </w:rPr>
              <w:t>～</w:t>
            </w:r>
            <w:r>
              <w:rPr>
                <w:rFonts w:ascii="Times New Roman" w:hAnsi="Times New Roman" w:eastAsia="Times New Roman" w:cs="Times New Roman"/>
                <w:kern w:val="0"/>
                <w:szCs w:val="21"/>
              </w:rPr>
              <w:t>50km□</w:t>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49ED9D78">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边长</w:t>
            </w:r>
            <w:r>
              <w:rPr>
                <w:rFonts w:ascii="Times New Roman" w:hAnsi="Times New Roman" w:eastAsia="Times New Roman" w:cs="Times New Roman"/>
                <w:kern w:val="0"/>
                <w:szCs w:val="21"/>
              </w:rPr>
              <w:t>=5 km</w:t>
            </w:r>
            <w:r>
              <w:rPr>
                <w:rFonts w:ascii="Times New Roman" w:hAnsi="Times New Roman" w:eastAsia="Times New Roman" w:cs="Times New Roman"/>
                <w:kern w:val="0"/>
                <w:szCs w:val="21"/>
              </w:rPr>
              <w:sym w:font="Wingdings 2" w:char="F052"/>
            </w:r>
          </w:p>
        </w:tc>
      </w:tr>
      <w:tr w14:paraId="0312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restart"/>
            <w:tcBorders>
              <w:top w:val="single" w:color="auto" w:sz="4" w:space="0"/>
              <w:left w:val="single" w:color="auto" w:sz="4" w:space="0"/>
              <w:right w:val="single" w:color="auto" w:sz="4" w:space="0"/>
            </w:tcBorders>
            <w:vAlign w:val="center"/>
          </w:tcPr>
          <w:p w14:paraId="12E10BF4">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评价因子</w:t>
            </w:r>
          </w:p>
        </w:tc>
        <w:tc>
          <w:tcPr>
            <w:tcW w:w="1157" w:type="dxa"/>
            <w:tcBorders>
              <w:top w:val="single" w:color="auto" w:sz="4" w:space="0"/>
              <w:left w:val="single" w:color="auto" w:sz="4" w:space="0"/>
              <w:bottom w:val="single" w:color="auto" w:sz="4" w:space="0"/>
              <w:right w:val="single" w:color="auto" w:sz="4" w:space="0"/>
            </w:tcBorders>
            <w:vAlign w:val="center"/>
          </w:tcPr>
          <w:p w14:paraId="0D6FDE21">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Times New Roman" w:cs="Times New Roman"/>
                <w:kern w:val="0"/>
                <w:position w:val="1"/>
                <w:szCs w:val="21"/>
              </w:rPr>
              <w:t>SO</w:t>
            </w:r>
            <w:r>
              <w:rPr>
                <w:rFonts w:ascii="Times New Roman" w:hAnsi="Times New Roman" w:eastAsia="Times New Roman" w:cs="Times New Roman"/>
                <w:kern w:val="0"/>
                <w:szCs w:val="21"/>
                <w:vertAlign w:val="subscript"/>
              </w:rPr>
              <w:t>2</w:t>
            </w:r>
            <w:r>
              <w:rPr>
                <w:rFonts w:ascii="Times New Roman" w:hAnsi="Times New Roman" w:eastAsia="Times New Roman" w:cs="Times New Roman"/>
                <w:kern w:val="0"/>
                <w:szCs w:val="21"/>
              </w:rPr>
              <w:t xml:space="preserve"> </w:t>
            </w:r>
            <w:r>
              <w:rPr>
                <w:rFonts w:ascii="Times New Roman" w:hAnsi="Times New Roman" w:eastAsia="Times New Roman" w:cs="Times New Roman"/>
                <w:kern w:val="0"/>
                <w:position w:val="1"/>
                <w:szCs w:val="21"/>
              </w:rPr>
              <w:t>+NO</w:t>
            </w:r>
            <w:r>
              <w:rPr>
                <w:rFonts w:ascii="Times New Roman" w:hAnsi="Times New Roman" w:eastAsia="Times New Roman" w:cs="Times New Roman"/>
                <w:i/>
                <w:kern w:val="0"/>
                <w:szCs w:val="21"/>
                <w:vertAlign w:val="subscript"/>
              </w:rPr>
              <w:t>x</w:t>
            </w:r>
            <w:r>
              <w:rPr>
                <w:rFonts w:ascii="Times New Roman" w:hAnsi="Times New Roman" w:eastAsia="宋体" w:cs="Times New Roman"/>
                <w:kern w:val="0"/>
                <w:position w:val="1"/>
                <w:szCs w:val="21"/>
              </w:rPr>
              <w:t>排放量</w:t>
            </w:r>
          </w:p>
        </w:tc>
        <w:tc>
          <w:tcPr>
            <w:tcW w:w="1812" w:type="dxa"/>
            <w:gridSpan w:val="3"/>
            <w:tcBorders>
              <w:top w:val="single" w:color="auto" w:sz="4" w:space="0"/>
              <w:left w:val="single" w:color="auto" w:sz="4" w:space="0"/>
              <w:bottom w:val="single" w:color="auto" w:sz="4" w:space="0"/>
              <w:right w:val="single" w:color="auto" w:sz="4" w:space="0"/>
            </w:tcBorders>
            <w:vAlign w:val="center"/>
          </w:tcPr>
          <w:p w14:paraId="608D4219">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Times New Roman" w:cs="Times New Roman"/>
                <w:kern w:val="0"/>
                <w:szCs w:val="21"/>
              </w:rPr>
              <w:t>≥ 2000t/a□</w:t>
            </w:r>
          </w:p>
        </w:tc>
        <w:tc>
          <w:tcPr>
            <w:tcW w:w="2855" w:type="dxa"/>
            <w:gridSpan w:val="4"/>
            <w:tcBorders>
              <w:top w:val="single" w:color="auto" w:sz="4" w:space="0"/>
              <w:left w:val="single" w:color="auto" w:sz="4" w:space="0"/>
              <w:bottom w:val="single" w:color="auto" w:sz="4" w:space="0"/>
              <w:right w:val="single" w:color="auto" w:sz="4" w:space="0"/>
            </w:tcBorders>
            <w:vAlign w:val="center"/>
          </w:tcPr>
          <w:p w14:paraId="65409E49">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Times New Roman" w:cs="Times New Roman"/>
                <w:kern w:val="0"/>
                <w:szCs w:val="21"/>
              </w:rPr>
              <w:t>500 ~ 2000t/a□</w:t>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17F74777">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w:t>
            </w:r>
            <w:r>
              <w:rPr>
                <w:rFonts w:ascii="Times New Roman" w:hAnsi="Times New Roman" w:eastAsia="Times New Roman" w:cs="Times New Roman"/>
                <w:kern w:val="0"/>
                <w:szCs w:val="21"/>
              </w:rPr>
              <w:t>500 t/a</w:t>
            </w:r>
            <w:r>
              <w:rPr>
                <w:rFonts w:ascii="Times New Roman" w:hAnsi="Times New Roman" w:eastAsia="Times New Roman" w:cs="Times New Roman"/>
                <w:kern w:val="0"/>
                <w:szCs w:val="21"/>
              </w:rPr>
              <w:sym w:font="Wingdings 2" w:char="F052"/>
            </w:r>
          </w:p>
        </w:tc>
      </w:tr>
      <w:tr w14:paraId="4DBF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bottom w:val="single" w:color="auto" w:sz="4" w:space="0"/>
              <w:right w:val="single" w:color="auto" w:sz="4" w:space="0"/>
            </w:tcBorders>
            <w:vAlign w:val="center"/>
          </w:tcPr>
          <w:p w14:paraId="4C252A3C">
            <w:pPr>
              <w:adjustRightInd w:val="0"/>
              <w:snapToGrid w:val="0"/>
              <w:jc w:val="center"/>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3692825E">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评价因子</w:t>
            </w:r>
          </w:p>
        </w:tc>
        <w:tc>
          <w:tcPr>
            <w:tcW w:w="4667" w:type="dxa"/>
            <w:gridSpan w:val="7"/>
            <w:tcBorders>
              <w:top w:val="single" w:color="auto" w:sz="4" w:space="0"/>
              <w:left w:val="single" w:color="auto" w:sz="4" w:space="0"/>
              <w:bottom w:val="single" w:color="auto" w:sz="4" w:space="0"/>
              <w:right w:val="single" w:color="auto" w:sz="4" w:space="0"/>
            </w:tcBorders>
            <w:vAlign w:val="center"/>
          </w:tcPr>
          <w:p w14:paraId="0D0B6C7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基本污染物</w:t>
            </w:r>
            <w:r>
              <w:rPr>
                <w:rFonts w:ascii="Times New Roman" w:hAnsi="Times New Roman" w:eastAsia="宋体" w:cs="Times New Roman"/>
                <w:spacing w:val="1"/>
                <w:szCs w:val="21"/>
              </w:rPr>
              <w:t xml:space="preserve"> ：</w:t>
            </w:r>
            <w:r>
              <w:rPr>
                <w:rFonts w:ascii="Times New Roman" w:hAnsi="Times New Roman" w:eastAsia="宋体" w:cs="Times New Roman"/>
                <w:szCs w:val="21"/>
              </w:rPr>
              <w:t>(SO</w:t>
            </w:r>
            <w:r>
              <w:rPr>
                <w:rFonts w:ascii="Times New Roman" w:hAnsi="Times New Roman" w:eastAsia="宋体" w:cs="Times New Roman"/>
                <w:szCs w:val="21"/>
                <w:vertAlign w:val="subscript"/>
              </w:rPr>
              <w:t>2</w:t>
            </w:r>
            <w:r>
              <w:rPr>
                <w:rFonts w:ascii="Times New Roman" w:hAnsi="Times New Roman" w:eastAsia="宋体" w:cs="Times New Roman"/>
                <w:szCs w:val="21"/>
              </w:rPr>
              <w:t>、NO</w:t>
            </w:r>
            <w:r>
              <w:rPr>
                <w:rFonts w:ascii="Times New Roman" w:hAnsi="Times New Roman" w:eastAsia="宋体" w:cs="Times New Roman"/>
                <w:szCs w:val="21"/>
                <w:vertAlign w:val="subscript"/>
              </w:rPr>
              <w:t>2</w:t>
            </w:r>
            <w:r>
              <w:rPr>
                <w:rFonts w:ascii="Times New Roman" w:hAnsi="Times New Roman" w:eastAsia="宋体" w:cs="Times New Roman"/>
                <w:szCs w:val="21"/>
              </w:rPr>
              <w:t>、CO、O</w:t>
            </w:r>
            <w:r>
              <w:rPr>
                <w:rFonts w:ascii="Times New Roman" w:hAnsi="Times New Roman" w:eastAsia="宋体" w:cs="Times New Roman"/>
                <w:szCs w:val="21"/>
                <w:vertAlign w:val="subscript"/>
              </w:rPr>
              <w:t>3</w:t>
            </w:r>
            <w:r>
              <w:rPr>
                <w:rFonts w:ascii="Times New Roman" w:hAnsi="Times New Roman" w:eastAsia="宋体" w:cs="Times New Roman"/>
                <w:szCs w:val="21"/>
              </w:rPr>
              <w:t>、PM</w:t>
            </w:r>
            <w:r>
              <w:rPr>
                <w:rFonts w:ascii="Times New Roman" w:hAnsi="Times New Roman" w:eastAsia="宋体" w:cs="Times New Roman"/>
                <w:szCs w:val="21"/>
                <w:vertAlign w:val="subscript"/>
              </w:rPr>
              <w:t>10</w:t>
            </w:r>
            <w:r>
              <w:rPr>
                <w:rFonts w:ascii="Times New Roman" w:hAnsi="Times New Roman" w:eastAsia="宋体" w:cs="Times New Roman"/>
                <w:szCs w:val="21"/>
              </w:rPr>
              <w:t>、PM</w:t>
            </w:r>
            <w:r>
              <w:rPr>
                <w:rFonts w:ascii="Times New Roman" w:hAnsi="Times New Roman" w:eastAsia="宋体" w:cs="Times New Roman"/>
                <w:szCs w:val="21"/>
                <w:vertAlign w:val="subscript"/>
              </w:rPr>
              <w:t>2.5</w:t>
            </w:r>
            <w:r>
              <w:rPr>
                <w:rFonts w:ascii="Times New Roman" w:hAnsi="Times New Roman" w:eastAsia="宋体" w:cs="Times New Roman"/>
                <w:szCs w:val="21"/>
              </w:rPr>
              <w:t>)</w:t>
            </w:r>
          </w:p>
          <w:p w14:paraId="6535E33B">
            <w:pPr>
              <w:tabs>
                <w:tab w:val="left" w:pos="3065"/>
              </w:tabs>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其他污染</w:t>
            </w:r>
            <w:r>
              <w:rPr>
                <w:rFonts w:ascii="Times New Roman" w:hAnsi="Times New Roman" w:eastAsia="宋体" w:cs="Times New Roman"/>
                <w:kern w:val="0"/>
                <w:position w:val="1"/>
                <w:szCs w:val="21"/>
              </w:rPr>
              <w:t>物：(</w:t>
            </w:r>
            <w:r>
              <w:rPr>
                <w:rFonts w:hint="eastAsia" w:ascii="Times New Roman" w:hAnsi="Times New Roman" w:eastAsia="宋体" w:cs="Times New Roman"/>
                <w:kern w:val="0"/>
                <w:position w:val="1"/>
                <w:szCs w:val="21"/>
                <w:lang w:val="en-US" w:eastAsia="zh-CN"/>
              </w:rPr>
              <w:t>苯、</w:t>
            </w:r>
            <w:r>
              <w:rPr>
                <w:rFonts w:hint="eastAsia" w:ascii="Times New Roman" w:hAnsi="Times New Roman" w:eastAsia="宋体" w:cs="Times New Roman"/>
                <w:kern w:val="0"/>
                <w:position w:val="1"/>
                <w:szCs w:val="21"/>
              </w:rPr>
              <w:t>甲苯、二甲苯、非甲烷总烃</w:t>
            </w:r>
            <w:r>
              <w:rPr>
                <w:rFonts w:ascii="Times New Roman" w:hAnsi="Times New Roman" w:eastAsia="宋体" w:cs="Times New Roman"/>
                <w:kern w:val="0"/>
                <w:position w:val="1"/>
                <w:szCs w:val="21"/>
              </w:rPr>
              <w:t>)</w:t>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00C1BCBC">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position w:val="1"/>
                <w:szCs w:val="21"/>
                <w:lang w:eastAsia="en-US"/>
              </w:rPr>
              <w:t>包括二次</w:t>
            </w:r>
            <w:r>
              <w:rPr>
                <w:rFonts w:ascii="Times New Roman" w:hAnsi="Times New Roman" w:eastAsia="Times New Roman" w:cs="Times New Roman"/>
                <w:kern w:val="0"/>
                <w:position w:val="1"/>
                <w:szCs w:val="21"/>
                <w:lang w:eastAsia="en-US"/>
              </w:rPr>
              <w:t xml:space="preserve"> PM</w:t>
            </w:r>
            <w:r>
              <w:rPr>
                <w:rFonts w:ascii="Times New Roman" w:hAnsi="Times New Roman" w:eastAsia="Times New Roman" w:cs="Times New Roman"/>
                <w:kern w:val="0"/>
                <w:szCs w:val="21"/>
                <w:vertAlign w:val="subscript"/>
                <w:lang w:eastAsia="en-US"/>
              </w:rPr>
              <w:t>2.5</w:t>
            </w:r>
            <w:r>
              <w:rPr>
                <w:rFonts w:ascii="Times New Roman" w:hAnsi="Times New Roman" w:eastAsia="Times New Roman" w:cs="Times New Roman"/>
                <w:kern w:val="0"/>
                <w:position w:val="1"/>
                <w:szCs w:val="21"/>
                <w:lang w:eastAsia="en-US"/>
              </w:rPr>
              <w:t>□</w:t>
            </w:r>
          </w:p>
          <w:p w14:paraId="09C78890">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position w:val="1"/>
                <w:szCs w:val="21"/>
                <w:lang w:eastAsia="en-US"/>
              </w:rPr>
              <w:t>不包括二次</w:t>
            </w:r>
            <w:r>
              <w:rPr>
                <w:rFonts w:ascii="Times New Roman" w:hAnsi="Times New Roman" w:eastAsia="Times New Roman" w:cs="Times New Roman"/>
                <w:kern w:val="0"/>
                <w:position w:val="1"/>
                <w:szCs w:val="21"/>
                <w:lang w:eastAsia="en-US"/>
              </w:rPr>
              <w:t xml:space="preserve"> PM</w:t>
            </w:r>
            <w:r>
              <w:rPr>
                <w:rFonts w:ascii="Times New Roman" w:hAnsi="Times New Roman" w:eastAsia="Times New Roman" w:cs="Times New Roman"/>
                <w:kern w:val="0"/>
                <w:szCs w:val="21"/>
                <w:vertAlign w:val="subscript"/>
                <w:lang w:eastAsia="en-US"/>
              </w:rPr>
              <w:t>2.5</w:t>
            </w:r>
            <w:r>
              <w:rPr>
                <w:rFonts w:ascii="Times New Roman" w:hAnsi="Times New Roman" w:eastAsia="Times New Roman" w:cs="Times New Roman"/>
                <w:kern w:val="0"/>
                <w:szCs w:val="21"/>
              </w:rPr>
              <w:sym w:font="Wingdings 2" w:char="F052"/>
            </w:r>
          </w:p>
        </w:tc>
      </w:tr>
      <w:tr w14:paraId="54A5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tcBorders>
              <w:top w:val="single" w:color="auto" w:sz="4" w:space="0"/>
              <w:left w:val="single" w:color="auto" w:sz="4" w:space="0"/>
              <w:bottom w:val="single" w:color="auto" w:sz="4" w:space="0"/>
              <w:right w:val="single" w:color="auto" w:sz="4" w:space="0"/>
            </w:tcBorders>
            <w:vAlign w:val="center"/>
          </w:tcPr>
          <w:p w14:paraId="31C588F9">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评价标准</w:t>
            </w:r>
          </w:p>
        </w:tc>
        <w:tc>
          <w:tcPr>
            <w:tcW w:w="1157" w:type="dxa"/>
            <w:tcBorders>
              <w:top w:val="single" w:color="auto" w:sz="4" w:space="0"/>
              <w:left w:val="single" w:color="auto" w:sz="4" w:space="0"/>
              <w:bottom w:val="single" w:color="auto" w:sz="4" w:space="0"/>
              <w:right w:val="single" w:color="auto" w:sz="4" w:space="0"/>
            </w:tcBorders>
            <w:vAlign w:val="center"/>
          </w:tcPr>
          <w:p w14:paraId="407DA242">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评价标准</w:t>
            </w:r>
          </w:p>
        </w:tc>
        <w:tc>
          <w:tcPr>
            <w:tcW w:w="1811" w:type="dxa"/>
            <w:gridSpan w:val="3"/>
            <w:tcBorders>
              <w:top w:val="single" w:color="auto" w:sz="4" w:space="0"/>
              <w:left w:val="single" w:color="auto" w:sz="4" w:space="0"/>
              <w:bottom w:val="single" w:color="auto" w:sz="4" w:space="0"/>
              <w:right w:val="single" w:color="auto" w:sz="4" w:space="0"/>
            </w:tcBorders>
            <w:vAlign w:val="center"/>
          </w:tcPr>
          <w:p w14:paraId="4238FDAB">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国家标准</w:t>
            </w:r>
            <w:r>
              <w:rPr>
                <w:rFonts w:ascii="Times New Roman" w:hAnsi="Times New Roman" w:eastAsia="Times New Roman" w:cs="Times New Roman"/>
                <w:kern w:val="0"/>
                <w:szCs w:val="21"/>
              </w:rPr>
              <w:sym w:font="Wingdings 2" w:char="F052"/>
            </w:r>
          </w:p>
        </w:tc>
        <w:tc>
          <w:tcPr>
            <w:tcW w:w="1782" w:type="dxa"/>
            <w:gridSpan w:val="3"/>
            <w:tcBorders>
              <w:top w:val="single" w:color="auto" w:sz="4" w:space="0"/>
              <w:left w:val="single" w:color="auto" w:sz="4" w:space="0"/>
              <w:bottom w:val="single" w:color="auto" w:sz="4" w:space="0"/>
              <w:right w:val="single" w:color="auto" w:sz="4" w:space="0"/>
            </w:tcBorders>
            <w:vAlign w:val="center"/>
          </w:tcPr>
          <w:p w14:paraId="781C110F">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地方标准</w:t>
            </w:r>
            <w:r>
              <w:rPr>
                <w:rFonts w:ascii="Times New Roman" w:hAnsi="Times New Roman" w:eastAsia="Times New Roman" w:cs="Times New Roman"/>
                <w:kern w:val="0"/>
                <w:position w:val="1"/>
                <w:szCs w:val="21"/>
                <w:lang w:eastAsia="en-US"/>
              </w:rPr>
              <w:t>□</w:t>
            </w:r>
          </w:p>
        </w:tc>
        <w:tc>
          <w:tcPr>
            <w:tcW w:w="1074" w:type="dxa"/>
            <w:tcBorders>
              <w:top w:val="single" w:color="auto" w:sz="4" w:space="0"/>
              <w:left w:val="single" w:color="auto" w:sz="4" w:space="0"/>
              <w:bottom w:val="single" w:color="auto" w:sz="4" w:space="0"/>
              <w:right w:val="single" w:color="auto" w:sz="4" w:space="0"/>
            </w:tcBorders>
            <w:vAlign w:val="center"/>
          </w:tcPr>
          <w:p w14:paraId="724212BC">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附录</w:t>
            </w:r>
            <w:r>
              <w:rPr>
                <w:rFonts w:ascii="Times New Roman" w:hAnsi="Times New Roman" w:eastAsia="Times New Roman" w:cs="Times New Roman"/>
                <w:kern w:val="0"/>
                <w:szCs w:val="21"/>
                <w:lang w:eastAsia="en-US"/>
              </w:rPr>
              <w:t xml:space="preserve"> D </w:t>
            </w:r>
            <w:r>
              <w:rPr>
                <w:rFonts w:ascii="Times New Roman" w:hAnsi="Times New Roman" w:eastAsia="Times New Roman" w:cs="Times New Roman"/>
                <w:kern w:val="0"/>
                <w:szCs w:val="21"/>
              </w:rPr>
              <w:sym w:font="Wingdings 2" w:char="F052"/>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3C5FD981">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其他标准</w:t>
            </w:r>
            <w:r>
              <w:rPr>
                <w:rFonts w:ascii="Times New Roman" w:hAnsi="Times New Roman" w:eastAsia="Times New Roman" w:cs="Times New Roman"/>
                <w:kern w:val="0"/>
                <w:szCs w:val="21"/>
              </w:rPr>
              <w:sym w:font="Wingdings 2" w:char="F052"/>
            </w:r>
          </w:p>
        </w:tc>
      </w:tr>
      <w:tr w14:paraId="0FC4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restart"/>
            <w:tcBorders>
              <w:top w:val="single" w:color="auto" w:sz="4" w:space="0"/>
              <w:left w:val="single" w:color="auto" w:sz="4" w:space="0"/>
              <w:right w:val="single" w:color="auto" w:sz="4" w:space="0"/>
            </w:tcBorders>
            <w:vAlign w:val="center"/>
          </w:tcPr>
          <w:p w14:paraId="55FE5728">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现状评价</w:t>
            </w:r>
          </w:p>
        </w:tc>
        <w:tc>
          <w:tcPr>
            <w:tcW w:w="1157" w:type="dxa"/>
            <w:tcBorders>
              <w:top w:val="single" w:color="auto" w:sz="4" w:space="0"/>
              <w:left w:val="single" w:color="auto" w:sz="4" w:space="0"/>
              <w:bottom w:val="single" w:color="auto" w:sz="4" w:space="0"/>
              <w:right w:val="single" w:color="auto" w:sz="4" w:space="0"/>
            </w:tcBorders>
            <w:vAlign w:val="center"/>
          </w:tcPr>
          <w:p w14:paraId="1EB020E6">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环境功能区</w:t>
            </w:r>
          </w:p>
        </w:tc>
        <w:tc>
          <w:tcPr>
            <w:tcW w:w="1811" w:type="dxa"/>
            <w:gridSpan w:val="3"/>
            <w:tcBorders>
              <w:top w:val="single" w:color="auto" w:sz="4" w:space="0"/>
              <w:left w:val="single" w:color="auto" w:sz="4" w:space="0"/>
              <w:bottom w:val="single" w:color="auto" w:sz="4" w:space="0"/>
              <w:right w:val="single" w:color="auto" w:sz="4" w:space="0"/>
            </w:tcBorders>
            <w:vAlign w:val="center"/>
          </w:tcPr>
          <w:p w14:paraId="7F4744B9">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一类区</w:t>
            </w:r>
            <w:r>
              <w:rPr>
                <w:rFonts w:ascii="Times New Roman" w:hAnsi="Times New Roman" w:eastAsia="Times New Roman" w:cs="Times New Roman"/>
                <w:kern w:val="0"/>
                <w:szCs w:val="21"/>
                <w:lang w:eastAsia="en-US"/>
              </w:rPr>
              <w:t>□</w:t>
            </w:r>
          </w:p>
        </w:tc>
        <w:tc>
          <w:tcPr>
            <w:tcW w:w="2856" w:type="dxa"/>
            <w:gridSpan w:val="4"/>
            <w:tcBorders>
              <w:top w:val="single" w:color="auto" w:sz="4" w:space="0"/>
              <w:left w:val="single" w:color="auto" w:sz="4" w:space="0"/>
              <w:bottom w:val="single" w:color="auto" w:sz="4" w:space="0"/>
              <w:right w:val="single" w:color="auto" w:sz="4" w:space="0"/>
            </w:tcBorders>
            <w:vAlign w:val="center"/>
          </w:tcPr>
          <w:p w14:paraId="7A821DD3">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二类区</w:t>
            </w:r>
            <w:r>
              <w:rPr>
                <w:rFonts w:ascii="Times New Roman" w:hAnsi="Times New Roman" w:eastAsia="Times New Roman" w:cs="Times New Roman"/>
                <w:kern w:val="0"/>
                <w:szCs w:val="21"/>
              </w:rPr>
              <w:sym w:font="Wingdings 2" w:char="F052"/>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70E458E5">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一类区和二类区</w:t>
            </w:r>
            <w:r>
              <w:rPr>
                <w:rFonts w:ascii="Times New Roman" w:hAnsi="Times New Roman" w:eastAsia="Times New Roman" w:cs="Times New Roman"/>
                <w:kern w:val="0"/>
                <w:szCs w:val="21"/>
                <w:lang w:eastAsia="en-US"/>
              </w:rPr>
              <w:t>□</w:t>
            </w:r>
          </w:p>
        </w:tc>
      </w:tr>
      <w:tr w14:paraId="0F8A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right w:val="single" w:color="auto" w:sz="4" w:space="0"/>
            </w:tcBorders>
            <w:vAlign w:val="center"/>
          </w:tcPr>
          <w:p w14:paraId="6EC2EFC8">
            <w:pPr>
              <w:adjustRightInd w:val="0"/>
              <w:snapToGrid w:val="0"/>
              <w:jc w:val="center"/>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20F8D166">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评价基准年</w:t>
            </w:r>
          </w:p>
        </w:tc>
        <w:tc>
          <w:tcPr>
            <w:tcW w:w="6293" w:type="dxa"/>
            <w:gridSpan w:val="9"/>
            <w:tcBorders>
              <w:top w:val="single" w:color="auto" w:sz="4" w:space="0"/>
              <w:left w:val="single" w:color="auto" w:sz="4" w:space="0"/>
              <w:bottom w:val="single" w:color="auto" w:sz="4" w:space="0"/>
              <w:right w:val="single" w:color="auto" w:sz="4" w:space="0"/>
            </w:tcBorders>
            <w:vAlign w:val="center"/>
          </w:tcPr>
          <w:p w14:paraId="2925E8D7">
            <w:pPr>
              <w:tabs>
                <w:tab w:val="left" w:pos="642"/>
              </w:tabs>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w:t>
            </w:r>
            <w:r>
              <w:rPr>
                <w:rFonts w:ascii="Times New Roman" w:hAnsi="Times New Roman" w:eastAsia="宋体" w:cs="Times New Roman"/>
                <w:kern w:val="0"/>
                <w:szCs w:val="21"/>
              </w:rPr>
              <w:t>202</w:t>
            </w:r>
            <w:r>
              <w:rPr>
                <w:rFonts w:hint="eastAsia" w:ascii="Times New Roman" w:hAnsi="Times New Roman" w:eastAsia="宋体" w:cs="Times New Roman"/>
                <w:kern w:val="0"/>
                <w:szCs w:val="21"/>
                <w:lang w:val="en-US" w:eastAsia="zh-CN"/>
              </w:rPr>
              <w:t>2</w:t>
            </w:r>
            <w:r>
              <w:rPr>
                <w:rFonts w:ascii="Times New Roman" w:hAnsi="Times New Roman" w:eastAsia="宋体" w:cs="Times New Roman"/>
                <w:kern w:val="0"/>
                <w:szCs w:val="21"/>
                <w:lang w:eastAsia="en-US"/>
              </w:rPr>
              <w:t>）年</w:t>
            </w:r>
          </w:p>
        </w:tc>
      </w:tr>
      <w:tr w14:paraId="1A8F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right w:val="single" w:color="auto" w:sz="4" w:space="0"/>
            </w:tcBorders>
            <w:vAlign w:val="center"/>
          </w:tcPr>
          <w:p w14:paraId="485ABECE">
            <w:pPr>
              <w:widowControl/>
              <w:jc w:val="left"/>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7D7F9140">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环境空气质量现状调查数据来源</w:t>
            </w:r>
          </w:p>
        </w:tc>
        <w:tc>
          <w:tcPr>
            <w:tcW w:w="1811" w:type="dxa"/>
            <w:gridSpan w:val="3"/>
            <w:tcBorders>
              <w:top w:val="single" w:color="auto" w:sz="4" w:space="0"/>
              <w:left w:val="single" w:color="auto" w:sz="4" w:space="0"/>
              <w:bottom w:val="single" w:color="auto" w:sz="4" w:space="0"/>
              <w:right w:val="single" w:color="auto" w:sz="4" w:space="0"/>
            </w:tcBorders>
            <w:vAlign w:val="center"/>
          </w:tcPr>
          <w:p w14:paraId="0022E8E6">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长期例行监测数据</w:t>
            </w:r>
            <w:r>
              <w:rPr>
                <w:rFonts w:ascii="Times New Roman" w:hAnsi="Times New Roman" w:eastAsia="Times New Roman" w:cs="Times New Roman"/>
                <w:kern w:val="0"/>
                <w:szCs w:val="21"/>
                <w:lang w:eastAsia="en-US"/>
              </w:rPr>
              <w:t>□</w:t>
            </w:r>
          </w:p>
        </w:tc>
        <w:tc>
          <w:tcPr>
            <w:tcW w:w="2856" w:type="dxa"/>
            <w:gridSpan w:val="4"/>
            <w:tcBorders>
              <w:top w:val="single" w:color="auto" w:sz="4" w:space="0"/>
              <w:left w:val="single" w:color="auto" w:sz="4" w:space="0"/>
              <w:bottom w:val="single" w:color="auto" w:sz="4" w:space="0"/>
              <w:right w:val="single" w:color="auto" w:sz="4" w:space="0"/>
            </w:tcBorders>
            <w:vAlign w:val="center"/>
          </w:tcPr>
          <w:p w14:paraId="1F51504C">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主管部门发布的数据</w:t>
            </w:r>
            <w:r>
              <w:rPr>
                <w:rFonts w:ascii="Times New Roman" w:hAnsi="Times New Roman" w:eastAsia="Times New Roman" w:cs="Times New Roman"/>
                <w:kern w:val="0"/>
                <w:szCs w:val="21"/>
              </w:rPr>
              <w:sym w:font="Wingdings 2" w:char="F052"/>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428894E4">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现状补充监测</w:t>
            </w:r>
            <w:r>
              <w:rPr>
                <w:rFonts w:ascii="Times New Roman" w:hAnsi="Times New Roman" w:eastAsia="Times New Roman" w:cs="Times New Roman"/>
                <w:kern w:val="0"/>
                <w:szCs w:val="21"/>
              </w:rPr>
              <w:sym w:font="Wingdings 2" w:char="F052"/>
            </w:r>
          </w:p>
        </w:tc>
      </w:tr>
      <w:tr w14:paraId="07A9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bottom w:val="single" w:color="auto" w:sz="4" w:space="0"/>
              <w:right w:val="single" w:color="auto" w:sz="4" w:space="0"/>
            </w:tcBorders>
            <w:vAlign w:val="center"/>
          </w:tcPr>
          <w:p w14:paraId="059A3E83">
            <w:pPr>
              <w:widowControl/>
              <w:jc w:val="left"/>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54549D82">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现状评价</w:t>
            </w:r>
          </w:p>
        </w:tc>
        <w:tc>
          <w:tcPr>
            <w:tcW w:w="3593" w:type="dxa"/>
            <w:gridSpan w:val="6"/>
            <w:tcBorders>
              <w:top w:val="single" w:color="auto" w:sz="4" w:space="0"/>
              <w:left w:val="single" w:color="auto" w:sz="4" w:space="0"/>
              <w:bottom w:val="single" w:color="auto" w:sz="4" w:space="0"/>
              <w:right w:val="single" w:color="auto" w:sz="4" w:space="0"/>
            </w:tcBorders>
            <w:vAlign w:val="center"/>
          </w:tcPr>
          <w:p w14:paraId="6AA1FD3F">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达标区</w:t>
            </w:r>
            <w:r>
              <w:rPr>
                <w:rFonts w:ascii="Times New Roman" w:hAnsi="Times New Roman" w:eastAsia="Times New Roman" w:cs="Times New Roman"/>
                <w:kern w:val="0"/>
                <w:szCs w:val="21"/>
              </w:rPr>
              <w:sym w:font="Wingdings 2" w:char="00A3"/>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0859A324">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不达标区</w:t>
            </w:r>
            <w:r>
              <w:rPr>
                <w:rFonts w:ascii="Times New Roman" w:hAnsi="Times New Roman" w:eastAsia="Times New Roman" w:cs="Times New Roman"/>
                <w:kern w:val="0"/>
                <w:szCs w:val="21"/>
                <w:lang w:eastAsia="en-US"/>
              </w:rPr>
              <w:sym w:font="Wingdings 2" w:char="0052"/>
            </w:r>
          </w:p>
        </w:tc>
      </w:tr>
      <w:tr w14:paraId="6BAC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tcBorders>
              <w:top w:val="single" w:color="auto" w:sz="4" w:space="0"/>
              <w:left w:val="single" w:color="auto" w:sz="4" w:space="0"/>
              <w:bottom w:val="single" w:color="auto" w:sz="4" w:space="0"/>
              <w:right w:val="single" w:color="auto" w:sz="4" w:space="0"/>
            </w:tcBorders>
            <w:vAlign w:val="center"/>
          </w:tcPr>
          <w:p w14:paraId="5E2F7483">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污染源调查</w:t>
            </w:r>
          </w:p>
        </w:tc>
        <w:tc>
          <w:tcPr>
            <w:tcW w:w="1157" w:type="dxa"/>
            <w:tcBorders>
              <w:top w:val="single" w:color="auto" w:sz="4" w:space="0"/>
              <w:left w:val="single" w:color="auto" w:sz="4" w:space="0"/>
              <w:bottom w:val="single" w:color="auto" w:sz="4" w:space="0"/>
              <w:right w:val="single" w:color="auto" w:sz="4" w:space="0"/>
            </w:tcBorders>
            <w:vAlign w:val="center"/>
          </w:tcPr>
          <w:p w14:paraId="7E9E4EDD">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调查内容</w:t>
            </w:r>
          </w:p>
        </w:tc>
        <w:tc>
          <w:tcPr>
            <w:tcW w:w="1811" w:type="dxa"/>
            <w:gridSpan w:val="3"/>
            <w:tcBorders>
              <w:top w:val="single" w:color="auto" w:sz="4" w:space="0"/>
              <w:left w:val="single" w:color="auto" w:sz="4" w:space="0"/>
              <w:bottom w:val="single" w:color="auto" w:sz="4" w:space="0"/>
              <w:right w:val="single" w:color="auto" w:sz="4" w:space="0"/>
            </w:tcBorders>
            <w:vAlign w:val="center"/>
          </w:tcPr>
          <w:p w14:paraId="2EB2F2F3">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本项目正常排放源</w:t>
            </w:r>
            <w:r>
              <w:rPr>
                <w:rFonts w:ascii="Times New Roman" w:hAnsi="Times New Roman" w:eastAsia="Times New Roman" w:cs="Times New Roman"/>
                <w:kern w:val="0"/>
                <w:szCs w:val="21"/>
              </w:rPr>
              <w:sym w:font="Wingdings 2" w:char="F052"/>
            </w:r>
          </w:p>
          <w:p w14:paraId="1364FB33">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本项目非正常排放源</w:t>
            </w:r>
            <w:r>
              <w:rPr>
                <w:rFonts w:ascii="Times New Roman" w:hAnsi="Times New Roman" w:eastAsia="Times New Roman" w:cs="Times New Roman"/>
                <w:kern w:val="0"/>
                <w:szCs w:val="21"/>
              </w:rPr>
              <w:sym w:font="Wingdings 2" w:char="0052"/>
            </w:r>
            <w:r>
              <w:rPr>
                <w:rFonts w:ascii="Times New Roman" w:hAnsi="Times New Roman" w:eastAsia="宋体" w:cs="Times New Roman"/>
                <w:kern w:val="0"/>
                <w:szCs w:val="21"/>
              </w:rPr>
              <w:t>现有污染源</w:t>
            </w:r>
            <w:r>
              <w:rPr>
                <w:rFonts w:ascii="Times New Roman" w:hAnsi="Times New Roman" w:eastAsia="Times New Roman" w:cs="Times New Roman"/>
                <w:kern w:val="0"/>
                <w:szCs w:val="21"/>
              </w:rPr>
              <w:t>□</w:t>
            </w:r>
          </w:p>
        </w:tc>
        <w:tc>
          <w:tcPr>
            <w:tcW w:w="1782" w:type="dxa"/>
            <w:gridSpan w:val="3"/>
            <w:tcBorders>
              <w:top w:val="single" w:color="auto" w:sz="4" w:space="0"/>
              <w:left w:val="single" w:color="auto" w:sz="4" w:space="0"/>
              <w:bottom w:val="single" w:color="auto" w:sz="4" w:space="0"/>
              <w:right w:val="single" w:color="auto" w:sz="4" w:space="0"/>
            </w:tcBorders>
            <w:vAlign w:val="center"/>
          </w:tcPr>
          <w:p w14:paraId="66BAD836">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拟替代的污染源</w:t>
            </w:r>
            <w:r>
              <w:rPr>
                <w:rFonts w:ascii="Times New Roman" w:hAnsi="Times New Roman" w:eastAsia="Times New Roman" w:cs="Times New Roman"/>
                <w:kern w:val="0"/>
                <w:szCs w:val="21"/>
                <w:lang w:eastAsia="en-US"/>
              </w:rPr>
              <w:t>□</w:t>
            </w:r>
          </w:p>
        </w:tc>
        <w:tc>
          <w:tcPr>
            <w:tcW w:w="1074" w:type="dxa"/>
            <w:tcBorders>
              <w:top w:val="single" w:color="auto" w:sz="4" w:space="0"/>
              <w:left w:val="single" w:color="auto" w:sz="4" w:space="0"/>
              <w:bottom w:val="single" w:color="auto" w:sz="4" w:space="0"/>
              <w:right w:val="single" w:color="auto" w:sz="4" w:space="0"/>
            </w:tcBorders>
            <w:vAlign w:val="center"/>
          </w:tcPr>
          <w:p w14:paraId="76DF0401">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其他在建、拟建项目污</w:t>
            </w:r>
            <w:r>
              <w:rPr>
                <w:rFonts w:ascii="Times New Roman" w:hAnsi="Times New Roman" w:eastAsia="Times New Roman" w:cs="Times New Roman"/>
                <w:kern w:val="0"/>
                <w:szCs w:val="21"/>
              </w:rPr>
              <w:sym w:font="Wingdings 2" w:char="0052"/>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411F387E">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lang w:eastAsia="en-US"/>
              </w:rPr>
              <w:t>区域污染源</w:t>
            </w:r>
            <w:r>
              <w:rPr>
                <w:rFonts w:ascii="Times New Roman" w:hAnsi="Times New Roman" w:eastAsia="Times New Roman" w:cs="Times New Roman"/>
                <w:kern w:val="0"/>
                <w:szCs w:val="21"/>
                <w:lang w:eastAsia="en-US"/>
              </w:rPr>
              <w:t>□</w:t>
            </w:r>
          </w:p>
        </w:tc>
      </w:tr>
      <w:tr w14:paraId="35F0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restart"/>
            <w:tcBorders>
              <w:top w:val="single" w:color="auto" w:sz="4" w:space="0"/>
              <w:left w:val="single" w:color="auto" w:sz="4" w:space="0"/>
              <w:right w:val="single" w:color="auto" w:sz="4" w:space="0"/>
            </w:tcBorders>
            <w:vAlign w:val="center"/>
          </w:tcPr>
          <w:p w14:paraId="5035421D">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大气环境影响预测与评价</w:t>
            </w:r>
          </w:p>
        </w:tc>
        <w:tc>
          <w:tcPr>
            <w:tcW w:w="1157" w:type="dxa"/>
            <w:tcBorders>
              <w:top w:val="single" w:color="auto" w:sz="4" w:space="0"/>
              <w:left w:val="single" w:color="auto" w:sz="4" w:space="0"/>
              <w:bottom w:val="single" w:color="auto" w:sz="4" w:space="0"/>
              <w:right w:val="single" w:color="auto" w:sz="4" w:space="0"/>
            </w:tcBorders>
            <w:vAlign w:val="center"/>
          </w:tcPr>
          <w:p w14:paraId="01B7D4D5">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预测模型</w:t>
            </w:r>
          </w:p>
        </w:tc>
        <w:tc>
          <w:tcPr>
            <w:tcW w:w="892" w:type="dxa"/>
            <w:tcBorders>
              <w:top w:val="single" w:color="auto" w:sz="4" w:space="0"/>
              <w:left w:val="single" w:color="auto" w:sz="4" w:space="0"/>
              <w:bottom w:val="single" w:color="auto" w:sz="4" w:space="0"/>
              <w:right w:val="single" w:color="auto" w:sz="4" w:space="0"/>
            </w:tcBorders>
            <w:vAlign w:val="center"/>
          </w:tcPr>
          <w:p w14:paraId="4AB3BF80">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AERMOD</w:t>
            </w:r>
            <w:r>
              <w:rPr>
                <w:rFonts w:ascii="Times New Roman" w:hAnsi="Times New Roman" w:eastAsia="Times New Roman" w:cs="Times New Roman"/>
                <w:kern w:val="0"/>
                <w:szCs w:val="21"/>
              </w:rPr>
              <w:sym w:font="Wingdings 2" w:char="00A3"/>
            </w:r>
          </w:p>
        </w:tc>
        <w:tc>
          <w:tcPr>
            <w:tcW w:w="919" w:type="dxa"/>
            <w:gridSpan w:val="2"/>
            <w:tcBorders>
              <w:top w:val="single" w:color="auto" w:sz="4" w:space="0"/>
              <w:left w:val="single" w:color="auto" w:sz="4" w:space="0"/>
              <w:bottom w:val="single" w:color="auto" w:sz="4" w:space="0"/>
              <w:right w:val="single" w:color="auto" w:sz="4" w:space="0"/>
            </w:tcBorders>
            <w:vAlign w:val="center"/>
          </w:tcPr>
          <w:p w14:paraId="50B142F9">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ADMS□</w:t>
            </w:r>
          </w:p>
        </w:tc>
        <w:tc>
          <w:tcPr>
            <w:tcW w:w="713" w:type="dxa"/>
            <w:tcBorders>
              <w:top w:val="single" w:color="auto" w:sz="4" w:space="0"/>
              <w:left w:val="single" w:color="auto" w:sz="4" w:space="0"/>
              <w:bottom w:val="single" w:color="auto" w:sz="4" w:space="0"/>
              <w:right w:val="single" w:color="auto" w:sz="4" w:space="0"/>
            </w:tcBorders>
            <w:vAlign w:val="center"/>
          </w:tcPr>
          <w:p w14:paraId="01BC222D">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AUSTAL2000□</w:t>
            </w:r>
          </w:p>
        </w:tc>
        <w:tc>
          <w:tcPr>
            <w:tcW w:w="1069" w:type="dxa"/>
            <w:gridSpan w:val="2"/>
            <w:tcBorders>
              <w:top w:val="single" w:color="auto" w:sz="4" w:space="0"/>
              <w:left w:val="single" w:color="auto" w:sz="4" w:space="0"/>
              <w:bottom w:val="single" w:color="auto" w:sz="4" w:space="0"/>
              <w:right w:val="single" w:color="auto" w:sz="4" w:space="0"/>
            </w:tcBorders>
            <w:vAlign w:val="center"/>
          </w:tcPr>
          <w:p w14:paraId="5A40B237">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EDMS/AED□</w:t>
            </w:r>
          </w:p>
        </w:tc>
        <w:tc>
          <w:tcPr>
            <w:tcW w:w="1074" w:type="dxa"/>
            <w:tcBorders>
              <w:top w:val="single" w:color="auto" w:sz="4" w:space="0"/>
              <w:left w:val="single" w:color="auto" w:sz="4" w:space="0"/>
              <w:bottom w:val="single" w:color="auto" w:sz="4" w:space="0"/>
              <w:right w:val="single" w:color="auto" w:sz="4" w:space="0"/>
            </w:tcBorders>
            <w:vAlign w:val="center"/>
          </w:tcPr>
          <w:p w14:paraId="2642AB78">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CALPUFF□</w:t>
            </w:r>
          </w:p>
        </w:tc>
        <w:tc>
          <w:tcPr>
            <w:tcW w:w="891" w:type="dxa"/>
            <w:tcBorders>
              <w:top w:val="single" w:color="auto" w:sz="4" w:space="0"/>
              <w:left w:val="single" w:color="auto" w:sz="4" w:space="0"/>
              <w:bottom w:val="single" w:color="auto" w:sz="4" w:space="0"/>
              <w:right w:val="single" w:color="auto" w:sz="4" w:space="0"/>
            </w:tcBorders>
            <w:vAlign w:val="center"/>
          </w:tcPr>
          <w:p w14:paraId="462E88B9">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网格模型</w:t>
            </w:r>
            <w:r>
              <w:rPr>
                <w:rFonts w:ascii="Times New Roman" w:hAnsi="Times New Roman" w:eastAsia="Times New Roman" w:cs="Times New Roman"/>
                <w:kern w:val="0"/>
                <w:szCs w:val="21"/>
                <w:lang w:eastAsia="en-US"/>
              </w:rPr>
              <w:t>□</w:t>
            </w:r>
          </w:p>
        </w:tc>
        <w:tc>
          <w:tcPr>
            <w:tcW w:w="735" w:type="dxa"/>
            <w:tcBorders>
              <w:top w:val="single" w:color="auto" w:sz="4" w:space="0"/>
              <w:left w:val="single" w:color="auto" w:sz="4" w:space="0"/>
              <w:bottom w:val="single" w:color="auto" w:sz="4" w:space="0"/>
              <w:right w:val="single" w:color="auto" w:sz="4" w:space="0"/>
            </w:tcBorders>
            <w:vAlign w:val="center"/>
          </w:tcPr>
          <w:p w14:paraId="19A399EF">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其他</w:t>
            </w:r>
            <w:r>
              <w:rPr>
                <w:rFonts w:ascii="Times New Roman" w:hAnsi="Times New Roman" w:eastAsia="Times New Roman" w:cs="Times New Roman"/>
                <w:kern w:val="0"/>
                <w:szCs w:val="21"/>
                <w:lang w:eastAsia="en-US"/>
              </w:rPr>
              <w:t>□</w:t>
            </w:r>
          </w:p>
        </w:tc>
      </w:tr>
      <w:tr w14:paraId="2952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right w:val="single" w:color="auto" w:sz="4" w:space="0"/>
            </w:tcBorders>
            <w:vAlign w:val="center"/>
          </w:tcPr>
          <w:p w14:paraId="16FF0AC3">
            <w:pPr>
              <w:adjustRightInd w:val="0"/>
              <w:snapToGrid w:val="0"/>
              <w:jc w:val="center"/>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2FD0E834">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预测范围</w:t>
            </w:r>
          </w:p>
        </w:tc>
        <w:tc>
          <w:tcPr>
            <w:tcW w:w="1811" w:type="dxa"/>
            <w:gridSpan w:val="3"/>
            <w:tcBorders>
              <w:top w:val="single" w:color="auto" w:sz="4" w:space="0"/>
              <w:left w:val="single" w:color="auto" w:sz="4" w:space="0"/>
              <w:bottom w:val="single" w:color="auto" w:sz="4" w:space="0"/>
              <w:right w:val="single" w:color="auto" w:sz="4" w:space="0"/>
            </w:tcBorders>
            <w:vAlign w:val="center"/>
          </w:tcPr>
          <w:p w14:paraId="340C4B8F">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边长</w:t>
            </w:r>
            <w:r>
              <w:rPr>
                <w:rFonts w:ascii="Times New Roman" w:hAnsi="Times New Roman" w:eastAsia="Times New Roman" w:cs="Times New Roman"/>
                <w:kern w:val="0"/>
                <w:szCs w:val="21"/>
                <w:lang w:eastAsia="en-US"/>
              </w:rPr>
              <w:t>≥ 50km□</w:t>
            </w:r>
          </w:p>
        </w:tc>
        <w:tc>
          <w:tcPr>
            <w:tcW w:w="2856" w:type="dxa"/>
            <w:gridSpan w:val="4"/>
            <w:tcBorders>
              <w:top w:val="single" w:color="auto" w:sz="4" w:space="0"/>
              <w:left w:val="single" w:color="auto" w:sz="4" w:space="0"/>
              <w:bottom w:val="single" w:color="auto" w:sz="4" w:space="0"/>
              <w:right w:val="single" w:color="auto" w:sz="4" w:space="0"/>
            </w:tcBorders>
            <w:vAlign w:val="center"/>
          </w:tcPr>
          <w:p w14:paraId="20D1A9F6">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边长</w:t>
            </w:r>
            <w:r>
              <w:rPr>
                <w:rFonts w:ascii="Times New Roman" w:hAnsi="Times New Roman" w:eastAsia="Times New Roman" w:cs="Times New Roman"/>
                <w:kern w:val="0"/>
                <w:szCs w:val="21"/>
                <w:lang w:eastAsia="en-US"/>
              </w:rPr>
              <w:t xml:space="preserve"> 5</w:t>
            </w:r>
            <w:r>
              <w:rPr>
                <w:rFonts w:ascii="Times New Roman" w:hAnsi="Times New Roman" w:eastAsia="宋体" w:cs="Times New Roman"/>
                <w:kern w:val="0"/>
                <w:szCs w:val="21"/>
                <w:lang w:eastAsia="en-US"/>
              </w:rPr>
              <w:t>～</w:t>
            </w:r>
            <w:r>
              <w:rPr>
                <w:rFonts w:ascii="Times New Roman" w:hAnsi="Times New Roman" w:eastAsia="Times New Roman" w:cs="Times New Roman"/>
                <w:kern w:val="0"/>
                <w:szCs w:val="21"/>
                <w:lang w:eastAsia="en-US"/>
              </w:rPr>
              <w:t>50km □</w:t>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1C60B965">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lang w:eastAsia="en-US"/>
              </w:rPr>
              <w:t>边长</w:t>
            </w:r>
            <w:r>
              <w:rPr>
                <w:rFonts w:ascii="Times New Roman" w:hAnsi="Times New Roman" w:eastAsia="Times New Roman" w:cs="Times New Roman"/>
                <w:kern w:val="0"/>
                <w:szCs w:val="21"/>
                <w:lang w:eastAsia="en-US"/>
              </w:rPr>
              <w:t xml:space="preserve"> = 5 km </w:t>
            </w:r>
            <w:r>
              <w:rPr>
                <w:rFonts w:ascii="Times New Roman" w:hAnsi="Times New Roman" w:eastAsia="Times New Roman" w:cs="Times New Roman"/>
                <w:kern w:val="0"/>
                <w:szCs w:val="21"/>
              </w:rPr>
              <w:sym w:font="Wingdings 2" w:char="F052"/>
            </w:r>
          </w:p>
        </w:tc>
      </w:tr>
      <w:tr w14:paraId="5F8C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right w:val="single" w:color="auto" w:sz="4" w:space="0"/>
            </w:tcBorders>
            <w:vAlign w:val="center"/>
          </w:tcPr>
          <w:p w14:paraId="041DEE5C">
            <w:pPr>
              <w:widowControl/>
              <w:jc w:val="left"/>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55B9D8BB">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预测因子</w:t>
            </w:r>
          </w:p>
        </w:tc>
        <w:tc>
          <w:tcPr>
            <w:tcW w:w="3593" w:type="dxa"/>
            <w:gridSpan w:val="6"/>
            <w:tcBorders>
              <w:top w:val="single" w:color="auto" w:sz="4" w:space="0"/>
              <w:left w:val="single" w:color="auto" w:sz="4" w:space="0"/>
              <w:bottom w:val="single" w:color="auto" w:sz="4" w:space="0"/>
              <w:right w:val="single" w:color="auto" w:sz="4" w:space="0"/>
            </w:tcBorders>
            <w:vAlign w:val="center"/>
          </w:tcPr>
          <w:p w14:paraId="2C8A6209">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基本污染物</w:t>
            </w:r>
            <w:r>
              <w:rPr>
                <w:rFonts w:ascii="Times New Roman" w:hAnsi="Times New Roman" w:eastAsia="宋体" w:cs="Times New Roman"/>
                <w:spacing w:val="1"/>
                <w:szCs w:val="21"/>
              </w:rPr>
              <w:t xml:space="preserve"> ：</w:t>
            </w:r>
            <w:r>
              <w:rPr>
                <w:rFonts w:ascii="Times New Roman" w:hAnsi="Times New Roman" w:eastAsia="宋体" w:cs="Times New Roman"/>
                <w:szCs w:val="21"/>
              </w:rPr>
              <w:t>(PM</w:t>
            </w:r>
            <w:r>
              <w:rPr>
                <w:rFonts w:ascii="Times New Roman" w:hAnsi="Times New Roman" w:eastAsia="宋体" w:cs="Times New Roman"/>
                <w:szCs w:val="21"/>
                <w:vertAlign w:val="subscript"/>
              </w:rPr>
              <w:t>10</w:t>
            </w:r>
            <w:r>
              <w:rPr>
                <w:rFonts w:ascii="Times New Roman" w:hAnsi="Times New Roman" w:eastAsia="宋体" w:cs="Times New Roman"/>
                <w:szCs w:val="21"/>
              </w:rPr>
              <w:t>)</w:t>
            </w:r>
          </w:p>
          <w:p w14:paraId="318309F0">
            <w:pPr>
              <w:tabs>
                <w:tab w:val="left" w:pos="2976"/>
              </w:tabs>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其他污染物：</w:t>
            </w:r>
            <w:r>
              <w:rPr>
                <w:rFonts w:ascii="Times New Roman" w:hAnsi="Times New Roman" w:eastAsia="Times New Roman" w:cs="Times New Roman"/>
                <w:kern w:val="0"/>
                <w:szCs w:val="21"/>
              </w:rPr>
              <w:t>(</w:t>
            </w:r>
            <w:r>
              <w:rPr>
                <w:rFonts w:hint="eastAsia" w:ascii="Times New Roman" w:hAnsi="Times New Roman" w:eastAsia="宋体" w:cs="Times New Roman"/>
                <w:kern w:val="0"/>
                <w:position w:val="1"/>
                <w:szCs w:val="21"/>
              </w:rPr>
              <w:t>二甲苯、甲苯、非甲烷总烃</w:t>
            </w:r>
            <w:r>
              <w:rPr>
                <w:rFonts w:ascii="Times New Roman" w:hAnsi="Times New Roman" w:eastAsia="Times New Roman" w:cs="Times New Roman"/>
                <w:kern w:val="0"/>
                <w:szCs w:val="21"/>
              </w:rPr>
              <w:t>)</w:t>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0C80442B">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position w:val="1"/>
                <w:szCs w:val="21"/>
                <w:lang w:eastAsia="en-US"/>
              </w:rPr>
              <w:t>包括二次</w:t>
            </w:r>
            <w:r>
              <w:rPr>
                <w:rFonts w:ascii="Times New Roman" w:hAnsi="Times New Roman" w:eastAsia="Times New Roman" w:cs="Times New Roman"/>
                <w:kern w:val="0"/>
                <w:position w:val="1"/>
                <w:szCs w:val="21"/>
                <w:lang w:eastAsia="en-US"/>
              </w:rPr>
              <w:t>PM</w:t>
            </w:r>
            <w:r>
              <w:rPr>
                <w:rFonts w:ascii="Times New Roman" w:hAnsi="Times New Roman" w:eastAsia="Times New Roman" w:cs="Times New Roman"/>
                <w:kern w:val="0"/>
                <w:szCs w:val="21"/>
                <w:lang w:eastAsia="en-US"/>
              </w:rPr>
              <w:t xml:space="preserve">2.5 </w:t>
            </w:r>
            <w:r>
              <w:rPr>
                <w:rFonts w:ascii="Times New Roman" w:hAnsi="Times New Roman" w:eastAsia="Times New Roman" w:cs="Times New Roman"/>
                <w:kern w:val="0"/>
                <w:position w:val="1"/>
                <w:szCs w:val="21"/>
                <w:lang w:eastAsia="en-US"/>
              </w:rPr>
              <w:t>□</w:t>
            </w:r>
          </w:p>
          <w:p w14:paraId="6FF4BE8D">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position w:val="1"/>
                <w:szCs w:val="21"/>
                <w:lang w:eastAsia="en-US"/>
              </w:rPr>
              <w:t>不包括二次</w:t>
            </w:r>
            <w:r>
              <w:rPr>
                <w:rFonts w:ascii="Times New Roman" w:hAnsi="Times New Roman" w:eastAsia="Times New Roman" w:cs="Times New Roman"/>
                <w:kern w:val="0"/>
                <w:position w:val="1"/>
                <w:szCs w:val="21"/>
                <w:lang w:eastAsia="en-US"/>
              </w:rPr>
              <w:t>PM</w:t>
            </w:r>
            <w:r>
              <w:rPr>
                <w:rFonts w:ascii="Times New Roman" w:hAnsi="Times New Roman" w:eastAsia="Times New Roman" w:cs="Times New Roman"/>
                <w:kern w:val="0"/>
                <w:szCs w:val="21"/>
                <w:lang w:eastAsia="en-US"/>
              </w:rPr>
              <w:t xml:space="preserve">2.5 </w:t>
            </w:r>
            <w:r>
              <w:rPr>
                <w:rFonts w:ascii="Times New Roman" w:hAnsi="Times New Roman" w:eastAsia="Times New Roman" w:cs="Times New Roman"/>
                <w:kern w:val="0"/>
                <w:position w:val="1"/>
                <w:szCs w:val="21"/>
                <w:lang w:eastAsia="en-US"/>
              </w:rPr>
              <w:sym w:font="Wingdings 2" w:char="0052"/>
            </w:r>
          </w:p>
        </w:tc>
      </w:tr>
      <w:tr w14:paraId="5B1E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right w:val="single" w:color="auto" w:sz="4" w:space="0"/>
            </w:tcBorders>
            <w:vAlign w:val="center"/>
          </w:tcPr>
          <w:p w14:paraId="1D268F24">
            <w:pPr>
              <w:widowControl/>
              <w:jc w:val="left"/>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0E6B86FF">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正常排放短期浓度贡献值</w:t>
            </w:r>
          </w:p>
        </w:tc>
        <w:tc>
          <w:tcPr>
            <w:tcW w:w="3593" w:type="dxa"/>
            <w:gridSpan w:val="6"/>
            <w:tcBorders>
              <w:top w:val="single" w:color="auto" w:sz="4" w:space="0"/>
              <w:left w:val="single" w:color="auto" w:sz="4" w:space="0"/>
              <w:bottom w:val="single" w:color="auto" w:sz="4" w:space="0"/>
              <w:right w:val="single" w:color="auto" w:sz="4" w:space="0"/>
            </w:tcBorders>
            <w:vAlign w:val="center"/>
          </w:tcPr>
          <w:p w14:paraId="53115A33">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2" o:spt="75" type="#_x0000_t75" style="height:12pt;width:11pt;" o:ole="t" filled="f" o:preferrelative="t" stroked="f" coordsize="21600,21600">
                  <v:path/>
                  <v:fill on="f" focussize="0,0"/>
                  <v:stroke on="f" joinstyle="miter"/>
                  <v:imagedata r:id="rId55" o:title=""/>
                  <o:lock v:ext="edit" aspectratio="t"/>
                  <w10:wrap type="none"/>
                  <w10:anchorlock/>
                </v:shape>
                <o:OLEObject Type="Embed" ProgID="Equation.3" ShapeID="_x0000_i1032" DrawAspect="Content" ObjectID="_1468075732" r:id="rId54">
                  <o:LockedField>false</o:LockedField>
                </o:OLEObject>
              </w:object>
            </w:r>
            <w:r>
              <w:rPr>
                <w:rFonts w:ascii="Times New Roman" w:hAnsi="Times New Roman" w:eastAsia="宋体" w:cs="Times New Roman"/>
                <w:kern w:val="0"/>
                <w:szCs w:val="21"/>
              </w:rPr>
              <w:t>本项目最大占标率≤100%</w:t>
            </w:r>
            <w:r>
              <w:rPr>
                <w:rFonts w:ascii="Times New Roman" w:hAnsi="Times New Roman" w:eastAsia="Times New Roman" w:cs="Times New Roman"/>
                <w:kern w:val="0"/>
                <w:szCs w:val="21"/>
              </w:rPr>
              <w:sym w:font="Wingdings 2" w:char="F052"/>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53765F6C">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3" o:spt="75" type="#_x0000_t75" style="height:12pt;width:11pt;" o:ole="t" filled="f" o:preferrelative="t" stroked="f" coordsize="21600,21600">
                  <v:path/>
                  <v:fill on="f" focussize="0,0"/>
                  <v:stroke on="f" joinstyle="miter"/>
                  <v:imagedata r:id="rId57" o:title=""/>
                  <o:lock v:ext="edit" aspectratio="t"/>
                  <w10:wrap type="none"/>
                  <w10:anchorlock/>
                </v:shape>
                <o:OLEObject Type="Embed" ProgID="Equation.3" ShapeID="_x0000_i1033" DrawAspect="Content" ObjectID="_1468075733" r:id="rId56">
                  <o:LockedField>false</o:LockedField>
                </o:OLEObject>
              </w:object>
            </w:r>
            <w:r>
              <w:rPr>
                <w:rFonts w:ascii="Times New Roman" w:hAnsi="Times New Roman" w:eastAsia="宋体" w:cs="Times New Roman"/>
                <w:kern w:val="0"/>
                <w:szCs w:val="21"/>
              </w:rPr>
              <w:t>本项目最大占标率＞100% □</w:t>
            </w:r>
          </w:p>
        </w:tc>
      </w:tr>
      <w:tr w14:paraId="0CF0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right w:val="single" w:color="auto" w:sz="4" w:space="0"/>
            </w:tcBorders>
            <w:vAlign w:val="center"/>
          </w:tcPr>
          <w:p w14:paraId="4F9FE792">
            <w:pPr>
              <w:widowControl/>
              <w:jc w:val="left"/>
              <w:rPr>
                <w:rFonts w:ascii="Times New Roman" w:hAnsi="Times New Roman" w:eastAsia="宋体" w:cs="Times New Roman"/>
                <w:szCs w:val="21"/>
              </w:rPr>
            </w:pPr>
          </w:p>
        </w:tc>
        <w:tc>
          <w:tcPr>
            <w:tcW w:w="1157" w:type="dxa"/>
            <w:vMerge w:val="restart"/>
            <w:tcBorders>
              <w:top w:val="single" w:color="auto" w:sz="4" w:space="0"/>
              <w:left w:val="single" w:color="auto" w:sz="4" w:space="0"/>
              <w:bottom w:val="single" w:color="auto" w:sz="4" w:space="0"/>
              <w:right w:val="single" w:color="auto" w:sz="4" w:space="0"/>
            </w:tcBorders>
            <w:vAlign w:val="center"/>
          </w:tcPr>
          <w:p w14:paraId="636D798B">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正常排放年均浓度贡献值</w:t>
            </w:r>
          </w:p>
        </w:tc>
        <w:tc>
          <w:tcPr>
            <w:tcW w:w="892" w:type="dxa"/>
            <w:tcBorders>
              <w:top w:val="single" w:color="auto" w:sz="4" w:space="0"/>
              <w:left w:val="single" w:color="auto" w:sz="4" w:space="0"/>
              <w:bottom w:val="single" w:color="auto" w:sz="4" w:space="0"/>
              <w:right w:val="single" w:color="auto" w:sz="4" w:space="0"/>
            </w:tcBorders>
            <w:vAlign w:val="center"/>
          </w:tcPr>
          <w:p w14:paraId="74BF748E">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lang w:eastAsia="en-US"/>
              </w:rPr>
              <w:t>一类区</w:t>
            </w:r>
          </w:p>
        </w:tc>
        <w:tc>
          <w:tcPr>
            <w:tcW w:w="2701" w:type="dxa"/>
            <w:gridSpan w:val="5"/>
            <w:tcBorders>
              <w:top w:val="single" w:color="auto" w:sz="4" w:space="0"/>
              <w:left w:val="single" w:color="auto" w:sz="4" w:space="0"/>
              <w:bottom w:val="single" w:color="auto" w:sz="4" w:space="0"/>
              <w:right w:val="single" w:color="auto" w:sz="4" w:space="0"/>
            </w:tcBorders>
            <w:vAlign w:val="center"/>
          </w:tcPr>
          <w:p w14:paraId="3C4E4696">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4" o:spt="75" type="#_x0000_t75" style="height:12pt;width:11pt;" o:ole="t" filled="f" o:preferrelative="t" stroked="f" coordsize="21600,21600">
                  <v:path/>
                  <v:fill on="f" focussize="0,0"/>
                  <v:stroke on="f" joinstyle="miter"/>
                  <v:imagedata r:id="rId57" o:title=""/>
                  <o:lock v:ext="edit" aspectratio="t"/>
                  <w10:wrap type="none"/>
                  <w10:anchorlock/>
                </v:shape>
                <o:OLEObject Type="Embed" ProgID="Equation.3" ShapeID="_x0000_i1034" DrawAspect="Content" ObjectID="_1468075734" r:id="rId58">
                  <o:LockedField>false</o:LockedField>
                </o:OLEObject>
              </w:object>
            </w:r>
            <w:r>
              <w:rPr>
                <w:rFonts w:ascii="Times New Roman" w:hAnsi="Times New Roman" w:eastAsia="宋体" w:cs="Times New Roman"/>
                <w:kern w:val="0"/>
                <w:szCs w:val="21"/>
              </w:rPr>
              <w:t>本项目最大占标率≤10%□</w:t>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66EC42C7">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5" o:spt="75" type="#_x0000_t75" style="height:12pt;width:11pt;" o:ole="t" filled="f" o:preferrelative="t" stroked="f" coordsize="21600,21600">
                  <v:path/>
                  <v:fill on="f" focussize="0,0"/>
                  <v:stroke on="f" joinstyle="miter"/>
                  <v:imagedata r:id="rId57" o:title=""/>
                  <o:lock v:ext="edit" aspectratio="t"/>
                  <w10:wrap type="none"/>
                  <w10:anchorlock/>
                </v:shape>
                <o:OLEObject Type="Embed" ProgID="Equation.3" ShapeID="_x0000_i1035" DrawAspect="Content" ObjectID="_1468075735" r:id="rId59">
                  <o:LockedField>false</o:LockedField>
                </o:OLEObject>
              </w:object>
            </w:r>
            <w:r>
              <w:rPr>
                <w:rFonts w:ascii="Times New Roman" w:hAnsi="Times New Roman" w:eastAsia="宋体" w:cs="Times New Roman"/>
                <w:kern w:val="0"/>
                <w:szCs w:val="21"/>
              </w:rPr>
              <w:t>本项目最大标率＞10% □</w:t>
            </w:r>
          </w:p>
        </w:tc>
      </w:tr>
      <w:tr w14:paraId="59C0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right w:val="single" w:color="auto" w:sz="4" w:space="0"/>
            </w:tcBorders>
            <w:vAlign w:val="center"/>
          </w:tcPr>
          <w:p w14:paraId="013C34EF">
            <w:pPr>
              <w:widowControl/>
              <w:jc w:val="left"/>
              <w:rPr>
                <w:rFonts w:ascii="Times New Roman" w:hAnsi="Times New Roman" w:eastAsia="宋体" w:cs="Times New Roman"/>
                <w:szCs w:val="21"/>
              </w:rPr>
            </w:pPr>
          </w:p>
        </w:tc>
        <w:tc>
          <w:tcPr>
            <w:tcW w:w="1157" w:type="dxa"/>
            <w:vMerge w:val="continue"/>
            <w:tcBorders>
              <w:top w:val="single" w:color="auto" w:sz="4" w:space="0"/>
              <w:left w:val="single" w:color="auto" w:sz="4" w:space="0"/>
              <w:bottom w:val="single" w:color="auto" w:sz="4" w:space="0"/>
              <w:right w:val="single" w:color="auto" w:sz="4" w:space="0"/>
            </w:tcBorders>
            <w:vAlign w:val="center"/>
          </w:tcPr>
          <w:p w14:paraId="6CF26FFA">
            <w:pPr>
              <w:widowControl/>
              <w:jc w:val="left"/>
              <w:rPr>
                <w:rFonts w:ascii="Times New Roman" w:hAnsi="Times New Roman" w:eastAsia="Times New Roman" w:cs="Times New Roman"/>
                <w:kern w:val="0"/>
                <w:szCs w:val="21"/>
              </w:rPr>
            </w:pPr>
          </w:p>
        </w:tc>
        <w:tc>
          <w:tcPr>
            <w:tcW w:w="892" w:type="dxa"/>
            <w:tcBorders>
              <w:top w:val="single" w:color="auto" w:sz="4" w:space="0"/>
              <w:left w:val="single" w:color="auto" w:sz="4" w:space="0"/>
              <w:bottom w:val="single" w:color="auto" w:sz="4" w:space="0"/>
              <w:right w:val="single" w:color="auto" w:sz="4" w:space="0"/>
            </w:tcBorders>
            <w:vAlign w:val="center"/>
          </w:tcPr>
          <w:p w14:paraId="60D9531B">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二类区</w:t>
            </w:r>
          </w:p>
        </w:tc>
        <w:tc>
          <w:tcPr>
            <w:tcW w:w="2701" w:type="dxa"/>
            <w:gridSpan w:val="5"/>
            <w:tcBorders>
              <w:top w:val="single" w:color="auto" w:sz="4" w:space="0"/>
              <w:left w:val="single" w:color="auto" w:sz="4" w:space="0"/>
              <w:bottom w:val="single" w:color="auto" w:sz="4" w:space="0"/>
              <w:right w:val="single" w:color="auto" w:sz="4" w:space="0"/>
            </w:tcBorders>
            <w:vAlign w:val="center"/>
          </w:tcPr>
          <w:p w14:paraId="5959A1EB">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6" o:spt="75" type="#_x0000_t75" style="height:12pt;width:11pt;" o:ole="t" filled="f" o:preferrelative="t" stroked="f" coordsize="21600,21600">
                  <v:path/>
                  <v:fill on="f" focussize="0,0"/>
                  <v:stroke on="f" joinstyle="miter"/>
                  <v:imagedata r:id="rId57" o:title=""/>
                  <o:lock v:ext="edit" aspectratio="t"/>
                  <w10:wrap type="none"/>
                  <w10:anchorlock/>
                </v:shape>
                <o:OLEObject Type="Embed" ProgID="Equation.3" ShapeID="_x0000_i1036" DrawAspect="Content" ObjectID="_1468075736" r:id="rId60">
                  <o:LockedField>false</o:LockedField>
                </o:OLEObject>
              </w:object>
            </w:r>
            <w:r>
              <w:rPr>
                <w:rFonts w:ascii="Times New Roman" w:hAnsi="Times New Roman" w:eastAsia="宋体" w:cs="Times New Roman"/>
                <w:kern w:val="0"/>
                <w:szCs w:val="21"/>
              </w:rPr>
              <w:t>本项目最大占标率≤30%</w:t>
            </w:r>
            <w:r>
              <w:rPr>
                <w:rFonts w:ascii="Times New Roman" w:hAnsi="Times New Roman" w:eastAsia="宋体" w:cs="Times New Roman"/>
                <w:kern w:val="0"/>
                <w:szCs w:val="21"/>
              </w:rPr>
              <w:sym w:font="Wingdings 2" w:char="00A3"/>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76478850">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7" o:spt="75" type="#_x0000_t75" style="height:12pt;width:11pt;" o:ole="t" filled="f" o:preferrelative="t" stroked="f" coordsize="21600,21600">
                  <v:path/>
                  <v:fill on="f" focussize="0,0"/>
                  <v:stroke on="f" joinstyle="miter"/>
                  <v:imagedata r:id="rId57" o:title=""/>
                  <o:lock v:ext="edit" aspectratio="t"/>
                  <w10:wrap type="none"/>
                  <w10:anchorlock/>
                </v:shape>
                <o:OLEObject Type="Embed" ProgID="Equation.3" ShapeID="_x0000_i1037" DrawAspect="Content" ObjectID="_1468075737" r:id="rId61">
                  <o:LockedField>false</o:LockedField>
                </o:OLEObject>
              </w:object>
            </w:r>
            <w:r>
              <w:rPr>
                <w:rFonts w:ascii="Times New Roman" w:hAnsi="Times New Roman" w:eastAsia="宋体" w:cs="Times New Roman"/>
                <w:kern w:val="0"/>
                <w:szCs w:val="21"/>
              </w:rPr>
              <w:t>项目最大占标率＞30%□</w:t>
            </w:r>
          </w:p>
        </w:tc>
      </w:tr>
      <w:tr w14:paraId="3AD9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right w:val="single" w:color="auto" w:sz="4" w:space="0"/>
            </w:tcBorders>
            <w:vAlign w:val="center"/>
          </w:tcPr>
          <w:p w14:paraId="38865140">
            <w:pPr>
              <w:widowControl/>
              <w:jc w:val="left"/>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64A750EB">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非正常排放</w:t>
            </w:r>
            <w:r>
              <w:rPr>
                <w:rFonts w:ascii="Times New Roman" w:hAnsi="Times New Roman" w:eastAsia="Times New Roman" w:cs="Times New Roman"/>
                <w:kern w:val="0"/>
                <w:szCs w:val="21"/>
              </w:rPr>
              <w:t xml:space="preserve"> 1h </w:t>
            </w:r>
            <w:r>
              <w:rPr>
                <w:rFonts w:ascii="Times New Roman" w:hAnsi="Times New Roman" w:eastAsia="宋体" w:cs="Times New Roman"/>
                <w:kern w:val="0"/>
                <w:szCs w:val="21"/>
              </w:rPr>
              <w:t>浓度贡献值</w:t>
            </w:r>
          </w:p>
        </w:tc>
        <w:tc>
          <w:tcPr>
            <w:tcW w:w="2524" w:type="dxa"/>
            <w:gridSpan w:val="4"/>
            <w:tcBorders>
              <w:top w:val="single" w:color="auto" w:sz="4" w:space="0"/>
              <w:left w:val="single" w:color="auto" w:sz="4" w:space="0"/>
              <w:bottom w:val="single" w:color="auto" w:sz="4" w:space="0"/>
              <w:right w:val="single" w:color="auto" w:sz="4" w:space="0"/>
            </w:tcBorders>
            <w:vAlign w:val="center"/>
          </w:tcPr>
          <w:p w14:paraId="1C7ECC5C">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非正常持续时长</w:t>
            </w:r>
          </w:p>
          <w:p w14:paraId="380B4B17">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（0.</w:t>
            </w:r>
            <w:r>
              <w:rPr>
                <w:rFonts w:hint="eastAsia" w:cs="Times New Roman"/>
                <w:kern w:val="0"/>
                <w:szCs w:val="21"/>
              </w:rPr>
              <w:t>5</w:t>
            </w:r>
            <w:r>
              <w:rPr>
                <w:rFonts w:ascii="Times New Roman" w:hAnsi="Times New Roman" w:eastAsia="宋体" w:cs="Times New Roman"/>
                <w:kern w:val="0"/>
                <w:szCs w:val="21"/>
              </w:rPr>
              <w:t>）</w:t>
            </w:r>
            <w:r>
              <w:rPr>
                <w:rFonts w:ascii="Times New Roman" w:hAnsi="Times New Roman" w:eastAsia="Times New Roman" w:cs="Times New Roman"/>
                <w:kern w:val="0"/>
                <w:szCs w:val="21"/>
              </w:rPr>
              <w:t>h</w:t>
            </w:r>
          </w:p>
        </w:tc>
        <w:tc>
          <w:tcPr>
            <w:tcW w:w="1069" w:type="dxa"/>
            <w:gridSpan w:val="2"/>
            <w:tcBorders>
              <w:top w:val="single" w:color="auto" w:sz="4" w:space="0"/>
              <w:left w:val="single" w:color="auto" w:sz="4" w:space="0"/>
              <w:bottom w:val="single" w:color="auto" w:sz="4" w:space="0"/>
              <w:right w:val="single" w:color="auto" w:sz="4" w:space="0"/>
            </w:tcBorders>
            <w:vAlign w:val="center"/>
          </w:tcPr>
          <w:p w14:paraId="6456127A">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8" o:spt="75" type="#_x0000_t75" style="height:12pt;width:11pt;" o:ole="t" filled="f" o:preferrelative="t" stroked="f" coordsize="21600,21600">
                  <v:path/>
                  <v:fill on="f" focussize="0,0"/>
                  <v:stroke on="f" joinstyle="miter"/>
                  <v:imagedata r:id="rId57" o:title=""/>
                  <o:lock v:ext="edit" aspectratio="t"/>
                  <w10:wrap type="none"/>
                  <w10:anchorlock/>
                </v:shape>
                <o:OLEObject Type="Embed" ProgID="Equation.3" ShapeID="_x0000_i1038" DrawAspect="Content" ObjectID="_1468075738" r:id="rId62">
                  <o:LockedField>false</o:LockedField>
                </o:OLEObject>
              </w:object>
            </w:r>
            <w:r>
              <w:rPr>
                <w:rFonts w:ascii="Times New Roman" w:hAnsi="Times New Roman" w:eastAsia="宋体" w:cs="Times New Roman"/>
                <w:kern w:val="0"/>
                <w:szCs w:val="21"/>
              </w:rPr>
              <w:t xml:space="preserve">非正常占标率≤100% </w:t>
            </w:r>
            <w:r>
              <w:rPr>
                <w:rFonts w:ascii="Times New Roman" w:hAnsi="Times New Roman" w:eastAsia="Times New Roman" w:cs="Times New Roman"/>
                <w:kern w:val="0"/>
                <w:szCs w:val="21"/>
              </w:rPr>
              <w:sym w:font="Wingdings 2" w:char="00A3"/>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1A8F19EB">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9" o:spt="75" type="#_x0000_t75" style="height:12pt;width:11pt;" o:ole="t" filled="f" o:preferrelative="t" stroked="f" coordsize="21600,21600">
                  <v:path/>
                  <v:fill on="f" focussize="0,0"/>
                  <v:stroke on="f" joinstyle="miter"/>
                  <v:imagedata r:id="rId57" o:title=""/>
                  <o:lock v:ext="edit" aspectratio="t"/>
                  <w10:wrap type="none"/>
                  <w10:anchorlock/>
                </v:shape>
                <o:OLEObject Type="Embed" ProgID="Equation.3" ShapeID="_x0000_i1039" DrawAspect="Content" ObjectID="_1468075739" r:id="rId63">
                  <o:LockedField>false</o:LockedField>
                </o:OLEObject>
              </w:object>
            </w:r>
            <w:r>
              <w:rPr>
                <w:rFonts w:ascii="Times New Roman" w:hAnsi="Times New Roman" w:eastAsia="宋体" w:cs="Times New Roman"/>
                <w:kern w:val="0"/>
                <w:szCs w:val="21"/>
              </w:rPr>
              <w:t>非正常占标率＞100%</w:t>
            </w:r>
            <w:r>
              <w:rPr>
                <w:rFonts w:ascii="Times New Roman" w:hAnsi="Times New Roman" w:eastAsia="宋体" w:cs="Times New Roman"/>
                <w:kern w:val="0"/>
                <w:szCs w:val="21"/>
              </w:rPr>
              <w:sym w:font="Wingdings 2" w:char="00A3"/>
            </w:r>
          </w:p>
        </w:tc>
      </w:tr>
      <w:tr w14:paraId="777B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right w:val="single" w:color="auto" w:sz="4" w:space="0"/>
            </w:tcBorders>
            <w:vAlign w:val="center"/>
          </w:tcPr>
          <w:p w14:paraId="6AE8CA2C">
            <w:pPr>
              <w:widowControl/>
              <w:jc w:val="left"/>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404EC2A8">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保证率日平均浓度和年平均浓度叠加值</w:t>
            </w:r>
          </w:p>
        </w:tc>
        <w:tc>
          <w:tcPr>
            <w:tcW w:w="3593" w:type="dxa"/>
            <w:gridSpan w:val="6"/>
            <w:tcBorders>
              <w:top w:val="single" w:color="auto" w:sz="4" w:space="0"/>
              <w:left w:val="single" w:color="auto" w:sz="4" w:space="0"/>
              <w:bottom w:val="single" w:color="auto" w:sz="4" w:space="0"/>
              <w:right w:val="single" w:color="auto" w:sz="4" w:space="0"/>
            </w:tcBorders>
            <w:vAlign w:val="center"/>
          </w:tcPr>
          <w:p w14:paraId="42268550">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40" o:spt="75" type="#_x0000_t75" style="height:12pt;width:11pt;" o:ole="t" filled="f" o:preferrelative="t" stroked="f" coordsize="21600,21600">
                  <v:path/>
                  <v:fill on="f" focussize="0,0"/>
                  <v:stroke on="f" joinstyle="miter"/>
                  <v:imagedata r:id="rId65" o:title=""/>
                  <o:lock v:ext="edit" aspectratio="t"/>
                  <w10:wrap type="none"/>
                  <w10:anchorlock/>
                </v:shape>
                <o:OLEObject Type="Embed" ProgID="Equation.3" ShapeID="_x0000_i1040" DrawAspect="Content" ObjectID="_1468075740" r:id="rId64">
                  <o:LockedField>false</o:LockedField>
                </o:OLEObject>
              </w:object>
            </w:r>
            <w:r>
              <w:rPr>
                <w:rFonts w:ascii="Times New Roman" w:hAnsi="Times New Roman" w:eastAsia="宋体" w:cs="Times New Roman"/>
                <w:kern w:val="0"/>
                <w:szCs w:val="21"/>
              </w:rPr>
              <w:t>叠加达标</w:t>
            </w:r>
            <w:r>
              <w:rPr>
                <w:rFonts w:ascii="Times New Roman" w:hAnsi="Times New Roman" w:eastAsia="宋体" w:cs="Times New Roman"/>
                <w:kern w:val="0"/>
                <w:szCs w:val="21"/>
              </w:rPr>
              <w:sym w:font="Wingdings 2" w:char="00A3"/>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5A58945D">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41" o:spt="75" type="#_x0000_t75" style="height:12pt;width:11pt;" o:ole="t" filled="f" o:preferrelative="t" stroked="f" coordsize="21600,21600">
                  <v:path/>
                  <v:fill on="f" focussize="0,0"/>
                  <v:stroke on="f" joinstyle="miter"/>
                  <v:imagedata r:id="rId57" o:title=""/>
                  <o:lock v:ext="edit" aspectratio="t"/>
                  <w10:wrap type="none"/>
                  <w10:anchorlock/>
                </v:shape>
                <o:OLEObject Type="Embed" ProgID="Equation.3" ShapeID="_x0000_i1041" DrawAspect="Content" ObjectID="_1468075741" r:id="rId66">
                  <o:LockedField>false</o:LockedField>
                </o:OLEObject>
              </w:object>
            </w:r>
            <w:r>
              <w:rPr>
                <w:rFonts w:ascii="Times New Roman" w:hAnsi="Times New Roman" w:eastAsia="宋体" w:cs="Times New Roman"/>
                <w:kern w:val="0"/>
                <w:szCs w:val="21"/>
              </w:rPr>
              <w:t>叠加不达标□</w:t>
            </w:r>
          </w:p>
        </w:tc>
      </w:tr>
      <w:tr w14:paraId="4BF9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bottom w:val="single" w:color="auto" w:sz="4" w:space="0"/>
              <w:right w:val="single" w:color="auto" w:sz="4" w:space="0"/>
            </w:tcBorders>
            <w:vAlign w:val="center"/>
          </w:tcPr>
          <w:p w14:paraId="4581AB77">
            <w:pPr>
              <w:widowControl/>
              <w:jc w:val="left"/>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674CEE7A">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区域环境质量的整体变化情况</w:t>
            </w:r>
          </w:p>
        </w:tc>
        <w:tc>
          <w:tcPr>
            <w:tcW w:w="3593" w:type="dxa"/>
            <w:gridSpan w:val="6"/>
            <w:tcBorders>
              <w:top w:val="single" w:color="auto" w:sz="4" w:space="0"/>
              <w:left w:val="single" w:color="auto" w:sz="4" w:space="0"/>
              <w:bottom w:val="single" w:color="auto" w:sz="4" w:space="0"/>
              <w:right w:val="single" w:color="auto" w:sz="4" w:space="0"/>
            </w:tcBorders>
            <w:vAlign w:val="center"/>
          </w:tcPr>
          <w:p w14:paraId="1C72813C">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Times New Roman" w:cs="Times New Roman"/>
                <w:i/>
                <w:kern w:val="0"/>
                <w:szCs w:val="21"/>
                <w:lang w:eastAsia="en-US"/>
              </w:rPr>
              <w:t>k</w:t>
            </w:r>
            <w:r>
              <w:rPr>
                <w:rFonts w:ascii="Times New Roman" w:hAnsi="Times New Roman" w:eastAsia="Times New Roman" w:cs="Times New Roman"/>
                <w:kern w:val="0"/>
                <w:szCs w:val="21"/>
                <w:lang w:eastAsia="en-US"/>
              </w:rPr>
              <w:t xml:space="preserve">≤-20% </w:t>
            </w:r>
            <w:r>
              <w:rPr>
                <w:rFonts w:ascii="Times New Roman" w:hAnsi="Times New Roman" w:eastAsia="Times New Roman" w:cs="Times New Roman"/>
                <w:kern w:val="0"/>
                <w:szCs w:val="21"/>
                <w:lang w:eastAsia="en-US"/>
              </w:rPr>
              <w:sym w:font="Wingdings 2" w:char="00A3"/>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1C028C6C">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Times New Roman" w:cs="Times New Roman"/>
                <w:i/>
                <w:kern w:val="0"/>
                <w:szCs w:val="21"/>
                <w:lang w:eastAsia="en-US"/>
              </w:rPr>
              <w:t>k</w:t>
            </w:r>
            <w:r>
              <w:rPr>
                <w:rFonts w:ascii="Times New Roman" w:hAnsi="Times New Roman" w:eastAsia="宋体" w:cs="Times New Roman"/>
                <w:kern w:val="0"/>
                <w:szCs w:val="21"/>
                <w:lang w:eastAsia="en-US"/>
              </w:rPr>
              <w:t>＞</w:t>
            </w:r>
            <w:r>
              <w:rPr>
                <w:rFonts w:ascii="Times New Roman" w:hAnsi="Times New Roman" w:eastAsia="Times New Roman" w:cs="Times New Roman"/>
                <w:kern w:val="0"/>
                <w:szCs w:val="21"/>
                <w:lang w:eastAsia="en-US"/>
              </w:rPr>
              <w:t>-20% □</w:t>
            </w:r>
          </w:p>
        </w:tc>
      </w:tr>
      <w:tr w14:paraId="58F7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restart"/>
            <w:tcBorders>
              <w:top w:val="single" w:color="auto" w:sz="4" w:space="0"/>
              <w:left w:val="single" w:color="auto" w:sz="4" w:space="0"/>
              <w:right w:val="single" w:color="auto" w:sz="4" w:space="0"/>
            </w:tcBorders>
            <w:vAlign w:val="center"/>
          </w:tcPr>
          <w:p w14:paraId="1693226B">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环境监测计划</w:t>
            </w:r>
          </w:p>
        </w:tc>
        <w:tc>
          <w:tcPr>
            <w:tcW w:w="1157" w:type="dxa"/>
            <w:tcBorders>
              <w:top w:val="single" w:color="auto" w:sz="4" w:space="0"/>
              <w:left w:val="single" w:color="auto" w:sz="4" w:space="0"/>
              <w:bottom w:val="single" w:color="auto" w:sz="4" w:space="0"/>
              <w:right w:val="single" w:color="auto" w:sz="4" w:space="0"/>
            </w:tcBorders>
            <w:vAlign w:val="center"/>
          </w:tcPr>
          <w:p w14:paraId="02BDDCA0">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污染源监测</w:t>
            </w:r>
          </w:p>
        </w:tc>
        <w:tc>
          <w:tcPr>
            <w:tcW w:w="3593" w:type="dxa"/>
            <w:gridSpan w:val="6"/>
            <w:tcBorders>
              <w:top w:val="single" w:color="auto" w:sz="4" w:space="0"/>
              <w:left w:val="single" w:color="auto" w:sz="4" w:space="0"/>
              <w:bottom w:val="single" w:color="auto" w:sz="4" w:space="0"/>
              <w:right w:val="single" w:color="auto" w:sz="4" w:space="0"/>
            </w:tcBorders>
            <w:vAlign w:val="center"/>
          </w:tcPr>
          <w:p w14:paraId="7561AB35">
            <w:pPr>
              <w:tabs>
                <w:tab w:val="left" w:pos="2453"/>
              </w:tabs>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监测因子</w:t>
            </w:r>
            <w:r>
              <w:rPr>
                <w:rFonts w:ascii="Times New Roman" w:hAnsi="Times New Roman" w:eastAsia="宋体" w:cs="Times New Roman"/>
                <w:spacing w:val="-92"/>
                <w:kern w:val="0"/>
                <w:szCs w:val="21"/>
              </w:rPr>
              <w:t>：</w:t>
            </w:r>
            <w:r>
              <w:rPr>
                <w:rFonts w:ascii="Times New Roman" w:hAnsi="Times New Roman" w:eastAsia="宋体" w:cs="Times New Roman"/>
                <w:kern w:val="0"/>
                <w:szCs w:val="21"/>
              </w:rPr>
              <w:t>（</w:t>
            </w:r>
            <w:r>
              <w:rPr>
                <w:rFonts w:ascii="Times New Roman" w:hAnsi="Times New Roman" w:eastAsia="宋体" w:cs="Times New Roman"/>
                <w:szCs w:val="21"/>
              </w:rPr>
              <w:t>PM</w:t>
            </w:r>
            <w:r>
              <w:rPr>
                <w:rFonts w:ascii="Times New Roman" w:hAnsi="Times New Roman" w:eastAsia="宋体" w:cs="Times New Roman"/>
                <w:szCs w:val="21"/>
                <w:vertAlign w:val="subscript"/>
              </w:rPr>
              <w:t>10</w:t>
            </w:r>
            <w:r>
              <w:rPr>
                <w:rFonts w:hint="eastAsia" w:cs="Times New Roman"/>
                <w:szCs w:val="21"/>
              </w:rPr>
              <w:t>、</w:t>
            </w:r>
            <w:r>
              <w:rPr>
                <w:rFonts w:hint="eastAsia" w:ascii="Times New Roman" w:hAnsi="Times New Roman" w:eastAsia="宋体" w:cs="Times New Roman"/>
                <w:kern w:val="0"/>
                <w:position w:val="1"/>
                <w:szCs w:val="21"/>
              </w:rPr>
              <w:t>TSP、二甲苯、甲苯、非甲烷总烃）</w:t>
            </w:r>
          </w:p>
        </w:tc>
        <w:tc>
          <w:tcPr>
            <w:tcW w:w="1074" w:type="dxa"/>
            <w:tcBorders>
              <w:top w:val="single" w:color="auto" w:sz="4" w:space="0"/>
              <w:left w:val="single" w:color="auto" w:sz="4" w:space="0"/>
              <w:bottom w:val="single" w:color="auto" w:sz="4" w:space="0"/>
              <w:right w:val="single" w:color="auto" w:sz="4" w:space="0"/>
            </w:tcBorders>
            <w:vAlign w:val="center"/>
          </w:tcPr>
          <w:p w14:paraId="35F48345">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有组织废气监测</w:t>
            </w:r>
            <w:r>
              <w:rPr>
                <w:rFonts w:ascii="Times New Roman" w:hAnsi="Times New Roman" w:eastAsia="Times New Roman" w:cs="Times New Roman"/>
                <w:kern w:val="0"/>
                <w:szCs w:val="21"/>
              </w:rPr>
              <w:sym w:font="Wingdings 2" w:char="F052"/>
            </w:r>
          </w:p>
          <w:p w14:paraId="21C40F16">
            <w:pPr>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无组织废气监测</w:t>
            </w:r>
            <w:r>
              <w:rPr>
                <w:rFonts w:ascii="Times New Roman" w:hAnsi="Times New Roman" w:eastAsia="Times New Roman" w:cs="Times New Roman"/>
                <w:kern w:val="0"/>
                <w:szCs w:val="21"/>
              </w:rPr>
              <w:sym w:font="Wingdings 2" w:char="F052"/>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18744716">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无监测</w:t>
            </w:r>
            <w:r>
              <w:rPr>
                <w:rFonts w:ascii="Times New Roman" w:hAnsi="Times New Roman" w:eastAsia="Times New Roman" w:cs="Times New Roman"/>
                <w:kern w:val="0"/>
                <w:szCs w:val="21"/>
              </w:rPr>
              <w:sym w:font="Wingdings 2" w:char="00A3"/>
            </w:r>
          </w:p>
        </w:tc>
      </w:tr>
      <w:tr w14:paraId="7F4C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bottom w:val="single" w:color="auto" w:sz="4" w:space="0"/>
              <w:right w:val="single" w:color="auto" w:sz="4" w:space="0"/>
            </w:tcBorders>
            <w:vAlign w:val="center"/>
          </w:tcPr>
          <w:p w14:paraId="4BCFEE36">
            <w:pPr>
              <w:adjustRightInd w:val="0"/>
              <w:snapToGrid w:val="0"/>
              <w:jc w:val="center"/>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7DBB7CEC">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环境质量监测</w:t>
            </w:r>
          </w:p>
        </w:tc>
        <w:tc>
          <w:tcPr>
            <w:tcW w:w="3593" w:type="dxa"/>
            <w:gridSpan w:val="6"/>
            <w:tcBorders>
              <w:top w:val="single" w:color="auto" w:sz="4" w:space="0"/>
              <w:left w:val="single" w:color="auto" w:sz="4" w:space="0"/>
              <w:bottom w:val="single" w:color="auto" w:sz="4" w:space="0"/>
              <w:right w:val="single" w:color="auto" w:sz="4" w:space="0"/>
            </w:tcBorders>
            <w:vAlign w:val="center"/>
          </w:tcPr>
          <w:p w14:paraId="5AF9C2D6">
            <w:pPr>
              <w:tabs>
                <w:tab w:val="left" w:pos="2453"/>
              </w:tabs>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监测因子</w:t>
            </w:r>
            <w:r>
              <w:rPr>
                <w:rFonts w:ascii="Times New Roman" w:hAnsi="Times New Roman" w:eastAsia="宋体" w:cs="Times New Roman"/>
                <w:spacing w:val="-92"/>
                <w:kern w:val="0"/>
                <w:szCs w:val="21"/>
              </w:rPr>
              <w:t>：</w:t>
            </w:r>
            <w:r>
              <w:rPr>
                <w:rFonts w:ascii="Times New Roman" w:hAnsi="Times New Roman" w:eastAsia="宋体" w:cs="Times New Roman"/>
                <w:kern w:val="0"/>
                <w:szCs w:val="21"/>
              </w:rPr>
              <w:t>（</w:t>
            </w:r>
            <w:r>
              <w:rPr>
                <w:rFonts w:hint="eastAsia" w:ascii="Times New Roman" w:hAnsi="Times New Roman" w:eastAsia="宋体" w:cs="Times New Roman"/>
                <w:szCs w:val="21"/>
              </w:rPr>
              <w:t>/</w:t>
            </w:r>
            <w:r>
              <w:rPr>
                <w:rFonts w:hint="eastAsia" w:ascii="Times New Roman" w:hAnsi="Times New Roman" w:eastAsia="宋体" w:cs="Times New Roman"/>
                <w:kern w:val="0"/>
                <w:position w:val="1"/>
                <w:szCs w:val="21"/>
              </w:rPr>
              <w:t>）</w:t>
            </w:r>
          </w:p>
        </w:tc>
        <w:tc>
          <w:tcPr>
            <w:tcW w:w="1074" w:type="dxa"/>
            <w:tcBorders>
              <w:top w:val="single" w:color="auto" w:sz="4" w:space="0"/>
              <w:left w:val="single" w:color="auto" w:sz="4" w:space="0"/>
              <w:bottom w:val="single" w:color="auto" w:sz="4" w:space="0"/>
              <w:right w:val="single" w:color="auto" w:sz="4" w:space="0"/>
            </w:tcBorders>
            <w:vAlign w:val="center"/>
          </w:tcPr>
          <w:p w14:paraId="3A2BB431">
            <w:pPr>
              <w:tabs>
                <w:tab w:val="left" w:pos="1918"/>
              </w:tabs>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监测点位数</w:t>
            </w:r>
          </w:p>
        </w:tc>
        <w:tc>
          <w:tcPr>
            <w:tcW w:w="1626" w:type="dxa"/>
            <w:gridSpan w:val="2"/>
            <w:tcBorders>
              <w:top w:val="single" w:color="auto" w:sz="4" w:space="0"/>
              <w:left w:val="single" w:color="auto" w:sz="4" w:space="0"/>
              <w:bottom w:val="single" w:color="auto" w:sz="4" w:space="0"/>
              <w:right w:val="single" w:color="auto" w:sz="4" w:space="0"/>
            </w:tcBorders>
            <w:vAlign w:val="center"/>
          </w:tcPr>
          <w:p w14:paraId="4CD79C9B">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无监测</w:t>
            </w:r>
            <w:r>
              <w:rPr>
                <w:rFonts w:ascii="Times New Roman" w:hAnsi="Times New Roman" w:eastAsia="Times New Roman" w:cs="Times New Roman"/>
                <w:kern w:val="0"/>
                <w:szCs w:val="21"/>
              </w:rPr>
              <w:t>□</w:t>
            </w:r>
          </w:p>
        </w:tc>
      </w:tr>
      <w:tr w14:paraId="0764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restart"/>
            <w:tcBorders>
              <w:top w:val="single" w:color="auto" w:sz="4" w:space="0"/>
              <w:left w:val="single" w:color="auto" w:sz="4" w:space="0"/>
              <w:right w:val="single" w:color="auto" w:sz="4" w:space="0"/>
            </w:tcBorders>
            <w:vAlign w:val="center"/>
          </w:tcPr>
          <w:p w14:paraId="0928E014">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评价结论</w:t>
            </w:r>
          </w:p>
        </w:tc>
        <w:tc>
          <w:tcPr>
            <w:tcW w:w="1157" w:type="dxa"/>
            <w:tcBorders>
              <w:top w:val="single" w:color="auto" w:sz="4" w:space="0"/>
              <w:left w:val="single" w:color="auto" w:sz="4" w:space="0"/>
              <w:bottom w:val="single" w:color="auto" w:sz="4" w:space="0"/>
              <w:right w:val="single" w:color="auto" w:sz="4" w:space="0"/>
            </w:tcBorders>
            <w:vAlign w:val="center"/>
          </w:tcPr>
          <w:p w14:paraId="4086C21B">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环境影响</w:t>
            </w:r>
          </w:p>
        </w:tc>
        <w:tc>
          <w:tcPr>
            <w:tcW w:w="6293" w:type="dxa"/>
            <w:gridSpan w:val="9"/>
            <w:tcBorders>
              <w:top w:val="single" w:color="auto" w:sz="4" w:space="0"/>
              <w:left w:val="single" w:color="auto" w:sz="4" w:space="0"/>
              <w:bottom w:val="single" w:color="auto" w:sz="4" w:space="0"/>
              <w:right w:val="single" w:color="auto" w:sz="4" w:space="0"/>
            </w:tcBorders>
            <w:vAlign w:val="center"/>
          </w:tcPr>
          <w:p w14:paraId="485974A1">
            <w:pPr>
              <w:tabs>
                <w:tab w:val="left" w:pos="3569"/>
              </w:tabs>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可以接受</w:t>
            </w:r>
            <w:r>
              <w:rPr>
                <w:rFonts w:ascii="Times New Roman" w:hAnsi="Times New Roman" w:eastAsia="Times New Roman" w:cs="Times New Roman"/>
                <w:kern w:val="0"/>
                <w:szCs w:val="21"/>
              </w:rPr>
              <w:sym w:font="Wingdings 2" w:char="F052"/>
            </w:r>
            <w:r>
              <w:rPr>
                <w:rFonts w:ascii="Times New Roman" w:hAnsi="Times New Roman" w:eastAsia="Times New Roman" w:cs="Times New Roman"/>
                <w:kern w:val="0"/>
                <w:szCs w:val="21"/>
                <w:lang w:eastAsia="en-US"/>
              </w:rPr>
              <w:tab/>
            </w:r>
            <w:r>
              <w:rPr>
                <w:rFonts w:ascii="Times New Roman" w:hAnsi="Times New Roman" w:eastAsia="宋体" w:cs="Times New Roman"/>
                <w:kern w:val="0"/>
                <w:szCs w:val="21"/>
                <w:lang w:eastAsia="en-US"/>
              </w:rPr>
              <w:t>不可以接受</w:t>
            </w:r>
            <w:r>
              <w:rPr>
                <w:rFonts w:ascii="Times New Roman" w:hAnsi="Times New Roman" w:eastAsia="Times New Roman" w:cs="Times New Roman"/>
                <w:spacing w:val="-2"/>
                <w:kern w:val="0"/>
                <w:szCs w:val="21"/>
                <w:lang w:eastAsia="en-US"/>
              </w:rPr>
              <w:t xml:space="preserve"> </w:t>
            </w:r>
            <w:r>
              <w:rPr>
                <w:rFonts w:ascii="Times New Roman" w:hAnsi="Times New Roman" w:eastAsia="Times New Roman" w:cs="Times New Roman"/>
                <w:kern w:val="0"/>
                <w:szCs w:val="21"/>
                <w:lang w:eastAsia="en-US"/>
              </w:rPr>
              <w:t>□</w:t>
            </w:r>
          </w:p>
        </w:tc>
      </w:tr>
      <w:tr w14:paraId="74B1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right w:val="single" w:color="auto" w:sz="4" w:space="0"/>
            </w:tcBorders>
            <w:vAlign w:val="center"/>
          </w:tcPr>
          <w:p w14:paraId="7A44C688">
            <w:pPr>
              <w:adjustRightInd w:val="0"/>
              <w:snapToGrid w:val="0"/>
              <w:jc w:val="center"/>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06536866">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大气环境防护距离</w:t>
            </w:r>
          </w:p>
        </w:tc>
        <w:tc>
          <w:tcPr>
            <w:tcW w:w="6293" w:type="dxa"/>
            <w:gridSpan w:val="9"/>
            <w:tcBorders>
              <w:top w:val="single" w:color="auto" w:sz="4" w:space="0"/>
              <w:left w:val="single" w:color="auto" w:sz="4" w:space="0"/>
              <w:bottom w:val="single" w:color="auto" w:sz="4" w:space="0"/>
              <w:right w:val="single" w:color="auto" w:sz="4" w:space="0"/>
            </w:tcBorders>
            <w:vAlign w:val="center"/>
          </w:tcPr>
          <w:p w14:paraId="6C519A32">
            <w:pPr>
              <w:tabs>
                <w:tab w:val="left" w:pos="2827"/>
                <w:tab w:val="left" w:pos="4353"/>
              </w:tabs>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距（</w:t>
            </w:r>
            <w:r>
              <w:rPr>
                <w:rFonts w:ascii="Times New Roman" w:hAnsi="Times New Roman" w:eastAsia="Times New Roman" w:cs="Times New Roman"/>
                <w:kern w:val="0"/>
                <w:szCs w:val="21"/>
              </w:rPr>
              <w:t xml:space="preserve"> </w:t>
            </w:r>
            <w:r>
              <w:rPr>
                <w:rFonts w:hint="eastAsia" w:ascii="Times New Roman" w:hAnsi="Times New Roman" w:eastAsia="宋体" w:cs="Times New Roman"/>
                <w:kern w:val="0"/>
                <w:szCs w:val="21"/>
              </w:rPr>
              <w:t>周边</w:t>
            </w:r>
            <w:r>
              <w:rPr>
                <w:rFonts w:ascii="Times New Roman" w:hAnsi="Times New Roman" w:eastAsia="Times New Roman" w:cs="Times New Roman"/>
                <w:kern w:val="0"/>
                <w:szCs w:val="21"/>
              </w:rPr>
              <w:t xml:space="preserve"> </w:t>
            </w:r>
            <w:r>
              <w:rPr>
                <w:rFonts w:ascii="Times New Roman" w:hAnsi="Times New Roman" w:eastAsia="宋体" w:cs="Times New Roman"/>
                <w:kern w:val="0"/>
                <w:szCs w:val="21"/>
              </w:rPr>
              <w:t>）厂界最远（</w:t>
            </w:r>
            <w:r>
              <w:rPr>
                <w:rFonts w:ascii="Times New Roman" w:hAnsi="Times New Roman" w:eastAsia="Times New Roman" w:cs="Times New Roman"/>
                <w:kern w:val="0"/>
                <w:szCs w:val="21"/>
              </w:rPr>
              <w:t xml:space="preserve"> </w:t>
            </w:r>
            <w:r>
              <w:rPr>
                <w:rFonts w:hint="eastAsia" w:cs="Times New Roman"/>
                <w:kern w:val="0"/>
                <w:szCs w:val="21"/>
              </w:rPr>
              <w:t xml:space="preserve">0 </w:t>
            </w:r>
            <w:r>
              <w:rPr>
                <w:rFonts w:ascii="Times New Roman" w:hAnsi="Times New Roman" w:eastAsia="宋体" w:cs="Times New Roman"/>
                <w:kern w:val="0"/>
                <w:szCs w:val="21"/>
              </w:rPr>
              <w:t>）</w:t>
            </w:r>
            <w:r>
              <w:rPr>
                <w:rFonts w:ascii="Times New Roman" w:hAnsi="Times New Roman" w:eastAsia="Times New Roman" w:cs="Times New Roman"/>
                <w:kern w:val="0"/>
                <w:szCs w:val="21"/>
              </w:rPr>
              <w:t>m</w:t>
            </w:r>
          </w:p>
        </w:tc>
      </w:tr>
      <w:tr w14:paraId="7DC7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0" w:type="dxa"/>
            <w:vMerge w:val="continue"/>
            <w:tcBorders>
              <w:left w:val="single" w:color="auto" w:sz="4" w:space="0"/>
              <w:bottom w:val="single" w:color="auto" w:sz="4" w:space="0"/>
              <w:right w:val="single" w:color="auto" w:sz="4" w:space="0"/>
            </w:tcBorders>
            <w:vAlign w:val="center"/>
          </w:tcPr>
          <w:p w14:paraId="616A1530">
            <w:pPr>
              <w:widowControl/>
              <w:jc w:val="left"/>
              <w:rPr>
                <w:rFonts w:ascii="Times New Roman" w:hAnsi="Times New Roman" w:eastAsia="宋体" w:cs="Times New Roman"/>
                <w:szCs w:val="21"/>
              </w:rPr>
            </w:pPr>
          </w:p>
        </w:tc>
        <w:tc>
          <w:tcPr>
            <w:tcW w:w="1157" w:type="dxa"/>
            <w:tcBorders>
              <w:top w:val="single" w:color="auto" w:sz="4" w:space="0"/>
              <w:left w:val="single" w:color="auto" w:sz="4" w:space="0"/>
              <w:bottom w:val="single" w:color="auto" w:sz="4" w:space="0"/>
              <w:right w:val="single" w:color="auto" w:sz="4" w:space="0"/>
            </w:tcBorders>
            <w:vAlign w:val="center"/>
          </w:tcPr>
          <w:p w14:paraId="132B219C">
            <w:pPr>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lang w:eastAsia="en-US"/>
              </w:rPr>
              <w:t>污染源年排放量</w:t>
            </w:r>
          </w:p>
        </w:tc>
        <w:tc>
          <w:tcPr>
            <w:tcW w:w="1170" w:type="dxa"/>
            <w:gridSpan w:val="2"/>
            <w:tcBorders>
              <w:top w:val="single" w:color="auto" w:sz="4" w:space="0"/>
              <w:left w:val="single" w:color="auto" w:sz="4" w:space="0"/>
              <w:bottom w:val="single" w:color="auto" w:sz="4" w:space="0"/>
              <w:right w:val="single" w:color="auto" w:sz="4" w:space="0"/>
            </w:tcBorders>
            <w:vAlign w:val="center"/>
          </w:tcPr>
          <w:p w14:paraId="7CFE0390">
            <w:pPr>
              <w:tabs>
                <w:tab w:val="left" w:pos="1115"/>
              </w:tabs>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position w:val="1"/>
                <w:szCs w:val="21"/>
              </w:rPr>
              <w:t>SO</w:t>
            </w:r>
            <w:r>
              <w:rPr>
                <w:rFonts w:ascii="Times New Roman" w:hAnsi="Times New Roman" w:eastAsia="宋体" w:cs="Times New Roman"/>
                <w:kern w:val="0"/>
                <w:position w:val="1"/>
                <w:szCs w:val="21"/>
                <w:vertAlign w:val="subscript"/>
              </w:rPr>
              <w:t>2</w:t>
            </w:r>
            <w:r>
              <w:rPr>
                <w:rFonts w:ascii="Times New Roman" w:hAnsi="Times New Roman" w:eastAsia="Times New Roman" w:cs="Times New Roman"/>
                <w:kern w:val="0"/>
                <w:position w:val="1"/>
                <w:szCs w:val="21"/>
                <w:lang w:eastAsia="en-US"/>
              </w:rPr>
              <w:t>:</w:t>
            </w:r>
            <w:r>
              <w:rPr>
                <w:rFonts w:ascii="Times New Roman" w:hAnsi="Times New Roman" w:eastAsia="宋体" w:cs="Times New Roman"/>
                <w:kern w:val="0"/>
                <w:position w:val="1"/>
                <w:szCs w:val="21"/>
                <w:lang w:eastAsia="en-US"/>
              </w:rPr>
              <w:t>（</w:t>
            </w:r>
            <w:r>
              <w:rPr>
                <w:rFonts w:hint="eastAsia" w:cs="Times New Roman"/>
                <w:kern w:val="0"/>
                <w:szCs w:val="21"/>
                <w:lang w:bidi="ar"/>
              </w:rPr>
              <w:t>0</w:t>
            </w:r>
            <w:r>
              <w:rPr>
                <w:rFonts w:ascii="Times New Roman" w:hAnsi="Times New Roman" w:eastAsia="宋体" w:cs="Times New Roman"/>
                <w:kern w:val="0"/>
                <w:position w:val="1"/>
                <w:szCs w:val="21"/>
                <w:lang w:eastAsia="en-US"/>
              </w:rPr>
              <w:t>）</w:t>
            </w:r>
            <w:r>
              <w:rPr>
                <w:rFonts w:ascii="Times New Roman" w:hAnsi="Times New Roman" w:eastAsia="Times New Roman" w:cs="Times New Roman"/>
                <w:kern w:val="0"/>
                <w:position w:val="1"/>
                <w:szCs w:val="21"/>
                <w:lang w:eastAsia="en-US"/>
              </w:rPr>
              <w:t>t/a</w:t>
            </w:r>
          </w:p>
        </w:tc>
        <w:tc>
          <w:tcPr>
            <w:tcW w:w="1856" w:type="dxa"/>
            <w:gridSpan w:val="3"/>
            <w:tcBorders>
              <w:top w:val="single" w:color="auto" w:sz="4" w:space="0"/>
              <w:left w:val="single" w:color="auto" w:sz="4" w:space="0"/>
              <w:bottom w:val="single" w:color="auto" w:sz="4" w:space="0"/>
              <w:right w:val="single" w:color="auto" w:sz="4" w:space="0"/>
            </w:tcBorders>
            <w:vAlign w:val="center"/>
          </w:tcPr>
          <w:p w14:paraId="26069B29">
            <w:pPr>
              <w:tabs>
                <w:tab w:val="left" w:pos="1169"/>
              </w:tabs>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position w:val="1"/>
                <w:szCs w:val="21"/>
              </w:rPr>
              <w:t>NO</w:t>
            </w:r>
            <w:r>
              <w:rPr>
                <w:rFonts w:ascii="Times New Roman" w:hAnsi="Times New Roman" w:eastAsia="宋体" w:cs="Times New Roman"/>
                <w:kern w:val="0"/>
                <w:position w:val="1"/>
                <w:szCs w:val="21"/>
                <w:vertAlign w:val="subscript"/>
              </w:rPr>
              <w:t>2</w:t>
            </w:r>
            <w:r>
              <w:rPr>
                <w:rFonts w:ascii="Times New Roman" w:hAnsi="Times New Roman" w:eastAsia="Times New Roman" w:cs="Times New Roman"/>
                <w:kern w:val="0"/>
                <w:position w:val="1"/>
                <w:szCs w:val="21"/>
                <w:lang w:eastAsia="en-US"/>
              </w:rPr>
              <w:t>:</w:t>
            </w:r>
            <w:r>
              <w:rPr>
                <w:rFonts w:ascii="Times New Roman" w:hAnsi="Times New Roman" w:eastAsia="宋体" w:cs="Times New Roman"/>
                <w:kern w:val="0"/>
                <w:position w:val="1"/>
                <w:szCs w:val="21"/>
                <w:lang w:eastAsia="en-US"/>
              </w:rPr>
              <w:t>（</w:t>
            </w:r>
            <w:r>
              <w:rPr>
                <w:rFonts w:hint="eastAsia" w:cs="Times New Roman"/>
                <w:kern w:val="0"/>
                <w:szCs w:val="21"/>
                <w:lang w:bidi="ar"/>
              </w:rPr>
              <w:t>0</w:t>
            </w:r>
            <w:r>
              <w:rPr>
                <w:rFonts w:ascii="Times New Roman" w:hAnsi="Times New Roman" w:eastAsia="宋体" w:cs="Times New Roman"/>
                <w:kern w:val="0"/>
                <w:position w:val="1"/>
                <w:szCs w:val="21"/>
                <w:lang w:eastAsia="en-US"/>
              </w:rPr>
              <w:t>）</w:t>
            </w:r>
            <w:r>
              <w:rPr>
                <w:rFonts w:ascii="Times New Roman" w:hAnsi="Times New Roman" w:eastAsia="Times New Roman" w:cs="Times New Roman"/>
                <w:kern w:val="0"/>
                <w:position w:val="1"/>
                <w:szCs w:val="21"/>
                <w:lang w:eastAsia="en-US"/>
              </w:rPr>
              <w:t>t/a</w:t>
            </w:r>
          </w:p>
        </w:tc>
        <w:tc>
          <w:tcPr>
            <w:tcW w:w="16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7DD5B4">
            <w:pPr>
              <w:tabs>
                <w:tab w:val="left" w:pos="1073"/>
              </w:tabs>
              <w:autoSpaceDE w:val="0"/>
              <w:autoSpaceDN w:val="0"/>
              <w:adjustRightInd w:val="0"/>
              <w:snapToGrid w:val="0"/>
              <w:jc w:val="center"/>
              <w:rPr>
                <w:rFonts w:ascii="Times New Roman" w:hAnsi="Times New Roman" w:eastAsia="Times New Roman" w:cs="Times New Roman"/>
                <w:kern w:val="0"/>
                <w:szCs w:val="21"/>
                <w:lang w:eastAsia="en-US"/>
              </w:rPr>
            </w:pPr>
            <w:r>
              <w:rPr>
                <w:rFonts w:ascii="Times New Roman" w:hAnsi="Times New Roman" w:eastAsia="宋体" w:cs="Times New Roman"/>
                <w:kern w:val="0"/>
                <w:szCs w:val="21"/>
              </w:rPr>
              <w:t>颗粒物</w:t>
            </w:r>
            <w:r>
              <w:rPr>
                <w:rFonts w:ascii="Times New Roman" w:hAnsi="Times New Roman" w:eastAsia="Times New Roman" w:cs="Times New Roman"/>
                <w:kern w:val="0"/>
                <w:szCs w:val="21"/>
                <w:lang w:eastAsia="en-US"/>
              </w:rPr>
              <w:t>:</w:t>
            </w:r>
            <w:r>
              <w:rPr>
                <w:rFonts w:ascii="Times New Roman" w:hAnsi="Times New Roman" w:eastAsia="宋体" w:cs="Times New Roman"/>
                <w:kern w:val="0"/>
                <w:szCs w:val="21"/>
                <w:lang w:eastAsia="en-US"/>
              </w:rPr>
              <w:t>（</w:t>
            </w:r>
            <w:r>
              <w:rPr>
                <w:rFonts w:ascii="Times New Roman" w:hAnsi="Times New Roman" w:cs="Times New Roman"/>
                <w:szCs w:val="21"/>
              </w:rPr>
              <w:t>0.</w:t>
            </w:r>
            <w:r>
              <w:rPr>
                <w:rFonts w:hint="eastAsia" w:ascii="Times New Roman" w:hAnsi="Times New Roman" w:cs="Times New Roman"/>
                <w:szCs w:val="21"/>
                <w:lang w:val="en-US" w:eastAsia="zh-CN"/>
              </w:rPr>
              <w:t>8112</w:t>
            </w:r>
            <w:r>
              <w:rPr>
                <w:rFonts w:ascii="Times New Roman" w:hAnsi="Times New Roman" w:eastAsia="宋体" w:cs="Times New Roman"/>
                <w:kern w:val="0"/>
                <w:szCs w:val="21"/>
                <w:lang w:eastAsia="en-US"/>
              </w:rPr>
              <w:t>）</w:t>
            </w:r>
            <w:r>
              <w:rPr>
                <w:rFonts w:ascii="Times New Roman" w:hAnsi="Times New Roman" w:eastAsia="Times New Roman" w:cs="Times New Roman"/>
                <w:kern w:val="0"/>
                <w:szCs w:val="21"/>
                <w:lang w:eastAsia="en-US"/>
              </w:rPr>
              <w:t>t/a</w:t>
            </w:r>
          </w:p>
        </w:tc>
        <w:tc>
          <w:tcPr>
            <w:tcW w:w="16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659F12">
            <w:pPr>
              <w:tabs>
                <w:tab w:val="left" w:pos="1036"/>
              </w:tabs>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position w:val="1"/>
                <w:szCs w:val="21"/>
              </w:rPr>
              <w:t>VOCs</w:t>
            </w:r>
            <w:r>
              <w:rPr>
                <w:rFonts w:ascii="Times New Roman" w:hAnsi="Times New Roman" w:eastAsia="Times New Roman" w:cs="Times New Roman"/>
                <w:kern w:val="0"/>
                <w:position w:val="1"/>
                <w:szCs w:val="21"/>
                <w:lang w:eastAsia="en-US"/>
              </w:rPr>
              <w:t>:</w:t>
            </w:r>
            <w:r>
              <w:rPr>
                <w:rFonts w:ascii="Times New Roman" w:hAnsi="Times New Roman" w:eastAsia="宋体" w:cs="Times New Roman"/>
                <w:kern w:val="0"/>
                <w:position w:val="1"/>
                <w:szCs w:val="21"/>
                <w:lang w:eastAsia="en-US"/>
              </w:rPr>
              <w:t>（</w:t>
            </w:r>
            <w:r>
              <w:rPr>
                <w:rFonts w:hint="eastAsia" w:ascii="Times New Roman" w:hAnsi="Times New Roman" w:cs="Times New Roman"/>
                <w:kern w:val="0"/>
                <w:szCs w:val="21"/>
                <w:lang w:bidi="ar"/>
              </w:rPr>
              <w:t>1.</w:t>
            </w:r>
            <w:r>
              <w:rPr>
                <w:rFonts w:hint="eastAsia" w:ascii="Times New Roman" w:hAnsi="Times New Roman" w:cs="Times New Roman"/>
                <w:kern w:val="0"/>
                <w:szCs w:val="21"/>
                <w:lang w:val="en-US" w:eastAsia="zh-CN" w:bidi="ar"/>
              </w:rPr>
              <w:t>936</w:t>
            </w:r>
            <w:r>
              <w:rPr>
                <w:rFonts w:ascii="Times New Roman" w:hAnsi="Times New Roman" w:eastAsia="宋体" w:cs="Times New Roman"/>
                <w:kern w:val="0"/>
                <w:position w:val="1"/>
                <w:szCs w:val="21"/>
                <w:lang w:eastAsia="en-US"/>
              </w:rPr>
              <w:t>）</w:t>
            </w:r>
            <w:r>
              <w:rPr>
                <w:rFonts w:ascii="Times New Roman" w:hAnsi="Times New Roman" w:eastAsia="Times New Roman" w:cs="Times New Roman"/>
                <w:kern w:val="0"/>
                <w:position w:val="1"/>
                <w:szCs w:val="21"/>
                <w:lang w:eastAsia="en-US"/>
              </w:rPr>
              <w:t>t/a</w:t>
            </w:r>
          </w:p>
        </w:tc>
      </w:tr>
      <w:tr w14:paraId="6D6C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10" w:type="dxa"/>
            <w:gridSpan w:val="11"/>
            <w:tcBorders>
              <w:top w:val="single" w:color="auto" w:sz="4" w:space="0"/>
              <w:left w:val="single" w:color="auto" w:sz="4" w:space="0"/>
              <w:bottom w:val="single" w:color="auto" w:sz="4" w:space="0"/>
              <w:right w:val="single" w:color="auto" w:sz="4" w:space="0"/>
            </w:tcBorders>
            <w:vAlign w:val="center"/>
          </w:tcPr>
          <w:p w14:paraId="0530C6C7">
            <w:pPr>
              <w:tabs>
                <w:tab w:val="left" w:pos="3425"/>
              </w:tabs>
              <w:autoSpaceDE w:val="0"/>
              <w:autoSpaceDN w:val="0"/>
              <w:adjustRightInd w:val="0"/>
              <w:snapToGrid w:val="0"/>
              <w:jc w:val="center"/>
              <w:rPr>
                <w:rFonts w:ascii="Times New Roman" w:hAnsi="Times New Roman" w:eastAsia="Times New Roman" w:cs="Times New Roman"/>
                <w:kern w:val="0"/>
                <w:szCs w:val="21"/>
              </w:rPr>
            </w:pPr>
            <w:r>
              <w:rPr>
                <w:rFonts w:ascii="Times New Roman" w:hAnsi="Times New Roman" w:eastAsia="宋体" w:cs="Times New Roman"/>
                <w:kern w:val="0"/>
                <w:szCs w:val="21"/>
              </w:rPr>
              <w:t>注</w:t>
            </w:r>
            <w:r>
              <w:rPr>
                <w:rFonts w:ascii="Times New Roman" w:hAnsi="Times New Roman" w:eastAsia="宋体" w:cs="Times New Roman"/>
                <w:spacing w:val="-92"/>
                <w:kern w:val="0"/>
                <w:szCs w:val="21"/>
              </w:rPr>
              <w:t>：</w:t>
            </w:r>
            <w:r>
              <w:rPr>
                <w:rFonts w:ascii="Times New Roman" w:hAnsi="Times New Roman" w:eastAsia="Times New Roman" w:cs="Times New Roman"/>
                <w:kern w:val="0"/>
                <w:szCs w:val="21"/>
              </w:rPr>
              <w:t>“</w:t>
            </w:r>
            <w:r>
              <w:rPr>
                <w:rFonts w:ascii="Times New Roman" w:hAnsi="Times New Roman" w:eastAsia="Times New Roman" w:cs="Times New Roman"/>
                <w:spacing w:val="2"/>
                <w:kern w:val="0"/>
                <w:szCs w:val="21"/>
              </w:rPr>
              <w:t>□</w:t>
            </w:r>
            <w:r>
              <w:rPr>
                <w:rFonts w:ascii="Times New Roman" w:hAnsi="Times New Roman" w:eastAsia="Times New Roman" w:cs="Times New Roman"/>
                <w:kern w:val="0"/>
                <w:szCs w:val="21"/>
              </w:rPr>
              <w:t>”</w:t>
            </w:r>
            <w:r>
              <w:rPr>
                <w:rFonts w:ascii="Times New Roman" w:hAnsi="Times New Roman" w:eastAsia="Times New Roman" w:cs="Times New Roman"/>
                <w:spacing w:val="1"/>
                <w:kern w:val="0"/>
                <w:szCs w:val="21"/>
              </w:rPr>
              <w:t xml:space="preserve"> </w:t>
            </w:r>
            <w:r>
              <w:rPr>
                <w:rFonts w:ascii="Times New Roman" w:hAnsi="Times New Roman" w:eastAsia="宋体" w:cs="Times New Roman"/>
                <w:kern w:val="0"/>
                <w:szCs w:val="21"/>
              </w:rPr>
              <w:t>为勾选项</w:t>
            </w:r>
            <w:r>
              <w:rPr>
                <w:rFonts w:ascii="Times New Roman" w:hAnsi="Times New Roman" w:eastAsia="Times New Roman" w:cs="Times New Roman"/>
                <w:spacing w:val="1"/>
                <w:kern w:val="0"/>
                <w:szCs w:val="21"/>
              </w:rPr>
              <w:t xml:space="preserve"> </w:t>
            </w:r>
            <w:r>
              <w:rPr>
                <w:rFonts w:ascii="Times New Roman" w:hAnsi="Times New Roman" w:eastAsia="宋体" w:cs="Times New Roman"/>
                <w:kern w:val="0"/>
                <w:szCs w:val="21"/>
              </w:rPr>
              <w:t>，填</w:t>
            </w:r>
            <w:r>
              <w:rPr>
                <w:rFonts w:ascii="Times New Roman" w:hAnsi="Times New Roman" w:eastAsia="Times New Roman" w:cs="Times New Roman"/>
                <w:kern w:val="0"/>
                <w:szCs w:val="21"/>
              </w:rPr>
              <w:t>“</w:t>
            </w:r>
            <w:r>
              <w:rPr>
                <w:rFonts w:ascii="Times New Roman" w:hAnsi="Times New Roman" w:eastAsia="Times New Roman" w:cs="Times New Roman"/>
                <w:spacing w:val="-3"/>
                <w:kern w:val="0"/>
                <w:szCs w:val="21"/>
              </w:rPr>
              <w:t>√</w:t>
            </w:r>
            <w:r>
              <w:rPr>
                <w:rFonts w:ascii="Times New Roman" w:hAnsi="Times New Roman" w:eastAsia="Times New Roman" w:cs="Times New Roman"/>
                <w:kern w:val="0"/>
                <w:szCs w:val="21"/>
              </w:rPr>
              <w:t>”</w:t>
            </w:r>
            <w:r>
              <w:rPr>
                <w:rFonts w:ascii="Times New Roman" w:hAnsi="Times New Roman" w:eastAsia="Times New Roman" w:cs="Times New Roman"/>
                <w:spacing w:val="1"/>
                <w:kern w:val="0"/>
                <w:szCs w:val="21"/>
              </w:rPr>
              <w:t xml:space="preserve"> </w:t>
            </w:r>
            <w:r>
              <w:rPr>
                <w:rFonts w:ascii="Times New Roman" w:hAnsi="Times New Roman" w:eastAsia="宋体" w:cs="Times New Roman"/>
                <w:kern w:val="0"/>
                <w:szCs w:val="21"/>
              </w:rPr>
              <w:t>；</w:t>
            </w:r>
            <w:r>
              <w:rPr>
                <w:rFonts w:ascii="Times New Roman" w:hAnsi="Times New Roman" w:eastAsia="Times New Roman" w:cs="Times New Roman"/>
                <w:spacing w:val="-1"/>
                <w:kern w:val="0"/>
                <w:szCs w:val="21"/>
              </w:rPr>
              <w:t>“</w:t>
            </w:r>
            <w:r>
              <w:rPr>
                <w:rFonts w:ascii="Times New Roman" w:hAnsi="Times New Roman" w:eastAsia="宋体" w:cs="Times New Roman"/>
                <w:kern w:val="0"/>
                <w:szCs w:val="21"/>
              </w:rPr>
              <w:t>（</w:t>
            </w:r>
            <w:r>
              <w:rPr>
                <w:rFonts w:ascii="Times New Roman" w:hAnsi="Times New Roman" w:eastAsia="Times New Roman" w:cs="Times New Roman"/>
                <w:kern w:val="0"/>
                <w:szCs w:val="21"/>
              </w:rPr>
              <w:t xml:space="preserve">  </w:t>
            </w:r>
            <w:r>
              <w:rPr>
                <w:rFonts w:ascii="Times New Roman" w:hAnsi="Times New Roman" w:eastAsia="宋体" w:cs="Times New Roman"/>
                <w:kern w:val="0"/>
                <w:szCs w:val="21"/>
              </w:rPr>
              <w:t>）</w:t>
            </w:r>
            <w:r>
              <w:rPr>
                <w:rFonts w:ascii="Times New Roman" w:hAnsi="Times New Roman" w:eastAsia="Times New Roman" w:cs="Times New Roman"/>
                <w:kern w:val="0"/>
                <w:szCs w:val="21"/>
              </w:rPr>
              <w:t xml:space="preserve">”  </w:t>
            </w:r>
            <w:r>
              <w:rPr>
                <w:rFonts w:ascii="Times New Roman" w:hAnsi="Times New Roman" w:eastAsia="宋体" w:cs="Times New Roman"/>
                <w:kern w:val="0"/>
                <w:szCs w:val="21"/>
              </w:rPr>
              <w:t>为内容填写项</w:t>
            </w:r>
          </w:p>
        </w:tc>
      </w:tr>
    </w:tbl>
    <w:p w14:paraId="032FB83F">
      <w:pPr>
        <w:keepNext/>
        <w:keepLines/>
        <w:numPr>
          <w:ilvl w:val="1"/>
          <w:numId w:val="60"/>
        </w:numPr>
        <w:adjustRightInd w:val="0"/>
        <w:snapToGrid w:val="0"/>
        <w:spacing w:line="360" w:lineRule="auto"/>
        <w:outlineLvl w:val="1"/>
        <w:rPr>
          <w:rFonts w:ascii="Times New Roman" w:hAnsi="Times New Roman" w:eastAsia="宋体" w:cs="Times New Roman"/>
          <w:b/>
          <w:sz w:val="28"/>
          <w:szCs w:val="28"/>
        </w:rPr>
      </w:pPr>
      <w:bookmarkStart w:id="222" w:name="_Toc7929"/>
      <w:bookmarkStart w:id="223" w:name="_Toc29294"/>
      <w:r>
        <w:rPr>
          <w:rFonts w:ascii="Times New Roman" w:hAnsi="Times New Roman" w:eastAsia="宋体" w:cs="Times New Roman"/>
          <w:b/>
          <w:sz w:val="28"/>
          <w:szCs w:val="28"/>
        </w:rPr>
        <w:t>声环境影响预测与评价</w:t>
      </w:r>
      <w:bookmarkEnd w:id="222"/>
      <w:bookmarkEnd w:id="223"/>
    </w:p>
    <w:p w14:paraId="1AE5C7B5">
      <w:pPr>
        <w:keepNext/>
        <w:keepLines/>
        <w:numPr>
          <w:ilvl w:val="2"/>
          <w:numId w:val="60"/>
        </w:numPr>
        <w:adjustRightInd w:val="0"/>
        <w:snapToGrid w:val="0"/>
        <w:spacing w:line="360" w:lineRule="auto"/>
        <w:outlineLvl w:val="2"/>
        <w:rPr>
          <w:rFonts w:ascii="Times New Roman" w:hAnsi="Times New Roman" w:eastAsia="宋体" w:cs="Times New Roman"/>
          <w:b/>
          <w:sz w:val="24"/>
        </w:rPr>
      </w:pPr>
      <w:bookmarkStart w:id="224" w:name="_Toc262758556"/>
      <w:bookmarkStart w:id="225" w:name="_Toc76523860"/>
      <w:bookmarkStart w:id="226" w:name="_Toc117338175"/>
      <w:bookmarkStart w:id="227" w:name="_Toc140380368"/>
      <w:bookmarkStart w:id="228" w:name="_Toc91906884"/>
      <w:bookmarkStart w:id="229" w:name="_Toc99162564"/>
      <w:bookmarkStart w:id="230" w:name="_Toc73780540"/>
      <w:bookmarkStart w:id="231" w:name="_Toc68859289"/>
      <w:bookmarkStart w:id="232" w:name="_Toc138469593"/>
      <w:bookmarkStart w:id="233" w:name="_Toc109476663"/>
      <w:bookmarkStart w:id="234" w:name="_Toc81189882"/>
      <w:bookmarkStart w:id="235" w:name="_Toc111521271"/>
      <w:bookmarkStart w:id="236" w:name="_Toc114919505"/>
      <w:bookmarkStart w:id="237" w:name="_Toc141754642"/>
      <w:bookmarkStart w:id="238" w:name="_Toc68942731"/>
      <w:bookmarkStart w:id="239" w:name="_Toc105152932"/>
      <w:bookmarkStart w:id="240" w:name="_Toc182727339"/>
      <w:bookmarkStart w:id="241" w:name="_Toc79373832"/>
      <w:bookmarkStart w:id="242" w:name="_Toc73772149"/>
      <w:bookmarkStart w:id="243" w:name="_Toc92014250"/>
      <w:bookmarkStart w:id="244" w:name="_Toc74623921"/>
      <w:bookmarkStart w:id="245" w:name="_Toc105155280"/>
      <w:bookmarkStart w:id="246" w:name="_Toc77587814"/>
      <w:bookmarkStart w:id="247" w:name="_Toc140891263"/>
      <w:r>
        <w:rPr>
          <w:rFonts w:ascii="Times New Roman" w:hAnsi="Times New Roman" w:eastAsia="宋体" w:cs="Times New Roman"/>
          <w:b/>
          <w:sz w:val="24"/>
        </w:rPr>
        <w:t>预测范围、预测点</w:t>
      </w:r>
      <w:bookmarkEnd w:id="224"/>
    </w:p>
    <w:p w14:paraId="70FF2B18">
      <w:pPr>
        <w:adjustRightInd w:val="0"/>
        <w:snapToGrid w:val="0"/>
        <w:spacing w:line="360" w:lineRule="auto"/>
        <w:ind w:firstLine="480" w:firstLineChars="200"/>
        <w:rPr>
          <w:rFonts w:ascii="Times New Roman" w:hAnsi="Times New Roman" w:eastAsia="宋体" w:cs="Times New Roman"/>
          <w:bCs/>
          <w:color w:val="000000"/>
          <w:kern w:val="0"/>
          <w:sz w:val="24"/>
        </w:rPr>
      </w:pPr>
      <w:r>
        <w:rPr>
          <w:rFonts w:hint="eastAsia" w:ascii="Times New Roman" w:hAnsi="Times New Roman" w:eastAsia="宋体" w:cs="Times New Roman"/>
          <w:bCs/>
          <w:color w:val="000000"/>
          <w:kern w:val="0"/>
          <w:sz w:val="24"/>
        </w:rPr>
        <w:t>厂界</w:t>
      </w:r>
      <w:r>
        <w:rPr>
          <w:rFonts w:ascii="Times New Roman" w:hAnsi="Times New Roman" w:eastAsia="宋体" w:cs="Times New Roman"/>
          <w:bCs/>
          <w:color w:val="000000"/>
          <w:kern w:val="0"/>
          <w:sz w:val="24"/>
        </w:rPr>
        <w:t>声环境质量执行《声环境质量标准》（GB3096-2008）</w:t>
      </w:r>
      <w:r>
        <w:rPr>
          <w:rFonts w:hint="eastAsia" w:ascii="Times New Roman" w:hAnsi="Times New Roman" w:eastAsia="宋体" w:cs="Times New Roman"/>
          <w:bCs/>
          <w:color w:val="000000"/>
          <w:kern w:val="0"/>
          <w:sz w:val="24"/>
        </w:rPr>
        <w:t>3</w:t>
      </w:r>
      <w:r>
        <w:rPr>
          <w:rFonts w:ascii="Times New Roman" w:hAnsi="Times New Roman" w:eastAsia="宋体" w:cs="Times New Roman"/>
          <w:bCs/>
          <w:color w:val="000000"/>
          <w:kern w:val="0"/>
          <w:sz w:val="24"/>
        </w:rPr>
        <w:t>类标准</w:t>
      </w:r>
      <w:r>
        <w:rPr>
          <w:rFonts w:hint="eastAsia" w:ascii="Times New Roman" w:hAnsi="Times New Roman" w:eastAsia="宋体" w:cs="Times New Roman"/>
          <w:bCs/>
          <w:color w:val="000000"/>
          <w:kern w:val="0"/>
          <w:sz w:val="24"/>
        </w:rPr>
        <w:t>。</w:t>
      </w:r>
      <w:r>
        <w:rPr>
          <w:rFonts w:ascii="Times New Roman" w:hAnsi="Times New Roman" w:eastAsia="宋体" w:cs="Times New Roman"/>
          <w:bCs/>
          <w:color w:val="000000"/>
          <w:kern w:val="0"/>
          <w:sz w:val="24"/>
        </w:rPr>
        <w:t>项目的声环境影响评价范围为：厂界外200m包络线的范围。本项目预测内容为：厂界噪声</w:t>
      </w:r>
      <w:r>
        <w:rPr>
          <w:rFonts w:ascii="Times New Roman" w:hAnsi="Times New Roman"/>
          <w:bCs/>
          <w:color w:val="000000"/>
          <w:kern w:val="0"/>
          <w:sz w:val="24"/>
        </w:rPr>
        <w:t>及周围敏感目标噪声（</w:t>
      </w:r>
      <w:r>
        <w:rPr>
          <w:rFonts w:hint="eastAsia" w:ascii="Times New Roman" w:hAnsi="Times New Roman"/>
          <w:bCs/>
          <w:color w:val="000000"/>
          <w:kern w:val="0"/>
          <w:sz w:val="24"/>
        </w:rPr>
        <w:t>骆家村</w:t>
      </w:r>
      <w:r>
        <w:rPr>
          <w:rFonts w:ascii="Times New Roman" w:hAnsi="Times New Roman"/>
          <w:bCs/>
          <w:color w:val="000000"/>
          <w:kern w:val="0"/>
          <w:sz w:val="24"/>
        </w:rPr>
        <w:t>）</w:t>
      </w:r>
      <w:r>
        <w:rPr>
          <w:rFonts w:hint="eastAsia" w:ascii="Times New Roman" w:hAnsi="Times New Roman" w:eastAsia="宋体" w:cs="Times New Roman"/>
          <w:bCs/>
          <w:color w:val="000000"/>
          <w:kern w:val="0"/>
          <w:sz w:val="24"/>
        </w:rPr>
        <w:t>。</w:t>
      </w:r>
    </w:p>
    <w:p w14:paraId="3FE45160">
      <w:pPr>
        <w:keepNext/>
        <w:keepLines/>
        <w:numPr>
          <w:ilvl w:val="2"/>
          <w:numId w:val="60"/>
        </w:numPr>
        <w:adjustRightInd w:val="0"/>
        <w:snapToGrid w:val="0"/>
        <w:spacing w:line="360" w:lineRule="auto"/>
        <w:outlineLvl w:val="2"/>
        <w:rPr>
          <w:rFonts w:ascii="Times New Roman" w:hAnsi="Times New Roman" w:eastAsia="宋体" w:cs="Times New Roman"/>
          <w:b/>
          <w:sz w:val="24"/>
        </w:rPr>
      </w:pPr>
      <w:bookmarkStart w:id="248" w:name="_Toc262758557"/>
      <w:r>
        <w:rPr>
          <w:rFonts w:ascii="Times New Roman" w:hAnsi="Times New Roman" w:eastAsia="宋体" w:cs="Times New Roman"/>
          <w:b/>
          <w:sz w:val="24"/>
        </w:rPr>
        <w:t>主要噪声源</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36973EE2">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lang w:val="zh-CN"/>
        </w:rPr>
        <w:t>项目主要噪声源为精密推台锯、砂光机、封边机、空压机、木线机、排钻、侧孔机、立铣机、打砂机</w:t>
      </w:r>
      <w:r>
        <w:rPr>
          <w:rFonts w:hint="eastAsia" w:ascii="Times New Roman" w:hAnsi="Times New Roman" w:eastAsia="宋体" w:cs="Times New Roman"/>
          <w:sz w:val="24"/>
        </w:rPr>
        <w:t>等</w:t>
      </w:r>
      <w:r>
        <w:rPr>
          <w:rFonts w:hint="eastAsia" w:ascii="Times New Roman" w:hAnsi="Times New Roman" w:eastAsia="宋体" w:cs="Times New Roman"/>
          <w:bCs/>
          <w:kern w:val="0"/>
          <w:sz w:val="24"/>
        </w:rPr>
        <w:t>。</w:t>
      </w:r>
    </w:p>
    <w:p w14:paraId="6A064DDB">
      <w:pPr>
        <w:adjustRightInd w:val="0"/>
        <w:snapToGrid w:val="0"/>
        <w:spacing w:line="360" w:lineRule="auto"/>
        <w:ind w:firstLine="480" w:firstLineChars="200"/>
        <w:rPr>
          <w:rFonts w:cs="Times New Roman"/>
          <w:bCs/>
          <w:kern w:val="0"/>
          <w:sz w:val="24"/>
        </w:rPr>
      </w:pPr>
      <w:r>
        <w:rPr>
          <w:rFonts w:hint="eastAsia" w:ascii="Times New Roman" w:hAnsi="Times New Roman" w:eastAsia="宋体" w:cs="Times New Roman"/>
          <w:bCs/>
          <w:kern w:val="0"/>
          <w:sz w:val="24"/>
        </w:rPr>
        <w:t>为有效降低噪声对环境的影响，</w:t>
      </w:r>
      <w:r>
        <w:rPr>
          <w:rFonts w:hint="eastAsia" w:cs="Times New Roman"/>
          <w:bCs/>
          <w:kern w:val="0"/>
          <w:sz w:val="24"/>
        </w:rPr>
        <w:t>通过采取以下措施减少噪声对环境影响：</w:t>
      </w:r>
    </w:p>
    <w:p w14:paraId="71F002FF">
      <w:pPr>
        <w:adjustRightInd w:val="0"/>
        <w:snapToGrid w:val="0"/>
        <w:spacing w:line="360" w:lineRule="auto"/>
        <w:ind w:firstLine="480" w:firstLineChars="200"/>
        <w:rPr>
          <w:rFonts w:ascii="Times New Roman" w:hAnsi="Times New Roman" w:eastAsia="宋体" w:cs="Times New Roman"/>
          <w:bCs/>
          <w:kern w:val="0"/>
          <w:sz w:val="24"/>
        </w:rPr>
      </w:pPr>
      <w:r>
        <w:rPr>
          <w:rFonts w:hint="eastAsia" w:cs="Times New Roman"/>
          <w:bCs/>
          <w:kern w:val="0"/>
          <w:sz w:val="24"/>
        </w:rPr>
        <w:t>（1）</w:t>
      </w:r>
      <w:r>
        <w:rPr>
          <w:rFonts w:hint="eastAsia" w:ascii="Times New Roman" w:hAnsi="Times New Roman" w:eastAsia="宋体" w:cs="Times New Roman"/>
          <w:bCs/>
          <w:kern w:val="0"/>
          <w:sz w:val="24"/>
        </w:rPr>
        <w:t>选用环保低噪型设备，车间内各设备合理布置，生产设备、风机等设备安装基础减振垫片；</w:t>
      </w:r>
    </w:p>
    <w:p w14:paraId="4300F35A">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w:t>
      </w:r>
      <w:r>
        <w:rPr>
          <w:rFonts w:ascii="Times New Roman" w:hAnsi="Times New Roman" w:eastAsia="宋体" w:cs="Times New Roman"/>
          <w:bCs/>
          <w:kern w:val="0"/>
          <w:sz w:val="24"/>
        </w:rPr>
        <w:t>2</w:t>
      </w:r>
      <w:r>
        <w:rPr>
          <w:rFonts w:hint="eastAsia" w:ascii="Times New Roman" w:hAnsi="Times New Roman" w:eastAsia="宋体" w:cs="Times New Roman"/>
          <w:bCs/>
          <w:kern w:val="0"/>
          <w:sz w:val="24"/>
        </w:rPr>
        <w:t>）加强设备的日常维修、更新，确保所有设备尤其是噪声污染设备处于正常工况，防止非正常工况下的高噪声污染现象出现；</w:t>
      </w:r>
    </w:p>
    <w:p w14:paraId="709DE5C5">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w:t>
      </w:r>
      <w:r>
        <w:rPr>
          <w:rFonts w:ascii="Times New Roman" w:hAnsi="Times New Roman" w:eastAsia="宋体" w:cs="Times New Roman"/>
          <w:bCs/>
          <w:kern w:val="0"/>
          <w:sz w:val="24"/>
        </w:rPr>
        <w:t>3</w:t>
      </w:r>
      <w:r>
        <w:rPr>
          <w:rFonts w:hint="eastAsia" w:ascii="Times New Roman" w:hAnsi="Times New Roman" w:eastAsia="宋体" w:cs="Times New Roman"/>
          <w:bCs/>
          <w:kern w:val="0"/>
          <w:sz w:val="24"/>
        </w:rPr>
        <w:t>）在平面布置上，高噪声源尽量远离厂界；</w:t>
      </w:r>
    </w:p>
    <w:p w14:paraId="5E9E4159">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（4）生产设备均布置在独立的空间内</w:t>
      </w:r>
      <w:r>
        <w:rPr>
          <w:rFonts w:ascii="Times New Roman" w:hAnsi="Times New Roman" w:eastAsia="宋体" w:cs="Times New Roman"/>
          <w:bCs/>
          <w:kern w:val="0"/>
          <w:sz w:val="24"/>
        </w:rPr>
        <w:t>，并在空间内墙安装吸声材料</w:t>
      </w:r>
      <w:r>
        <w:rPr>
          <w:rFonts w:hint="eastAsia" w:ascii="Times New Roman" w:hAnsi="Times New Roman" w:eastAsia="宋体" w:cs="Times New Roman"/>
          <w:bCs/>
          <w:kern w:val="0"/>
          <w:sz w:val="24"/>
        </w:rPr>
        <w:t>。</w:t>
      </w:r>
    </w:p>
    <w:p w14:paraId="7E0E9A20">
      <w:pPr>
        <w:pStyle w:val="62"/>
        <w:snapToGri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根据工程分析，</w:t>
      </w:r>
      <w:r>
        <w:rPr>
          <w:rFonts w:ascii="Times New Roman" w:hAnsi="Times New Roman" w:eastAsia="宋体" w:cs="Times New Roman"/>
          <w:sz w:val="24"/>
          <w:szCs w:val="22"/>
          <w:lang w:val="en-GB"/>
        </w:rPr>
        <w:t>本项目高噪声设备有</w:t>
      </w:r>
      <w:r>
        <w:rPr>
          <w:rFonts w:hint="eastAsia" w:ascii="Times New Roman" w:hAnsi="Times New Roman" w:eastAsia="宋体" w:cs="Times New Roman"/>
          <w:bCs/>
          <w:color w:val="auto"/>
          <w:kern w:val="0"/>
          <w:sz w:val="24"/>
          <w:szCs w:val="24"/>
          <w:lang w:val="zh-CN"/>
        </w:rPr>
        <w:t>精密推台锯、砂光机、封边机、空压机、木线机、排钻、侧孔机、立铣机、打砂机</w:t>
      </w:r>
      <w:r>
        <w:rPr>
          <w:rFonts w:ascii="Times New Roman" w:hAnsi="Times New Roman" w:eastAsia="宋体" w:cs="Times New Roman"/>
          <w:sz w:val="24"/>
          <w:szCs w:val="22"/>
          <w:lang w:val="en-GB"/>
        </w:rPr>
        <w:t>，</w:t>
      </w:r>
      <w:r>
        <w:rPr>
          <w:rFonts w:ascii="Times New Roman" w:hAnsi="Times New Roman" w:eastAsia="宋体" w:cs="Times New Roman"/>
          <w:sz w:val="24"/>
          <w:szCs w:val="24"/>
        </w:rPr>
        <w:t>噪声源</w:t>
      </w:r>
      <w:r>
        <w:rPr>
          <w:rFonts w:hint="eastAsia" w:ascii="Times New Roman" w:hAnsi="Times New Roman" w:eastAsia="宋体" w:cs="Times New Roman"/>
          <w:sz w:val="24"/>
          <w:szCs w:val="24"/>
        </w:rPr>
        <w:t>调查表详见3.6-13</w:t>
      </w:r>
      <w:r>
        <w:rPr>
          <w:rFonts w:ascii="Times New Roman" w:hAnsi="Times New Roman" w:eastAsia="宋体" w:cs="Times New Roman"/>
          <w:sz w:val="24"/>
          <w:szCs w:val="24"/>
        </w:rPr>
        <w:t>。</w:t>
      </w:r>
    </w:p>
    <w:p w14:paraId="7464955A">
      <w:pPr>
        <w:keepNext/>
        <w:keepLines/>
        <w:numPr>
          <w:ilvl w:val="2"/>
          <w:numId w:val="60"/>
        </w:numPr>
        <w:adjustRightInd w:val="0"/>
        <w:snapToGrid w:val="0"/>
        <w:spacing w:line="360" w:lineRule="auto"/>
        <w:outlineLvl w:val="2"/>
        <w:rPr>
          <w:rFonts w:ascii="Times New Roman" w:hAnsi="Times New Roman" w:eastAsia="宋体" w:cs="Times New Roman"/>
          <w:b/>
          <w:sz w:val="24"/>
        </w:rPr>
      </w:pPr>
      <w:bookmarkStart w:id="249" w:name="_Toc262758560"/>
      <w:r>
        <w:rPr>
          <w:rFonts w:ascii="Times New Roman" w:hAnsi="Times New Roman" w:eastAsia="宋体" w:cs="Times New Roman"/>
          <w:b/>
          <w:sz w:val="24"/>
        </w:rPr>
        <w:t>预测模式及参数的选择</w:t>
      </w:r>
      <w:bookmarkEnd w:id="249"/>
    </w:p>
    <w:p w14:paraId="12662B69">
      <w:pPr>
        <w:pStyle w:val="63"/>
        <w:adjustRightInd w:val="0"/>
        <w:snapToGrid w:val="0"/>
        <w:ind w:firstLine="480"/>
        <w:rPr>
          <w:rFonts w:ascii="Times New Roman" w:hAnsi="Times New Roman"/>
        </w:rPr>
      </w:pPr>
      <w:bookmarkStart w:id="250" w:name="_Toc262758561"/>
      <w:r>
        <w:rPr>
          <w:rFonts w:ascii="Times New Roman" w:hAnsi="Times New Roman"/>
          <w:szCs w:val="24"/>
        </w:rPr>
        <w:t>根据项目噪声污染源的特征，按照《环境影响评价技术导则声环境》（HJ2.4-2021）要求，</w:t>
      </w:r>
      <w:r>
        <w:rPr>
          <w:rFonts w:ascii="Times New Roman" w:hAnsi="Times New Roman"/>
        </w:rPr>
        <w:t>点声源的噪声预测计算的基本公式为：</w:t>
      </w:r>
    </w:p>
    <w:p w14:paraId="7DFA14F1">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1、室内声源等效室外声源声功率级计算方法</w:t>
      </w:r>
    </w:p>
    <w:p w14:paraId="2E2D1CDA">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（1）室内声源采用等效室外声源声功率级法进行计算</w:t>
      </w:r>
    </w:p>
    <w:p w14:paraId="33DBE2C7">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设靠近开口处（或窗户）室内、室外某倍频带的声压级分别为</w:t>
      </w:r>
      <w:r>
        <w:rPr>
          <w:rFonts w:ascii="Times New Roman" w:hAnsi="Times New Roman" w:eastAsia="宋体" w:cs="Times New Roman"/>
          <w:i/>
          <w:sz w:val="24"/>
        </w:rPr>
        <w:t>L</w:t>
      </w:r>
      <w:r>
        <w:rPr>
          <w:rFonts w:ascii="Times New Roman" w:hAnsi="Times New Roman" w:eastAsia="宋体" w:cs="Times New Roman"/>
          <w:i/>
          <w:sz w:val="24"/>
          <w:vertAlign w:val="subscript"/>
        </w:rPr>
        <w:t>p1</w:t>
      </w:r>
      <w:r>
        <w:rPr>
          <w:rFonts w:ascii="Times New Roman" w:hAnsi="Times New Roman" w:eastAsia="宋体" w:cs="Times New Roman"/>
          <w:sz w:val="24"/>
        </w:rPr>
        <w:t>和</w:t>
      </w:r>
      <w:r>
        <w:rPr>
          <w:rFonts w:ascii="Times New Roman" w:hAnsi="Times New Roman" w:eastAsia="宋体" w:cs="Times New Roman"/>
          <w:i/>
          <w:sz w:val="24"/>
        </w:rPr>
        <w:t>L</w:t>
      </w:r>
      <w:r>
        <w:rPr>
          <w:rFonts w:ascii="Times New Roman" w:hAnsi="Times New Roman" w:eastAsia="宋体" w:cs="Times New Roman"/>
          <w:i/>
          <w:sz w:val="24"/>
          <w:vertAlign w:val="subscript"/>
        </w:rPr>
        <w:t>p2</w:t>
      </w:r>
      <w:r>
        <w:rPr>
          <w:rFonts w:ascii="Times New Roman" w:hAnsi="Times New Roman" w:eastAsia="宋体" w:cs="Times New Roman"/>
          <w:sz w:val="24"/>
        </w:rPr>
        <w:t>。若声源所在室内声场为近似扩散声场，则室外的倍频带声压级可按公式近似求出：</w:t>
      </w:r>
    </w:p>
    <w:p w14:paraId="0868F276">
      <w:pPr>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position w:val="-14"/>
          <w:sz w:val="24"/>
        </w:rPr>
        <w:object>
          <v:shape id="_x0000_i1042" o:spt="75" type="#_x0000_t75" style="height:20.5pt;width:97pt;" o:ole="t" filled="f" o:preferrelative="t" stroked="f" coordsize="21600,21600">
            <v:path/>
            <v:fill on="f" focussize="0,0"/>
            <v:stroke on="f" joinstyle="miter"/>
            <v:imagedata r:id="rId68" o:title=""/>
            <o:lock v:ext="edit" aspectratio="t"/>
            <w10:wrap type="none"/>
            <w10:anchorlock/>
          </v:shape>
          <o:OLEObject Type="Embed" ProgID="Equation.3" ShapeID="_x0000_i1042" DrawAspect="Content" ObjectID="_1468075742" r:id="rId67">
            <o:LockedField>false</o:LockedField>
          </o:OLEObject>
        </w:object>
      </w:r>
    </w:p>
    <w:p w14:paraId="40F521A6">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w:t>
      </w:r>
      <w:r>
        <w:rPr>
          <w:rFonts w:ascii="Times New Roman" w:hAnsi="Times New Roman" w:eastAsia="宋体" w:cs="Times New Roman"/>
          <w:i/>
          <w:sz w:val="24"/>
        </w:rPr>
        <w:t>TL</w:t>
      </w:r>
      <w:r>
        <w:rPr>
          <w:rFonts w:ascii="Times New Roman" w:hAnsi="Times New Roman" w:eastAsia="宋体" w:cs="Times New Roman"/>
          <w:sz w:val="24"/>
        </w:rPr>
        <w:t>——隔墙（或窗户）倍频带的隔声量，dB(A)。有门窗设置的构筑物其隔声量一般为10~25dB。</w:t>
      </w:r>
    </w:p>
    <w:p w14:paraId="7E6BE330">
      <w:pPr>
        <w:spacing w:line="360" w:lineRule="auto"/>
        <w:jc w:val="center"/>
        <w:rPr>
          <w:rFonts w:ascii="Times New Roman" w:hAnsi="Times New Roman" w:eastAsia="宋体" w:cs="Times New Roman"/>
          <w:szCs w:val="22"/>
        </w:rPr>
      </w:pPr>
      <w:r>
        <w:rPr>
          <w:rFonts w:ascii="Times New Roman" w:hAnsi="Times New Roman" w:eastAsia="宋体" w:cs="Times New Roman"/>
          <w:szCs w:val="22"/>
        </w:rPr>
        <w:drawing>
          <wp:inline distT="0" distB="0" distL="114300" distR="114300">
            <wp:extent cx="3162300" cy="1323975"/>
            <wp:effectExtent l="0" t="0" r="0" b="0"/>
            <wp:docPr id="150"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72"/>
                    <pic:cNvPicPr>
                      <a:picLocks noChangeAspect="1"/>
                    </pic:cNvPicPr>
                  </pic:nvPicPr>
                  <pic:blipFill>
                    <a:blip r:embed="rId69"/>
                    <a:stretch>
                      <a:fillRect/>
                    </a:stretch>
                  </pic:blipFill>
                  <pic:spPr>
                    <a:xfrm>
                      <a:off x="0" y="0"/>
                      <a:ext cx="3162300" cy="1323975"/>
                    </a:xfrm>
                    <a:prstGeom prst="rect">
                      <a:avLst/>
                    </a:prstGeom>
                    <a:noFill/>
                    <a:ln>
                      <a:noFill/>
                    </a:ln>
                  </pic:spPr>
                </pic:pic>
              </a:graphicData>
            </a:graphic>
          </wp:inline>
        </w:drawing>
      </w:r>
    </w:p>
    <w:p w14:paraId="1B37F77D">
      <w:pPr>
        <w:spacing w:before="156" w:beforeLines="50" w:line="360" w:lineRule="auto"/>
        <w:jc w:val="center"/>
        <w:rPr>
          <w:rFonts w:ascii="Times New Roman" w:hAnsi="Times New Roman" w:eastAsia="宋体" w:cs="Times New Roman"/>
          <w:b/>
          <w:bCs/>
          <w:kern w:val="28"/>
          <w:szCs w:val="32"/>
        </w:rPr>
      </w:pPr>
      <w:r>
        <w:rPr>
          <w:rFonts w:ascii="Times New Roman" w:hAnsi="Times New Roman" w:eastAsia="宋体" w:cs="Times New Roman"/>
          <w:b/>
          <w:bCs/>
          <w:kern w:val="28"/>
          <w:szCs w:val="32"/>
        </w:rPr>
        <w:t>图5.</w:t>
      </w:r>
      <w:r>
        <w:rPr>
          <w:rFonts w:hint="eastAsia" w:ascii="Times New Roman" w:hAnsi="Times New Roman" w:eastAsia="宋体" w:cs="Times New Roman"/>
          <w:b/>
          <w:bCs/>
          <w:kern w:val="28"/>
          <w:szCs w:val="32"/>
        </w:rPr>
        <w:t>4</w:t>
      </w:r>
      <w:r>
        <w:rPr>
          <w:rFonts w:ascii="Times New Roman" w:hAnsi="Times New Roman" w:eastAsia="宋体" w:cs="Times New Roman"/>
          <w:b/>
          <w:bCs/>
          <w:kern w:val="28"/>
          <w:szCs w:val="32"/>
        </w:rPr>
        <w:t>-</w:t>
      </w:r>
      <w:r>
        <w:rPr>
          <w:rFonts w:hint="eastAsia" w:ascii="Times New Roman" w:hAnsi="Times New Roman" w:eastAsia="宋体" w:cs="Times New Roman"/>
          <w:b/>
          <w:bCs/>
          <w:kern w:val="28"/>
          <w:szCs w:val="32"/>
        </w:rPr>
        <w:t>1</w:t>
      </w:r>
      <w:r>
        <w:rPr>
          <w:rFonts w:ascii="Times New Roman" w:hAnsi="Times New Roman" w:eastAsia="宋体" w:cs="Times New Roman"/>
          <w:b/>
          <w:bCs/>
          <w:kern w:val="28"/>
          <w:szCs w:val="32"/>
        </w:rPr>
        <w:t xml:space="preserve">  室内声源等效为室外声源例图</w:t>
      </w:r>
    </w:p>
    <w:p w14:paraId="36794E24">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（2）某一室内声源靠近围护结构处产生的倍频带声压级的计算</w:t>
      </w:r>
    </w:p>
    <w:p w14:paraId="4C1D6020">
      <w:pPr>
        <w:spacing w:line="360" w:lineRule="auto"/>
        <w:ind w:firstLine="420" w:firstLineChars="200"/>
        <w:jc w:val="center"/>
        <w:rPr>
          <w:rFonts w:ascii="Times New Roman" w:hAnsi="Times New Roman" w:eastAsia="宋体" w:cs="Times New Roman"/>
          <w:sz w:val="24"/>
        </w:rP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p1</m:t>
              </m:r>
              <m:ctrlPr>
                <w:rPr>
                  <w:rFonts w:ascii="Cambria Math" w:hAnsi="Cambria Math"/>
                </w:rPr>
              </m:ctrlPr>
            </m:sub>
          </m:sSub>
          <m:r>
            <m:rPr/>
            <w:rPr>
              <w:rFonts w:hint="eastAsia"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r>
            <m:rPr/>
            <w:rPr>
              <w:rFonts w:hint="eastAsia" w:ascii="Cambria Math" w:hAnsi="Cambria Math"/>
            </w:rPr>
            <m:t>+</m:t>
          </m:r>
          <m:r>
            <m:rPr/>
            <w:rPr>
              <w:rFonts w:ascii="Cambria Math" w:hAnsi="Cambria Math"/>
            </w:rPr>
            <m:t>10</m:t>
          </m:r>
          <m:r>
            <m:rPr>
              <m:sty m:val="p"/>
            </m:rPr>
            <w:rPr>
              <w:rFonts w:ascii="Cambria Math" w:hAnsi="Cambria Math"/>
            </w:rPr>
            <m:t>lg⁡</m:t>
          </m:r>
          <m:r>
            <m:rPr/>
            <w:rPr>
              <w:rFonts w:hint="eastAsia" w:ascii="Cambria Math" w:hAnsi="Cambria Math"/>
            </w:rPr>
            <m:t>（</m:t>
          </m:r>
          <m:f>
            <m:fPr>
              <m:ctrlPr>
                <w:rPr>
                  <w:rFonts w:ascii="Cambria Math" w:hAnsi="Cambria Math"/>
                  <w:i/>
                </w:rPr>
              </m:ctrlPr>
            </m:fPr>
            <m:num>
              <m:r>
                <m:rPr/>
                <w:rPr>
                  <w:rFonts w:ascii="Cambria Math" w:hAnsi="Cambria Math"/>
                </w:rPr>
                <m:t>Q</m:t>
              </m:r>
              <m:ctrlPr>
                <w:rPr>
                  <w:rFonts w:ascii="Cambria Math" w:hAnsi="Cambria Math"/>
                  <w:i/>
                </w:rPr>
              </m:ctrlPr>
            </m:num>
            <m:den>
              <m:r>
                <m:rPr/>
                <w:rPr>
                  <w:rFonts w:ascii="Cambria Math" w:hAnsi="Cambria Math"/>
                </w:rPr>
                <m:t>4π</m:t>
              </m:r>
              <m:sSup>
                <m:sSupPr>
                  <m:ctrlPr>
                    <w:rPr>
                      <w:rFonts w:ascii="Cambria Math" w:hAnsi="Cambria Math"/>
                      <w:i/>
                    </w:rPr>
                  </m:ctrlPr>
                </m:sSupPr>
                <m:e>
                  <m:r>
                    <m:rPr/>
                    <w:rPr>
                      <w:rFonts w:ascii="Cambria Math" w:hAnsi="Cambria Math"/>
                    </w:rPr>
                    <m:t>r</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den>
          </m:f>
          <m:r>
            <m:rPr/>
            <w:rPr>
              <w:rFonts w:hint="eastAsia" w:ascii="Cambria Math" w:hAnsi="Cambria Math"/>
            </w:rPr>
            <m:t>+</m:t>
          </m:r>
          <m:f>
            <m:fPr>
              <m:ctrlPr>
                <w:rPr>
                  <w:rFonts w:ascii="Cambria Math" w:hAnsi="Cambria Math"/>
                  <w:i/>
                </w:rPr>
              </m:ctrlPr>
            </m:fPr>
            <m:num>
              <m:r>
                <m:rPr/>
                <w:rPr>
                  <w:rFonts w:ascii="Cambria Math" w:hAnsi="Cambria Math"/>
                </w:rPr>
                <m:t>4</m:t>
              </m:r>
              <m:ctrlPr>
                <w:rPr>
                  <w:rFonts w:ascii="Cambria Math" w:hAnsi="Cambria Math"/>
                  <w:i/>
                </w:rPr>
              </m:ctrlPr>
            </m:num>
            <m:den>
              <m:r>
                <m:rPr/>
                <w:rPr>
                  <w:rFonts w:ascii="Cambria Math" w:hAnsi="Cambria Math"/>
                </w:rPr>
                <m:t>R</m:t>
              </m:r>
              <m:ctrlPr>
                <w:rPr>
                  <w:rFonts w:ascii="Cambria Math" w:hAnsi="Cambria Math"/>
                  <w:i/>
                </w:rPr>
              </m:ctrlPr>
            </m:den>
          </m:f>
          <m:r>
            <m:rPr/>
            <w:rPr>
              <w:rFonts w:hint="eastAsia" w:ascii="Cambria Math" w:hAnsi="Cambria Math"/>
            </w:rPr>
            <m:t>）</m:t>
          </m:r>
        </m:oMath>
      </m:oMathPara>
    </w:p>
    <w:p w14:paraId="3AC1D92B">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式中：Q ——指向性因素；通常对无指向性声源，当声源放在房间中心时，Q=1；当放在一面墙的中心时，Q=2；当放在两面墙夹角处时，Q=4；当放在三面墙夹角处时，Q=8。</w:t>
      </w:r>
    </w:p>
    <w:p w14:paraId="77C46A7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R——房间常数；R =Sα/(1-α），S 为房间内表面面积，m</w:t>
      </w:r>
      <w:r>
        <w:rPr>
          <w:rFonts w:ascii="Times New Roman" w:hAnsi="Times New Roman" w:eastAsia="宋体" w:cs="Times New Roman"/>
          <w:sz w:val="24"/>
          <w:vertAlign w:val="superscript"/>
        </w:rPr>
        <w:t>2</w:t>
      </w:r>
      <w:r>
        <w:rPr>
          <w:rFonts w:ascii="Times New Roman" w:hAnsi="Times New Roman" w:eastAsia="宋体" w:cs="Times New Roman"/>
          <w:sz w:val="24"/>
        </w:rPr>
        <w:t>；α为平均吸声系数。</w:t>
      </w:r>
    </w:p>
    <w:p w14:paraId="42D39C9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r——声源到靠近围护结构某点处的距离，m。</w:t>
      </w:r>
    </w:p>
    <w:p w14:paraId="5239442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（3）所有室内声源在围护结构处产生的</w:t>
      </w:r>
      <m:oMath>
        <m:r>
          <m:rPr/>
          <w:rPr>
            <w:rFonts w:hint="eastAsia" w:ascii="Cambria Math" w:hAnsi="Cambria Math" w:eastAsia="微软雅黑" w:cs="微软雅黑"/>
          </w:rPr>
          <m:t>i</m:t>
        </m:r>
      </m:oMath>
      <w:r>
        <w:rPr>
          <w:rFonts w:ascii="Times New Roman" w:hAnsi="Times New Roman" w:eastAsia="宋体" w:cs="Times New Roman"/>
          <w:sz w:val="24"/>
        </w:rPr>
        <w:t>倍频带叠加声压级计算</w:t>
      </w:r>
    </w:p>
    <w:p w14:paraId="2CB95480">
      <w:pPr>
        <w:spacing w:line="360" w:lineRule="auto"/>
        <w:ind w:firstLine="420" w:firstLineChars="200"/>
        <w:jc w:val="center"/>
        <w:rPr>
          <w:rFonts w:ascii="Times New Roman" w:hAnsi="Times New Roman" w:eastAsia="宋体" w:cs="Times New Roman"/>
          <w:sz w:val="24"/>
        </w:rP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pli</m:t>
              </m:r>
              <m:ctrlPr>
                <w:rPr>
                  <w:rFonts w:ascii="Cambria Math" w:hAnsi="Cambria Math"/>
                </w:rPr>
              </m:ctrlPr>
            </m:sub>
          </m:sSub>
          <m:d>
            <m:dPr>
              <m:begChr m:val="（"/>
              <m:endChr m:val="）"/>
              <m:ctrlPr>
                <w:rPr>
                  <w:rFonts w:ascii="Cambria Math" w:hAnsi="Cambria Math"/>
                  <w:i/>
                </w:rPr>
              </m:ctrlPr>
            </m:dPr>
            <m:e>
              <m:r>
                <m:rPr/>
                <w:rPr>
                  <w:rFonts w:ascii="Cambria Math" w:hAnsi="Cambria Math"/>
                </w:rPr>
                <m:t>T</m:t>
              </m:r>
              <m:ctrlPr>
                <w:rPr>
                  <w:rFonts w:ascii="Cambria Math" w:hAnsi="Cambria Math"/>
                  <w:i/>
                </w:rPr>
              </m:ctrlPr>
            </m:e>
          </m:d>
          <m:r>
            <m:rPr/>
            <w:rPr>
              <w:rFonts w:hint="eastAsia" w:ascii="Cambria Math" w:hAnsi="Cambria Math"/>
            </w:rPr>
            <m:t>=</m:t>
          </m:r>
          <m:r>
            <m:rPr/>
            <w:rPr>
              <w:rFonts w:ascii="Cambria Math" w:hAnsi="Cambria Math"/>
            </w:rPr>
            <m:t>10</m:t>
          </m:r>
          <m:r>
            <m:rPr>
              <m:sty m:val="p"/>
            </m:rPr>
            <w:rPr>
              <w:rFonts w:ascii="Cambria Math" w:hAnsi="Cambria Math"/>
            </w:rPr>
            <m:t>lg⁡</m:t>
          </m:r>
          <m:r>
            <m:rPr/>
            <w:rPr>
              <w:rFonts w:hint="eastAsia" w:ascii="Cambria Math" w:hAnsi="Cambria Math"/>
            </w:rPr>
            <m:t>（</m:t>
          </m:r>
          <m:nary>
            <m:naryPr>
              <m:chr m:val="∑"/>
              <m:limLoc m:val="undOvr"/>
              <m:ctrlPr>
                <w:rPr>
                  <w:rFonts w:ascii="Cambria Math" w:hAnsi="Cambria Math"/>
                  <w:i/>
                </w:rPr>
              </m:ctrlPr>
            </m:naryPr>
            <m:sub>
              <m:r>
                <m:rPr/>
                <w:rPr>
                  <w:rFonts w:ascii="Cambria Math" w:hAnsi="Cambria Math"/>
                </w:rPr>
                <m:t>j=1</m:t>
              </m:r>
              <m:ctrlPr>
                <w:rPr>
                  <w:rFonts w:ascii="Cambria Math" w:hAnsi="Cambria Math"/>
                  <w:i/>
                </w:rPr>
              </m:ctrlPr>
            </m:sub>
            <m:sup>
              <m:r>
                <m:rPr/>
                <w:rPr>
                  <w:rFonts w:ascii="Cambria Math" w:hAnsi="Cambria Math"/>
                </w:rPr>
                <m:t>N</m:t>
              </m:r>
              <m:ctrlPr>
                <w:rPr>
                  <w:rFonts w:ascii="Cambria Math" w:hAnsi="Cambria Math"/>
                  <w:i/>
                </w:rPr>
              </m:ctrlPr>
            </m:sup>
            <m:e>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plij</m:t>
                      </m:r>
                      <m:ctrlPr>
                        <w:rPr>
                          <w:rFonts w:ascii="Cambria Math" w:hAnsi="Cambria Math"/>
                          <w:i/>
                        </w:rPr>
                      </m:ctrlPr>
                    </m:sub>
                  </m:sSub>
                  <m:ctrlPr>
                    <w:rPr>
                      <w:rFonts w:ascii="Cambria Math" w:hAnsi="Cambria Math"/>
                      <w:i/>
                    </w:rPr>
                  </m:ctrlPr>
                </m:sup>
              </m:sSup>
              <m:ctrlPr>
                <w:rPr>
                  <w:rFonts w:ascii="Cambria Math" w:hAnsi="Cambria Math"/>
                  <w:i/>
                </w:rPr>
              </m:ctrlPr>
            </m:e>
          </m:nary>
          <m:r>
            <m:rPr/>
            <w:rPr>
              <w:rFonts w:hint="eastAsia" w:ascii="Cambria Math" w:hAnsi="Cambria Math"/>
            </w:rPr>
            <m:t>）</m:t>
          </m:r>
        </m:oMath>
      </m:oMathPara>
    </w:p>
    <w:p w14:paraId="3FFACB12">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w:t>
      </w:r>
      <w:r>
        <w:rPr>
          <w:rFonts w:hint="eastAsia" w:ascii="Times New Roman" w:hAnsi="Times New Roman" w:eastAsia="宋体" w:cs="Times New Roman"/>
          <w:i/>
          <w:iCs/>
          <w:sz w:val="24"/>
        </w:rPr>
        <w:t>L</w:t>
      </w:r>
      <w:r>
        <w:rPr>
          <w:rFonts w:hint="eastAsia" w:ascii="Times New Roman" w:hAnsi="Times New Roman" w:eastAsia="宋体" w:cs="Times New Roman"/>
          <w:i/>
          <w:iCs/>
          <w:sz w:val="24"/>
          <w:vertAlign w:val="subscript"/>
        </w:rPr>
        <w:t>pli</w:t>
      </w:r>
      <w:r>
        <w:rPr>
          <w:rFonts w:hint="eastAsia" w:ascii="Times New Roman" w:hAnsi="Times New Roman" w:eastAsia="宋体" w:cs="Times New Roman"/>
          <w:sz w:val="24"/>
        </w:rPr>
        <w:t>(T)</w:t>
      </w:r>
      <w:r>
        <w:rPr>
          <w:rFonts w:ascii="Times New Roman" w:hAnsi="Times New Roman" w:eastAsia="宋体" w:cs="Times New Roman"/>
          <w:sz w:val="24"/>
        </w:rPr>
        <w:t>——靠近围护结构处室内</w:t>
      </w:r>
      <w:r>
        <w:rPr>
          <w:rFonts w:ascii="Times New Roman" w:hAnsi="Times New Roman" w:eastAsia="宋体" w:cs="Times New Roman"/>
          <w:i/>
          <w:iCs/>
          <w:sz w:val="24"/>
        </w:rPr>
        <w:t>N</w:t>
      </w:r>
      <w:r>
        <w:rPr>
          <w:rFonts w:ascii="Times New Roman" w:hAnsi="Times New Roman" w:eastAsia="宋体" w:cs="Times New Roman"/>
          <w:sz w:val="24"/>
        </w:rPr>
        <w:t>个声源</w:t>
      </w:r>
      <w:r>
        <w:rPr>
          <w:rFonts w:ascii="Times New Roman" w:hAnsi="Times New Roman" w:eastAsia="宋体" w:cs="Times New Roman"/>
          <w:i/>
          <w:iCs/>
          <w:sz w:val="24"/>
        </w:rPr>
        <w:t>i</w:t>
      </w:r>
      <w:r>
        <w:rPr>
          <w:rFonts w:ascii="Times New Roman" w:hAnsi="Times New Roman" w:eastAsia="宋体" w:cs="Times New Roman"/>
          <w:sz w:val="24"/>
        </w:rPr>
        <w:t>倍频带的叠加声压级，dB；</w:t>
      </w:r>
    </w:p>
    <w:p w14:paraId="25FA5EEB">
      <w:pPr>
        <w:spacing w:line="360" w:lineRule="auto"/>
        <w:ind w:firstLine="1200" w:firstLineChars="500"/>
        <w:rPr>
          <w:rFonts w:ascii="Times New Roman" w:hAnsi="Times New Roman" w:eastAsia="宋体" w:cs="Times New Roman"/>
          <w:sz w:val="24"/>
        </w:rPr>
      </w:pPr>
      <w:r>
        <w:rPr>
          <w:rFonts w:hint="eastAsia" w:ascii="Times New Roman" w:hAnsi="Times New Roman" w:eastAsia="宋体" w:cs="Times New Roman"/>
          <w:i/>
          <w:iCs/>
          <w:sz w:val="24"/>
        </w:rPr>
        <w:t>L</w:t>
      </w:r>
      <w:r>
        <w:rPr>
          <w:rFonts w:hint="eastAsia" w:ascii="Times New Roman" w:hAnsi="Times New Roman" w:eastAsia="宋体" w:cs="Times New Roman"/>
          <w:i/>
          <w:iCs/>
          <w:sz w:val="24"/>
          <w:vertAlign w:val="subscript"/>
        </w:rPr>
        <w:t>pli</w:t>
      </w:r>
      <w:r>
        <w:rPr>
          <w:rFonts w:hint="eastAsia" w:ascii="Times New Roman" w:hAnsi="Times New Roman" w:eastAsia="宋体" w:cs="Times New Roman"/>
          <w:sz w:val="24"/>
        </w:rPr>
        <w:t>(T)</w:t>
      </w:r>
      <w:r>
        <w:rPr>
          <w:rFonts w:ascii="Times New Roman" w:hAnsi="Times New Roman" w:eastAsia="宋体" w:cs="Times New Roman"/>
          <w:sz w:val="24"/>
        </w:rPr>
        <w:t>——室内</w:t>
      </w:r>
      <w:r>
        <w:rPr>
          <w:rFonts w:ascii="Times New Roman" w:hAnsi="Times New Roman" w:eastAsia="宋体" w:cs="Times New Roman"/>
          <w:i/>
          <w:iCs/>
          <w:sz w:val="24"/>
        </w:rPr>
        <w:t>j</w:t>
      </w:r>
      <w:r>
        <w:rPr>
          <w:rFonts w:ascii="Times New Roman" w:hAnsi="Times New Roman" w:eastAsia="宋体" w:cs="Times New Roman"/>
          <w:sz w:val="24"/>
        </w:rPr>
        <w:t>声源</w:t>
      </w:r>
      <w:r>
        <w:rPr>
          <w:rFonts w:ascii="Times New Roman" w:hAnsi="Times New Roman" w:eastAsia="宋体" w:cs="Times New Roman"/>
          <w:i/>
          <w:iCs/>
          <w:sz w:val="24"/>
        </w:rPr>
        <w:t>i</w:t>
      </w:r>
      <w:r>
        <w:rPr>
          <w:rFonts w:ascii="Times New Roman" w:hAnsi="Times New Roman" w:eastAsia="宋体" w:cs="Times New Roman"/>
          <w:sz w:val="24"/>
        </w:rPr>
        <w:t xml:space="preserve">倍频带的声压级，dB； </w:t>
      </w:r>
    </w:p>
    <w:p w14:paraId="3CE39FF9">
      <w:pPr>
        <w:spacing w:line="360" w:lineRule="auto"/>
        <w:ind w:firstLine="1200" w:firstLineChars="500"/>
        <w:rPr>
          <w:rFonts w:ascii="Times New Roman" w:hAnsi="Times New Roman" w:eastAsia="宋体" w:cs="Times New Roman"/>
          <w:sz w:val="24"/>
        </w:rPr>
      </w:pPr>
      <w:r>
        <w:rPr>
          <w:rFonts w:ascii="Times New Roman" w:hAnsi="Times New Roman" w:eastAsia="宋体" w:cs="Times New Roman"/>
          <w:i/>
          <w:iCs/>
          <w:sz w:val="24"/>
        </w:rPr>
        <w:t>N</w:t>
      </w:r>
      <w:r>
        <w:rPr>
          <w:rFonts w:ascii="Times New Roman" w:hAnsi="Times New Roman" w:eastAsia="宋体" w:cs="Times New Roman"/>
          <w:sz w:val="24"/>
        </w:rPr>
        <w:t>——室内声源总数。</w:t>
      </w:r>
    </w:p>
    <w:p w14:paraId="180DA70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（4）靠近室外围护结构处的声压级的计算</w:t>
      </w:r>
    </w:p>
    <w:p w14:paraId="4B4B6EA5">
      <w:pPr>
        <w:spacing w:line="360" w:lineRule="auto"/>
        <w:ind w:firstLine="420" w:firstLineChars="200"/>
        <w:jc w:val="center"/>
        <w:rPr>
          <w:rFonts w:ascii="Times New Roman" w:hAnsi="Times New Roman" w:eastAsia="宋体" w:cs="Times New Roman"/>
          <w:sz w:val="24"/>
        </w:rP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p2i</m:t>
              </m:r>
              <m:ctrlPr>
                <w:rPr>
                  <w:rFonts w:ascii="Cambria Math" w:hAnsi="Cambria Math"/>
                </w:rPr>
              </m:ctrlPr>
            </m:sub>
          </m:sSub>
          <m:d>
            <m:dPr>
              <m:begChr m:val="（"/>
              <m:endChr m:val="）"/>
              <m:ctrlPr>
                <w:rPr>
                  <w:rFonts w:ascii="Cambria Math" w:hAnsi="Cambria Math"/>
                  <w:i/>
                </w:rPr>
              </m:ctrlPr>
            </m:dPr>
            <m:e>
              <m:r>
                <m:rPr/>
                <w:rPr>
                  <w:rFonts w:ascii="Cambria Math" w:hAnsi="Cambria Math"/>
                </w:rPr>
                <m:t>T</m:t>
              </m:r>
              <m:ctrlPr>
                <w:rPr>
                  <w:rFonts w:ascii="Cambria Math" w:hAnsi="Cambria Math"/>
                  <w:i/>
                </w:rPr>
              </m:ctrlPr>
            </m:e>
          </m:d>
          <m:r>
            <m:rPr/>
            <w:rPr>
              <w:rFonts w:hint="eastAsia"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hint="eastAsia" w:ascii="Cambria Math" w:hAnsi="Cambria Math"/>
                </w:rPr>
                <m:t>pli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hint="eastAsia" w:ascii="Cambria Math" w:hAnsi="Cambria Math"/>
                </w:rPr>
                <m:t>i</m:t>
              </m:r>
              <m:ctrlPr>
                <w:rPr>
                  <w:rFonts w:ascii="Cambria Math" w:hAnsi="Cambria Math"/>
                  <w:i/>
                </w:rPr>
              </m:ctrlPr>
            </m:sub>
          </m:sSub>
          <m:r>
            <m:rPr/>
            <w:rPr>
              <w:rFonts w:ascii="Cambria Math" w:hAnsi="Cambria Math"/>
            </w:rPr>
            <m:t>+6)</m:t>
          </m:r>
        </m:oMath>
      </m:oMathPara>
    </w:p>
    <w:p w14:paraId="04D4CFA1">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w:t>
      </w:r>
      <w:r>
        <w:rPr>
          <w:rFonts w:hint="eastAsia" w:ascii="Times New Roman" w:hAnsi="Times New Roman" w:eastAsia="宋体" w:cs="Times New Roman"/>
          <w:i/>
          <w:iCs/>
          <w:sz w:val="24"/>
        </w:rPr>
        <w:t>L</w:t>
      </w:r>
      <w:r>
        <w:rPr>
          <w:rFonts w:hint="eastAsia" w:ascii="Times New Roman" w:hAnsi="Times New Roman" w:eastAsia="宋体" w:cs="Times New Roman"/>
          <w:i/>
          <w:iCs/>
          <w:sz w:val="24"/>
          <w:vertAlign w:val="subscript"/>
        </w:rPr>
        <w:t>p2i</w:t>
      </w:r>
      <w:r>
        <w:rPr>
          <w:rFonts w:hint="eastAsia" w:ascii="Times New Roman" w:hAnsi="Times New Roman" w:eastAsia="宋体" w:cs="Times New Roman"/>
          <w:sz w:val="24"/>
        </w:rPr>
        <w:t>(T)</w:t>
      </w:r>
      <w:r>
        <w:rPr>
          <w:rFonts w:ascii="Times New Roman" w:hAnsi="Times New Roman" w:eastAsia="宋体" w:cs="Times New Roman"/>
          <w:sz w:val="24"/>
        </w:rPr>
        <w:t>——靠近围护结构处室外</w:t>
      </w:r>
      <w:r>
        <w:rPr>
          <w:rFonts w:ascii="Times New Roman" w:hAnsi="Times New Roman" w:eastAsia="宋体" w:cs="Times New Roman"/>
          <w:i/>
          <w:iCs/>
          <w:sz w:val="24"/>
        </w:rPr>
        <w:t>N</w:t>
      </w:r>
      <w:r>
        <w:rPr>
          <w:rFonts w:ascii="Times New Roman" w:hAnsi="Times New Roman" w:eastAsia="宋体" w:cs="Times New Roman"/>
          <w:sz w:val="24"/>
        </w:rPr>
        <w:t>个声源</w:t>
      </w:r>
      <w:r>
        <w:rPr>
          <w:rFonts w:ascii="Times New Roman" w:hAnsi="Times New Roman" w:eastAsia="宋体" w:cs="Times New Roman"/>
          <w:i/>
          <w:iCs/>
          <w:sz w:val="24"/>
        </w:rPr>
        <w:t>i</w:t>
      </w:r>
      <w:r>
        <w:rPr>
          <w:rFonts w:ascii="Times New Roman" w:hAnsi="Times New Roman" w:eastAsia="宋体" w:cs="Times New Roman"/>
          <w:sz w:val="24"/>
        </w:rPr>
        <w:t>倍频带的叠加声压级，dB；</w:t>
      </w:r>
    </w:p>
    <w:p w14:paraId="2A93DA81">
      <w:pPr>
        <w:spacing w:line="360" w:lineRule="auto"/>
        <w:ind w:firstLine="1200" w:firstLineChars="500"/>
        <w:rPr>
          <w:rFonts w:ascii="Times New Roman" w:hAnsi="Times New Roman" w:eastAsia="宋体" w:cs="Times New Roman"/>
          <w:sz w:val="24"/>
        </w:rPr>
      </w:pPr>
      <w:r>
        <w:rPr>
          <w:rFonts w:hint="eastAsia" w:ascii="Times New Roman" w:hAnsi="Times New Roman" w:eastAsia="宋体" w:cs="Times New Roman"/>
          <w:i/>
          <w:iCs/>
          <w:sz w:val="24"/>
        </w:rPr>
        <w:t>TL</w:t>
      </w:r>
      <w:r>
        <w:rPr>
          <w:rFonts w:hint="eastAsia" w:ascii="Times New Roman" w:hAnsi="Times New Roman" w:eastAsia="宋体" w:cs="Times New Roman"/>
          <w:sz w:val="24"/>
          <w:vertAlign w:val="subscript"/>
        </w:rPr>
        <w:t>i</w:t>
      </w:r>
      <w:r>
        <w:rPr>
          <w:rFonts w:ascii="Times New Roman" w:hAnsi="Times New Roman" w:eastAsia="宋体" w:cs="Times New Roman"/>
          <w:sz w:val="24"/>
        </w:rPr>
        <w:t>——围护结构</w:t>
      </w:r>
      <w:r>
        <w:rPr>
          <w:rFonts w:ascii="Times New Roman" w:hAnsi="Times New Roman" w:eastAsia="宋体" w:cs="Times New Roman"/>
          <w:i/>
          <w:iCs/>
          <w:sz w:val="24"/>
        </w:rPr>
        <w:t>i</w:t>
      </w:r>
      <w:r>
        <w:rPr>
          <w:rFonts w:ascii="Times New Roman" w:hAnsi="Times New Roman" w:eastAsia="宋体" w:cs="Times New Roman"/>
          <w:sz w:val="24"/>
        </w:rPr>
        <w:t>倍频带的隔声量，dB，此处按15dB（A）计取。</w:t>
      </w:r>
    </w:p>
    <w:p w14:paraId="74764BBB">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（5）等效的室外声源中心位置位于透声面积（S）处的等效声源的倍频带声功率级的计算</w:t>
      </w:r>
    </w:p>
    <w:p w14:paraId="05BF6E3E">
      <w:pPr>
        <w:spacing w:line="360" w:lineRule="auto"/>
        <w:ind w:firstLine="420" w:firstLineChars="200"/>
        <w:jc w:val="center"/>
        <w:rPr>
          <w:rFonts w:ascii="Times New Roman" w:hAnsi="Times New Roman" w:eastAsia="宋体" w:cs="Times New Roman"/>
          <w:sz w:val="24"/>
        </w:rPr>
      </w:pPr>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hint="eastAsia"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p2</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+10</m:t>
        </m:r>
        <m:r>
          <m:rPr/>
          <w:rPr>
            <w:rFonts w:hint="eastAsia" w:ascii="Cambria Math" w:hAnsi="Cambria Math"/>
          </w:rPr>
          <m:t>lgs</m:t>
        </m:r>
      </m:oMath>
      <w:r>
        <w:rPr>
          <w:rFonts w:hint="eastAsia" w:hAnsi="Cambria Math"/>
        </w:rPr>
        <w:t xml:space="preserve"> </w:t>
      </w:r>
    </w:p>
    <w:p w14:paraId="36C91999">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2、单个室外的点声源在预测点产生的声级计算基本公式</w:t>
      </w:r>
    </w:p>
    <w:p w14:paraId="6ECBE30A">
      <w:pPr>
        <w:spacing w:line="360" w:lineRule="auto"/>
        <w:ind w:firstLine="420" w:firstLineChars="200"/>
        <w:jc w:val="center"/>
        <w:rPr>
          <w:rFonts w:ascii="Times New Roman" w:hAnsi="Times New Roman" w:eastAsia="宋体" w:cs="Times New Roman"/>
          <w:sz w:val="24"/>
        </w:rP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p</m:t>
              </m:r>
              <m:ctrlPr>
                <w:rPr>
                  <w:rFonts w:ascii="Cambria Math" w:hAnsi="Cambria Math"/>
                </w:rPr>
              </m:ctrlPr>
            </m:sub>
          </m:sSub>
          <m:d>
            <m:dPr>
              <m:ctrlPr>
                <w:rPr>
                  <w:rFonts w:ascii="Cambria Math" w:hAnsi="Cambria Math"/>
                  <w:i/>
                </w:rPr>
              </m:ctrlPr>
            </m:dPr>
            <m:e>
              <m:r>
                <m:rPr/>
                <w:rPr>
                  <w:rFonts w:hint="eastAsia" w:ascii="Cambria Math" w:hAnsi="Cambria Math"/>
                </w:rPr>
                <m:t>r</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hint="eastAsia"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−A</m:t>
          </m:r>
        </m:oMath>
      </m:oMathPara>
    </w:p>
    <w:p w14:paraId="6CC566EA">
      <w:pPr>
        <w:spacing w:line="360" w:lineRule="auto"/>
        <w:ind w:firstLine="420" w:firstLineChars="200"/>
        <w:jc w:val="center"/>
        <w:rPr>
          <w:rFonts w:ascii="Times New Roman" w:hAnsi="Times New Roman" w:eastAsia="宋体" w:cs="Times New Roman"/>
          <w:sz w:val="24"/>
        </w:rPr>
      </w:pPr>
      <m:oMathPara>
        <m:oMath>
          <m:r>
            <m:rPr>
              <m:sty m:val="p"/>
            </m:rPr>
            <w:rPr>
              <w:rFonts w:ascii="Cambria Math" w:hAnsi="Cambria Math"/>
            </w:rPr>
            <m:t>A=</m:t>
          </m:r>
          <m:sSub>
            <m:sSubPr>
              <m:ctrlPr>
                <w:rPr>
                  <w:rFonts w:ascii="Cambria Math" w:hAnsi="Cambria Math"/>
                </w:rPr>
              </m:ctrlPr>
            </m:sSubPr>
            <m:e>
              <m:r>
                <m:rPr/>
                <w:rPr>
                  <w:rFonts w:ascii="Cambria Math" w:hAnsi="Cambria Math"/>
                </w:rPr>
                <m:t>A</m:t>
              </m:r>
              <m:ctrlPr>
                <w:rPr>
                  <w:rFonts w:ascii="Cambria Math" w:hAnsi="Cambria Math"/>
                </w:rPr>
              </m:ctrlPr>
            </m:e>
            <m:sub>
              <m:r>
                <m:rPr/>
                <w:rPr>
                  <w:rFonts w:hint="eastAsia" w:ascii="Cambria Math" w:hAnsi="Cambria Math"/>
                </w:rPr>
                <m:t>div</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hint="eastAsia" w:ascii="Cambria Math" w:hAnsi="Cambria Math"/>
                </w:rPr>
                <m:t>atm</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gr</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bar</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mic</m:t>
              </m:r>
              <m:ctrlPr>
                <w:rPr>
                  <w:rFonts w:ascii="Cambria Math" w:hAnsi="Cambria Math"/>
                </w:rPr>
              </m:ctrlPr>
            </m:sub>
          </m:sSub>
        </m:oMath>
      </m:oMathPara>
    </w:p>
    <w:p w14:paraId="6A2DEC5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w:t>
      </w:r>
      <w:r>
        <w:rPr>
          <w:rFonts w:hint="eastAsia" w:ascii="Times New Roman" w:hAnsi="Times New Roman" w:eastAsia="宋体" w:cs="Times New Roman"/>
          <w:i/>
          <w:iCs/>
          <w:sz w:val="24"/>
        </w:rPr>
        <w:t>L</w:t>
      </w:r>
      <w:r>
        <w:rPr>
          <w:rFonts w:hint="eastAsia" w:ascii="Times New Roman" w:hAnsi="Times New Roman" w:eastAsia="宋体" w:cs="Times New Roman"/>
          <w:sz w:val="24"/>
        </w:rPr>
        <w:t>w</w:t>
      </w:r>
      <w:r>
        <w:rPr>
          <w:rFonts w:ascii="Times New Roman" w:hAnsi="Times New Roman" w:eastAsia="宋体" w:cs="Times New Roman"/>
          <w:sz w:val="24"/>
        </w:rPr>
        <w:t>——倍频带声功率级，dB；</w:t>
      </w:r>
    </w:p>
    <w:p w14:paraId="77DDE976">
      <w:pPr>
        <w:spacing w:line="360" w:lineRule="auto"/>
        <w:ind w:firstLine="1200" w:firstLineChars="500"/>
        <w:rPr>
          <w:rFonts w:ascii="Times New Roman" w:hAnsi="Times New Roman" w:eastAsia="宋体" w:cs="Times New Roman"/>
          <w:sz w:val="24"/>
        </w:rPr>
      </w:pPr>
      <w:r>
        <w:rPr>
          <w:rFonts w:hint="eastAsia" w:ascii="Times New Roman" w:hAnsi="Times New Roman" w:eastAsia="宋体" w:cs="Times New Roman"/>
          <w:sz w:val="24"/>
        </w:rPr>
        <w:t>Dc</w:t>
      </w:r>
      <w:r>
        <w:rPr>
          <w:rFonts w:ascii="Times New Roman" w:hAnsi="Times New Roman" w:eastAsia="宋体" w:cs="Times New Roman"/>
          <w:sz w:val="24"/>
        </w:rPr>
        <w:t>——指向性校正，dB；它描述点声源的等效连续声压级与产生声功率级的全向点声源在规定方向的级的偏差程度；指向性校正等于点声源的指向性指数</w:t>
      </w:r>
      <w:r>
        <w:rPr>
          <w:rFonts w:ascii="Times New Roman" w:hAnsi="Times New Roman" w:eastAsia="宋体" w:cs="Times New Roman"/>
          <w:i/>
          <w:iCs/>
          <w:sz w:val="24"/>
        </w:rPr>
        <w:t>DI</w:t>
      </w:r>
      <w:r>
        <w:rPr>
          <w:rFonts w:ascii="Times New Roman" w:hAnsi="Times New Roman" w:eastAsia="宋体" w:cs="Times New Roman"/>
          <w:sz w:val="24"/>
        </w:rPr>
        <w:t>加上计到小于4π球面度（sr）立体角内的声传播指数</w:t>
      </w:r>
      <w:r>
        <w:rPr>
          <w:rFonts w:ascii="Times New Roman" w:hAnsi="Times New Roman" w:eastAsia="宋体" w:cs="Times New Roman"/>
          <w:i/>
          <w:iCs/>
          <w:sz w:val="24"/>
        </w:rPr>
        <w:t>D</w:t>
      </w:r>
      <w:r>
        <w:rPr>
          <w:rFonts w:ascii="Times New Roman" w:hAnsi="Times New Roman" w:eastAsia="宋体" w:cs="Times New Roman"/>
          <w:sz w:val="24"/>
        </w:rPr>
        <w:t>Ω；对辐射到自由空间的全向点声源，</w:t>
      </w:r>
      <w:r>
        <w:rPr>
          <w:rFonts w:ascii="Times New Roman" w:hAnsi="Times New Roman" w:eastAsia="宋体" w:cs="Times New Roman"/>
          <w:i/>
          <w:iCs/>
          <w:sz w:val="24"/>
        </w:rPr>
        <w:t>Dc</w:t>
      </w:r>
      <w:r>
        <w:rPr>
          <w:rFonts w:ascii="Times New Roman" w:hAnsi="Times New Roman" w:eastAsia="宋体" w:cs="Times New Roman"/>
          <w:sz w:val="24"/>
        </w:rPr>
        <w:t>=0 dB；</w:t>
      </w:r>
    </w:p>
    <w:p w14:paraId="3640F144">
      <w:pPr>
        <w:spacing w:line="360" w:lineRule="auto"/>
        <w:ind w:firstLine="1200" w:firstLineChars="500"/>
        <w:rPr>
          <w:rFonts w:ascii="Times New Roman" w:hAnsi="Times New Roman" w:eastAsia="宋体" w:cs="Times New Roman"/>
          <w:sz w:val="24"/>
        </w:rPr>
      </w:pPr>
      <w:r>
        <w:rPr>
          <w:rFonts w:hint="eastAsia" w:ascii="Times New Roman" w:hAnsi="Times New Roman" w:eastAsia="宋体" w:cs="Times New Roman"/>
          <w:sz w:val="24"/>
        </w:rPr>
        <w:t>A</w:t>
      </w:r>
      <w:r>
        <w:rPr>
          <w:rFonts w:ascii="Times New Roman" w:hAnsi="Times New Roman" w:eastAsia="宋体" w:cs="Times New Roman"/>
          <w:sz w:val="24"/>
        </w:rPr>
        <w:t xml:space="preserve">——倍频带衰减，dB； </w:t>
      </w:r>
    </w:p>
    <w:p w14:paraId="1CA41648">
      <w:pPr>
        <w:spacing w:line="360" w:lineRule="auto"/>
        <w:ind w:firstLine="1200" w:firstLineChars="500"/>
        <w:rPr>
          <w:rFonts w:ascii="Times New Roman" w:hAnsi="Times New Roman" w:eastAsia="宋体" w:cs="Times New Roman"/>
          <w:sz w:val="24"/>
        </w:rPr>
      </w:pPr>
      <w:r>
        <w:rPr>
          <w:rFonts w:hint="eastAsia" w:ascii="Times New Roman" w:hAnsi="Times New Roman" w:eastAsia="宋体" w:cs="Times New Roman"/>
          <w:sz w:val="24"/>
        </w:rPr>
        <w:t>Adiv</w:t>
      </w:r>
      <w:r>
        <w:rPr>
          <w:rFonts w:ascii="Times New Roman" w:hAnsi="Times New Roman" w:eastAsia="宋体" w:cs="Times New Roman"/>
          <w:sz w:val="24"/>
        </w:rPr>
        <w:t xml:space="preserve">——几何发散引起的倍频带衰减，dB； </w:t>
      </w:r>
    </w:p>
    <w:p w14:paraId="12A22641">
      <w:pPr>
        <w:spacing w:line="360" w:lineRule="auto"/>
        <w:ind w:firstLine="1200" w:firstLineChars="500"/>
        <w:rPr>
          <w:rFonts w:ascii="Times New Roman" w:hAnsi="Times New Roman" w:eastAsia="宋体" w:cs="Times New Roman"/>
          <w:sz w:val="24"/>
        </w:rPr>
      </w:pPr>
      <w:r>
        <w:rPr>
          <w:rFonts w:hint="eastAsia" w:ascii="Times New Roman" w:hAnsi="Times New Roman" w:eastAsia="宋体" w:cs="Times New Roman"/>
          <w:sz w:val="24"/>
        </w:rPr>
        <w:t>Aatm</w:t>
      </w:r>
      <w:r>
        <w:rPr>
          <w:rFonts w:ascii="Times New Roman" w:hAnsi="Times New Roman" w:eastAsia="宋体" w:cs="Times New Roman"/>
          <w:sz w:val="24"/>
        </w:rPr>
        <w:t xml:space="preserve">——大气吸收引起的倍频带衰减，dB； </w:t>
      </w:r>
    </w:p>
    <w:p w14:paraId="771BD78B">
      <w:pPr>
        <w:spacing w:line="360" w:lineRule="auto"/>
        <w:ind w:firstLine="1200" w:firstLineChars="500"/>
        <w:rPr>
          <w:rFonts w:ascii="Times New Roman" w:hAnsi="Times New Roman" w:eastAsia="宋体" w:cs="Times New Roman"/>
          <w:sz w:val="24"/>
        </w:rPr>
      </w:pPr>
      <w:r>
        <w:rPr>
          <w:rFonts w:hint="eastAsia" w:ascii="Times New Roman" w:hAnsi="Times New Roman" w:eastAsia="宋体" w:cs="Times New Roman"/>
          <w:sz w:val="24"/>
        </w:rPr>
        <w:t>Agr</w:t>
      </w:r>
      <w:r>
        <w:rPr>
          <w:rFonts w:ascii="Times New Roman" w:hAnsi="Times New Roman" w:eastAsia="宋体" w:cs="Times New Roman"/>
          <w:sz w:val="24"/>
        </w:rPr>
        <w:t xml:space="preserve">——地面效应引起的倍频带衰减，dB； </w:t>
      </w:r>
    </w:p>
    <w:p w14:paraId="04C33CD7">
      <w:pPr>
        <w:spacing w:line="360" w:lineRule="auto"/>
        <w:ind w:firstLine="1200" w:firstLineChars="500"/>
        <w:rPr>
          <w:rFonts w:ascii="Times New Roman" w:hAnsi="Times New Roman" w:eastAsia="宋体" w:cs="Times New Roman"/>
          <w:sz w:val="24"/>
        </w:rPr>
      </w:pPr>
      <w:r>
        <w:rPr>
          <w:rFonts w:hint="eastAsia" w:ascii="Times New Roman" w:hAnsi="Times New Roman" w:eastAsia="宋体" w:cs="Times New Roman"/>
          <w:sz w:val="24"/>
        </w:rPr>
        <w:t>Abar</w:t>
      </w:r>
      <w:r>
        <w:rPr>
          <w:rFonts w:ascii="Times New Roman" w:hAnsi="Times New Roman" w:eastAsia="宋体" w:cs="Times New Roman"/>
          <w:sz w:val="24"/>
        </w:rPr>
        <w:t xml:space="preserve">——声屏障引起的倍频带衰减，dB； </w:t>
      </w:r>
    </w:p>
    <w:p w14:paraId="7B84BB50">
      <w:pPr>
        <w:spacing w:line="360" w:lineRule="auto"/>
        <w:ind w:firstLine="1200" w:firstLineChars="500"/>
        <w:rPr>
          <w:rFonts w:ascii="Times New Roman" w:hAnsi="Times New Roman" w:eastAsia="宋体" w:cs="Times New Roman"/>
          <w:b/>
          <w:bCs/>
          <w:sz w:val="24"/>
        </w:rPr>
      </w:pPr>
      <w:r>
        <w:rPr>
          <w:rFonts w:hint="eastAsia" w:ascii="Times New Roman" w:hAnsi="Times New Roman" w:eastAsia="宋体" w:cs="Times New Roman"/>
          <w:sz w:val="24"/>
        </w:rPr>
        <w:t>Amic</w:t>
      </w:r>
      <w:r>
        <w:rPr>
          <w:rFonts w:ascii="Times New Roman" w:hAnsi="Times New Roman" w:eastAsia="宋体" w:cs="Times New Roman"/>
          <w:sz w:val="24"/>
        </w:rPr>
        <w:t>——其他多方面效应引起的倍频带衰减，dB。</w:t>
      </w:r>
    </w:p>
    <w:p w14:paraId="2EC077A6">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3、点声源在预测点的噪声强度采用几何发散衰减计算式：</w:t>
      </w:r>
    </w:p>
    <w:p w14:paraId="15010995">
      <w:pPr>
        <w:spacing w:line="360" w:lineRule="auto"/>
        <w:ind w:firstLine="420" w:firstLineChars="200"/>
        <w:jc w:val="center"/>
        <w:rPr>
          <w:rFonts w:ascii="Times New Roman" w:hAnsi="Times New Roman" w:eastAsia="宋体" w:cs="Times New Roman"/>
          <w:sz w:val="24"/>
        </w:rPr>
      </w:pPr>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p</m:t>
            </m:r>
            <m:ctrlPr>
              <w:rPr>
                <w:rFonts w:ascii="Cambria Math" w:hAnsi="Cambria Math"/>
              </w:rPr>
            </m:ctrlPr>
          </m:sub>
        </m:sSub>
        <m:r>
          <m:rPr/>
          <w:rPr>
            <w:rFonts w:hint="eastAsia"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hint="eastAsia" w:ascii="Cambria Math" w:hAnsi="Cambria Math"/>
              </w:rPr>
              <m:t>p</m:t>
            </m:r>
            <m:r>
              <m:rPr/>
              <w:rPr>
                <w:rFonts w:ascii="Cambria Math" w:hAnsi="Cambria Math"/>
              </w:rPr>
              <m:t>0</m:t>
            </m:r>
            <m:ctrlPr>
              <w:rPr>
                <w:rFonts w:ascii="Cambria Math" w:hAnsi="Cambria Math"/>
                <w:i/>
              </w:rPr>
            </m:ctrlPr>
          </m:sub>
        </m:sSub>
        <m:r>
          <m:rPr/>
          <w:rPr>
            <w:rFonts w:ascii="Cambria Math" w:hAnsi="Cambria Math"/>
          </w:rPr>
          <m:t>−20</m:t>
        </m:r>
        <m:func>
          <m:funcPr>
            <m:ctrlPr>
              <w:rPr>
                <w:rFonts w:ascii="Cambria Math" w:hAnsi="Cambria Math"/>
              </w:rPr>
            </m:ctrlPr>
          </m:funcPr>
          <m:fName>
            <m:r>
              <m:rPr>
                <m:sty m:val="p"/>
              </m:rPr>
              <w:rPr>
                <w:rFonts w:ascii="Cambria Math" w:hAnsi="Cambria Math"/>
              </w:rPr>
              <m:t>lg</m:t>
            </m:r>
            <m:ctrlPr>
              <w:rPr>
                <w:rFonts w:ascii="Cambria Math" w:hAnsi="Cambria Math"/>
              </w:rPr>
            </m:ctrlPr>
          </m:fName>
          <m:e>
            <m:d>
              <m:dPr>
                <m:ctrlPr>
                  <w:rPr>
                    <w:rFonts w:ascii="Cambria Math" w:hAnsi="Cambria Math"/>
                    <w:i/>
                  </w:rPr>
                </m:ctrlPr>
              </m:dPr>
              <m:e>
                <m:f>
                  <m:fPr>
                    <m:ctrlPr>
                      <w:rPr>
                        <w:rFonts w:ascii="Cambria Math" w:hAnsi="Cambria Math"/>
                        <w:i/>
                      </w:rPr>
                    </m:ctrlPr>
                  </m:fPr>
                  <m:num>
                    <m:r>
                      <m:rPr/>
                      <w:rPr>
                        <w:rFonts w:hint="eastAsia" w:ascii="Cambria Math" w:hAnsi="Cambria Math"/>
                      </w:rPr>
                      <m:t>r</m:t>
                    </m:r>
                    <m:ctrlPr>
                      <w:rPr>
                        <w:rFonts w:ascii="Cambria Math" w:hAnsi="Cambria Math"/>
                        <w:i/>
                      </w:rPr>
                    </m:ctrlPr>
                  </m:num>
                  <m:den>
                    <m:sSub>
                      <m:sSubPr>
                        <m:ctrlPr>
                          <w:rPr>
                            <w:rFonts w:ascii="Cambria Math" w:hAnsi="Cambria Math"/>
                            <w:i/>
                          </w:rPr>
                        </m:ctrlPr>
                      </m:sSubPr>
                      <m:e>
                        <m:r>
                          <m:rPr/>
                          <w:rPr>
                            <w:rFonts w:hint="eastAsia"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ctrlPr>
              <w:rPr>
                <w:rFonts w:ascii="Cambria Math" w:hAnsi="Cambria Math"/>
              </w:rPr>
            </m:ctrlPr>
          </m:e>
        </m:func>
        <m:r>
          <m:rPr/>
          <w:rPr>
            <w:rFonts w:ascii="Cambria Math" w:hAnsi="Cambria Math"/>
          </w:rPr>
          <m:t>−∆L</m:t>
        </m:r>
      </m:oMath>
      <w:r>
        <w:rPr>
          <w:rFonts w:hint="eastAsia" w:hAnsi="Cambria Math"/>
        </w:rPr>
        <w:t xml:space="preserve"> </w:t>
      </w:r>
    </w:p>
    <w:p w14:paraId="084D557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w:t>
      </w:r>
      <w:r>
        <w:rPr>
          <w:rFonts w:hint="eastAsia" w:ascii="Times New Roman" w:hAnsi="Times New Roman" w:eastAsia="宋体" w:cs="Times New Roman"/>
          <w:i/>
          <w:iCs/>
          <w:sz w:val="24"/>
        </w:rPr>
        <w:t>L</w:t>
      </w:r>
      <w:r>
        <w:rPr>
          <w:rFonts w:hint="eastAsia" w:ascii="Times New Roman" w:hAnsi="Times New Roman" w:eastAsia="宋体" w:cs="Times New Roman"/>
          <w:sz w:val="24"/>
          <w:vertAlign w:val="subscript"/>
        </w:rPr>
        <w:t>p</w:t>
      </w:r>
      <w:r>
        <w:rPr>
          <w:rFonts w:ascii="Times New Roman" w:hAnsi="Times New Roman" w:eastAsia="宋体" w:cs="Times New Roman"/>
          <w:sz w:val="24"/>
        </w:rPr>
        <w:t>——距声源r米处的噪声预测值，dB（A）；</w:t>
      </w:r>
    </w:p>
    <w:p w14:paraId="3350581E">
      <w:pPr>
        <w:tabs>
          <w:tab w:val="left" w:pos="1562"/>
        </w:tabs>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w:t>
      </w:r>
      <w:r>
        <w:rPr>
          <w:rFonts w:hint="eastAsia" w:ascii="Times New Roman" w:hAnsi="Times New Roman" w:eastAsia="宋体" w:cs="Times New Roman"/>
          <w:i/>
          <w:iCs/>
          <w:sz w:val="24"/>
        </w:rPr>
        <w:t>L</w:t>
      </w:r>
      <w:r>
        <w:rPr>
          <w:rFonts w:hint="eastAsia" w:ascii="Times New Roman" w:hAnsi="Times New Roman" w:eastAsia="宋体" w:cs="Times New Roman"/>
          <w:sz w:val="24"/>
          <w:vertAlign w:val="subscript"/>
        </w:rPr>
        <w:t>p0</w:t>
      </w:r>
      <w:r>
        <w:rPr>
          <w:rFonts w:ascii="Times New Roman" w:hAnsi="Times New Roman" w:eastAsia="宋体" w:cs="Times New Roman"/>
          <w:sz w:val="24"/>
        </w:rPr>
        <w:t>——参考位置r0处的声级，dB（A），此处为1米；</w:t>
      </w:r>
    </w:p>
    <w:p w14:paraId="52816A75">
      <w:pPr>
        <w:tabs>
          <w:tab w:val="left" w:pos="1562"/>
        </w:tabs>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w:t>
      </w:r>
      <w:r>
        <w:rPr>
          <w:rFonts w:hint="eastAsia" w:ascii="Times New Roman" w:hAnsi="Times New Roman" w:eastAsia="宋体" w:cs="Times New Roman"/>
          <w:sz w:val="24"/>
        </w:rPr>
        <w:t xml:space="preserve">  </w:t>
      </w:r>
      <w:r>
        <w:rPr>
          <w:rFonts w:ascii="Times New Roman" w:hAnsi="Times New Roman" w:eastAsia="宋体" w:cs="Times New Roman"/>
          <w:sz w:val="24"/>
        </w:rPr>
        <w:t>r——预测点位置与点声源之间的距离，m；</w:t>
      </w:r>
    </w:p>
    <w:p w14:paraId="5EB195ED">
      <w:pPr>
        <w:tabs>
          <w:tab w:val="left" w:pos="1562"/>
        </w:tabs>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w:t>
      </w:r>
      <w:r>
        <w:rPr>
          <w:rFonts w:hint="eastAsia" w:ascii="Times New Roman" w:hAnsi="Times New Roman" w:eastAsia="宋体" w:cs="Times New Roman"/>
          <w:sz w:val="24"/>
        </w:rPr>
        <w:t>r</w:t>
      </w:r>
      <w:r>
        <w:rPr>
          <w:rFonts w:hint="eastAsia" w:ascii="Times New Roman" w:hAnsi="Times New Roman" w:eastAsia="宋体" w:cs="Times New Roman"/>
          <w:sz w:val="24"/>
          <w:vertAlign w:val="subscript"/>
        </w:rPr>
        <w:t>0</w:t>
      </w:r>
      <w:r>
        <w:rPr>
          <w:rFonts w:ascii="Times New Roman" w:hAnsi="Times New Roman" w:eastAsia="宋体" w:cs="Times New Roman"/>
          <w:sz w:val="24"/>
        </w:rPr>
        <w:t>——参考位置处与点声源之间的距离；</w:t>
      </w:r>
    </w:p>
    <w:p w14:paraId="50241B31">
      <w:pPr>
        <w:tabs>
          <w:tab w:val="left" w:pos="1562"/>
        </w:tabs>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w:t>
      </w:r>
      <w:r>
        <w:rPr>
          <w:rFonts w:hint="eastAsia" w:ascii="Times New Roman" w:hAnsi="Times New Roman" w:eastAsia="宋体" w:cs="Times New Roman"/>
          <w:sz w:val="24"/>
        </w:rPr>
        <w:t>△</w:t>
      </w:r>
      <w:r>
        <w:rPr>
          <w:rFonts w:hint="eastAsia" w:ascii="Times New Roman" w:hAnsi="Times New Roman" w:eastAsia="宋体" w:cs="Times New Roman"/>
          <w:i/>
          <w:iCs/>
          <w:sz w:val="24"/>
        </w:rPr>
        <w:t>L</w:t>
      </w:r>
      <w:r>
        <w:rPr>
          <w:rFonts w:ascii="Times New Roman" w:hAnsi="Times New Roman" w:eastAsia="宋体" w:cs="Times New Roman"/>
          <w:sz w:val="24"/>
        </w:rPr>
        <w:t>——预测点至参考点之间的各种附加衰减修正量</w:t>
      </w:r>
    </w:p>
    <w:p w14:paraId="5DE3CA4E">
      <w:pPr>
        <w:spacing w:line="360" w:lineRule="auto"/>
        <w:ind w:firstLine="482" w:firstLineChars="200"/>
        <w:rPr>
          <w:rFonts w:ascii="Times New Roman" w:hAnsi="Times New Roman" w:eastAsia="宋体" w:cs="Times New Roman"/>
          <w:b/>
          <w:bCs/>
          <w:i/>
          <w:iCs/>
          <w:sz w:val="24"/>
        </w:rPr>
      </w:pPr>
      <w:r>
        <w:rPr>
          <w:rFonts w:ascii="Times New Roman" w:hAnsi="Times New Roman" w:eastAsia="宋体" w:cs="Times New Roman"/>
          <w:b/>
          <w:bCs/>
          <w:sz w:val="24"/>
        </w:rPr>
        <w:t>4、地面效应衰减（</w:t>
      </w:r>
      <w:r>
        <w:rPr>
          <w:rFonts w:hint="eastAsia" w:ascii="Times New Roman" w:hAnsi="Times New Roman" w:eastAsia="宋体" w:cs="Times New Roman"/>
          <w:b/>
          <w:bCs/>
          <w:sz w:val="24"/>
        </w:rPr>
        <w:t>A</w:t>
      </w:r>
      <w:r>
        <w:rPr>
          <w:rFonts w:hint="eastAsia" w:ascii="Times New Roman" w:hAnsi="Times New Roman" w:eastAsia="宋体" w:cs="Times New Roman"/>
          <w:b/>
          <w:bCs/>
          <w:i/>
          <w:iCs/>
          <w:sz w:val="24"/>
          <w:vertAlign w:val="subscript"/>
        </w:rPr>
        <w:t>gr</w:t>
      </w:r>
      <w:r>
        <w:rPr>
          <w:rFonts w:ascii="Times New Roman" w:hAnsi="Times New Roman" w:eastAsia="宋体" w:cs="Times New Roman"/>
          <w:b/>
          <w:bCs/>
          <w:sz w:val="24"/>
        </w:rPr>
        <w:t>）</w:t>
      </w:r>
    </w:p>
    <w:p w14:paraId="1403BAE7">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评价范围地面多属于坚实地面，为保守估计，本次评价不考虑地面效应衰减，即取</w:t>
      </w:r>
      <w:r>
        <w:rPr>
          <w:rFonts w:hint="eastAsia" w:ascii="Times New Roman" w:hAnsi="Times New Roman" w:eastAsia="宋体" w:cs="Times New Roman"/>
          <w:b/>
          <w:bCs/>
          <w:sz w:val="24"/>
        </w:rPr>
        <w:t>A</w:t>
      </w:r>
      <w:r>
        <w:rPr>
          <w:rFonts w:hint="eastAsia" w:ascii="Times New Roman" w:hAnsi="Times New Roman" w:eastAsia="宋体" w:cs="Times New Roman"/>
          <w:b/>
          <w:bCs/>
          <w:i/>
          <w:iCs/>
          <w:sz w:val="24"/>
          <w:vertAlign w:val="subscript"/>
        </w:rPr>
        <w:t>gr</w:t>
      </w:r>
      <w:r>
        <w:rPr>
          <w:rFonts w:ascii="Times New Roman" w:hAnsi="Times New Roman" w:eastAsia="宋体" w:cs="Times New Roman"/>
          <w:sz w:val="24"/>
        </w:rPr>
        <w:t>为0。</w:t>
      </w:r>
    </w:p>
    <w:p w14:paraId="4DF2D3ED">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5、屏障引起的衰减（</w:t>
      </w:r>
      <w:r>
        <w:rPr>
          <w:rFonts w:hint="eastAsia" w:ascii="Times New Roman" w:hAnsi="Times New Roman" w:eastAsia="宋体" w:cs="Times New Roman"/>
          <w:b/>
          <w:bCs/>
          <w:sz w:val="24"/>
        </w:rPr>
        <w:t>A</w:t>
      </w:r>
      <w:r>
        <w:rPr>
          <w:rFonts w:hint="eastAsia" w:ascii="Times New Roman" w:hAnsi="Times New Roman" w:eastAsia="宋体" w:cs="Times New Roman"/>
          <w:b/>
          <w:bCs/>
          <w:i/>
          <w:iCs/>
          <w:sz w:val="24"/>
          <w:vertAlign w:val="subscript"/>
        </w:rPr>
        <w:t>bar</w:t>
      </w:r>
      <w:r>
        <w:rPr>
          <w:rFonts w:ascii="Times New Roman" w:hAnsi="Times New Roman" w:eastAsia="宋体" w:cs="Times New Roman"/>
          <w:b/>
          <w:bCs/>
          <w:sz w:val="24"/>
        </w:rPr>
        <w:t>）</w:t>
      </w:r>
    </w:p>
    <w:p w14:paraId="1ED2253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首先计算</w:t>
      </w:r>
      <w:r>
        <w:rPr>
          <w:rFonts w:hint="eastAsia" w:cs="Times New Roman"/>
          <w:sz w:val="24"/>
        </w:rPr>
        <w:t>下图</w:t>
      </w:r>
      <w:r>
        <w:rPr>
          <w:rFonts w:ascii="Times New Roman" w:hAnsi="Times New Roman" w:eastAsia="宋体" w:cs="Times New Roman"/>
          <w:sz w:val="24"/>
        </w:rPr>
        <w:t>所示的三个传播途径的声程差</w:t>
      </w:r>
      <w:r>
        <w:rPr>
          <w:rFonts w:ascii="Times New Roman" w:hAnsi="Times New Roman" w:eastAsia="宋体" w:cs="Times New Roman"/>
          <w:i/>
          <w:iCs/>
          <w:sz w:val="24"/>
        </w:rPr>
        <w:t>δ</w:t>
      </w:r>
      <w:r>
        <w:rPr>
          <w:rFonts w:hint="eastAsia" w:ascii="Times New Roman" w:hAnsi="Times New Roman" w:eastAsia="宋体" w:cs="Times New Roman"/>
          <w:i/>
          <w:iCs/>
          <w:sz w:val="24"/>
          <w:vertAlign w:val="subscript"/>
        </w:rPr>
        <w:t>1</w:t>
      </w:r>
      <w:r>
        <w:rPr>
          <w:rFonts w:ascii="Times New Roman" w:hAnsi="Times New Roman" w:eastAsia="宋体" w:cs="Times New Roman"/>
          <w:sz w:val="24"/>
        </w:rPr>
        <w:t>、</w:t>
      </w:r>
      <w:r>
        <w:rPr>
          <w:rFonts w:ascii="Times New Roman" w:hAnsi="Times New Roman" w:eastAsia="宋体" w:cs="Times New Roman"/>
          <w:i/>
          <w:iCs/>
          <w:sz w:val="24"/>
        </w:rPr>
        <w:t>δ</w:t>
      </w:r>
      <w:r>
        <w:rPr>
          <w:rFonts w:hint="eastAsia" w:ascii="Times New Roman" w:hAnsi="Times New Roman" w:eastAsia="宋体" w:cs="Times New Roman"/>
          <w:i/>
          <w:iCs/>
          <w:sz w:val="24"/>
          <w:vertAlign w:val="subscript"/>
        </w:rPr>
        <w:t>2</w:t>
      </w:r>
      <w:r>
        <w:rPr>
          <w:rFonts w:ascii="Times New Roman" w:hAnsi="Times New Roman" w:eastAsia="宋体" w:cs="Times New Roman"/>
          <w:sz w:val="24"/>
        </w:rPr>
        <w:t>、</w:t>
      </w:r>
      <w:r>
        <w:rPr>
          <w:rFonts w:ascii="Times New Roman" w:hAnsi="Times New Roman" w:eastAsia="宋体" w:cs="Times New Roman"/>
          <w:i/>
          <w:iCs/>
          <w:sz w:val="24"/>
        </w:rPr>
        <w:t>δ</w:t>
      </w:r>
      <w:r>
        <w:rPr>
          <w:rFonts w:hint="eastAsia" w:ascii="Times New Roman" w:hAnsi="Times New Roman" w:eastAsia="宋体" w:cs="Times New Roman"/>
          <w:i/>
          <w:iCs/>
          <w:sz w:val="24"/>
          <w:vertAlign w:val="subscript"/>
        </w:rPr>
        <w:t>3</w:t>
      </w:r>
      <w:r>
        <w:rPr>
          <w:rFonts w:ascii="Times New Roman" w:hAnsi="Times New Roman" w:eastAsia="宋体" w:cs="Times New Roman"/>
          <w:sz w:val="24"/>
        </w:rPr>
        <w:t>和相应的涅波尔数N</w:t>
      </w:r>
      <w:r>
        <w:rPr>
          <w:rFonts w:ascii="Times New Roman" w:hAnsi="Times New Roman" w:eastAsia="宋体" w:cs="Times New Roman"/>
          <w:sz w:val="24"/>
          <w:vertAlign w:val="subscript"/>
        </w:rPr>
        <w:t>1</w:t>
      </w:r>
      <w:r>
        <w:rPr>
          <w:rFonts w:ascii="Times New Roman" w:hAnsi="Times New Roman" w:eastAsia="宋体" w:cs="Times New Roman"/>
          <w:sz w:val="24"/>
        </w:rPr>
        <w:t>、N</w:t>
      </w:r>
      <w:r>
        <w:rPr>
          <w:rFonts w:ascii="Times New Roman" w:hAnsi="Times New Roman" w:eastAsia="宋体" w:cs="Times New Roman"/>
          <w:sz w:val="24"/>
          <w:vertAlign w:val="subscript"/>
        </w:rPr>
        <w:t>2</w:t>
      </w:r>
      <w:r>
        <w:rPr>
          <w:rFonts w:ascii="Times New Roman" w:hAnsi="Times New Roman" w:eastAsia="宋体" w:cs="Times New Roman"/>
          <w:sz w:val="24"/>
        </w:rPr>
        <w:t>、N</w:t>
      </w:r>
      <w:r>
        <w:rPr>
          <w:rFonts w:ascii="Times New Roman" w:hAnsi="Times New Roman" w:eastAsia="宋体" w:cs="Times New Roman"/>
          <w:sz w:val="24"/>
          <w:vertAlign w:val="subscript"/>
        </w:rPr>
        <w:t>3</w:t>
      </w:r>
      <w:r>
        <w:rPr>
          <w:rFonts w:ascii="Times New Roman" w:hAnsi="Times New Roman" w:eastAsia="宋体" w:cs="Times New Roman"/>
          <w:sz w:val="24"/>
        </w:rPr>
        <w:t>；</w:t>
      </w:r>
    </w:p>
    <w:p w14:paraId="7D2AFCB4">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声屏障引起的衰减公式：</w:t>
      </w:r>
    </w:p>
    <w:p w14:paraId="2D8E753D">
      <w:pPr>
        <w:spacing w:line="360" w:lineRule="auto"/>
        <w:jc w:val="center"/>
        <w:rPr>
          <w:rFonts w:ascii="Times New Roman" w:hAnsi="Times New Roman" w:eastAsia="宋体" w:cs="Times New Roman"/>
          <w:sz w:val="24"/>
        </w:rPr>
      </w:pPr>
      <m:oMathPara>
        <m:oMath>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bar</m:t>
              </m:r>
              <m:ctrlPr>
                <w:rPr>
                  <w:rFonts w:ascii="Cambria Math" w:hAnsi="Cambria Math"/>
                </w:rPr>
              </m:ctrlPr>
            </m:sub>
          </m:sSub>
          <m:r>
            <m:rPr>
              <m:sty m:val="p"/>
            </m:rPr>
            <w:rPr>
              <w:rFonts w:hint="eastAsia" w:ascii="Cambria Math" w:hAnsi="Cambria Math"/>
            </w:rPr>
            <m:t>=</m:t>
          </m:r>
          <m:r>
            <m:rPr>
              <m:sty m:val="p"/>
            </m:rPr>
            <w:rPr>
              <w:rFonts w:hint="eastAsia" w:ascii="Cambria Math" w:hAnsi="Cambria Math" w:eastAsia="微软雅黑" w:cs="微软雅黑"/>
            </w:rPr>
            <m:t>−</m:t>
          </m:r>
          <m:r>
            <m:rPr>
              <m:sty m:val="p"/>
            </m:rPr>
            <w:rPr>
              <w:rFonts w:ascii="Cambria Math" w:hAnsi="Cambria Math"/>
            </w:rPr>
            <m:t>10lg⁡[</m:t>
          </m:r>
          <m:f>
            <m:fPr>
              <m:ctrlPr>
                <w:rPr>
                  <w:rFonts w:ascii="Cambria Math" w:hAnsi="Cambria Math"/>
                </w:rPr>
              </m:ctrlPr>
            </m:fPr>
            <m:num>
              <m:r>
                <m:rPr/>
                <w:rPr>
                  <w:rFonts w:ascii="Cambria Math" w:hAnsi="Cambria Math"/>
                </w:rPr>
                <m:t>1</m:t>
              </m:r>
              <m:ctrlPr>
                <w:rPr>
                  <w:rFonts w:ascii="Cambria Math" w:hAnsi="Cambria Math"/>
                </w:rPr>
              </m:ctrlPr>
            </m:num>
            <m:den>
              <m:r>
                <m:rPr/>
                <w:rPr>
                  <w:rFonts w:ascii="Cambria Math" w:hAnsi="Cambria Math"/>
                </w:rPr>
                <m:t>3</m:t>
              </m:r>
              <m:r>
                <m:rPr/>
                <w:rPr>
                  <w:rFonts w:hint="eastAsia" w:ascii="Cambria Math" w:hAnsi="Cambria Math"/>
                </w:rPr>
                <m:t>+</m:t>
              </m:r>
              <m:r>
                <m:rPr/>
                <w:rPr>
                  <w:rFonts w:ascii="Cambria Math" w:hAnsi="Cambria Math"/>
                </w:rPr>
                <m:t>20</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rPr>
              </m:ctrlPr>
            </m:den>
          </m:f>
          <m:r>
            <m:rPr/>
            <w:rPr>
              <w:rFonts w:hint="eastAsia" w:ascii="Cambria Math" w:hAnsi="Cambria Math"/>
            </w:rPr>
            <m:t>+</m:t>
          </m:r>
          <m:f>
            <m:fPr>
              <m:ctrlPr>
                <w:rPr>
                  <w:rFonts w:ascii="Cambria Math" w:hAnsi="Cambria Math"/>
                </w:rPr>
              </m:ctrlPr>
            </m:fPr>
            <m:num>
              <m:r>
                <m:rPr/>
                <w:rPr>
                  <w:rFonts w:ascii="Cambria Math" w:hAnsi="Cambria Math"/>
                </w:rPr>
                <m:t>1</m:t>
              </m:r>
              <m:ctrlPr>
                <w:rPr>
                  <w:rFonts w:ascii="Cambria Math" w:hAnsi="Cambria Math"/>
                </w:rPr>
              </m:ctrlPr>
            </m:num>
            <m:den>
              <m:r>
                <m:rPr/>
                <w:rPr>
                  <w:rFonts w:ascii="Cambria Math" w:hAnsi="Cambria Math"/>
                </w:rPr>
                <m:t>3</m:t>
              </m:r>
              <m:r>
                <m:rPr/>
                <w:rPr>
                  <w:rFonts w:hint="eastAsia" w:ascii="Cambria Math" w:hAnsi="Cambria Math"/>
                </w:rPr>
                <m:t>+</m:t>
              </m:r>
              <m:r>
                <m:rPr/>
                <w:rPr>
                  <w:rFonts w:ascii="Cambria Math" w:hAnsi="Cambria Math"/>
                </w:rPr>
                <m:t>20</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rPr>
              </m:ctrlPr>
            </m:den>
          </m:f>
          <m:r>
            <m:rPr/>
            <w:rPr>
              <w:rFonts w:hint="eastAsia" w:ascii="Cambria Math" w:hAnsi="Cambria Math"/>
            </w:rPr>
            <m:t>+</m:t>
          </m:r>
          <m:f>
            <m:fPr>
              <m:ctrlPr>
                <w:rPr>
                  <w:rFonts w:ascii="Cambria Math" w:hAnsi="Cambria Math"/>
                </w:rPr>
              </m:ctrlPr>
            </m:fPr>
            <m:num>
              <m:r>
                <m:rPr/>
                <w:rPr>
                  <w:rFonts w:ascii="Cambria Math" w:hAnsi="Cambria Math"/>
                </w:rPr>
                <m:t>1</m:t>
              </m:r>
              <m:ctrlPr>
                <w:rPr>
                  <w:rFonts w:ascii="Cambria Math" w:hAnsi="Cambria Math"/>
                </w:rPr>
              </m:ctrlPr>
            </m:num>
            <m:den>
              <m:r>
                <m:rPr/>
                <w:rPr>
                  <w:rFonts w:ascii="Cambria Math" w:hAnsi="Cambria Math"/>
                </w:rPr>
                <m:t>3</m:t>
              </m:r>
              <m:r>
                <m:rPr/>
                <w:rPr>
                  <w:rFonts w:hint="eastAsia" w:ascii="Cambria Math" w:hAnsi="Cambria Math"/>
                </w:rPr>
                <m:t>+</m:t>
              </m:r>
              <m:r>
                <m:rPr/>
                <w:rPr>
                  <w:rFonts w:ascii="Cambria Math" w:hAnsi="Cambria Math"/>
                </w:rPr>
                <m:t>20</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3</m:t>
                  </m:r>
                  <m:ctrlPr>
                    <w:rPr>
                      <w:rFonts w:ascii="Cambria Math" w:hAnsi="Cambria Math"/>
                      <w:i/>
                    </w:rPr>
                  </m:ctrlPr>
                </m:sub>
              </m:sSub>
              <m:ctrlPr>
                <w:rPr>
                  <w:rFonts w:ascii="Cambria Math" w:hAnsi="Cambria Math"/>
                </w:rPr>
              </m:ctrlPr>
            </m:den>
          </m:f>
          <m:r>
            <m:rPr/>
            <w:rPr>
              <w:rFonts w:ascii="Cambria Math" w:hAnsi="Cambria Math"/>
            </w:rPr>
            <m:t>]</m:t>
          </m:r>
        </m:oMath>
      </m:oMathPara>
    </w:p>
    <w:p w14:paraId="29794C94">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2638425" cy="2362200"/>
            <wp:effectExtent l="0" t="0" r="6350" b="1905"/>
            <wp:docPr id="164"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82"/>
                    <pic:cNvPicPr>
                      <a:picLocks noChangeAspect="1"/>
                    </pic:cNvPicPr>
                  </pic:nvPicPr>
                  <pic:blipFill>
                    <a:blip r:embed="rId70"/>
                    <a:stretch>
                      <a:fillRect/>
                    </a:stretch>
                  </pic:blipFill>
                  <pic:spPr>
                    <a:xfrm>
                      <a:off x="0" y="0"/>
                      <a:ext cx="2638425" cy="2362200"/>
                    </a:xfrm>
                    <a:prstGeom prst="rect">
                      <a:avLst/>
                    </a:prstGeom>
                    <a:noFill/>
                    <a:ln>
                      <a:noFill/>
                    </a:ln>
                  </pic:spPr>
                </pic:pic>
              </a:graphicData>
            </a:graphic>
          </wp:inline>
        </w:drawing>
      </w:r>
    </w:p>
    <w:p w14:paraId="32CC25A0">
      <w:pPr>
        <w:spacing w:before="156" w:beforeLines="50"/>
        <w:jc w:val="center"/>
        <w:rPr>
          <w:rFonts w:ascii="Times New Roman" w:hAnsi="Times New Roman" w:eastAsia="宋体" w:cs="Times New Roman"/>
          <w:b/>
          <w:bCs/>
          <w:kern w:val="28"/>
          <w:szCs w:val="21"/>
        </w:rPr>
      </w:pPr>
      <w:r>
        <w:rPr>
          <w:rFonts w:ascii="Times New Roman" w:hAnsi="Times New Roman" w:eastAsia="宋体" w:cs="Times New Roman"/>
          <w:b/>
          <w:bCs/>
          <w:kern w:val="28"/>
          <w:szCs w:val="21"/>
        </w:rPr>
        <w:t>图5.</w:t>
      </w:r>
      <w:r>
        <w:rPr>
          <w:rFonts w:hint="eastAsia" w:ascii="Times New Roman" w:hAnsi="Times New Roman" w:eastAsia="宋体" w:cs="Times New Roman"/>
          <w:b/>
          <w:bCs/>
          <w:kern w:val="28"/>
          <w:szCs w:val="21"/>
        </w:rPr>
        <w:t>4-2</w:t>
      </w:r>
      <w:r>
        <w:rPr>
          <w:rFonts w:ascii="Times New Roman" w:hAnsi="Times New Roman" w:eastAsia="宋体" w:cs="Times New Roman"/>
          <w:b/>
          <w:bCs/>
          <w:kern w:val="28"/>
          <w:szCs w:val="21"/>
        </w:rPr>
        <w:t xml:space="preserve">  在有限长声屏障上不同的传播途径</w:t>
      </w:r>
    </w:p>
    <w:p w14:paraId="127FA925">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6、</w:t>
      </w:r>
      <w:r>
        <w:rPr>
          <w:rFonts w:hint="eastAsia" w:ascii="Times New Roman" w:hAnsi="Times New Roman" w:eastAsia="宋体" w:cs="Times New Roman"/>
          <w:b/>
          <w:bCs/>
          <w:sz w:val="24"/>
        </w:rPr>
        <w:t>预测点A声级的计算</w:t>
      </w:r>
      <w:r>
        <w:rPr>
          <w:rFonts w:ascii="Times New Roman" w:hAnsi="Times New Roman" w:eastAsia="宋体" w:cs="Times New Roman"/>
          <w:b/>
          <w:bCs/>
          <w:sz w:val="24"/>
        </w:rPr>
        <w:t>：</w:t>
      </w:r>
    </w:p>
    <w:p w14:paraId="3D0AFCBE">
      <w:pPr>
        <w:spacing w:line="360" w:lineRule="auto"/>
        <w:jc w:val="center"/>
        <w:rPr>
          <w:rFonts w:ascii="Times New Roman" w:hAnsi="Times New Roman" w:eastAsia="宋体" w:cs="Times New Roman"/>
          <w:sz w:val="24"/>
        </w:rP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eqg</m:t>
              </m:r>
              <m:ctrlPr>
                <w:rPr>
                  <w:rFonts w:ascii="Cambria Math" w:hAnsi="Cambria Math"/>
                </w:rPr>
              </m:ctrlPr>
            </m:sub>
          </m:sSub>
          <m:r>
            <m:rPr/>
            <w:rPr>
              <w:rFonts w:hint="eastAsia" w:ascii="Cambria Math" w:hAnsi="Cambria Math"/>
            </w:rPr>
            <m:t>=</m:t>
          </m:r>
          <m:r>
            <m:rPr/>
            <w:rPr>
              <w:rFonts w:ascii="Cambria Math" w:hAnsi="Cambria Math"/>
            </w:rPr>
            <m:t>10</m:t>
          </m:r>
          <m:r>
            <m:rPr>
              <m:sty m:val="p"/>
            </m:rPr>
            <w:rPr>
              <w:rFonts w:ascii="Cambria Math" w:hAnsi="Cambria Math"/>
            </w:rPr>
            <m:t>lg⁡</m:t>
          </m:r>
          <m:r>
            <m:rPr/>
            <w:rPr>
              <w:rFonts w:ascii="Cambria Math" w:hAnsi="Cambria Math"/>
            </w:rPr>
            <m:t>[</m:t>
          </m:r>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T</m:t>
              </m:r>
              <m:ctrlPr>
                <w:rPr>
                  <w:rFonts w:ascii="Cambria Math" w:hAnsi="Cambria Math"/>
                  <w:i/>
                </w:rPr>
              </m:ctrlPr>
            </m:den>
          </m:f>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sSub>
                <m:sSubPr>
                  <m:ctrlPr>
                    <w:rPr>
                      <w:rFonts w:ascii="Cambria Math" w:hAnsi="Cambria Math"/>
                      <w:i/>
                    </w:rPr>
                  </m:ctrlPr>
                </m:sSubPr>
                <m:e>
                  <m:r>
                    <m:rPr/>
                    <w:rPr>
                      <w:rFonts w:hint="eastAsia" w:ascii="Cambria Math" w:hAnsi="Cambria Math"/>
                    </w:rPr>
                    <m:t>t</m:t>
                  </m:r>
                  <m:ctrlPr>
                    <w:rPr>
                      <w:rFonts w:ascii="Cambria Math" w:hAnsi="Cambria Math"/>
                      <w:i/>
                    </w:rPr>
                  </m:ctrlPr>
                </m:e>
                <m:sub>
                  <m:r>
                    <m:rPr/>
                    <w:rPr>
                      <w:rFonts w:ascii="Cambria Math" w:hAnsi="Cambria Math"/>
                    </w:rPr>
                    <m:t>i</m:t>
                  </m:r>
                  <m:ctrlPr>
                    <w:rPr>
                      <w:rFonts w:ascii="Cambria Math" w:hAnsi="Cambria Math"/>
                      <w:i/>
                    </w:rPr>
                  </m:ctrlPr>
                </m:sub>
              </m:sSub>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Aj</m:t>
                      </m:r>
                      <m:ctrlPr>
                        <w:rPr>
                          <w:rFonts w:ascii="Cambria Math" w:hAnsi="Cambria Math"/>
                          <w:i/>
                        </w:rPr>
                      </m:ctrlPr>
                    </m:sub>
                  </m:sSub>
                  <m:ctrlPr>
                    <w:rPr>
                      <w:rFonts w:ascii="Cambria Math" w:hAnsi="Cambria Math"/>
                      <w:i/>
                    </w:rPr>
                  </m:ctrlPr>
                </m:sup>
              </m:sSup>
              <m:ctrlPr>
                <w:rPr>
                  <w:rFonts w:ascii="Cambria Math" w:hAnsi="Cambria Math"/>
                  <w:i/>
                </w:rPr>
              </m:ctrlPr>
            </m:e>
          </m:nary>
          <m:r>
            <m:rPr/>
            <w:rPr>
              <w:rFonts w:ascii="Cambria Math" w:hAnsi="Cambria Math"/>
            </w:rPr>
            <m:t>]</m:t>
          </m:r>
        </m:oMath>
      </m:oMathPara>
    </w:p>
    <w:p w14:paraId="7B56412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w:t>
      </w:r>
      <w:r>
        <w:rPr>
          <w:rFonts w:hint="eastAsia" w:ascii="Times New Roman" w:hAnsi="Times New Roman" w:eastAsia="宋体" w:cs="Times New Roman"/>
          <w:i/>
          <w:iCs/>
          <w:sz w:val="24"/>
        </w:rPr>
        <w:t>L</w:t>
      </w:r>
      <w:r>
        <w:rPr>
          <w:rFonts w:hint="eastAsia" w:ascii="Times New Roman" w:hAnsi="Times New Roman" w:eastAsia="宋体" w:cs="Times New Roman"/>
          <w:sz w:val="24"/>
          <w:vertAlign w:val="subscript"/>
        </w:rPr>
        <w:t>eqg</w:t>
      </w:r>
      <w:r>
        <w:rPr>
          <w:rFonts w:ascii="Times New Roman" w:hAnsi="Times New Roman" w:eastAsia="宋体" w:cs="Times New Roman"/>
          <w:sz w:val="24"/>
        </w:rPr>
        <w:t>——建设项目声源在预测点的等效声级贡献值，dB(A)；</w:t>
      </w:r>
    </w:p>
    <w:p w14:paraId="3A1D470B">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w:t>
      </w:r>
      <w:r>
        <w:rPr>
          <w:rFonts w:hint="eastAsia" w:ascii="Times New Roman" w:hAnsi="Times New Roman" w:eastAsia="宋体" w:cs="Times New Roman"/>
          <w:i/>
          <w:iCs/>
          <w:sz w:val="24"/>
        </w:rPr>
        <w:t>L</w:t>
      </w:r>
      <w:r>
        <w:rPr>
          <w:rFonts w:hint="eastAsia" w:ascii="Times New Roman" w:hAnsi="Times New Roman" w:eastAsia="宋体" w:cs="Times New Roman"/>
          <w:sz w:val="24"/>
          <w:vertAlign w:val="subscript"/>
        </w:rPr>
        <w:t>ai</w:t>
      </w:r>
      <w:r>
        <w:rPr>
          <w:rFonts w:ascii="Times New Roman" w:hAnsi="Times New Roman" w:eastAsia="宋体" w:cs="Times New Roman"/>
          <w:sz w:val="24"/>
        </w:rPr>
        <w:t xml:space="preserve">—— </w:t>
      </w:r>
      <w:r>
        <w:rPr>
          <w:rFonts w:hint="eastAsia" w:ascii="Times New Roman" w:hAnsi="Times New Roman" w:eastAsia="宋体" w:cs="Times New Roman"/>
          <w:sz w:val="24"/>
        </w:rPr>
        <w:t>i</w:t>
      </w:r>
      <w:r>
        <w:rPr>
          <w:rFonts w:ascii="Times New Roman" w:hAnsi="Times New Roman" w:eastAsia="宋体" w:cs="Times New Roman"/>
          <w:sz w:val="24"/>
        </w:rPr>
        <w:t>声源在预测点产生的A声级，dB（A）；</w:t>
      </w:r>
    </w:p>
    <w:p w14:paraId="62FF3D60">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T —— 预测计算的时间段，s；</w:t>
      </w:r>
    </w:p>
    <w:p w14:paraId="3603168B">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w:t>
      </w:r>
      <w:r>
        <w:rPr>
          <w:rFonts w:hint="eastAsia" w:ascii="Times New Roman" w:hAnsi="Times New Roman" w:eastAsia="宋体" w:cs="Times New Roman"/>
          <w:sz w:val="24"/>
        </w:rPr>
        <w:t>ti</w:t>
      </w:r>
      <w:r>
        <w:rPr>
          <w:rFonts w:ascii="Times New Roman" w:hAnsi="Times New Roman" w:eastAsia="宋体" w:cs="Times New Roman"/>
          <w:sz w:val="24"/>
        </w:rPr>
        <w:t xml:space="preserve"> —— </w:t>
      </w:r>
      <w:r>
        <w:rPr>
          <w:rFonts w:hint="eastAsia" w:ascii="Times New Roman" w:hAnsi="Times New Roman" w:eastAsia="宋体" w:cs="Times New Roman"/>
          <w:sz w:val="24"/>
        </w:rPr>
        <w:t>i</w:t>
      </w:r>
      <w:r>
        <w:rPr>
          <w:rFonts w:ascii="Times New Roman" w:hAnsi="Times New Roman" w:eastAsia="宋体" w:cs="Times New Roman"/>
          <w:sz w:val="24"/>
        </w:rPr>
        <w:t>声源在T时段内的运行时间，s；</w:t>
      </w:r>
    </w:p>
    <w:p w14:paraId="154F0360">
      <w:pPr>
        <w:spacing w:line="360" w:lineRule="auto"/>
        <w:ind w:firstLine="1200" w:firstLineChars="500"/>
        <w:rPr>
          <w:rFonts w:ascii="Times New Roman" w:hAnsi="Times New Roman" w:eastAsia="宋体" w:cs="Times New Roman"/>
          <w:sz w:val="24"/>
        </w:rPr>
      </w:pPr>
      <w:r>
        <w:rPr>
          <w:rFonts w:ascii="Times New Roman" w:hAnsi="Times New Roman" w:eastAsia="宋体" w:cs="Times New Roman"/>
          <w:sz w:val="24"/>
        </w:rPr>
        <w:t>N —— 声源总数。</w:t>
      </w:r>
    </w:p>
    <w:p w14:paraId="0A904B67">
      <w:pPr>
        <w:pStyle w:val="63"/>
        <w:ind w:firstLine="482"/>
        <w:rPr>
          <w:rFonts w:ascii="Times New Roman" w:hAnsi="Times New Roman"/>
          <w:b/>
          <w:bCs/>
          <w:lang w:val="zh-CN"/>
        </w:rPr>
      </w:pPr>
      <w:r>
        <w:rPr>
          <w:rFonts w:ascii="Times New Roman" w:hAnsi="Times New Roman"/>
          <w:b/>
          <w:bCs/>
        </w:rPr>
        <w:t>7</w:t>
      </w:r>
      <w:r>
        <w:rPr>
          <w:rFonts w:ascii="Times New Roman" w:hAnsi="Times New Roman"/>
          <w:b/>
          <w:bCs/>
          <w:lang w:val="zh-CN"/>
        </w:rPr>
        <w:t>、预测点总A声压级的计算</w:t>
      </w:r>
    </w:p>
    <w:p w14:paraId="07D473F4">
      <w:pPr>
        <w:pStyle w:val="63"/>
        <w:ind w:firstLine="480"/>
        <w:rPr>
          <w:rFonts w:ascii="Times New Roman" w:hAnsi="Times New Roman"/>
          <w:lang w:val="zh-CN"/>
        </w:rPr>
      </w:pPr>
      <w:r>
        <w:rPr>
          <w:rFonts w:ascii="Times New Roman" w:hAnsi="Times New Roman"/>
          <w:lang w:val="zh-CN"/>
        </w:rPr>
        <w:t>设第i个室外声源在预测点产生的A声级为LAi，在T时间内该声源工作时间ti；第j个等效室外声源在预测点产生的A声级为LAj，在T时间内该声源工作时间为tj，则拟建工程声源对预测点产生的贡献值（Leqg）为：</w:t>
      </w:r>
    </w:p>
    <w:p w14:paraId="4670E97C">
      <w:pPr>
        <w:adjustRightInd w:val="0"/>
        <w:snapToGrid w:val="0"/>
        <w:spacing w:line="360" w:lineRule="auto"/>
        <w:ind w:firstLine="480" w:firstLineChars="200"/>
        <w:jc w:val="center"/>
        <w:rPr>
          <w:rFonts w:ascii="Times New Roman" w:hAnsi="Times New Roman" w:eastAsia="宋体" w:cs="Times New Roman"/>
          <w:sz w:val="24"/>
          <w:szCs w:val="32"/>
          <w:lang w:val="zh-CN"/>
        </w:rPr>
      </w:pPr>
      <w:r>
        <w:rPr>
          <w:rFonts w:ascii="Times New Roman" w:hAnsi="Times New Roman" w:eastAsia="宋体" w:cs="Times New Roman"/>
          <w:sz w:val="24"/>
          <w:szCs w:val="32"/>
          <w:lang w:val="zh-CN"/>
        </w:rPr>
        <w:drawing>
          <wp:inline distT="0" distB="0" distL="114300" distR="114300">
            <wp:extent cx="2562225" cy="447675"/>
            <wp:effectExtent l="0" t="0" r="0" b="5715"/>
            <wp:docPr id="173"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84"/>
                    <pic:cNvPicPr>
                      <a:picLocks noChangeAspect="1"/>
                    </pic:cNvPicPr>
                  </pic:nvPicPr>
                  <pic:blipFill>
                    <a:blip r:embed="rId71"/>
                    <a:stretch>
                      <a:fillRect/>
                    </a:stretch>
                  </pic:blipFill>
                  <pic:spPr>
                    <a:xfrm>
                      <a:off x="0" y="0"/>
                      <a:ext cx="2562225" cy="447675"/>
                    </a:xfrm>
                    <a:prstGeom prst="rect">
                      <a:avLst/>
                    </a:prstGeom>
                    <a:noFill/>
                    <a:ln>
                      <a:noFill/>
                    </a:ln>
                  </pic:spPr>
                </pic:pic>
              </a:graphicData>
            </a:graphic>
          </wp:inline>
        </w:drawing>
      </w:r>
    </w:p>
    <w:p w14:paraId="5FB3BBCC">
      <w:pPr>
        <w:pStyle w:val="63"/>
        <w:ind w:firstLine="480"/>
        <w:rPr>
          <w:rFonts w:ascii="Times New Roman" w:hAnsi="Times New Roman"/>
          <w:lang w:val="zh-CN"/>
        </w:rPr>
      </w:pPr>
      <w:r>
        <w:rPr>
          <w:rFonts w:ascii="Times New Roman" w:hAnsi="Times New Roman"/>
          <w:lang w:val="zh-CN"/>
        </w:rPr>
        <w:t>式中：tj ——在T时间内 j声源工作时间，s；</w:t>
      </w:r>
    </w:p>
    <w:p w14:paraId="010FB0C9">
      <w:pPr>
        <w:pStyle w:val="63"/>
        <w:ind w:firstLine="480"/>
        <w:rPr>
          <w:rFonts w:ascii="Times New Roman" w:hAnsi="Times New Roman"/>
          <w:lang w:val="zh-CN"/>
        </w:rPr>
      </w:pPr>
      <w:r>
        <w:rPr>
          <w:rFonts w:ascii="Times New Roman" w:hAnsi="Times New Roman"/>
          <w:lang w:val="zh-CN"/>
        </w:rPr>
        <w:t>ti ——在T时间内 i声源工作时间，s；</w:t>
      </w:r>
    </w:p>
    <w:p w14:paraId="12C73EF6">
      <w:pPr>
        <w:pStyle w:val="63"/>
        <w:ind w:firstLine="480"/>
        <w:rPr>
          <w:rFonts w:ascii="Times New Roman" w:hAnsi="Times New Roman"/>
          <w:lang w:val="zh-CN"/>
        </w:rPr>
      </w:pPr>
      <w:r>
        <w:rPr>
          <w:rFonts w:ascii="Times New Roman" w:hAnsi="Times New Roman"/>
          <w:lang w:val="zh-CN"/>
        </w:rPr>
        <w:t>T ——用于计算等效声级的时间，s；</w:t>
      </w:r>
    </w:p>
    <w:p w14:paraId="3C325753">
      <w:pPr>
        <w:pStyle w:val="63"/>
        <w:ind w:firstLine="480"/>
        <w:rPr>
          <w:rFonts w:ascii="Times New Roman" w:hAnsi="Times New Roman"/>
          <w:lang w:val="zh-CN"/>
        </w:rPr>
      </w:pPr>
      <w:r>
        <w:rPr>
          <w:rFonts w:ascii="Times New Roman" w:hAnsi="Times New Roman"/>
          <w:lang w:val="zh-CN"/>
        </w:rPr>
        <w:t>N ——室外声源个数；</w:t>
      </w:r>
    </w:p>
    <w:p w14:paraId="7A27B27A">
      <w:pPr>
        <w:pStyle w:val="63"/>
        <w:ind w:firstLine="480"/>
        <w:rPr>
          <w:rFonts w:ascii="Times New Roman" w:hAnsi="Times New Roman"/>
          <w:lang w:val="zh-CN"/>
        </w:rPr>
      </w:pPr>
      <w:r>
        <w:rPr>
          <w:rFonts w:ascii="Times New Roman" w:hAnsi="Times New Roman"/>
          <w:lang w:val="zh-CN"/>
        </w:rPr>
        <w:t>M ——等效室外声源个数。</w:t>
      </w:r>
    </w:p>
    <w:p w14:paraId="37C83023">
      <w:pPr>
        <w:keepNext/>
        <w:keepLines/>
        <w:numPr>
          <w:ilvl w:val="2"/>
          <w:numId w:val="60"/>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预测计算结果</w:t>
      </w:r>
      <w:bookmarkEnd w:id="250"/>
    </w:p>
    <w:p w14:paraId="78F2C606">
      <w:pPr>
        <w:autoSpaceDE w:val="0"/>
        <w:autoSpaceDN w:val="0"/>
        <w:spacing w:line="360" w:lineRule="auto"/>
        <w:ind w:firstLine="480" w:firstLineChars="200"/>
        <w:rPr>
          <w:rFonts w:ascii="Times New Roman" w:hAnsi="Times New Roman" w:eastAsia="宋体" w:cs="Times New Roman"/>
          <w:sz w:val="24"/>
          <w:szCs w:val="21"/>
          <w:lang w:bidi="ar"/>
        </w:rPr>
      </w:pPr>
      <w:r>
        <w:rPr>
          <w:rFonts w:hint="eastAsia" w:ascii="Times New Roman" w:hAnsi="Times New Roman" w:eastAsia="Times New Roman" w:cs="Times New Roman"/>
          <w:sz w:val="24"/>
        </w:rPr>
        <w:t>利用模式，预测出项目各设备声源随距离衰减变化规律，具体结果详见下表</w:t>
      </w:r>
      <w:r>
        <w:rPr>
          <w:rFonts w:hint="eastAsia" w:ascii="Times New Roman" w:hAnsi="Times New Roman" w:eastAsia="宋体" w:cs="Times New Roman"/>
          <w:sz w:val="24"/>
        </w:rPr>
        <w:t>。</w:t>
      </w:r>
    </w:p>
    <w:p w14:paraId="7EAB4967">
      <w:pPr>
        <w:numPr>
          <w:ilvl w:val="0"/>
          <w:numId w:val="61"/>
        </w:numPr>
        <w:autoSpaceDE w:val="0"/>
        <w:autoSpaceDN w:val="0"/>
        <w:jc w:val="center"/>
        <w:textAlignment w:val="baseline"/>
        <w:rPr>
          <w:rFonts w:ascii="Times New Roman" w:hAnsi="Times New Roman" w:eastAsia="宋体" w:cs="Times New Roman"/>
          <w:b/>
          <w:szCs w:val="21"/>
        </w:rPr>
      </w:pPr>
      <w:r>
        <w:rPr>
          <w:rFonts w:ascii="Times New Roman" w:hAnsi="Times New Roman" w:eastAsia="宋体" w:cs="Times New Roman"/>
          <w:b/>
          <w:szCs w:val="21"/>
        </w:rPr>
        <w:t xml:space="preserve"> 本项目厂界昼间预测结果  </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803"/>
        <w:gridCol w:w="802"/>
        <w:gridCol w:w="964"/>
        <w:gridCol w:w="832"/>
        <w:gridCol w:w="1416"/>
        <w:gridCol w:w="1418"/>
        <w:gridCol w:w="1187"/>
      </w:tblGrid>
      <w:tr w14:paraId="53E9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0" w:type="dxa"/>
            <w:vMerge w:val="restart"/>
            <w:shd w:val="clear" w:color="auto" w:fill="auto"/>
            <w:vAlign w:val="center"/>
          </w:tcPr>
          <w:p w14:paraId="7F437243">
            <w:pPr>
              <w:jc w:val="center"/>
              <w:rPr>
                <w:rFonts w:ascii="Times New Roman" w:hAnsi="Times New Roman" w:cs="Times New Roman"/>
                <w:bCs/>
                <w:szCs w:val="21"/>
              </w:rPr>
            </w:pPr>
            <w:r>
              <w:rPr>
                <w:rFonts w:ascii="Times New Roman" w:hAnsi="Times New Roman" w:cs="Times New Roman"/>
                <w:bCs/>
                <w:szCs w:val="21"/>
              </w:rPr>
              <w:t>预测方位</w:t>
            </w:r>
          </w:p>
        </w:tc>
        <w:tc>
          <w:tcPr>
            <w:tcW w:w="2569" w:type="dxa"/>
            <w:gridSpan w:val="3"/>
            <w:shd w:val="clear" w:color="auto" w:fill="auto"/>
            <w:vAlign w:val="center"/>
          </w:tcPr>
          <w:p w14:paraId="6DE486D6">
            <w:pPr>
              <w:jc w:val="center"/>
              <w:rPr>
                <w:rFonts w:ascii="Times New Roman" w:hAnsi="Times New Roman" w:cs="Times New Roman"/>
                <w:bCs/>
                <w:szCs w:val="21"/>
              </w:rPr>
            </w:pPr>
            <w:r>
              <w:rPr>
                <w:rFonts w:ascii="Times New Roman" w:hAnsi="Times New Roman" w:cs="Times New Roman"/>
                <w:bCs/>
                <w:szCs w:val="21"/>
              </w:rPr>
              <w:t>最大值点空间相对位置/m</w:t>
            </w:r>
          </w:p>
        </w:tc>
        <w:tc>
          <w:tcPr>
            <w:tcW w:w="832" w:type="dxa"/>
            <w:vMerge w:val="restart"/>
            <w:shd w:val="clear" w:color="auto" w:fill="auto"/>
            <w:vAlign w:val="center"/>
          </w:tcPr>
          <w:p w14:paraId="729C4D22">
            <w:pPr>
              <w:jc w:val="center"/>
              <w:rPr>
                <w:rFonts w:ascii="Times New Roman" w:hAnsi="Times New Roman" w:cs="Times New Roman"/>
                <w:bCs/>
                <w:szCs w:val="21"/>
              </w:rPr>
            </w:pPr>
            <w:r>
              <w:rPr>
                <w:rFonts w:ascii="Times New Roman" w:hAnsi="Times New Roman" w:cs="Times New Roman"/>
                <w:bCs/>
                <w:szCs w:val="21"/>
              </w:rPr>
              <w:t>时段</w:t>
            </w:r>
          </w:p>
        </w:tc>
        <w:tc>
          <w:tcPr>
            <w:tcW w:w="1416" w:type="dxa"/>
            <w:vMerge w:val="restart"/>
            <w:shd w:val="clear" w:color="auto" w:fill="auto"/>
            <w:vAlign w:val="center"/>
          </w:tcPr>
          <w:p w14:paraId="60196799">
            <w:pPr>
              <w:jc w:val="center"/>
              <w:rPr>
                <w:rFonts w:ascii="Times New Roman" w:hAnsi="Times New Roman" w:cs="Times New Roman"/>
                <w:bCs/>
                <w:szCs w:val="21"/>
              </w:rPr>
            </w:pPr>
            <w:r>
              <w:rPr>
                <w:rFonts w:ascii="Times New Roman" w:hAnsi="Times New Roman" w:cs="Times New Roman"/>
                <w:bCs/>
                <w:szCs w:val="21"/>
              </w:rPr>
              <w:t>贡献值（dB(A)）</w:t>
            </w:r>
          </w:p>
        </w:tc>
        <w:tc>
          <w:tcPr>
            <w:tcW w:w="1418" w:type="dxa"/>
            <w:vMerge w:val="restart"/>
            <w:shd w:val="clear" w:color="auto" w:fill="auto"/>
            <w:vAlign w:val="center"/>
          </w:tcPr>
          <w:p w14:paraId="3CD21C6B">
            <w:pPr>
              <w:jc w:val="center"/>
              <w:rPr>
                <w:rFonts w:ascii="Times New Roman" w:hAnsi="Times New Roman" w:cs="Times New Roman"/>
                <w:bCs/>
                <w:szCs w:val="21"/>
              </w:rPr>
            </w:pPr>
            <w:r>
              <w:rPr>
                <w:rFonts w:ascii="Times New Roman" w:hAnsi="Times New Roman" w:cs="Times New Roman"/>
                <w:bCs/>
                <w:szCs w:val="21"/>
              </w:rPr>
              <w:t>标准限值（dB(A)）</w:t>
            </w:r>
          </w:p>
        </w:tc>
        <w:tc>
          <w:tcPr>
            <w:tcW w:w="1187" w:type="dxa"/>
            <w:vMerge w:val="restart"/>
            <w:shd w:val="clear" w:color="auto" w:fill="auto"/>
            <w:vAlign w:val="center"/>
          </w:tcPr>
          <w:p w14:paraId="2F940948">
            <w:pPr>
              <w:jc w:val="center"/>
              <w:rPr>
                <w:rFonts w:ascii="Times New Roman" w:hAnsi="Times New Roman" w:cs="Times New Roman"/>
                <w:bCs/>
                <w:szCs w:val="21"/>
              </w:rPr>
            </w:pPr>
            <w:r>
              <w:rPr>
                <w:rFonts w:ascii="Times New Roman" w:hAnsi="Times New Roman" w:cs="Times New Roman"/>
                <w:bCs/>
                <w:szCs w:val="21"/>
              </w:rPr>
              <w:t>达标情况</w:t>
            </w:r>
          </w:p>
        </w:tc>
      </w:tr>
      <w:tr w14:paraId="2C52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0" w:type="dxa"/>
            <w:vMerge w:val="continue"/>
            <w:shd w:val="clear" w:color="auto" w:fill="auto"/>
            <w:vAlign w:val="center"/>
          </w:tcPr>
          <w:p w14:paraId="7B52EA86">
            <w:pPr>
              <w:jc w:val="center"/>
              <w:rPr>
                <w:rFonts w:ascii="Times New Roman" w:hAnsi="Times New Roman" w:cs="Times New Roman"/>
                <w:szCs w:val="21"/>
              </w:rPr>
            </w:pPr>
          </w:p>
        </w:tc>
        <w:tc>
          <w:tcPr>
            <w:tcW w:w="803" w:type="dxa"/>
            <w:shd w:val="clear" w:color="auto" w:fill="auto"/>
            <w:vAlign w:val="center"/>
          </w:tcPr>
          <w:p w14:paraId="3D2ECFF1">
            <w:pPr>
              <w:jc w:val="center"/>
              <w:rPr>
                <w:rFonts w:ascii="Times New Roman" w:hAnsi="Times New Roman" w:cs="Times New Roman"/>
                <w:szCs w:val="21"/>
              </w:rPr>
            </w:pPr>
            <w:r>
              <w:rPr>
                <w:rFonts w:ascii="Times New Roman" w:hAnsi="Times New Roman" w:cs="Times New Roman"/>
                <w:szCs w:val="21"/>
              </w:rPr>
              <w:t>X</w:t>
            </w:r>
          </w:p>
        </w:tc>
        <w:tc>
          <w:tcPr>
            <w:tcW w:w="802" w:type="dxa"/>
            <w:shd w:val="clear" w:color="auto" w:fill="auto"/>
            <w:vAlign w:val="center"/>
          </w:tcPr>
          <w:p w14:paraId="2B827CD8">
            <w:pPr>
              <w:jc w:val="center"/>
              <w:rPr>
                <w:rFonts w:ascii="Times New Roman" w:hAnsi="Times New Roman" w:cs="Times New Roman"/>
                <w:szCs w:val="21"/>
              </w:rPr>
            </w:pPr>
            <w:r>
              <w:rPr>
                <w:rFonts w:ascii="Times New Roman" w:hAnsi="Times New Roman" w:cs="Times New Roman"/>
                <w:szCs w:val="21"/>
              </w:rPr>
              <w:t>Y</w:t>
            </w:r>
          </w:p>
        </w:tc>
        <w:tc>
          <w:tcPr>
            <w:tcW w:w="964" w:type="dxa"/>
            <w:shd w:val="clear" w:color="auto" w:fill="auto"/>
            <w:vAlign w:val="center"/>
          </w:tcPr>
          <w:p w14:paraId="3E111D3F">
            <w:pPr>
              <w:jc w:val="center"/>
              <w:rPr>
                <w:rFonts w:ascii="Times New Roman" w:hAnsi="Times New Roman" w:cs="Times New Roman"/>
                <w:szCs w:val="21"/>
              </w:rPr>
            </w:pPr>
            <w:r>
              <w:rPr>
                <w:rFonts w:ascii="Times New Roman" w:hAnsi="Times New Roman" w:cs="Times New Roman"/>
                <w:szCs w:val="21"/>
              </w:rPr>
              <w:t>Z</w:t>
            </w:r>
          </w:p>
        </w:tc>
        <w:tc>
          <w:tcPr>
            <w:tcW w:w="832" w:type="dxa"/>
            <w:vMerge w:val="continue"/>
            <w:shd w:val="clear" w:color="auto" w:fill="auto"/>
            <w:vAlign w:val="center"/>
          </w:tcPr>
          <w:p w14:paraId="70FA8CCD">
            <w:pPr>
              <w:jc w:val="center"/>
              <w:rPr>
                <w:rFonts w:ascii="Times New Roman" w:hAnsi="Times New Roman" w:cs="Times New Roman"/>
                <w:szCs w:val="21"/>
              </w:rPr>
            </w:pPr>
          </w:p>
        </w:tc>
        <w:tc>
          <w:tcPr>
            <w:tcW w:w="1416" w:type="dxa"/>
            <w:vMerge w:val="continue"/>
            <w:shd w:val="clear" w:color="auto" w:fill="auto"/>
            <w:vAlign w:val="center"/>
          </w:tcPr>
          <w:p w14:paraId="4946E2A0">
            <w:pPr>
              <w:jc w:val="center"/>
              <w:rPr>
                <w:rFonts w:ascii="Times New Roman" w:hAnsi="Times New Roman" w:cs="Times New Roman"/>
                <w:szCs w:val="21"/>
              </w:rPr>
            </w:pPr>
          </w:p>
        </w:tc>
        <w:tc>
          <w:tcPr>
            <w:tcW w:w="1418" w:type="dxa"/>
            <w:vMerge w:val="continue"/>
            <w:shd w:val="clear" w:color="auto" w:fill="auto"/>
            <w:vAlign w:val="center"/>
          </w:tcPr>
          <w:p w14:paraId="0D7B2850">
            <w:pPr>
              <w:jc w:val="center"/>
              <w:rPr>
                <w:rFonts w:ascii="Times New Roman" w:hAnsi="Times New Roman" w:cs="Times New Roman"/>
                <w:szCs w:val="21"/>
              </w:rPr>
            </w:pPr>
          </w:p>
        </w:tc>
        <w:tc>
          <w:tcPr>
            <w:tcW w:w="1187" w:type="dxa"/>
            <w:vMerge w:val="continue"/>
            <w:shd w:val="clear" w:color="auto" w:fill="auto"/>
            <w:vAlign w:val="center"/>
          </w:tcPr>
          <w:p w14:paraId="2E401A32">
            <w:pPr>
              <w:jc w:val="center"/>
              <w:rPr>
                <w:rFonts w:ascii="Times New Roman" w:hAnsi="Times New Roman" w:cs="Times New Roman"/>
                <w:szCs w:val="21"/>
              </w:rPr>
            </w:pPr>
          </w:p>
        </w:tc>
      </w:tr>
      <w:tr w14:paraId="4E8D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0" w:type="dxa"/>
            <w:shd w:val="clear" w:color="auto" w:fill="auto"/>
            <w:vAlign w:val="center"/>
          </w:tcPr>
          <w:p w14:paraId="74403FC4">
            <w:pPr>
              <w:jc w:val="center"/>
              <w:rPr>
                <w:rFonts w:ascii="Times New Roman" w:hAnsi="Times New Roman" w:cs="Times New Roman"/>
                <w:szCs w:val="21"/>
              </w:rPr>
            </w:pPr>
            <w:r>
              <w:rPr>
                <w:rFonts w:ascii="Times New Roman" w:hAnsi="Times New Roman" w:eastAsia="Arial" w:cs="Times New Roman"/>
                <w:szCs w:val="21"/>
              </w:rPr>
              <w:t>东侧</w:t>
            </w:r>
          </w:p>
        </w:tc>
        <w:tc>
          <w:tcPr>
            <w:tcW w:w="803" w:type="dxa"/>
            <w:shd w:val="clear" w:color="auto" w:fill="auto"/>
            <w:vAlign w:val="center"/>
          </w:tcPr>
          <w:p w14:paraId="6DD0A492">
            <w:pPr>
              <w:jc w:val="center"/>
              <w:rPr>
                <w:rFonts w:ascii="Times New Roman" w:hAnsi="Times New Roman" w:cs="Times New Roman"/>
                <w:szCs w:val="21"/>
              </w:rPr>
            </w:pPr>
            <w:r>
              <w:rPr>
                <w:rFonts w:ascii="Times New Roman" w:hAnsi="Times New Roman" w:eastAsia="Arial" w:cs="Times New Roman"/>
                <w:szCs w:val="21"/>
              </w:rPr>
              <w:t>29.9</w:t>
            </w:r>
          </w:p>
        </w:tc>
        <w:tc>
          <w:tcPr>
            <w:tcW w:w="802" w:type="dxa"/>
            <w:shd w:val="clear" w:color="auto" w:fill="auto"/>
            <w:vAlign w:val="center"/>
          </w:tcPr>
          <w:p w14:paraId="4FC9338A">
            <w:pPr>
              <w:jc w:val="center"/>
              <w:rPr>
                <w:rFonts w:ascii="Times New Roman" w:hAnsi="Times New Roman" w:cs="Times New Roman"/>
                <w:szCs w:val="21"/>
              </w:rPr>
            </w:pPr>
            <w:r>
              <w:rPr>
                <w:rFonts w:ascii="Times New Roman" w:hAnsi="Times New Roman" w:eastAsia="Arial" w:cs="Times New Roman"/>
                <w:szCs w:val="21"/>
              </w:rPr>
              <w:t>-29.6</w:t>
            </w:r>
          </w:p>
        </w:tc>
        <w:tc>
          <w:tcPr>
            <w:tcW w:w="964" w:type="dxa"/>
            <w:shd w:val="clear" w:color="auto" w:fill="auto"/>
            <w:vAlign w:val="center"/>
          </w:tcPr>
          <w:p w14:paraId="1A75F751">
            <w:pPr>
              <w:jc w:val="center"/>
              <w:rPr>
                <w:rFonts w:ascii="Times New Roman" w:hAnsi="Times New Roman" w:cs="Times New Roman"/>
                <w:szCs w:val="21"/>
              </w:rPr>
            </w:pPr>
            <w:r>
              <w:rPr>
                <w:rFonts w:ascii="Times New Roman" w:hAnsi="Times New Roman" w:eastAsia="Arial" w:cs="Times New Roman"/>
                <w:szCs w:val="21"/>
              </w:rPr>
              <w:t>1.2</w:t>
            </w:r>
          </w:p>
        </w:tc>
        <w:tc>
          <w:tcPr>
            <w:tcW w:w="832" w:type="dxa"/>
            <w:shd w:val="clear" w:color="auto" w:fill="auto"/>
            <w:vAlign w:val="center"/>
          </w:tcPr>
          <w:p w14:paraId="5A669716">
            <w:pPr>
              <w:jc w:val="center"/>
              <w:rPr>
                <w:rFonts w:ascii="Times New Roman" w:hAnsi="Times New Roman" w:cs="Times New Roman"/>
                <w:szCs w:val="21"/>
              </w:rPr>
            </w:pPr>
            <w:r>
              <w:rPr>
                <w:rFonts w:ascii="Times New Roman" w:hAnsi="Times New Roman" w:eastAsia="Arial" w:cs="Times New Roman"/>
                <w:szCs w:val="21"/>
              </w:rPr>
              <w:t>昼间</w:t>
            </w:r>
          </w:p>
        </w:tc>
        <w:tc>
          <w:tcPr>
            <w:tcW w:w="1416" w:type="dxa"/>
            <w:shd w:val="clear" w:color="auto" w:fill="auto"/>
            <w:vAlign w:val="center"/>
          </w:tcPr>
          <w:p w14:paraId="4F2D8FC8">
            <w:pPr>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宋体" w:cs="Times New Roman"/>
                <w:szCs w:val="21"/>
                <w:highlight w:val="none"/>
                <w:lang w:val="en-US" w:eastAsia="zh-CN"/>
              </w:rPr>
              <w:t>49.0</w:t>
            </w:r>
          </w:p>
        </w:tc>
        <w:tc>
          <w:tcPr>
            <w:tcW w:w="1418" w:type="dxa"/>
            <w:shd w:val="clear" w:color="auto" w:fill="auto"/>
            <w:vAlign w:val="center"/>
          </w:tcPr>
          <w:p w14:paraId="6482C6AE">
            <w:pPr>
              <w:jc w:val="center"/>
              <w:rPr>
                <w:rFonts w:ascii="Times New Roman" w:hAnsi="Times New Roman" w:eastAsia="宋体" w:cs="Times New Roman"/>
                <w:szCs w:val="21"/>
              </w:rPr>
            </w:pPr>
            <w:r>
              <w:rPr>
                <w:rFonts w:ascii="Times New Roman" w:hAnsi="Times New Roman" w:eastAsia="Arial" w:cs="Times New Roman"/>
                <w:szCs w:val="21"/>
              </w:rPr>
              <w:t>6</w:t>
            </w:r>
            <w:r>
              <w:rPr>
                <w:rFonts w:ascii="Times New Roman" w:hAnsi="Times New Roman" w:eastAsia="宋体" w:cs="Times New Roman"/>
                <w:szCs w:val="21"/>
              </w:rPr>
              <w:t>5</w:t>
            </w:r>
          </w:p>
        </w:tc>
        <w:tc>
          <w:tcPr>
            <w:tcW w:w="1187" w:type="dxa"/>
            <w:shd w:val="clear" w:color="auto" w:fill="auto"/>
            <w:vAlign w:val="center"/>
          </w:tcPr>
          <w:p w14:paraId="601859C2">
            <w:pPr>
              <w:jc w:val="center"/>
              <w:rPr>
                <w:rFonts w:ascii="Times New Roman" w:hAnsi="Times New Roman" w:cs="Times New Roman"/>
                <w:szCs w:val="21"/>
              </w:rPr>
            </w:pPr>
            <w:r>
              <w:rPr>
                <w:rFonts w:ascii="Times New Roman" w:hAnsi="Times New Roman" w:eastAsia="Arial" w:cs="Times New Roman"/>
                <w:szCs w:val="21"/>
              </w:rPr>
              <w:t>达标</w:t>
            </w:r>
          </w:p>
        </w:tc>
      </w:tr>
      <w:tr w14:paraId="2C4E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0" w:type="dxa"/>
            <w:shd w:val="clear" w:color="auto" w:fill="auto"/>
            <w:vAlign w:val="center"/>
          </w:tcPr>
          <w:p w14:paraId="0493C2A1">
            <w:pPr>
              <w:jc w:val="center"/>
              <w:rPr>
                <w:rFonts w:ascii="Times New Roman" w:hAnsi="Times New Roman" w:cs="Times New Roman"/>
                <w:szCs w:val="21"/>
              </w:rPr>
            </w:pPr>
            <w:r>
              <w:rPr>
                <w:rFonts w:ascii="Times New Roman" w:hAnsi="Times New Roman" w:eastAsia="Arial" w:cs="Times New Roman"/>
                <w:szCs w:val="21"/>
              </w:rPr>
              <w:t>南侧</w:t>
            </w:r>
          </w:p>
        </w:tc>
        <w:tc>
          <w:tcPr>
            <w:tcW w:w="803" w:type="dxa"/>
            <w:shd w:val="clear" w:color="auto" w:fill="auto"/>
            <w:vAlign w:val="center"/>
          </w:tcPr>
          <w:p w14:paraId="18AEFC91">
            <w:pPr>
              <w:jc w:val="center"/>
              <w:rPr>
                <w:rFonts w:ascii="Times New Roman" w:hAnsi="Times New Roman" w:cs="Times New Roman"/>
                <w:szCs w:val="21"/>
              </w:rPr>
            </w:pPr>
            <w:r>
              <w:rPr>
                <w:rFonts w:ascii="Times New Roman" w:hAnsi="Times New Roman" w:eastAsia="Arial" w:cs="Times New Roman"/>
                <w:szCs w:val="21"/>
              </w:rPr>
              <w:t>6.2</w:t>
            </w:r>
          </w:p>
        </w:tc>
        <w:tc>
          <w:tcPr>
            <w:tcW w:w="802" w:type="dxa"/>
            <w:shd w:val="clear" w:color="auto" w:fill="auto"/>
            <w:vAlign w:val="center"/>
          </w:tcPr>
          <w:p w14:paraId="21ED2A36">
            <w:pPr>
              <w:jc w:val="center"/>
              <w:rPr>
                <w:rFonts w:ascii="Times New Roman" w:hAnsi="Times New Roman" w:cs="Times New Roman"/>
                <w:szCs w:val="21"/>
              </w:rPr>
            </w:pPr>
            <w:r>
              <w:rPr>
                <w:rFonts w:ascii="Times New Roman" w:hAnsi="Times New Roman" w:eastAsia="Arial" w:cs="Times New Roman"/>
                <w:szCs w:val="21"/>
              </w:rPr>
              <w:t>-25.7</w:t>
            </w:r>
          </w:p>
        </w:tc>
        <w:tc>
          <w:tcPr>
            <w:tcW w:w="964" w:type="dxa"/>
            <w:shd w:val="clear" w:color="auto" w:fill="auto"/>
            <w:vAlign w:val="center"/>
          </w:tcPr>
          <w:p w14:paraId="236136E7">
            <w:pPr>
              <w:jc w:val="center"/>
              <w:rPr>
                <w:rFonts w:ascii="Times New Roman" w:hAnsi="Times New Roman" w:cs="Times New Roman"/>
                <w:szCs w:val="21"/>
              </w:rPr>
            </w:pPr>
            <w:r>
              <w:rPr>
                <w:rFonts w:ascii="Times New Roman" w:hAnsi="Times New Roman" w:eastAsia="Arial" w:cs="Times New Roman"/>
                <w:szCs w:val="21"/>
              </w:rPr>
              <w:t>1.2</w:t>
            </w:r>
          </w:p>
        </w:tc>
        <w:tc>
          <w:tcPr>
            <w:tcW w:w="832" w:type="dxa"/>
            <w:shd w:val="clear" w:color="auto" w:fill="auto"/>
            <w:vAlign w:val="center"/>
          </w:tcPr>
          <w:p w14:paraId="4975B830">
            <w:pPr>
              <w:jc w:val="center"/>
              <w:rPr>
                <w:rFonts w:ascii="Times New Roman" w:hAnsi="Times New Roman" w:cs="Times New Roman"/>
                <w:szCs w:val="21"/>
              </w:rPr>
            </w:pPr>
            <w:r>
              <w:rPr>
                <w:rFonts w:ascii="Times New Roman" w:hAnsi="Times New Roman" w:eastAsia="Arial" w:cs="Times New Roman"/>
                <w:szCs w:val="21"/>
              </w:rPr>
              <w:t>昼间</w:t>
            </w:r>
          </w:p>
        </w:tc>
        <w:tc>
          <w:tcPr>
            <w:tcW w:w="1416" w:type="dxa"/>
            <w:shd w:val="clear" w:color="auto" w:fill="auto"/>
            <w:vAlign w:val="center"/>
          </w:tcPr>
          <w:p w14:paraId="1F012D7A">
            <w:pPr>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宋体" w:cs="Times New Roman"/>
                <w:szCs w:val="21"/>
                <w:highlight w:val="none"/>
                <w:lang w:val="en-US" w:eastAsia="zh-CN"/>
              </w:rPr>
              <w:t>49.3</w:t>
            </w:r>
          </w:p>
        </w:tc>
        <w:tc>
          <w:tcPr>
            <w:tcW w:w="1418" w:type="dxa"/>
            <w:shd w:val="clear" w:color="auto" w:fill="auto"/>
            <w:vAlign w:val="center"/>
          </w:tcPr>
          <w:p w14:paraId="61DBAF1B">
            <w:pPr>
              <w:jc w:val="center"/>
              <w:rPr>
                <w:rFonts w:ascii="Times New Roman" w:hAnsi="Times New Roman" w:cs="Times New Roman"/>
                <w:szCs w:val="21"/>
              </w:rPr>
            </w:pPr>
            <w:r>
              <w:rPr>
                <w:rFonts w:ascii="Times New Roman" w:hAnsi="Times New Roman" w:eastAsia="Arial" w:cs="Times New Roman"/>
                <w:szCs w:val="21"/>
              </w:rPr>
              <w:t>6</w:t>
            </w:r>
            <w:r>
              <w:rPr>
                <w:rFonts w:ascii="Times New Roman" w:hAnsi="Times New Roman" w:eastAsia="宋体" w:cs="Times New Roman"/>
                <w:szCs w:val="21"/>
              </w:rPr>
              <w:t>5</w:t>
            </w:r>
          </w:p>
        </w:tc>
        <w:tc>
          <w:tcPr>
            <w:tcW w:w="1187" w:type="dxa"/>
            <w:shd w:val="clear" w:color="auto" w:fill="auto"/>
            <w:vAlign w:val="center"/>
          </w:tcPr>
          <w:p w14:paraId="172E3BAA">
            <w:pPr>
              <w:jc w:val="center"/>
              <w:rPr>
                <w:rFonts w:ascii="Times New Roman" w:hAnsi="Times New Roman" w:cs="Times New Roman"/>
                <w:szCs w:val="21"/>
              </w:rPr>
            </w:pPr>
            <w:r>
              <w:rPr>
                <w:rFonts w:ascii="Times New Roman" w:hAnsi="Times New Roman" w:eastAsia="Arial" w:cs="Times New Roman"/>
                <w:szCs w:val="21"/>
              </w:rPr>
              <w:t>达标</w:t>
            </w:r>
          </w:p>
        </w:tc>
      </w:tr>
      <w:tr w14:paraId="02C1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0" w:type="dxa"/>
            <w:shd w:val="clear" w:color="auto" w:fill="auto"/>
            <w:vAlign w:val="center"/>
          </w:tcPr>
          <w:p w14:paraId="62B28461">
            <w:pPr>
              <w:jc w:val="center"/>
              <w:rPr>
                <w:rFonts w:ascii="Times New Roman" w:hAnsi="Times New Roman" w:cs="Times New Roman"/>
                <w:szCs w:val="21"/>
              </w:rPr>
            </w:pPr>
            <w:r>
              <w:rPr>
                <w:rFonts w:ascii="Times New Roman" w:hAnsi="Times New Roman" w:eastAsia="Arial" w:cs="Times New Roman"/>
                <w:szCs w:val="21"/>
              </w:rPr>
              <w:t>西侧</w:t>
            </w:r>
          </w:p>
        </w:tc>
        <w:tc>
          <w:tcPr>
            <w:tcW w:w="803" w:type="dxa"/>
            <w:shd w:val="clear" w:color="auto" w:fill="auto"/>
            <w:vAlign w:val="center"/>
          </w:tcPr>
          <w:p w14:paraId="579461FB">
            <w:pPr>
              <w:jc w:val="center"/>
              <w:rPr>
                <w:rFonts w:ascii="Times New Roman" w:hAnsi="Times New Roman" w:cs="Times New Roman"/>
                <w:color w:val="auto"/>
                <w:szCs w:val="21"/>
              </w:rPr>
            </w:pPr>
            <w:r>
              <w:rPr>
                <w:rFonts w:ascii="Times New Roman" w:hAnsi="Times New Roman" w:eastAsia="Arial" w:cs="Times New Roman"/>
                <w:color w:val="auto"/>
                <w:szCs w:val="21"/>
              </w:rPr>
              <w:t>-23.4</w:t>
            </w:r>
          </w:p>
        </w:tc>
        <w:tc>
          <w:tcPr>
            <w:tcW w:w="802" w:type="dxa"/>
            <w:shd w:val="clear" w:color="auto" w:fill="auto"/>
            <w:vAlign w:val="center"/>
          </w:tcPr>
          <w:p w14:paraId="5BB5F5C2">
            <w:pPr>
              <w:jc w:val="center"/>
              <w:rPr>
                <w:rFonts w:ascii="Times New Roman" w:hAnsi="Times New Roman" w:cs="Times New Roman"/>
                <w:color w:val="auto"/>
                <w:szCs w:val="21"/>
              </w:rPr>
            </w:pPr>
            <w:r>
              <w:rPr>
                <w:rFonts w:ascii="Times New Roman" w:hAnsi="Times New Roman" w:eastAsia="Arial" w:cs="Times New Roman"/>
                <w:color w:val="auto"/>
                <w:szCs w:val="21"/>
              </w:rPr>
              <w:t>-20.7</w:t>
            </w:r>
          </w:p>
        </w:tc>
        <w:tc>
          <w:tcPr>
            <w:tcW w:w="964" w:type="dxa"/>
            <w:shd w:val="clear" w:color="auto" w:fill="auto"/>
            <w:vAlign w:val="center"/>
          </w:tcPr>
          <w:p w14:paraId="24B33317">
            <w:pPr>
              <w:jc w:val="center"/>
              <w:rPr>
                <w:rFonts w:ascii="Times New Roman" w:hAnsi="Times New Roman" w:cs="Times New Roman"/>
                <w:szCs w:val="21"/>
              </w:rPr>
            </w:pPr>
            <w:r>
              <w:rPr>
                <w:rFonts w:ascii="Times New Roman" w:hAnsi="Times New Roman" w:eastAsia="Arial" w:cs="Times New Roman"/>
                <w:szCs w:val="21"/>
              </w:rPr>
              <w:t>1.2</w:t>
            </w:r>
          </w:p>
        </w:tc>
        <w:tc>
          <w:tcPr>
            <w:tcW w:w="832" w:type="dxa"/>
            <w:shd w:val="clear" w:color="auto" w:fill="auto"/>
            <w:vAlign w:val="center"/>
          </w:tcPr>
          <w:p w14:paraId="2AD372ED">
            <w:pPr>
              <w:jc w:val="center"/>
              <w:rPr>
                <w:rFonts w:ascii="Times New Roman" w:hAnsi="Times New Roman" w:cs="Times New Roman"/>
                <w:szCs w:val="21"/>
              </w:rPr>
            </w:pPr>
            <w:r>
              <w:rPr>
                <w:rFonts w:ascii="Times New Roman" w:hAnsi="Times New Roman" w:eastAsia="Arial" w:cs="Times New Roman"/>
                <w:szCs w:val="21"/>
              </w:rPr>
              <w:t>昼间</w:t>
            </w:r>
          </w:p>
        </w:tc>
        <w:tc>
          <w:tcPr>
            <w:tcW w:w="1416" w:type="dxa"/>
            <w:shd w:val="clear" w:color="auto" w:fill="auto"/>
            <w:vAlign w:val="center"/>
          </w:tcPr>
          <w:p w14:paraId="7B80C57F">
            <w:pPr>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宋体" w:cs="Times New Roman"/>
                <w:szCs w:val="21"/>
                <w:highlight w:val="none"/>
                <w:lang w:val="en-US" w:eastAsia="zh-CN"/>
              </w:rPr>
              <w:t>49.0</w:t>
            </w:r>
          </w:p>
        </w:tc>
        <w:tc>
          <w:tcPr>
            <w:tcW w:w="1418" w:type="dxa"/>
            <w:shd w:val="clear" w:color="auto" w:fill="auto"/>
            <w:vAlign w:val="center"/>
          </w:tcPr>
          <w:p w14:paraId="450C8B2F">
            <w:pPr>
              <w:jc w:val="center"/>
              <w:rPr>
                <w:rFonts w:ascii="Times New Roman" w:hAnsi="Times New Roman" w:cs="Times New Roman"/>
                <w:szCs w:val="21"/>
              </w:rPr>
            </w:pPr>
            <w:r>
              <w:rPr>
                <w:rFonts w:ascii="Times New Roman" w:hAnsi="Times New Roman" w:eastAsia="Arial" w:cs="Times New Roman"/>
                <w:szCs w:val="21"/>
              </w:rPr>
              <w:t>6</w:t>
            </w:r>
            <w:r>
              <w:rPr>
                <w:rFonts w:ascii="Times New Roman" w:hAnsi="Times New Roman" w:eastAsia="宋体" w:cs="Times New Roman"/>
                <w:szCs w:val="21"/>
              </w:rPr>
              <w:t>5</w:t>
            </w:r>
          </w:p>
        </w:tc>
        <w:tc>
          <w:tcPr>
            <w:tcW w:w="1187" w:type="dxa"/>
            <w:shd w:val="clear" w:color="auto" w:fill="auto"/>
            <w:vAlign w:val="center"/>
          </w:tcPr>
          <w:p w14:paraId="5EBD1683">
            <w:pPr>
              <w:jc w:val="center"/>
              <w:rPr>
                <w:rFonts w:ascii="Times New Roman" w:hAnsi="Times New Roman" w:cs="Times New Roman"/>
                <w:szCs w:val="21"/>
              </w:rPr>
            </w:pPr>
            <w:r>
              <w:rPr>
                <w:rFonts w:ascii="Times New Roman" w:hAnsi="Times New Roman" w:eastAsia="Arial" w:cs="Times New Roman"/>
                <w:szCs w:val="21"/>
              </w:rPr>
              <w:t>达标</w:t>
            </w:r>
          </w:p>
        </w:tc>
      </w:tr>
      <w:tr w14:paraId="27E4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0" w:type="dxa"/>
            <w:shd w:val="clear" w:color="auto" w:fill="auto"/>
            <w:vAlign w:val="center"/>
          </w:tcPr>
          <w:p w14:paraId="0024B2E4">
            <w:pPr>
              <w:jc w:val="center"/>
              <w:rPr>
                <w:rFonts w:ascii="Times New Roman" w:hAnsi="Times New Roman" w:cs="Times New Roman"/>
                <w:szCs w:val="21"/>
              </w:rPr>
            </w:pPr>
            <w:r>
              <w:rPr>
                <w:rFonts w:ascii="Times New Roman" w:hAnsi="Times New Roman" w:eastAsia="Arial" w:cs="Times New Roman"/>
                <w:szCs w:val="21"/>
              </w:rPr>
              <w:t>北侧</w:t>
            </w:r>
          </w:p>
        </w:tc>
        <w:tc>
          <w:tcPr>
            <w:tcW w:w="803" w:type="dxa"/>
            <w:shd w:val="clear" w:color="auto" w:fill="auto"/>
            <w:vAlign w:val="center"/>
          </w:tcPr>
          <w:p w14:paraId="2D254F4A">
            <w:pPr>
              <w:jc w:val="center"/>
              <w:rPr>
                <w:rFonts w:ascii="Times New Roman" w:hAnsi="Times New Roman" w:cs="Times New Roman"/>
                <w:szCs w:val="21"/>
              </w:rPr>
            </w:pPr>
            <w:r>
              <w:rPr>
                <w:rFonts w:ascii="Times New Roman" w:hAnsi="Times New Roman" w:eastAsia="Arial" w:cs="Times New Roman"/>
                <w:szCs w:val="21"/>
              </w:rPr>
              <w:t>6.9</w:t>
            </w:r>
          </w:p>
        </w:tc>
        <w:tc>
          <w:tcPr>
            <w:tcW w:w="802" w:type="dxa"/>
            <w:shd w:val="clear" w:color="auto" w:fill="auto"/>
            <w:vAlign w:val="center"/>
          </w:tcPr>
          <w:p w14:paraId="517A0987">
            <w:pPr>
              <w:jc w:val="center"/>
              <w:rPr>
                <w:rFonts w:ascii="Times New Roman" w:hAnsi="Times New Roman" w:cs="Times New Roman"/>
                <w:szCs w:val="21"/>
              </w:rPr>
            </w:pPr>
            <w:r>
              <w:rPr>
                <w:rFonts w:ascii="Times New Roman" w:hAnsi="Times New Roman" w:eastAsia="Arial" w:cs="Times New Roman"/>
                <w:szCs w:val="21"/>
              </w:rPr>
              <w:t>23.4</w:t>
            </w:r>
          </w:p>
        </w:tc>
        <w:tc>
          <w:tcPr>
            <w:tcW w:w="964" w:type="dxa"/>
            <w:shd w:val="clear" w:color="auto" w:fill="auto"/>
            <w:vAlign w:val="center"/>
          </w:tcPr>
          <w:p w14:paraId="349FC24E">
            <w:pPr>
              <w:jc w:val="center"/>
              <w:rPr>
                <w:rFonts w:ascii="Times New Roman" w:hAnsi="Times New Roman" w:cs="Times New Roman"/>
                <w:szCs w:val="21"/>
              </w:rPr>
            </w:pPr>
            <w:r>
              <w:rPr>
                <w:rFonts w:ascii="Times New Roman" w:hAnsi="Times New Roman" w:eastAsia="Arial" w:cs="Times New Roman"/>
                <w:szCs w:val="21"/>
              </w:rPr>
              <w:t>1.2</w:t>
            </w:r>
          </w:p>
        </w:tc>
        <w:tc>
          <w:tcPr>
            <w:tcW w:w="832" w:type="dxa"/>
            <w:shd w:val="clear" w:color="auto" w:fill="auto"/>
            <w:vAlign w:val="center"/>
          </w:tcPr>
          <w:p w14:paraId="6DF3645A">
            <w:pPr>
              <w:jc w:val="center"/>
              <w:rPr>
                <w:rFonts w:ascii="Times New Roman" w:hAnsi="Times New Roman" w:cs="Times New Roman"/>
                <w:szCs w:val="21"/>
              </w:rPr>
            </w:pPr>
            <w:r>
              <w:rPr>
                <w:rFonts w:ascii="Times New Roman" w:hAnsi="Times New Roman" w:eastAsia="Arial" w:cs="Times New Roman"/>
                <w:szCs w:val="21"/>
              </w:rPr>
              <w:t>昼间</w:t>
            </w:r>
          </w:p>
        </w:tc>
        <w:tc>
          <w:tcPr>
            <w:tcW w:w="1416" w:type="dxa"/>
            <w:shd w:val="clear" w:color="auto" w:fill="auto"/>
            <w:vAlign w:val="center"/>
          </w:tcPr>
          <w:p w14:paraId="4CDA0146">
            <w:pPr>
              <w:jc w:val="center"/>
              <w:rPr>
                <w:rFonts w:hint="default" w:ascii="Times New Roman" w:hAnsi="Times New Roman" w:cs="Times New Roman" w:eastAsiaTheme="minorEastAsia"/>
                <w:szCs w:val="21"/>
                <w:highlight w:val="none"/>
                <w:lang w:val="en-US" w:eastAsia="zh-CN"/>
              </w:rPr>
            </w:pPr>
            <w:r>
              <w:rPr>
                <w:rFonts w:hint="eastAsia" w:ascii="Times New Roman" w:hAnsi="Times New Roman" w:eastAsia="宋体" w:cs="Times New Roman"/>
                <w:szCs w:val="21"/>
                <w:highlight w:val="none"/>
                <w:lang w:val="en-US" w:eastAsia="zh-CN"/>
              </w:rPr>
              <w:t>49.0</w:t>
            </w:r>
          </w:p>
        </w:tc>
        <w:tc>
          <w:tcPr>
            <w:tcW w:w="1418" w:type="dxa"/>
            <w:shd w:val="clear" w:color="auto" w:fill="auto"/>
            <w:vAlign w:val="center"/>
          </w:tcPr>
          <w:p w14:paraId="7CFF846E">
            <w:pPr>
              <w:jc w:val="center"/>
              <w:rPr>
                <w:rFonts w:ascii="Times New Roman" w:hAnsi="Times New Roman" w:cs="Times New Roman"/>
                <w:szCs w:val="21"/>
              </w:rPr>
            </w:pPr>
            <w:r>
              <w:rPr>
                <w:rFonts w:ascii="Times New Roman" w:hAnsi="Times New Roman" w:eastAsia="Arial" w:cs="Times New Roman"/>
                <w:szCs w:val="21"/>
              </w:rPr>
              <w:t>6</w:t>
            </w:r>
            <w:r>
              <w:rPr>
                <w:rFonts w:ascii="Times New Roman" w:hAnsi="Times New Roman" w:eastAsia="宋体" w:cs="Times New Roman"/>
                <w:szCs w:val="21"/>
              </w:rPr>
              <w:t>5</w:t>
            </w:r>
          </w:p>
        </w:tc>
        <w:tc>
          <w:tcPr>
            <w:tcW w:w="1187" w:type="dxa"/>
            <w:shd w:val="clear" w:color="auto" w:fill="auto"/>
            <w:vAlign w:val="center"/>
          </w:tcPr>
          <w:p w14:paraId="1D747197">
            <w:pPr>
              <w:jc w:val="center"/>
              <w:rPr>
                <w:rFonts w:ascii="Times New Roman" w:hAnsi="Times New Roman" w:cs="Times New Roman"/>
                <w:szCs w:val="21"/>
              </w:rPr>
            </w:pPr>
            <w:r>
              <w:rPr>
                <w:rFonts w:ascii="Times New Roman" w:hAnsi="Times New Roman" w:eastAsia="Arial" w:cs="Times New Roman"/>
                <w:szCs w:val="21"/>
              </w:rPr>
              <w:t>达标</w:t>
            </w:r>
          </w:p>
        </w:tc>
      </w:tr>
    </w:tbl>
    <w:p w14:paraId="215D66EC">
      <w:pPr>
        <w:autoSpaceDE w:val="0"/>
        <w:autoSpaceDN w:val="0"/>
        <w:adjustRightInd w:val="0"/>
        <w:spacing w:line="360" w:lineRule="auto"/>
        <w:ind w:firstLine="480" w:firstLineChars="200"/>
        <w:textAlignment w:val="baseline"/>
        <w:rPr>
          <w:rFonts w:ascii="Times New Roman" w:hAnsi="Times New Roman" w:eastAsia="宋体" w:cs="Times New Roman"/>
          <w:sz w:val="24"/>
        </w:rPr>
      </w:pPr>
      <w:r>
        <w:rPr>
          <w:rFonts w:ascii="Times New Roman" w:hAnsi="Times New Roman" w:eastAsia="宋体" w:cs="Times New Roman"/>
          <w:sz w:val="24"/>
        </w:rPr>
        <w:t>预测结果表明，项目建成运营后，项目厂界噪声昼间贡献值较小，厂界昼间噪声均能满足《工业企业环境噪声排放标准》（GB12348-2008）3类区标准要求。</w:t>
      </w:r>
    </w:p>
    <w:p w14:paraId="7A50EBF0">
      <w:pPr>
        <w:spacing w:line="360" w:lineRule="auto"/>
        <w:ind w:firstLine="482" w:firstLineChars="200"/>
        <w:rPr>
          <w:rFonts w:ascii="Times New Roman" w:hAnsi="Times New Roman"/>
          <w:b/>
          <w:bCs/>
          <w:sz w:val="24"/>
          <w:szCs w:val="21"/>
          <w:lang w:bidi="ar"/>
        </w:rPr>
      </w:pPr>
      <w:r>
        <w:rPr>
          <w:rFonts w:ascii="Times New Roman" w:hAnsi="Times New Roman"/>
          <w:b/>
          <w:bCs/>
          <w:sz w:val="24"/>
          <w:szCs w:val="21"/>
          <w:lang w:bidi="ar"/>
        </w:rPr>
        <w:t>2、敏感点噪声环境影响评价</w:t>
      </w:r>
    </w:p>
    <w:p w14:paraId="34845541">
      <w:pPr>
        <w:spacing w:line="360" w:lineRule="auto"/>
        <w:ind w:firstLine="480" w:firstLineChars="200"/>
        <w:rPr>
          <w:rFonts w:ascii="Times New Roman" w:hAnsi="Times New Roman"/>
          <w:sz w:val="24"/>
          <w:szCs w:val="21"/>
        </w:rPr>
      </w:pPr>
      <w:r>
        <w:rPr>
          <w:rFonts w:ascii="Times New Roman" w:hAnsi="Times New Roman"/>
          <w:sz w:val="24"/>
          <w:szCs w:val="21"/>
          <w:lang w:bidi="ar"/>
        </w:rPr>
        <w:t>本项目声环境敏感点为</w:t>
      </w:r>
      <w:r>
        <w:rPr>
          <w:rFonts w:hint="eastAsia" w:ascii="Times New Roman" w:hAnsi="Times New Roman"/>
          <w:bCs/>
          <w:kern w:val="0"/>
          <w:sz w:val="24"/>
        </w:rPr>
        <w:t>骆家村</w:t>
      </w:r>
      <w:r>
        <w:rPr>
          <w:rFonts w:hint="eastAsia" w:ascii="Times New Roman" w:hAnsi="Times New Roman"/>
          <w:sz w:val="24"/>
          <w:szCs w:val="21"/>
          <w:lang w:bidi="ar"/>
        </w:rPr>
        <w:t>，</w:t>
      </w:r>
      <w:r>
        <w:rPr>
          <w:rFonts w:hint="eastAsia" w:ascii="Times New Roman" w:hAnsi="Times New Roman"/>
          <w:sz w:val="24"/>
          <w:szCs w:val="21"/>
        </w:rPr>
        <w:t>贡献值叠加背景值后敏感点</w:t>
      </w:r>
      <w:r>
        <w:rPr>
          <w:rFonts w:hint="eastAsia" w:ascii="Times New Roman" w:hAnsi="Times New Roman"/>
          <w:sz w:val="24"/>
          <w:szCs w:val="21"/>
          <w:lang w:bidi="ar"/>
        </w:rPr>
        <w:t>的</w:t>
      </w:r>
      <w:r>
        <w:rPr>
          <w:rFonts w:hint="eastAsia" w:ascii="Times New Roman" w:hAnsi="Times New Roman"/>
          <w:sz w:val="24"/>
          <w:szCs w:val="21"/>
        </w:rPr>
        <w:t>噪声质量能满足2类声环境功能区划标准限值要求，详见下表。</w:t>
      </w:r>
    </w:p>
    <w:p w14:paraId="0B5AFAE8">
      <w:pPr>
        <w:numPr>
          <w:ilvl w:val="0"/>
          <w:numId w:val="61"/>
        </w:numPr>
        <w:autoSpaceDE w:val="0"/>
        <w:autoSpaceDN w:val="0"/>
        <w:adjustRightInd w:val="0"/>
        <w:spacing w:line="360" w:lineRule="auto"/>
        <w:jc w:val="center"/>
        <w:textAlignment w:val="baseline"/>
        <w:rPr>
          <w:rFonts w:ascii="Times New Roman" w:hAnsi="Times New Roman" w:cs="Times New Roman"/>
          <w:b/>
          <w:szCs w:val="21"/>
          <w:lang w:val="zh-CN"/>
        </w:rPr>
      </w:pPr>
      <w:r>
        <w:rPr>
          <w:rFonts w:ascii="Times New Roman" w:hAnsi="Times New Roman" w:cs="Times New Roman"/>
          <w:b/>
          <w:szCs w:val="21"/>
        </w:rPr>
        <w:t xml:space="preserve">  </w:t>
      </w:r>
      <w:r>
        <w:rPr>
          <w:rFonts w:ascii="Times New Roman" w:hAnsi="Times New Roman" w:eastAsia="宋体" w:cs="Times New Roman"/>
          <w:b/>
          <w:szCs w:val="21"/>
        </w:rPr>
        <w:t>本项目</w:t>
      </w:r>
      <w:r>
        <w:rPr>
          <w:rFonts w:ascii="Times New Roman" w:hAnsi="Times New Roman" w:cs="Times New Roman"/>
          <w:b/>
          <w:szCs w:val="21"/>
          <w:lang w:val="zh-CN"/>
        </w:rPr>
        <w:t>声环境敏感点处噪声质量预测结果</w:t>
      </w:r>
    </w:p>
    <w:tbl>
      <w:tblPr>
        <w:tblStyle w:val="30"/>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80"/>
        <w:gridCol w:w="973"/>
        <w:gridCol w:w="975"/>
        <w:gridCol w:w="869"/>
        <w:gridCol w:w="1168"/>
        <w:gridCol w:w="1168"/>
        <w:gridCol w:w="975"/>
        <w:gridCol w:w="883"/>
      </w:tblGrid>
      <w:tr w14:paraId="434C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426" w:type="dxa"/>
            <w:vMerge w:val="restart"/>
            <w:tcBorders>
              <w:tl2br w:val="nil"/>
              <w:tr2bl w:val="nil"/>
            </w:tcBorders>
            <w:vAlign w:val="center"/>
          </w:tcPr>
          <w:p w14:paraId="4BEFD0B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序号</w:t>
            </w:r>
          </w:p>
        </w:tc>
        <w:tc>
          <w:tcPr>
            <w:tcW w:w="1080" w:type="dxa"/>
            <w:vMerge w:val="restart"/>
            <w:tcBorders>
              <w:tl2br w:val="nil"/>
              <w:tr2bl w:val="nil"/>
            </w:tcBorders>
            <w:vAlign w:val="center"/>
          </w:tcPr>
          <w:p w14:paraId="182CC4B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声环境保护目标名称</w:t>
            </w:r>
          </w:p>
        </w:tc>
        <w:tc>
          <w:tcPr>
            <w:tcW w:w="973" w:type="dxa"/>
            <w:tcBorders>
              <w:tl2br w:val="nil"/>
              <w:tr2bl w:val="nil"/>
            </w:tcBorders>
            <w:vAlign w:val="center"/>
          </w:tcPr>
          <w:p w14:paraId="0785C51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噪声背景值/dB(A)</w:t>
            </w:r>
          </w:p>
        </w:tc>
        <w:tc>
          <w:tcPr>
            <w:tcW w:w="975" w:type="dxa"/>
            <w:tcBorders>
              <w:tl2br w:val="nil"/>
              <w:tr2bl w:val="nil"/>
            </w:tcBorders>
            <w:vAlign w:val="center"/>
          </w:tcPr>
          <w:p w14:paraId="054FB91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噪声现状值/dB(A)</w:t>
            </w:r>
          </w:p>
        </w:tc>
        <w:tc>
          <w:tcPr>
            <w:tcW w:w="869" w:type="dxa"/>
            <w:tcBorders>
              <w:tl2br w:val="nil"/>
              <w:tr2bl w:val="nil"/>
            </w:tcBorders>
            <w:vAlign w:val="center"/>
          </w:tcPr>
          <w:p w14:paraId="4F85EB9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w:t>
            </w:r>
          </w:p>
          <w:p w14:paraId="0638217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标准/dB(A)</w:t>
            </w:r>
          </w:p>
        </w:tc>
        <w:tc>
          <w:tcPr>
            <w:tcW w:w="1168" w:type="dxa"/>
            <w:tcBorders>
              <w:tl2br w:val="nil"/>
              <w:tr2bl w:val="nil"/>
            </w:tcBorders>
            <w:vAlign w:val="center"/>
          </w:tcPr>
          <w:p w14:paraId="6D7D8D6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噪声贡献值/dB(A)</w:t>
            </w:r>
          </w:p>
        </w:tc>
        <w:tc>
          <w:tcPr>
            <w:tcW w:w="1168" w:type="dxa"/>
            <w:tcBorders>
              <w:tl2br w:val="nil"/>
              <w:tr2bl w:val="nil"/>
            </w:tcBorders>
            <w:vAlign w:val="center"/>
          </w:tcPr>
          <w:p w14:paraId="678A1F0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噪声预测值/dB(A)</w:t>
            </w:r>
          </w:p>
        </w:tc>
        <w:tc>
          <w:tcPr>
            <w:tcW w:w="975" w:type="dxa"/>
            <w:tcBorders>
              <w:tl2br w:val="nil"/>
              <w:tr2bl w:val="nil"/>
            </w:tcBorders>
            <w:vAlign w:val="center"/>
          </w:tcPr>
          <w:p w14:paraId="0285B12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较现状增量/dB(A)</w:t>
            </w:r>
          </w:p>
        </w:tc>
        <w:tc>
          <w:tcPr>
            <w:tcW w:w="883" w:type="dxa"/>
            <w:tcBorders>
              <w:tl2br w:val="nil"/>
              <w:tr2bl w:val="nil"/>
            </w:tcBorders>
            <w:vAlign w:val="center"/>
          </w:tcPr>
          <w:p w14:paraId="5A00D5F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超标和达标情况</w:t>
            </w:r>
          </w:p>
        </w:tc>
      </w:tr>
      <w:tr w14:paraId="0832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14:paraId="28EB395C">
            <w:pPr>
              <w:jc w:val="center"/>
              <w:rPr>
                <w:rFonts w:ascii="Times New Roman" w:hAnsi="Times New Roman" w:eastAsia="宋体" w:cs="Times New Roman"/>
                <w:color w:val="auto"/>
                <w:szCs w:val="21"/>
              </w:rPr>
            </w:pPr>
          </w:p>
        </w:tc>
        <w:tc>
          <w:tcPr>
            <w:tcW w:w="1080" w:type="dxa"/>
            <w:vMerge w:val="continue"/>
            <w:tcBorders>
              <w:tl2br w:val="nil"/>
              <w:tr2bl w:val="nil"/>
            </w:tcBorders>
            <w:vAlign w:val="center"/>
          </w:tcPr>
          <w:p w14:paraId="79447AD2">
            <w:pPr>
              <w:jc w:val="center"/>
              <w:rPr>
                <w:rFonts w:ascii="Times New Roman" w:hAnsi="Times New Roman" w:eastAsia="宋体" w:cs="Times New Roman"/>
                <w:color w:val="auto"/>
                <w:szCs w:val="21"/>
              </w:rPr>
            </w:pPr>
          </w:p>
        </w:tc>
        <w:tc>
          <w:tcPr>
            <w:tcW w:w="973" w:type="dxa"/>
            <w:tcBorders>
              <w:tl2br w:val="nil"/>
              <w:tr2bl w:val="nil"/>
            </w:tcBorders>
            <w:vAlign w:val="center"/>
          </w:tcPr>
          <w:p w14:paraId="237EA11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975" w:type="dxa"/>
            <w:tcBorders>
              <w:tl2br w:val="nil"/>
              <w:tr2bl w:val="nil"/>
            </w:tcBorders>
            <w:vAlign w:val="center"/>
          </w:tcPr>
          <w:p w14:paraId="6A29423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869" w:type="dxa"/>
            <w:tcBorders>
              <w:tl2br w:val="nil"/>
              <w:tr2bl w:val="nil"/>
            </w:tcBorders>
            <w:vAlign w:val="center"/>
          </w:tcPr>
          <w:p w14:paraId="2178E8A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1168" w:type="dxa"/>
            <w:tcBorders>
              <w:tl2br w:val="nil"/>
              <w:tr2bl w:val="nil"/>
            </w:tcBorders>
            <w:vAlign w:val="center"/>
          </w:tcPr>
          <w:p w14:paraId="563C28F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1168" w:type="dxa"/>
            <w:tcBorders>
              <w:tl2br w:val="nil"/>
              <w:tr2bl w:val="nil"/>
            </w:tcBorders>
            <w:vAlign w:val="center"/>
          </w:tcPr>
          <w:p w14:paraId="33EB93B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975" w:type="dxa"/>
            <w:tcBorders>
              <w:tl2br w:val="nil"/>
              <w:tr2bl w:val="nil"/>
            </w:tcBorders>
            <w:vAlign w:val="center"/>
          </w:tcPr>
          <w:p w14:paraId="4F065F9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c>
          <w:tcPr>
            <w:tcW w:w="883" w:type="dxa"/>
            <w:tcBorders>
              <w:tl2br w:val="nil"/>
              <w:tr2bl w:val="nil"/>
            </w:tcBorders>
            <w:vAlign w:val="center"/>
          </w:tcPr>
          <w:p w14:paraId="4104BEB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p>
        </w:tc>
      </w:tr>
      <w:tr w14:paraId="5CD5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Borders>
              <w:tl2br w:val="nil"/>
              <w:tr2bl w:val="nil"/>
            </w:tcBorders>
            <w:vAlign w:val="center"/>
          </w:tcPr>
          <w:p w14:paraId="554AD529">
            <w:pPr>
              <w:pStyle w:val="96"/>
              <w:rPr>
                <w:rFonts w:cs="Times New Roman"/>
                <w:color w:val="auto"/>
              </w:rPr>
            </w:pPr>
            <w:r>
              <w:rPr>
                <w:rFonts w:cs="Times New Roman"/>
                <w:color w:val="auto"/>
              </w:rPr>
              <w:t>1</w:t>
            </w:r>
          </w:p>
        </w:tc>
        <w:tc>
          <w:tcPr>
            <w:tcW w:w="1080" w:type="dxa"/>
            <w:tcBorders>
              <w:tl2br w:val="nil"/>
              <w:tr2bl w:val="nil"/>
            </w:tcBorders>
            <w:vAlign w:val="center"/>
          </w:tcPr>
          <w:p w14:paraId="611A7C67">
            <w:pPr>
              <w:pStyle w:val="96"/>
              <w:rPr>
                <w:rFonts w:cs="Times New Roman"/>
                <w:color w:val="auto"/>
              </w:rPr>
            </w:pPr>
            <w:r>
              <w:rPr>
                <w:rFonts w:hint="eastAsia"/>
                <w:color w:val="auto"/>
                <w:szCs w:val="21"/>
                <w:lang w:bidi="ar"/>
              </w:rPr>
              <w:t>骆家村</w:t>
            </w:r>
          </w:p>
        </w:tc>
        <w:tc>
          <w:tcPr>
            <w:tcW w:w="973" w:type="dxa"/>
            <w:tcBorders>
              <w:tl2br w:val="nil"/>
              <w:tr2bl w:val="nil"/>
            </w:tcBorders>
            <w:vAlign w:val="center"/>
          </w:tcPr>
          <w:p w14:paraId="3BBAD955">
            <w:pPr>
              <w:pStyle w:val="96"/>
              <w:rPr>
                <w:rFonts w:cs="Times New Roman"/>
                <w:color w:val="auto"/>
              </w:rPr>
            </w:pPr>
            <w:r>
              <w:rPr>
                <w:rFonts w:cs="Times New Roman"/>
                <w:color w:val="auto"/>
              </w:rPr>
              <w:t>50</w:t>
            </w:r>
          </w:p>
        </w:tc>
        <w:tc>
          <w:tcPr>
            <w:tcW w:w="975" w:type="dxa"/>
            <w:tcBorders>
              <w:tl2br w:val="nil"/>
              <w:tr2bl w:val="nil"/>
            </w:tcBorders>
            <w:vAlign w:val="center"/>
          </w:tcPr>
          <w:p w14:paraId="7A048F00">
            <w:pPr>
              <w:pStyle w:val="96"/>
              <w:rPr>
                <w:rFonts w:cs="Times New Roman"/>
                <w:color w:val="auto"/>
              </w:rPr>
            </w:pPr>
            <w:r>
              <w:rPr>
                <w:rFonts w:cs="Times New Roman"/>
                <w:color w:val="auto"/>
              </w:rPr>
              <w:t>50</w:t>
            </w:r>
          </w:p>
        </w:tc>
        <w:tc>
          <w:tcPr>
            <w:tcW w:w="869" w:type="dxa"/>
            <w:tcBorders>
              <w:tl2br w:val="nil"/>
              <w:tr2bl w:val="nil"/>
            </w:tcBorders>
            <w:vAlign w:val="center"/>
          </w:tcPr>
          <w:p w14:paraId="526FEDE3">
            <w:pPr>
              <w:pStyle w:val="96"/>
              <w:rPr>
                <w:rFonts w:cs="Times New Roman"/>
                <w:color w:val="auto"/>
              </w:rPr>
            </w:pPr>
            <w:r>
              <w:rPr>
                <w:rFonts w:cs="Times New Roman"/>
                <w:color w:val="auto"/>
              </w:rPr>
              <w:t>60</w:t>
            </w:r>
          </w:p>
        </w:tc>
        <w:tc>
          <w:tcPr>
            <w:tcW w:w="1168" w:type="dxa"/>
            <w:tcBorders>
              <w:tl2br w:val="nil"/>
              <w:tr2bl w:val="nil"/>
            </w:tcBorders>
            <w:vAlign w:val="center"/>
          </w:tcPr>
          <w:p w14:paraId="54D23A69">
            <w:pPr>
              <w:pStyle w:val="96"/>
              <w:rPr>
                <w:rFonts w:cs="Times New Roman"/>
                <w:color w:val="auto"/>
              </w:rPr>
            </w:pPr>
            <w:r>
              <w:rPr>
                <w:rFonts w:hint="eastAsia" w:cs="Times New Roman"/>
                <w:color w:val="auto"/>
              </w:rPr>
              <w:t>32.5</w:t>
            </w:r>
          </w:p>
        </w:tc>
        <w:tc>
          <w:tcPr>
            <w:tcW w:w="1168" w:type="dxa"/>
            <w:tcBorders>
              <w:tl2br w:val="nil"/>
              <w:tr2bl w:val="nil"/>
            </w:tcBorders>
            <w:vAlign w:val="center"/>
          </w:tcPr>
          <w:p w14:paraId="680947E3">
            <w:pPr>
              <w:pStyle w:val="96"/>
              <w:rPr>
                <w:rFonts w:cs="Times New Roman"/>
                <w:color w:val="auto"/>
              </w:rPr>
            </w:pPr>
            <w:r>
              <w:rPr>
                <w:rFonts w:cs="Times New Roman"/>
                <w:color w:val="auto"/>
              </w:rPr>
              <w:t>50</w:t>
            </w:r>
            <w:r>
              <w:rPr>
                <w:rFonts w:hint="eastAsia" w:cs="Times New Roman"/>
                <w:color w:val="auto"/>
              </w:rPr>
              <w:t>.1</w:t>
            </w:r>
          </w:p>
        </w:tc>
        <w:tc>
          <w:tcPr>
            <w:tcW w:w="975" w:type="dxa"/>
            <w:tcBorders>
              <w:tl2br w:val="nil"/>
              <w:tr2bl w:val="nil"/>
            </w:tcBorders>
            <w:vAlign w:val="center"/>
          </w:tcPr>
          <w:p w14:paraId="38042613">
            <w:pPr>
              <w:pStyle w:val="96"/>
              <w:rPr>
                <w:rFonts w:cs="Times New Roman"/>
                <w:color w:val="auto"/>
              </w:rPr>
            </w:pPr>
            <w:r>
              <w:rPr>
                <w:rFonts w:cs="Times New Roman"/>
                <w:color w:val="auto"/>
              </w:rPr>
              <w:t>0.</w:t>
            </w:r>
            <w:r>
              <w:rPr>
                <w:rFonts w:hint="eastAsia" w:cs="Times New Roman"/>
                <w:color w:val="auto"/>
              </w:rPr>
              <w:t>1</w:t>
            </w:r>
          </w:p>
        </w:tc>
        <w:tc>
          <w:tcPr>
            <w:tcW w:w="883" w:type="dxa"/>
            <w:tcBorders>
              <w:tl2br w:val="nil"/>
              <w:tr2bl w:val="nil"/>
            </w:tcBorders>
            <w:vAlign w:val="center"/>
          </w:tcPr>
          <w:p w14:paraId="12E2F46C">
            <w:pPr>
              <w:pStyle w:val="96"/>
              <w:rPr>
                <w:rFonts w:cs="Times New Roman"/>
                <w:color w:val="auto"/>
              </w:rPr>
            </w:pPr>
            <w:r>
              <w:rPr>
                <w:rFonts w:cs="Times New Roman"/>
                <w:color w:val="auto"/>
              </w:rPr>
              <w:t>达标</w:t>
            </w:r>
          </w:p>
        </w:tc>
      </w:tr>
    </w:tbl>
    <w:p w14:paraId="2804DC60">
      <w:pPr>
        <w:adjustRightInd w:val="0"/>
        <w:snapToGrid w:val="0"/>
        <w:spacing w:line="360" w:lineRule="auto"/>
        <w:rPr>
          <w:rFonts w:ascii="Times New Roman" w:hAnsi="Times New Roman"/>
          <w:b/>
          <w:bCs/>
          <w:sz w:val="18"/>
          <w:szCs w:val="18"/>
        </w:rPr>
      </w:pPr>
      <w:r>
        <w:rPr>
          <w:rFonts w:ascii="Times New Roman" w:hAnsi="Times New Roman"/>
          <w:b/>
          <w:bCs/>
          <w:sz w:val="18"/>
          <w:szCs w:val="18"/>
        </w:rPr>
        <w:t>注：</w:t>
      </w:r>
      <w:r>
        <w:rPr>
          <w:rFonts w:hint="eastAsia" w:ascii="Times New Roman" w:hAnsi="Times New Roman"/>
          <w:b/>
          <w:bCs/>
          <w:sz w:val="18"/>
          <w:szCs w:val="18"/>
        </w:rPr>
        <w:t>背景值取</w:t>
      </w:r>
      <w:r>
        <w:rPr>
          <w:rFonts w:ascii="Times New Roman" w:hAnsi="Times New Roman"/>
          <w:b/>
          <w:bCs/>
          <w:sz w:val="18"/>
          <w:szCs w:val="18"/>
        </w:rPr>
        <w:t>现状监测</w:t>
      </w:r>
      <w:r>
        <w:rPr>
          <w:rFonts w:hint="eastAsia" w:ascii="Times New Roman" w:hAnsi="Times New Roman"/>
          <w:b/>
          <w:bCs/>
          <w:sz w:val="18"/>
          <w:szCs w:val="18"/>
        </w:rPr>
        <w:t>数据中</w:t>
      </w:r>
      <w:r>
        <w:rPr>
          <w:rFonts w:ascii="Times New Roman" w:hAnsi="Times New Roman"/>
          <w:b/>
          <w:bCs/>
          <w:sz w:val="18"/>
          <w:szCs w:val="18"/>
        </w:rPr>
        <w:t>的最大值</w:t>
      </w:r>
      <w:r>
        <w:rPr>
          <w:rFonts w:hint="eastAsia" w:ascii="Times New Roman" w:hAnsi="Times New Roman"/>
          <w:b/>
          <w:bCs/>
          <w:sz w:val="18"/>
          <w:szCs w:val="18"/>
        </w:rPr>
        <w:t>。</w:t>
      </w:r>
    </w:p>
    <w:p w14:paraId="34304D04">
      <w:pPr>
        <w:autoSpaceDE w:val="0"/>
        <w:autoSpaceDN w:val="0"/>
        <w:adjustRightInd w:val="0"/>
        <w:snapToGrid w:val="0"/>
        <w:spacing w:line="360" w:lineRule="auto"/>
        <w:ind w:firstLine="480" w:firstLineChars="200"/>
        <w:textAlignment w:val="baseline"/>
        <w:rPr>
          <w:rFonts w:ascii="Times New Roman" w:hAnsi="Times New Roman" w:eastAsia="宋体" w:cs="Times New Roman"/>
          <w:sz w:val="24"/>
        </w:rPr>
      </w:pPr>
      <w:r>
        <w:rPr>
          <w:rFonts w:ascii="Times New Roman" w:hAnsi="Times New Roman"/>
          <w:sz w:val="24"/>
        </w:rPr>
        <w:t>预测结果表明，项目建成运营后</w:t>
      </w:r>
      <w:r>
        <w:rPr>
          <w:rFonts w:hint="eastAsia" w:ascii="Times New Roman" w:hAnsi="Times New Roman"/>
          <w:sz w:val="24"/>
        </w:rPr>
        <w:t>，敏感点</w:t>
      </w:r>
      <w:r>
        <w:rPr>
          <w:rFonts w:hint="eastAsia" w:ascii="Times New Roman" w:hAnsi="Times New Roman" w:eastAsia="宋体" w:cs="Times New Roman"/>
          <w:sz w:val="24"/>
        </w:rPr>
        <w:t>满足</w:t>
      </w:r>
      <w:r>
        <w:rPr>
          <w:rFonts w:ascii="Times New Roman" w:hAnsi="Times New Roman" w:eastAsia="宋体" w:cs="Times New Roman"/>
          <w:sz w:val="24"/>
        </w:rPr>
        <w:t>《声环境质量标准》（GB3096-2008）</w:t>
      </w:r>
      <w:r>
        <w:rPr>
          <w:rFonts w:hint="eastAsia" w:ascii="Times New Roman" w:hAnsi="Times New Roman" w:eastAsia="宋体" w:cs="Times New Roman"/>
          <w:sz w:val="24"/>
        </w:rPr>
        <w:t>2</w:t>
      </w:r>
      <w:r>
        <w:rPr>
          <w:rFonts w:ascii="Times New Roman" w:hAnsi="Times New Roman" w:eastAsia="宋体" w:cs="Times New Roman"/>
          <w:sz w:val="24"/>
        </w:rPr>
        <w:t>类标准</w:t>
      </w:r>
      <w:r>
        <w:rPr>
          <w:rFonts w:hint="eastAsia" w:ascii="Times New Roman" w:hAnsi="Times New Roman" w:eastAsia="宋体" w:cs="Times New Roman"/>
          <w:sz w:val="24"/>
        </w:rPr>
        <w:t>限值要求</w:t>
      </w:r>
      <w:r>
        <w:rPr>
          <w:rFonts w:hint="eastAsia" w:cs="Times New Roman"/>
          <w:sz w:val="24"/>
        </w:rPr>
        <w:t>。</w:t>
      </w:r>
    </w:p>
    <w:p w14:paraId="48E6CB73">
      <w:pPr>
        <w:keepNext/>
        <w:keepLines/>
        <w:numPr>
          <w:ilvl w:val="2"/>
          <w:numId w:val="60"/>
        </w:numPr>
        <w:adjustRightInd w:val="0"/>
        <w:snapToGrid w:val="0"/>
        <w:spacing w:line="360" w:lineRule="auto"/>
        <w:outlineLvl w:val="2"/>
        <w:rPr>
          <w:rFonts w:ascii="Times New Roman" w:hAnsi="Times New Roman" w:eastAsia="宋体" w:cs="宋体"/>
          <w:b/>
          <w:sz w:val="24"/>
        </w:rPr>
      </w:pPr>
      <w:r>
        <w:rPr>
          <w:rFonts w:hint="eastAsia" w:ascii="Times New Roman" w:hAnsi="Times New Roman" w:eastAsia="宋体" w:cs="宋体"/>
          <w:b/>
          <w:sz w:val="24"/>
        </w:rPr>
        <w:t>小结</w:t>
      </w:r>
    </w:p>
    <w:p w14:paraId="3FEDBFE9">
      <w:pPr>
        <w:pStyle w:val="62"/>
        <w:snapToGrid w:val="0"/>
        <w:spacing w:line="360" w:lineRule="auto"/>
        <w:ind w:firstLine="480" w:firstLineChars="200"/>
        <w:jc w:val="left"/>
      </w:pPr>
      <w:r>
        <w:rPr>
          <w:rFonts w:ascii="Times New Roman" w:hAnsi="Times New Roman" w:eastAsia="宋体" w:cs="Times New Roman"/>
          <w:sz w:val="24"/>
          <w:szCs w:val="24"/>
          <w:lang w:bidi="ar"/>
        </w:rPr>
        <w:t>综上所述，在采取选用低噪声设备，减震、隔声、消声等综合防噪措施的基础上，本项目噪声排放对环境影响很小，厂界</w:t>
      </w:r>
      <w:r>
        <w:rPr>
          <w:rFonts w:hint="eastAsia" w:ascii="Times New Roman" w:hAnsi="Times New Roman" w:eastAsia="宋体" w:cs="Times New Roman"/>
          <w:sz w:val="24"/>
          <w:szCs w:val="24"/>
          <w:lang w:bidi="ar"/>
        </w:rPr>
        <w:t>的</w:t>
      </w:r>
      <w:r>
        <w:rPr>
          <w:rFonts w:ascii="Times New Roman" w:hAnsi="Times New Roman" w:eastAsia="宋体" w:cs="Times New Roman"/>
          <w:sz w:val="24"/>
          <w:szCs w:val="24"/>
          <w:lang w:bidi="ar"/>
        </w:rPr>
        <w:t>昼间、夜间噪声均可满足《工业企业厂界环境噪声排放标准》（GB12348-2008）3类排放标准限值要求</w:t>
      </w:r>
      <w:r>
        <w:rPr>
          <w:rFonts w:hint="eastAsia" w:ascii="Times New Roman" w:hAnsi="Times New Roman" w:eastAsia="宋体" w:cs="Times New Roman"/>
          <w:sz w:val="24"/>
          <w:szCs w:val="24"/>
          <w:lang w:bidi="ar"/>
        </w:rPr>
        <w:t>，敏感点噪声满足《声环境质量标准》（GB3096-2008）2类标准限值要求</w:t>
      </w:r>
      <w:r>
        <w:rPr>
          <w:rFonts w:hint="eastAsia" w:cs="Times New Roman"/>
          <w:sz w:val="24"/>
          <w:szCs w:val="24"/>
          <w:lang w:bidi="ar"/>
        </w:rPr>
        <w:t>。</w:t>
      </w:r>
    </w:p>
    <w:p w14:paraId="4B13D215">
      <w:pPr>
        <w:pStyle w:val="3"/>
        <w:numPr>
          <w:ilvl w:val="1"/>
          <w:numId w:val="62"/>
        </w:numPr>
        <w:adjustRightInd w:val="0"/>
        <w:snapToGrid w:val="0"/>
      </w:pPr>
      <w:bookmarkStart w:id="251" w:name="_Toc29380"/>
      <w:bookmarkStart w:id="252" w:name="_Toc21252"/>
      <w:bookmarkStart w:id="253" w:name="_Toc3021"/>
      <w:bookmarkStart w:id="254" w:name="_Toc3651"/>
      <w:r>
        <w:t>地下水环境影响分析</w:t>
      </w:r>
      <w:bookmarkEnd w:id="251"/>
      <w:bookmarkEnd w:id="252"/>
      <w:bookmarkEnd w:id="253"/>
      <w:bookmarkEnd w:id="254"/>
    </w:p>
    <w:p w14:paraId="73047AF8">
      <w:pPr>
        <w:pStyle w:val="4"/>
        <w:numPr>
          <w:ilvl w:val="2"/>
          <w:numId w:val="63"/>
        </w:numPr>
        <w:adjustRightInd w:val="0"/>
        <w:snapToGrid w:val="0"/>
      </w:pPr>
      <w:r>
        <w:rPr>
          <w:rFonts w:hint="eastAsia"/>
        </w:rPr>
        <w:t>地</w:t>
      </w:r>
      <w:r>
        <w:t>下水评价工作等级及范围</w:t>
      </w:r>
    </w:p>
    <w:p w14:paraId="6E141932">
      <w:pPr>
        <w:pStyle w:val="5"/>
        <w:numPr>
          <w:ilvl w:val="3"/>
          <w:numId w:val="64"/>
        </w:numPr>
        <w:adjustRightInd w:val="0"/>
        <w:snapToGrid w:val="0"/>
      </w:pPr>
      <w:bookmarkStart w:id="255" w:name="_Toc500272119"/>
      <w:bookmarkStart w:id="256" w:name="_Toc46711388"/>
      <w:r>
        <w:t>地下水评价工作等级</w:t>
      </w:r>
      <w:bookmarkEnd w:id="255"/>
      <w:bookmarkEnd w:id="256"/>
    </w:p>
    <w:p w14:paraId="1111FC19">
      <w:pPr>
        <w:adjustRightInd w:val="0"/>
        <w:snapToGrid w:val="0"/>
        <w:spacing w:line="360" w:lineRule="auto"/>
        <w:ind w:firstLine="482" w:firstLineChars="200"/>
        <w:rPr>
          <w:rFonts w:ascii="Times New Roman" w:hAnsi="Times New Roman"/>
          <w:b/>
          <w:color w:val="000000"/>
          <w:sz w:val="24"/>
        </w:rPr>
      </w:pPr>
      <w:bookmarkStart w:id="257" w:name="_Toc425328061"/>
      <w:bookmarkStart w:id="258" w:name="_Toc429301230"/>
      <w:r>
        <w:rPr>
          <w:rFonts w:ascii="Times New Roman" w:hAnsi="Times New Roman"/>
          <w:b/>
          <w:color w:val="000000"/>
          <w:sz w:val="24"/>
        </w:rPr>
        <w:t>（1）地下水环境影响评价项目类别</w:t>
      </w:r>
      <w:bookmarkEnd w:id="257"/>
      <w:bookmarkEnd w:id="258"/>
    </w:p>
    <w:p w14:paraId="3AE45518">
      <w:pPr>
        <w:adjustRightInd w:val="0"/>
        <w:snapToGrid w:val="0"/>
        <w:spacing w:line="360" w:lineRule="auto"/>
        <w:ind w:firstLine="488" w:firstLineChars="200"/>
        <w:rPr>
          <w:rFonts w:ascii="Times New Roman" w:hAnsi="Times New Roman"/>
          <w:color w:val="000000"/>
          <w:spacing w:val="2"/>
          <w:sz w:val="24"/>
          <w:lang w:val="fr-FR"/>
        </w:rPr>
      </w:pPr>
      <w:r>
        <w:rPr>
          <w:rFonts w:ascii="Times New Roman" w:hAnsi="Times New Roman"/>
          <w:color w:val="000000"/>
          <w:spacing w:val="2"/>
          <w:sz w:val="24"/>
          <w:lang w:val="fr-FR"/>
        </w:rPr>
        <w:t>项目类别：根据2016年1月7日实施的《环境影响评价技术导则  地下水环境》（HJ610-2016）结合《建设项目环境影响评价分类管理名录》内容，本项目属于“地下水环境评价行业分类表中：N轻工109、锯材、木片加工、家具制造，本项目属于有喷漆工艺的家具制造，此类报告书地下水环境影响评价项目类别属于Ⅲ类。</w:t>
      </w:r>
    </w:p>
    <w:p w14:paraId="02DC9467">
      <w:pPr>
        <w:numPr>
          <w:ilvl w:val="0"/>
          <w:numId w:val="65"/>
        </w:numPr>
        <w:autoSpaceDE w:val="0"/>
        <w:autoSpaceDN w:val="0"/>
        <w:adjustRightInd w:val="0"/>
        <w:spacing w:line="360" w:lineRule="auto"/>
        <w:jc w:val="center"/>
        <w:textAlignment w:val="baseline"/>
        <w:rPr>
          <w:rFonts w:ascii="Times New Roman" w:hAnsi="Times New Roman" w:eastAsia="宋体" w:cs="Times New Roman"/>
          <w:b/>
          <w:color w:val="000000"/>
          <w:szCs w:val="21"/>
          <w:lang w:val="zh-CN"/>
        </w:rPr>
      </w:pPr>
      <w:r>
        <w:rPr>
          <w:rFonts w:hint="eastAsia" w:ascii="Times New Roman" w:hAnsi="Times New Roman" w:eastAsia="宋体" w:cs="Times New Roman"/>
          <w:b/>
          <w:color w:val="000000"/>
          <w:szCs w:val="21"/>
        </w:rPr>
        <w:t xml:space="preserve">  </w:t>
      </w:r>
      <w:r>
        <w:rPr>
          <w:rFonts w:ascii="Times New Roman" w:hAnsi="Times New Roman" w:eastAsia="宋体" w:cs="Times New Roman"/>
          <w:b/>
          <w:color w:val="000000"/>
          <w:szCs w:val="21"/>
          <w:lang w:val="zh-CN"/>
        </w:rPr>
        <w:t>建设项目地下水评价分类类别</w:t>
      </w:r>
    </w:p>
    <w:tbl>
      <w:tblPr>
        <w:tblStyle w:val="30"/>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0"/>
        <w:gridCol w:w="1498"/>
        <w:gridCol w:w="2099"/>
      </w:tblGrid>
      <w:tr w14:paraId="7828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20" w:type="dxa"/>
            <w:vAlign w:val="center"/>
          </w:tcPr>
          <w:p w14:paraId="615397C4">
            <w:pPr>
              <w:pStyle w:val="75"/>
              <w:adjustRightInd w:val="0"/>
              <w:snapToGrid w:val="0"/>
              <w:ind w:firstLine="0" w:firstLineChars="0"/>
              <w:jc w:val="center"/>
              <w:rPr>
                <w:rFonts w:ascii="Times New Roman" w:hAnsi="Times New Roman"/>
                <w:color w:val="000000"/>
                <w:sz w:val="21"/>
                <w:szCs w:val="21"/>
              </w:rPr>
            </w:pPr>
            <w:r>
              <w:rPr>
                <w:rFonts w:ascii="Times New Roman" w:hAnsi="Times New Roman"/>
                <w:color w:val="000000"/>
                <w:sz w:val="21"/>
                <w:szCs w:val="21"/>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22225</wp:posOffset>
                      </wp:positionV>
                      <wp:extent cx="3122295" cy="302260"/>
                      <wp:effectExtent l="635" t="4445" r="7620" b="6350"/>
                      <wp:wrapNone/>
                      <wp:docPr id="100" name="直接箭头连接符 100"/>
                      <wp:cNvGraphicFramePr/>
                      <a:graphic xmlns:a="http://schemas.openxmlformats.org/drawingml/2006/main">
                        <a:graphicData uri="http://schemas.microsoft.com/office/word/2010/wordprocessingShape">
                          <wps:wsp>
                            <wps:cNvCnPr>
                              <a:cxnSpLocks noChangeShapeType="1"/>
                            </wps:cNvCnPr>
                            <wps:spPr bwMode="auto">
                              <a:xfrm>
                                <a:off x="0" y="0"/>
                                <a:ext cx="3122295" cy="30226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4.95pt;margin-top:1.75pt;height:23.8pt;width:245.85pt;z-index:251660288;mso-width-relative:page;mso-height-relative:page;" filled="f" stroked="t" coordsize="21600,21600" o:gfxdata="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PRH71gAA&#10;AAcBAAAPAAAAAAAAAAEAIAAAACIAAABkcnMvZG93bnJldi54bWxQSwECFAAUAAAACACHTuJAWC5k&#10;wyACAAApBAAADgAAAAAAAAABACAAAAAlAQAAZHJzL2Uyb0RvYy54bWxQSwUGAAAAAAYABgBZAQAA&#10;twUAAAAA&#10;">
                      <v:fill on="f" focussize="0,0"/>
                      <v:stroke color="#000000" joinstyle="round"/>
                      <v:imagedata o:title=""/>
                      <o:lock v:ext="edit" aspectratio="f"/>
                    </v:shape>
                  </w:pict>
                </mc:Fallback>
              </mc:AlternateContent>
            </w:r>
            <w:r>
              <w:rPr>
                <w:rFonts w:ascii="Times New Roman" w:hAnsi="Times New Roman"/>
                <w:color w:val="000000"/>
                <w:sz w:val="21"/>
                <w:szCs w:val="21"/>
              </w:rPr>
              <w:t>环评类别</w:t>
            </w:r>
          </w:p>
          <w:p w14:paraId="5186DEE9">
            <w:pPr>
              <w:pStyle w:val="75"/>
              <w:adjustRightInd w:val="0"/>
              <w:snapToGrid w:val="0"/>
              <w:ind w:firstLine="0" w:firstLineChars="0"/>
              <w:rPr>
                <w:rFonts w:ascii="Times New Roman" w:hAnsi="Times New Roman"/>
                <w:color w:val="000000"/>
                <w:sz w:val="21"/>
                <w:szCs w:val="21"/>
              </w:rPr>
            </w:pPr>
            <w:r>
              <w:rPr>
                <w:rFonts w:ascii="Times New Roman" w:hAnsi="Times New Roman"/>
                <w:color w:val="000000"/>
                <w:sz w:val="21"/>
                <w:szCs w:val="21"/>
              </w:rPr>
              <w:t>行业类别</w:t>
            </w:r>
          </w:p>
        </w:tc>
        <w:tc>
          <w:tcPr>
            <w:tcW w:w="1498" w:type="dxa"/>
            <w:vAlign w:val="center"/>
          </w:tcPr>
          <w:p w14:paraId="3AB7B8AC">
            <w:pPr>
              <w:pStyle w:val="75"/>
              <w:adjustRightInd w:val="0"/>
              <w:snapToGrid w:val="0"/>
              <w:ind w:firstLine="0" w:firstLineChars="0"/>
              <w:jc w:val="center"/>
              <w:rPr>
                <w:rFonts w:ascii="Times New Roman" w:hAnsi="Times New Roman"/>
                <w:color w:val="000000"/>
                <w:sz w:val="21"/>
                <w:szCs w:val="21"/>
              </w:rPr>
            </w:pPr>
            <w:r>
              <w:rPr>
                <w:rFonts w:ascii="Times New Roman" w:hAnsi="Times New Roman"/>
                <w:color w:val="000000"/>
                <w:sz w:val="21"/>
                <w:szCs w:val="21"/>
              </w:rPr>
              <w:t>报告书</w:t>
            </w:r>
          </w:p>
        </w:tc>
        <w:tc>
          <w:tcPr>
            <w:tcW w:w="2099" w:type="dxa"/>
            <w:vAlign w:val="center"/>
          </w:tcPr>
          <w:p w14:paraId="6EFE0BC6">
            <w:pPr>
              <w:pStyle w:val="75"/>
              <w:adjustRightInd w:val="0"/>
              <w:snapToGrid w:val="0"/>
              <w:ind w:firstLine="0" w:firstLineChars="0"/>
              <w:jc w:val="center"/>
              <w:rPr>
                <w:rFonts w:ascii="Times New Roman" w:hAnsi="Times New Roman"/>
                <w:color w:val="000000"/>
                <w:sz w:val="21"/>
                <w:szCs w:val="21"/>
              </w:rPr>
            </w:pPr>
            <w:r>
              <w:rPr>
                <w:rFonts w:ascii="Times New Roman" w:hAnsi="Times New Roman"/>
                <w:color w:val="000000"/>
                <w:sz w:val="21"/>
                <w:szCs w:val="21"/>
              </w:rPr>
              <w:t>地下水环境影响评价项目类别</w:t>
            </w:r>
          </w:p>
        </w:tc>
      </w:tr>
      <w:tr w14:paraId="2EF0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920" w:type="dxa"/>
            <w:vAlign w:val="center"/>
          </w:tcPr>
          <w:p w14:paraId="7E492077">
            <w:pPr>
              <w:pStyle w:val="75"/>
              <w:adjustRightInd w:val="0"/>
              <w:snapToGrid w:val="0"/>
              <w:ind w:firstLine="0" w:firstLineChars="0"/>
              <w:jc w:val="center"/>
              <w:rPr>
                <w:rFonts w:ascii="Times New Roman" w:hAnsi="Times New Roman"/>
                <w:color w:val="000000"/>
                <w:sz w:val="21"/>
                <w:szCs w:val="21"/>
              </w:rPr>
            </w:pPr>
            <w:r>
              <w:rPr>
                <w:rFonts w:ascii="Times New Roman" w:hAnsi="Times New Roman"/>
                <w:color w:val="000000"/>
                <w:sz w:val="21"/>
                <w:szCs w:val="21"/>
                <w:lang w:val="fr-FR"/>
              </w:rPr>
              <w:t>N轻工109、锯材、木片加工、家具制造</w:t>
            </w:r>
          </w:p>
        </w:tc>
        <w:tc>
          <w:tcPr>
            <w:tcW w:w="1498" w:type="dxa"/>
            <w:vAlign w:val="center"/>
          </w:tcPr>
          <w:p w14:paraId="0A02BC5B">
            <w:pPr>
              <w:pStyle w:val="75"/>
              <w:adjustRightInd w:val="0"/>
              <w:snapToGrid w:val="0"/>
              <w:ind w:firstLine="0" w:firstLineChars="0"/>
              <w:jc w:val="center"/>
              <w:rPr>
                <w:rFonts w:ascii="Times New Roman" w:hAnsi="Times New Roman"/>
                <w:color w:val="000000"/>
                <w:sz w:val="21"/>
                <w:szCs w:val="21"/>
              </w:rPr>
            </w:pPr>
            <w:r>
              <w:rPr>
                <w:rFonts w:ascii="Times New Roman" w:hAnsi="Times New Roman"/>
                <w:color w:val="000000"/>
                <w:sz w:val="21"/>
                <w:szCs w:val="21"/>
              </w:rPr>
              <w:t>全部</w:t>
            </w:r>
          </w:p>
        </w:tc>
        <w:tc>
          <w:tcPr>
            <w:tcW w:w="2099" w:type="dxa"/>
            <w:vAlign w:val="center"/>
          </w:tcPr>
          <w:p w14:paraId="5D3BBA3E">
            <w:pPr>
              <w:pStyle w:val="75"/>
              <w:adjustRightInd w:val="0"/>
              <w:snapToGrid w:val="0"/>
              <w:ind w:firstLine="0" w:firstLineChars="0"/>
              <w:jc w:val="center"/>
              <w:rPr>
                <w:rFonts w:ascii="Times New Roman" w:hAnsi="Times New Roman"/>
                <w:color w:val="000000"/>
                <w:sz w:val="21"/>
                <w:szCs w:val="21"/>
              </w:rPr>
            </w:pPr>
            <w:r>
              <w:rPr>
                <w:rFonts w:ascii="Times New Roman" w:hAnsi="Times New Roman"/>
                <w:color w:val="000000"/>
                <w:sz w:val="21"/>
                <w:szCs w:val="21"/>
                <w:lang w:val="fr-FR"/>
              </w:rPr>
              <w:t>Ⅲ</w:t>
            </w:r>
            <w:r>
              <w:rPr>
                <w:rFonts w:ascii="Times New Roman" w:hAnsi="Times New Roman"/>
                <w:color w:val="000000"/>
                <w:sz w:val="21"/>
                <w:szCs w:val="21"/>
              </w:rPr>
              <w:t>类</w:t>
            </w:r>
          </w:p>
        </w:tc>
      </w:tr>
    </w:tbl>
    <w:p w14:paraId="27BF3936">
      <w:pPr>
        <w:spacing w:line="500" w:lineRule="exact"/>
        <w:ind w:firstLine="482" w:firstLineChars="200"/>
        <w:rPr>
          <w:rFonts w:ascii="Times New Roman" w:hAnsi="Times New Roman"/>
          <w:b/>
          <w:color w:val="000000"/>
          <w:sz w:val="24"/>
        </w:rPr>
      </w:pPr>
      <w:r>
        <w:rPr>
          <w:rFonts w:ascii="Times New Roman" w:hAnsi="Times New Roman"/>
          <w:b/>
          <w:color w:val="000000"/>
          <w:sz w:val="24"/>
        </w:rPr>
        <w:t>（2）地下水环境敏感程度</w:t>
      </w:r>
    </w:p>
    <w:p w14:paraId="5C56EE67">
      <w:pPr>
        <w:spacing w:line="500" w:lineRule="exact"/>
        <w:ind w:firstLine="480" w:firstLineChars="200"/>
        <w:rPr>
          <w:rFonts w:ascii="Times New Roman" w:hAnsi="Times New Roman"/>
          <w:color w:val="000000"/>
          <w:sz w:val="24"/>
        </w:rPr>
      </w:pPr>
      <w:r>
        <w:rPr>
          <w:rFonts w:ascii="Times New Roman" w:hAnsi="Times New Roman"/>
          <w:color w:val="000000"/>
          <w:sz w:val="24"/>
        </w:rPr>
        <w:t>《环境影响评价技术导则—地下水环境》（HJ610-2016）表1对建设项目场地的地下水环境敏感程度可分为敏感、较敏感、不敏感三级，分级原则见下表：</w:t>
      </w:r>
    </w:p>
    <w:p w14:paraId="29E541E7">
      <w:pPr>
        <w:numPr>
          <w:ilvl w:val="0"/>
          <w:numId w:val="65"/>
        </w:numPr>
        <w:autoSpaceDE w:val="0"/>
        <w:autoSpaceDN w:val="0"/>
        <w:adjustRightInd w:val="0"/>
        <w:spacing w:line="360" w:lineRule="auto"/>
        <w:jc w:val="center"/>
        <w:textAlignment w:val="baseline"/>
        <w:rPr>
          <w:rFonts w:ascii="Times New Roman" w:hAnsi="Times New Roman" w:eastAsia="宋体" w:cs="Times New Roman"/>
          <w:b/>
          <w:color w:val="000000"/>
          <w:szCs w:val="21"/>
          <w:lang w:val="zh-CN"/>
        </w:rPr>
      </w:pPr>
      <w:r>
        <w:rPr>
          <w:rFonts w:hint="eastAsia" w:ascii="Times New Roman" w:hAnsi="Times New Roman" w:eastAsia="宋体" w:cs="Times New Roman"/>
          <w:b/>
          <w:color w:val="000000"/>
          <w:szCs w:val="21"/>
        </w:rPr>
        <w:t xml:space="preserve"> </w:t>
      </w:r>
      <w:r>
        <w:rPr>
          <w:rFonts w:hint="eastAsia" w:ascii="Times New Roman" w:hAnsi="Times New Roman" w:eastAsia="宋体" w:cs="Times New Roman"/>
          <w:b/>
          <w:color w:val="000000"/>
          <w:szCs w:val="21"/>
          <w:lang w:val="zh-CN"/>
        </w:rPr>
        <w:t>地下水环境敏感程度分级</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7255"/>
      </w:tblGrid>
      <w:tr w14:paraId="64CB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264" w:type="dxa"/>
            <w:tcBorders>
              <w:tl2br w:val="nil"/>
              <w:tr2bl w:val="nil"/>
            </w:tcBorders>
            <w:vAlign w:val="center"/>
          </w:tcPr>
          <w:p w14:paraId="480AA252">
            <w:pPr>
              <w:adjustRightInd w:val="0"/>
              <w:snapToGrid w:val="0"/>
              <w:jc w:val="center"/>
              <w:rPr>
                <w:rFonts w:ascii="Times New Roman" w:hAnsi="Times New Roman" w:eastAsia="宋体" w:cs="Times New Roman"/>
                <w:bCs/>
                <w:kern w:val="0"/>
                <w:szCs w:val="21"/>
                <w:lang w:val="en-GB"/>
              </w:rPr>
            </w:pPr>
            <w:r>
              <w:rPr>
                <w:rFonts w:ascii="Times New Roman" w:hAnsi="Times New Roman" w:eastAsia="宋体" w:cs="Times New Roman"/>
                <w:bCs/>
                <w:kern w:val="0"/>
                <w:szCs w:val="21"/>
                <w:lang w:val="en-GB"/>
              </w:rPr>
              <w:t>敏感程度</w:t>
            </w:r>
          </w:p>
        </w:tc>
        <w:tc>
          <w:tcPr>
            <w:tcW w:w="7255" w:type="dxa"/>
            <w:tcBorders>
              <w:tl2br w:val="nil"/>
              <w:tr2bl w:val="nil"/>
            </w:tcBorders>
            <w:vAlign w:val="center"/>
          </w:tcPr>
          <w:p w14:paraId="4064E9D7">
            <w:pPr>
              <w:adjustRightInd w:val="0"/>
              <w:snapToGrid w:val="0"/>
              <w:jc w:val="center"/>
              <w:rPr>
                <w:rFonts w:ascii="Times New Roman" w:hAnsi="Times New Roman" w:eastAsia="宋体" w:cs="Times New Roman"/>
                <w:bCs/>
                <w:kern w:val="0"/>
                <w:szCs w:val="21"/>
                <w:lang w:val="en-GB"/>
              </w:rPr>
            </w:pPr>
            <w:r>
              <w:rPr>
                <w:rFonts w:ascii="Times New Roman" w:hAnsi="Times New Roman" w:eastAsia="宋体" w:cs="Times New Roman"/>
                <w:bCs/>
                <w:kern w:val="0"/>
                <w:szCs w:val="21"/>
                <w:lang w:val="en-GB"/>
              </w:rPr>
              <w:t>地下水环境敏感特征</w:t>
            </w:r>
          </w:p>
        </w:tc>
      </w:tr>
      <w:tr w14:paraId="1744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4" w:type="dxa"/>
            <w:tcBorders>
              <w:tl2br w:val="nil"/>
              <w:tr2bl w:val="nil"/>
            </w:tcBorders>
            <w:vAlign w:val="center"/>
          </w:tcPr>
          <w:p w14:paraId="0DBAFEE3">
            <w:pPr>
              <w:jc w:val="center"/>
              <w:rPr>
                <w:rFonts w:ascii="Times New Roman" w:hAnsi="Times New Roman" w:eastAsia="宋体" w:cs="Times New Roman"/>
                <w:bCs/>
                <w:kern w:val="0"/>
                <w:szCs w:val="21"/>
                <w:lang w:val="en-GB"/>
              </w:rPr>
            </w:pPr>
            <w:r>
              <w:rPr>
                <w:rFonts w:ascii="Times New Roman" w:hAnsi="Times New Roman" w:eastAsia="宋体" w:cs="Times New Roman"/>
                <w:bCs/>
                <w:kern w:val="0"/>
                <w:szCs w:val="21"/>
                <w:lang w:val="en-GB"/>
              </w:rPr>
              <w:t>敏感</w:t>
            </w:r>
          </w:p>
        </w:tc>
        <w:tc>
          <w:tcPr>
            <w:tcW w:w="7255" w:type="dxa"/>
            <w:tcBorders>
              <w:tl2br w:val="nil"/>
              <w:tr2bl w:val="nil"/>
            </w:tcBorders>
            <w:vAlign w:val="center"/>
          </w:tcPr>
          <w:p w14:paraId="1900FCC7">
            <w:pPr>
              <w:jc w:val="center"/>
              <w:rPr>
                <w:rFonts w:ascii="Times New Roman" w:hAnsi="Times New Roman" w:eastAsia="宋体" w:cs="Times New Roman"/>
                <w:bCs/>
                <w:kern w:val="0"/>
                <w:szCs w:val="21"/>
                <w:lang w:val="en-GB"/>
              </w:rPr>
            </w:pPr>
            <w:r>
              <w:rPr>
                <w:rFonts w:ascii="Times New Roman" w:hAnsi="Times New Roman" w:eastAsia="宋体" w:cs="Times New Roman"/>
                <w:bCs/>
                <w:kern w:val="0"/>
                <w:szCs w:val="21"/>
                <w:lang w:val="en-GB"/>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4CA8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4" w:type="dxa"/>
            <w:tcBorders>
              <w:tl2br w:val="nil"/>
              <w:tr2bl w:val="nil"/>
            </w:tcBorders>
            <w:vAlign w:val="center"/>
          </w:tcPr>
          <w:p w14:paraId="048A1474">
            <w:pPr>
              <w:jc w:val="center"/>
              <w:rPr>
                <w:rFonts w:ascii="Times New Roman" w:hAnsi="Times New Roman" w:eastAsia="宋体" w:cs="Times New Roman"/>
                <w:bCs/>
                <w:kern w:val="0"/>
                <w:szCs w:val="21"/>
                <w:lang w:val="en-GB"/>
              </w:rPr>
            </w:pPr>
            <w:r>
              <w:rPr>
                <w:rFonts w:ascii="Times New Roman" w:hAnsi="Times New Roman" w:eastAsia="宋体" w:cs="Times New Roman"/>
                <w:bCs/>
                <w:kern w:val="0"/>
                <w:szCs w:val="21"/>
                <w:lang w:val="en-GB"/>
              </w:rPr>
              <w:t>较敏感</w:t>
            </w:r>
          </w:p>
        </w:tc>
        <w:tc>
          <w:tcPr>
            <w:tcW w:w="7255" w:type="dxa"/>
            <w:tcBorders>
              <w:tl2br w:val="nil"/>
              <w:tr2bl w:val="nil"/>
            </w:tcBorders>
            <w:vAlign w:val="center"/>
          </w:tcPr>
          <w:p w14:paraId="6D0CEDFF">
            <w:pPr>
              <w:jc w:val="center"/>
              <w:rPr>
                <w:rFonts w:ascii="Times New Roman" w:hAnsi="Times New Roman" w:eastAsia="宋体" w:cs="Times New Roman"/>
                <w:bCs/>
                <w:kern w:val="0"/>
                <w:szCs w:val="21"/>
                <w:lang w:val="en-GB"/>
              </w:rPr>
            </w:pPr>
            <w:r>
              <w:rPr>
                <w:rFonts w:ascii="Times New Roman" w:hAnsi="Times New Roman" w:eastAsia="宋体" w:cs="Times New Roman"/>
                <w:bCs/>
                <w:kern w:val="0"/>
                <w:szCs w:val="21"/>
                <w:lang w:val="en-GB"/>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14:paraId="3032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4" w:type="dxa"/>
            <w:tcBorders>
              <w:tl2br w:val="nil"/>
              <w:tr2bl w:val="nil"/>
            </w:tcBorders>
            <w:vAlign w:val="center"/>
          </w:tcPr>
          <w:p w14:paraId="78ECFC62">
            <w:pPr>
              <w:jc w:val="center"/>
              <w:rPr>
                <w:rFonts w:ascii="Times New Roman" w:hAnsi="Times New Roman" w:eastAsia="宋体" w:cs="Times New Roman"/>
                <w:bCs/>
                <w:kern w:val="0"/>
                <w:szCs w:val="21"/>
                <w:lang w:val="en-GB"/>
              </w:rPr>
            </w:pPr>
            <w:r>
              <w:rPr>
                <w:rFonts w:ascii="Times New Roman" w:hAnsi="Times New Roman" w:eastAsia="宋体" w:cs="Times New Roman"/>
                <w:bCs/>
                <w:kern w:val="0"/>
                <w:szCs w:val="21"/>
                <w:lang w:val="en-GB"/>
              </w:rPr>
              <w:t>不敏感</w:t>
            </w:r>
          </w:p>
        </w:tc>
        <w:tc>
          <w:tcPr>
            <w:tcW w:w="7255" w:type="dxa"/>
            <w:tcBorders>
              <w:tl2br w:val="nil"/>
              <w:tr2bl w:val="nil"/>
            </w:tcBorders>
            <w:vAlign w:val="center"/>
          </w:tcPr>
          <w:p w14:paraId="2094F5DD">
            <w:pPr>
              <w:jc w:val="center"/>
              <w:rPr>
                <w:rFonts w:ascii="Times New Roman" w:hAnsi="Times New Roman" w:eastAsia="宋体" w:cs="Times New Roman"/>
                <w:bCs/>
                <w:kern w:val="0"/>
                <w:szCs w:val="21"/>
                <w:lang w:val="en-GB"/>
              </w:rPr>
            </w:pPr>
            <w:r>
              <w:rPr>
                <w:rFonts w:ascii="Times New Roman" w:hAnsi="Times New Roman" w:eastAsia="宋体" w:cs="Times New Roman"/>
                <w:bCs/>
                <w:kern w:val="0"/>
                <w:szCs w:val="21"/>
                <w:lang w:val="en-GB"/>
              </w:rPr>
              <w:t>上述地区之外的其它区域</w:t>
            </w:r>
          </w:p>
        </w:tc>
      </w:tr>
      <w:tr w14:paraId="1158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19" w:type="dxa"/>
            <w:gridSpan w:val="2"/>
            <w:tcBorders>
              <w:tl2br w:val="nil"/>
              <w:tr2bl w:val="nil"/>
            </w:tcBorders>
            <w:vAlign w:val="center"/>
          </w:tcPr>
          <w:p w14:paraId="0EBEDA84">
            <w:pPr>
              <w:rPr>
                <w:rFonts w:ascii="Times New Roman" w:hAnsi="Times New Roman" w:eastAsia="宋体" w:cs="Times New Roman"/>
                <w:bCs/>
                <w:kern w:val="0"/>
                <w:szCs w:val="21"/>
                <w:lang w:val="en-GB"/>
              </w:rPr>
            </w:pPr>
            <w:r>
              <w:rPr>
                <w:rFonts w:ascii="Times New Roman" w:hAnsi="Times New Roman" w:eastAsia="宋体" w:cs="Times New Roman"/>
                <w:bCs/>
                <w:kern w:val="0"/>
                <w:szCs w:val="21"/>
                <w:lang w:val="en-GB"/>
              </w:rPr>
              <w:t>注：a“环境敏感区”是指《建设项目环境影响评价分类管理名录》中所界定的涉及地下水的环境敏感区</w:t>
            </w:r>
          </w:p>
        </w:tc>
      </w:tr>
    </w:tbl>
    <w:p w14:paraId="75656360">
      <w:pPr>
        <w:adjustRightInd w:val="0"/>
        <w:snapToGrid w:val="0"/>
        <w:spacing w:line="360" w:lineRule="auto"/>
        <w:ind w:firstLine="480"/>
        <w:rPr>
          <w:rFonts w:ascii="Times New Roman" w:hAnsi="Times New Roman" w:eastAsia="宋体" w:cs="Times New Roman"/>
          <w:b/>
          <w:bCs w:val="0"/>
          <w:color w:val="auto"/>
          <w:sz w:val="24"/>
          <w:u w:val="single"/>
        </w:rPr>
      </w:pPr>
      <w:r>
        <w:rPr>
          <w:rFonts w:ascii="Times New Roman" w:hAnsi="Times New Roman" w:eastAsia="宋体" w:cs="Times New Roman"/>
          <w:b/>
          <w:bCs w:val="0"/>
          <w:color w:val="auto"/>
          <w:sz w:val="24"/>
          <w:u w:val="single"/>
        </w:rPr>
        <w:t>经现场调查，项目场地及调查区范围内无集中式饮用水水源</w:t>
      </w:r>
      <w:r>
        <w:rPr>
          <w:rFonts w:hint="eastAsia" w:ascii="Times New Roman" w:hAnsi="Times New Roman" w:eastAsia="宋体" w:cs="Times New Roman"/>
          <w:b/>
          <w:bCs w:val="0"/>
          <w:color w:val="auto"/>
          <w:sz w:val="24"/>
          <w:u w:val="single"/>
        </w:rPr>
        <w:t>（</w:t>
      </w:r>
      <w:r>
        <w:rPr>
          <w:rFonts w:ascii="Times New Roman" w:hAnsi="Times New Roman" w:eastAsia="宋体" w:cs="Times New Roman"/>
          <w:b/>
          <w:bCs w:val="0"/>
          <w:color w:val="auto"/>
          <w:sz w:val="24"/>
          <w:u w:val="single"/>
        </w:rPr>
        <w:t>包括已建成的在用、备用、应急水源，在建和规划的饮用水水源</w:t>
      </w:r>
      <w:r>
        <w:rPr>
          <w:rFonts w:hint="eastAsia" w:ascii="Times New Roman" w:hAnsi="Times New Roman" w:eastAsia="宋体" w:cs="Times New Roman"/>
          <w:b/>
          <w:bCs w:val="0"/>
          <w:color w:val="auto"/>
          <w:sz w:val="24"/>
          <w:u w:val="single"/>
        </w:rPr>
        <w:t>）</w:t>
      </w:r>
      <w:r>
        <w:rPr>
          <w:rFonts w:ascii="Times New Roman" w:hAnsi="Times New Roman" w:eastAsia="宋体" w:cs="Times New Roman"/>
          <w:b/>
          <w:bCs w:val="0"/>
          <w:color w:val="auto"/>
          <w:sz w:val="24"/>
          <w:u w:val="single"/>
        </w:rPr>
        <w:t>准保护区；无除集中式饮用水水源以外的国家或地方政府设定的与地下水环境相关的其它保护区（如热水、矿泉水、温泉等特殊地下水资源保护区）。</w:t>
      </w:r>
      <w:r>
        <w:rPr>
          <w:rFonts w:hint="eastAsia" w:ascii="Times New Roman" w:hAnsi="Times New Roman" w:eastAsia="宋体" w:cs="Times New Roman"/>
          <w:b/>
          <w:bCs w:val="0"/>
          <w:color w:val="auto"/>
          <w:sz w:val="24"/>
          <w:u w:val="single"/>
        </w:rPr>
        <w:t>距离本项目较近的骆家村及附近村庄目前已实现集中供水，</w:t>
      </w:r>
      <w:r>
        <w:rPr>
          <w:rFonts w:hint="eastAsia" w:ascii="Times New Roman" w:hAnsi="Times New Roman" w:eastAsia="宋体" w:cs="Times New Roman"/>
          <w:b/>
          <w:bCs w:val="0"/>
          <w:color w:val="auto"/>
          <w:sz w:val="24"/>
          <w:u w:val="single"/>
          <w:lang w:val="en-US" w:eastAsia="zh-CN"/>
        </w:rPr>
        <w:t>但存在个别</w:t>
      </w:r>
      <w:r>
        <w:rPr>
          <w:rFonts w:hint="eastAsia" w:ascii="Times New Roman" w:hAnsi="Times New Roman" w:eastAsia="宋体" w:cs="Times New Roman"/>
          <w:b/>
          <w:bCs w:val="0"/>
          <w:color w:val="auto"/>
          <w:sz w:val="24"/>
          <w:u w:val="single"/>
        </w:rPr>
        <w:t>分散式饮用水水源地，</w:t>
      </w:r>
      <w:r>
        <w:rPr>
          <w:rFonts w:ascii="Times New Roman" w:hAnsi="Times New Roman" w:eastAsia="宋体" w:cs="Times New Roman"/>
          <w:b/>
          <w:bCs w:val="0"/>
          <w:color w:val="auto"/>
          <w:sz w:val="24"/>
          <w:u w:val="single"/>
        </w:rPr>
        <w:t>故拟建项目</w:t>
      </w:r>
      <w:r>
        <w:rPr>
          <w:rFonts w:hint="eastAsia" w:ascii="Times New Roman" w:hAnsi="Times New Roman" w:eastAsia="宋体" w:cs="Times New Roman"/>
          <w:b/>
          <w:bCs w:val="0"/>
          <w:color w:val="auto"/>
          <w:sz w:val="24"/>
          <w:u w:val="single"/>
        </w:rPr>
        <w:t>地下水</w:t>
      </w:r>
      <w:r>
        <w:rPr>
          <w:rFonts w:ascii="Times New Roman" w:hAnsi="Times New Roman" w:eastAsia="宋体" w:cs="Times New Roman"/>
          <w:b/>
          <w:bCs w:val="0"/>
          <w:color w:val="auto"/>
          <w:sz w:val="24"/>
          <w:u w:val="single"/>
        </w:rPr>
        <w:t>敏感程度为</w:t>
      </w:r>
      <w:r>
        <w:rPr>
          <w:rFonts w:hint="eastAsia" w:ascii="Times New Roman" w:hAnsi="Times New Roman" w:eastAsia="宋体" w:cs="Times New Roman"/>
          <w:b/>
          <w:bCs w:val="0"/>
          <w:color w:val="auto"/>
          <w:sz w:val="24"/>
          <w:u w:val="single"/>
        </w:rPr>
        <w:t>“</w:t>
      </w:r>
      <w:r>
        <w:rPr>
          <w:rFonts w:hint="eastAsia" w:ascii="Times New Roman" w:hAnsi="Times New Roman" w:eastAsia="宋体" w:cs="Times New Roman"/>
          <w:b/>
          <w:bCs w:val="0"/>
          <w:color w:val="auto"/>
          <w:sz w:val="24"/>
          <w:u w:val="single"/>
          <w:lang w:val="en-US" w:eastAsia="zh-CN"/>
        </w:rPr>
        <w:t>较</w:t>
      </w:r>
      <w:r>
        <w:rPr>
          <w:rFonts w:hint="eastAsia" w:ascii="Times New Roman" w:hAnsi="Times New Roman" w:eastAsia="宋体" w:cs="Times New Roman"/>
          <w:b/>
          <w:bCs w:val="0"/>
          <w:color w:val="auto"/>
          <w:sz w:val="24"/>
          <w:u w:val="single"/>
        </w:rPr>
        <w:t>敏感”</w:t>
      </w:r>
      <w:r>
        <w:rPr>
          <w:rFonts w:ascii="Times New Roman" w:hAnsi="Times New Roman" w:eastAsia="宋体" w:cs="Times New Roman"/>
          <w:b/>
          <w:bCs w:val="0"/>
          <w:color w:val="auto"/>
          <w:sz w:val="24"/>
          <w:u w:val="single"/>
        </w:rPr>
        <w:t>。</w:t>
      </w:r>
    </w:p>
    <w:p w14:paraId="3546EA1B">
      <w:pPr>
        <w:pStyle w:val="5"/>
        <w:numPr>
          <w:ilvl w:val="3"/>
          <w:numId w:val="64"/>
        </w:numPr>
        <w:adjustRightInd w:val="0"/>
        <w:snapToGrid w:val="0"/>
      </w:pPr>
      <w:r>
        <w:t>评价工作等级确定</w:t>
      </w:r>
    </w:p>
    <w:p w14:paraId="6FB08BC6">
      <w:pPr>
        <w:adjustRightInd w:val="0"/>
        <w:snapToGrid w:val="0"/>
        <w:spacing w:line="360" w:lineRule="auto"/>
        <w:ind w:firstLine="480" w:firstLineChars="200"/>
        <w:rPr>
          <w:rFonts w:ascii="Times New Roman" w:hAnsi="Times New Roman"/>
          <w:color w:val="000000"/>
          <w:sz w:val="24"/>
        </w:rPr>
      </w:pPr>
      <w:bookmarkStart w:id="259" w:name="_Toc500272120"/>
      <w:r>
        <w:rPr>
          <w:rFonts w:ascii="Times New Roman" w:hAnsi="Times New Roman"/>
          <w:color w:val="000000"/>
          <w:sz w:val="24"/>
        </w:rPr>
        <w:t>按照地下水导则评价工作等级的划分原则，依据建设项目行业分类和地下水环境敏感程度分级进行判定。</w:t>
      </w:r>
    </w:p>
    <w:p w14:paraId="38D96209">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（1）建设项目行业分类</w:t>
      </w:r>
    </w:p>
    <w:p w14:paraId="5836016D">
      <w:pPr>
        <w:adjustRightInd w:val="0"/>
        <w:snapToGrid w:val="0"/>
        <w:spacing w:line="360" w:lineRule="auto"/>
        <w:ind w:firstLine="480" w:firstLineChars="200"/>
        <w:rPr>
          <w:rFonts w:ascii="Times New Roman" w:hAnsi="Times New Roman"/>
          <w:color w:val="000000"/>
          <w:spacing w:val="2"/>
          <w:sz w:val="24"/>
          <w:lang w:val="fr-FR"/>
        </w:rPr>
      </w:pPr>
      <w:bookmarkStart w:id="260" w:name="_Toc402808097"/>
      <w:bookmarkStart w:id="261" w:name="_Toc406237145"/>
      <w:bookmarkStart w:id="262" w:name="_Toc433012013"/>
      <w:r>
        <w:rPr>
          <w:rFonts w:ascii="Times New Roman" w:hAnsi="Times New Roman"/>
          <w:color w:val="000000"/>
          <w:sz w:val="24"/>
        </w:rPr>
        <w:t>参照《环境影响评价技术导则—地下水环境》（HJ 610-2016）附录A；地下水环境影响评价项目类别划分，</w:t>
      </w:r>
      <w:r>
        <w:rPr>
          <w:rFonts w:hint="eastAsia" w:ascii="Times New Roman" w:hAnsi="Times New Roman"/>
          <w:color w:val="000000"/>
          <w:sz w:val="24"/>
        </w:rPr>
        <w:t>本项目属于</w:t>
      </w:r>
      <w:r>
        <w:rPr>
          <w:rFonts w:ascii="Times New Roman" w:hAnsi="Times New Roman"/>
          <w:color w:val="000000"/>
          <w:spacing w:val="2"/>
          <w:sz w:val="24"/>
          <w:lang w:val="fr-FR"/>
        </w:rPr>
        <w:t>N轻工109、锯材、木片加工、家具制造，本项目属于有喷漆工艺的家具制造，此类报告书地下水环境影响评价项目类别属于Ⅲ类。</w:t>
      </w:r>
    </w:p>
    <w:p w14:paraId="775C8A99">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（2）建设项目场地的地下水环境敏感程度</w:t>
      </w:r>
    </w:p>
    <w:p w14:paraId="646CCE3C">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本项目地下水环境敏感程度为“</w:t>
      </w:r>
      <w:r>
        <w:rPr>
          <w:rFonts w:hint="eastAsia" w:ascii="Times New Roman" w:hAnsi="Times New Roman"/>
          <w:color w:val="000000"/>
          <w:sz w:val="24"/>
          <w:lang w:val="en-US" w:eastAsia="zh-CN"/>
        </w:rPr>
        <w:t>较</w:t>
      </w:r>
      <w:r>
        <w:rPr>
          <w:rFonts w:ascii="Times New Roman" w:hAnsi="Times New Roman"/>
          <w:color w:val="000000"/>
          <w:sz w:val="24"/>
        </w:rPr>
        <w:t>敏感”。</w:t>
      </w:r>
    </w:p>
    <w:p w14:paraId="58274CAD">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（3）地下水环境影响评价工作等级</w:t>
      </w:r>
    </w:p>
    <w:p w14:paraId="1C36E812">
      <w:pPr>
        <w:adjustRightInd w:val="0"/>
        <w:snapToGrid w:val="0"/>
        <w:spacing w:line="360" w:lineRule="auto"/>
        <w:ind w:firstLine="480" w:firstLineChars="200"/>
        <w:rPr>
          <w:rFonts w:ascii="Times New Roman" w:hAnsi="Times New Roman"/>
          <w:color w:val="000000"/>
          <w:sz w:val="24"/>
          <w:lang w:val="zh-CN"/>
        </w:rPr>
      </w:pPr>
      <w:r>
        <w:rPr>
          <w:rFonts w:ascii="Times New Roman" w:hAnsi="Times New Roman"/>
          <w:color w:val="000000"/>
          <w:sz w:val="24"/>
        </w:rPr>
        <w:t>按照根据《环境影响评价技术导则—地下水环境》（HJ 610-2016）评价工作等级分级表，项目类别为</w:t>
      </w:r>
      <w:r>
        <w:rPr>
          <w:rFonts w:ascii="Times New Roman" w:hAnsi="Times New Roman"/>
          <w:color w:val="000000"/>
          <w:spacing w:val="2"/>
          <w:sz w:val="24"/>
          <w:lang w:val="fr-FR"/>
        </w:rPr>
        <w:t>Ⅲ</w:t>
      </w:r>
      <w:r>
        <w:rPr>
          <w:rFonts w:ascii="Times New Roman" w:hAnsi="Times New Roman"/>
          <w:color w:val="000000"/>
          <w:sz w:val="24"/>
        </w:rPr>
        <w:t>类项目，环境敏感程度为</w:t>
      </w:r>
      <w:r>
        <w:rPr>
          <w:rFonts w:hint="eastAsia" w:ascii="Times New Roman" w:hAnsi="Times New Roman"/>
          <w:color w:val="000000"/>
          <w:sz w:val="24"/>
          <w:lang w:val="en-US" w:eastAsia="zh-CN"/>
        </w:rPr>
        <w:t>较</w:t>
      </w:r>
      <w:r>
        <w:rPr>
          <w:rFonts w:ascii="Times New Roman" w:hAnsi="Times New Roman"/>
          <w:color w:val="000000"/>
          <w:sz w:val="24"/>
        </w:rPr>
        <w:t>敏感，根据表确定本工程建设厂地的地下水环境评价工作等级为“</w:t>
      </w:r>
      <w:r>
        <w:rPr>
          <w:rFonts w:hint="eastAsia" w:ascii="Times New Roman" w:hAnsi="Times New Roman"/>
          <w:color w:val="000000"/>
          <w:sz w:val="24"/>
        </w:rPr>
        <w:t>三</w:t>
      </w:r>
      <w:r>
        <w:rPr>
          <w:rFonts w:ascii="Times New Roman" w:hAnsi="Times New Roman"/>
          <w:color w:val="000000"/>
          <w:sz w:val="24"/>
        </w:rPr>
        <w:t>级”。</w:t>
      </w:r>
      <w:bookmarkStart w:id="263" w:name="_Ref441578031"/>
      <w:bookmarkStart w:id="264" w:name="_Toc456487064"/>
    </w:p>
    <w:bookmarkEnd w:id="260"/>
    <w:bookmarkEnd w:id="261"/>
    <w:bookmarkEnd w:id="262"/>
    <w:bookmarkEnd w:id="263"/>
    <w:bookmarkEnd w:id="264"/>
    <w:p w14:paraId="5E05641D">
      <w:pPr>
        <w:pStyle w:val="5"/>
        <w:numPr>
          <w:ilvl w:val="3"/>
          <w:numId w:val="64"/>
        </w:numPr>
        <w:tabs>
          <w:tab w:val="clear" w:pos="0"/>
        </w:tabs>
        <w:adjustRightInd w:val="0"/>
        <w:snapToGrid w:val="0"/>
      </w:pPr>
      <w:bookmarkStart w:id="265" w:name="_Toc46711389"/>
      <w:r>
        <w:t>评价范围</w:t>
      </w:r>
      <w:bookmarkEnd w:id="259"/>
      <w:bookmarkEnd w:id="265"/>
    </w:p>
    <w:p w14:paraId="14ABA2E4">
      <w:pPr>
        <w:adjustRightInd w:val="0"/>
        <w:snapToGrid w:val="0"/>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本项目厂址位于冲洪积平原，地质水文条件相对简单。本次评价范围确定先根据导则推荐公式计算出理论范围值，然后根据厂址区域地下水环境保护目标分布情况调整理论范围值。</w:t>
      </w:r>
    </w:p>
    <w:p w14:paraId="71FBFF16">
      <w:pPr>
        <w:adjustRightInd w:val="0"/>
        <w:snapToGrid w:val="0"/>
        <w:spacing w:line="360" w:lineRule="auto"/>
        <w:ind w:firstLine="1440" w:firstLineChars="6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L=α×K×I×T/ne</w:t>
      </w:r>
    </w:p>
    <w:p w14:paraId="5110F9E7">
      <w:pPr>
        <w:adjustRightInd w:val="0"/>
        <w:snapToGrid w:val="0"/>
        <w:spacing w:line="360" w:lineRule="auto"/>
        <w:ind w:firstLine="840" w:firstLineChars="35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式中：L—下游迁移距离，m；</w:t>
      </w:r>
    </w:p>
    <w:p w14:paraId="03BF5078">
      <w:pPr>
        <w:adjustRightInd w:val="0"/>
        <w:snapToGrid w:val="0"/>
        <w:spacing w:line="360" w:lineRule="auto"/>
        <w:ind w:firstLine="840" w:firstLineChars="35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α—变化系数，α≥1，一般取2；</w:t>
      </w:r>
    </w:p>
    <w:p w14:paraId="440793DC">
      <w:pPr>
        <w:adjustRightInd w:val="0"/>
        <w:snapToGrid w:val="0"/>
        <w:spacing w:line="360" w:lineRule="auto"/>
        <w:ind w:firstLine="840" w:firstLineChars="35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K—渗透系数，含水层为粉细砂</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常见渗透系数表见附录B.1，取</w:t>
      </w:r>
      <w:r>
        <w:rPr>
          <w:rFonts w:hint="eastAsia" w:ascii="Times New Roman" w:hAnsi="Times New Roman" w:eastAsia="宋体" w:cs="Times New Roman"/>
          <w:bCs/>
          <w:color w:val="000000" w:themeColor="text1"/>
          <w:sz w:val="24"/>
          <w14:textFill>
            <w14:solidFill>
              <w14:schemeClr w14:val="tx1"/>
            </w14:solidFill>
          </w14:textFill>
        </w:rPr>
        <w:t>粉砂</w:t>
      </w:r>
      <w:r>
        <w:rPr>
          <w:rFonts w:ascii="Times New Roman" w:hAnsi="Times New Roman" w:eastAsia="宋体" w:cs="Times New Roman"/>
          <w:bCs/>
          <w:color w:val="000000" w:themeColor="text1"/>
          <w:sz w:val="24"/>
          <w14:textFill>
            <w14:solidFill>
              <w14:schemeClr w14:val="tx1"/>
            </w14:solidFill>
          </w14:textFill>
        </w:rPr>
        <w:t>渗透系数值</w:t>
      </w:r>
      <w:r>
        <w:rPr>
          <w:rFonts w:hint="eastAsia" w:ascii="Times New Roman" w:hAnsi="Times New Roman" w:eastAsia="宋体" w:cs="Times New Roman"/>
          <w:bCs/>
          <w:color w:val="000000" w:themeColor="text1"/>
          <w:sz w:val="24"/>
          <w14:textFill>
            <w14:solidFill>
              <w14:schemeClr w14:val="tx1"/>
            </w14:solidFill>
          </w14:textFill>
        </w:rPr>
        <w:t>1.5</w:t>
      </w:r>
      <w:r>
        <w:rPr>
          <w:rFonts w:ascii="Times New Roman" w:hAnsi="Times New Roman" w:eastAsia="宋体" w:cs="Times New Roman"/>
          <w:bCs/>
          <w:color w:val="000000" w:themeColor="text1"/>
          <w:sz w:val="24"/>
          <w14:textFill>
            <w14:solidFill>
              <w14:schemeClr w14:val="tx1"/>
            </w14:solidFill>
          </w14:textFill>
        </w:rPr>
        <w:t>m/d；</w:t>
      </w:r>
    </w:p>
    <w:p w14:paraId="4BD54D18">
      <w:pPr>
        <w:adjustRightInd w:val="0"/>
        <w:snapToGrid w:val="0"/>
        <w:spacing w:line="360" w:lineRule="auto"/>
        <w:ind w:left="120" w:leftChars="57" w:firstLine="720" w:firstLineChars="3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I—水力坡度，无量纲；</w:t>
      </w:r>
      <w:r>
        <w:rPr>
          <w:rFonts w:ascii="Times New Roman" w:hAnsi="Times New Roman" w:eastAsia="宋体" w:cs="Times New Roman"/>
          <w:sz w:val="24"/>
        </w:rPr>
        <w:t>本项目取2‰；</w:t>
      </w:r>
    </w:p>
    <w:p w14:paraId="35661721">
      <w:pPr>
        <w:adjustRightInd w:val="0"/>
        <w:snapToGrid w:val="0"/>
        <w:spacing w:line="360" w:lineRule="auto"/>
        <w:ind w:firstLine="840" w:firstLineChars="35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T—质点迁移天数，取值不小于5000d；</w:t>
      </w:r>
    </w:p>
    <w:p w14:paraId="38655CE9">
      <w:pPr>
        <w:adjustRightInd w:val="0"/>
        <w:snapToGrid w:val="0"/>
        <w:spacing w:line="360" w:lineRule="auto"/>
        <w:ind w:firstLine="840" w:firstLineChars="350"/>
        <w:rPr>
          <w:rFonts w:ascii="Times New Roman" w:hAnsi="Times New Roman" w:cs="Times New Roman"/>
          <w:sz w:val="24"/>
        </w:rPr>
      </w:pPr>
      <w:r>
        <w:rPr>
          <w:rFonts w:ascii="Times New Roman" w:hAnsi="Times New Roman" w:eastAsia="宋体" w:cs="Times New Roman"/>
          <w:bCs/>
          <w:color w:val="000000" w:themeColor="text1"/>
          <w:sz w:val="24"/>
          <w14:textFill>
            <w14:solidFill>
              <w14:schemeClr w14:val="tx1"/>
            </w14:solidFill>
          </w14:textFill>
        </w:rPr>
        <w:t>ne —有效孔隙度，无量纲。</w:t>
      </w:r>
      <w:r>
        <w:rPr>
          <w:rFonts w:hint="eastAsia" w:ascii="Times New Roman" w:hAnsi="Times New Roman" w:eastAsia="宋体" w:cs="Times New Roman"/>
          <w:sz w:val="24"/>
        </w:rPr>
        <w:t>参考《濮阳语木皇家家具有限公司年产2万件套家具扩建项目环境影响报告书》土壤理化性质调查</w:t>
      </w:r>
      <w:r>
        <w:rPr>
          <w:rFonts w:ascii="Times New Roman" w:hAnsi="Times New Roman" w:eastAsia="宋体" w:cs="Times New Roman"/>
          <w:sz w:val="24"/>
        </w:rPr>
        <w:t>，项目厂址有效孔隙度ne</w:t>
      </w:r>
      <w:r>
        <w:rPr>
          <w:rFonts w:hint="eastAsia" w:cs="Times New Roman"/>
          <w:sz w:val="24"/>
        </w:rPr>
        <w:t>取</w:t>
      </w:r>
      <w:r>
        <w:rPr>
          <w:rFonts w:ascii="Times New Roman" w:hAnsi="Times New Roman" w:eastAsia="宋体" w:cs="Times New Roman"/>
          <w:sz w:val="24"/>
        </w:rPr>
        <w:t>值为</w:t>
      </w:r>
      <w:r>
        <w:rPr>
          <w:rFonts w:hint="eastAsia" w:ascii="Times New Roman" w:hAnsi="Times New Roman" w:eastAsia="宋体" w:cs="Times New Roman"/>
          <w:sz w:val="24"/>
        </w:rPr>
        <w:t>64.7</w:t>
      </w:r>
      <w:r>
        <w:rPr>
          <w:rFonts w:ascii="Times New Roman" w:hAnsi="Times New Roman" w:eastAsia="宋体" w:cs="Times New Roman"/>
          <w:sz w:val="24"/>
        </w:rPr>
        <w:t>%</w:t>
      </w:r>
      <w:r>
        <w:rPr>
          <w:rFonts w:ascii="Times New Roman" w:hAnsi="Times New Roman" w:cs="Times New Roman"/>
          <w:sz w:val="24"/>
        </w:rPr>
        <w:t>。</w:t>
      </w:r>
    </w:p>
    <w:p w14:paraId="7222EE0B">
      <w:pPr>
        <w:adjustRightInd w:val="0"/>
        <w:snapToGrid w:val="0"/>
        <w:spacing w:line="360" w:lineRule="auto"/>
        <w:ind w:firstLine="480" w:firstLineChars="200"/>
        <w:jc w:val="left"/>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经计算，</w:t>
      </w:r>
      <w:r>
        <w:rPr>
          <w:rFonts w:ascii="Times New Roman" w:hAnsi="Times New Roman" w:eastAsia="宋体" w:cs="Times New Roman"/>
          <w:bCs/>
          <w:color w:val="000000" w:themeColor="text1"/>
          <w:sz w:val="24"/>
          <w14:textFill>
            <w14:solidFill>
              <w14:schemeClr w14:val="tx1"/>
            </w14:solidFill>
          </w14:textFill>
        </w:rPr>
        <w:t>L=</w:t>
      </w:r>
      <w:r>
        <w:rPr>
          <w:rFonts w:hint="eastAsia" w:ascii="Times New Roman" w:hAnsi="Times New Roman" w:eastAsia="宋体" w:cs="Times New Roman"/>
          <w:bCs/>
          <w:color w:val="000000" w:themeColor="text1"/>
          <w:sz w:val="24"/>
          <w14:textFill>
            <w14:solidFill>
              <w14:schemeClr w14:val="tx1"/>
            </w14:solidFill>
          </w14:textFill>
        </w:rPr>
        <w:t>46.4</w:t>
      </w:r>
      <w:r>
        <w:rPr>
          <w:rFonts w:ascii="Times New Roman" w:hAnsi="Times New Roman" w:eastAsia="宋体" w:cs="Times New Roman"/>
          <w:bCs/>
          <w:color w:val="000000" w:themeColor="text1"/>
          <w:sz w:val="24"/>
          <w14:textFill>
            <w14:solidFill>
              <w14:schemeClr w14:val="tx1"/>
            </w14:solidFill>
          </w14:textFill>
        </w:rPr>
        <w:t>m，</w:t>
      </w:r>
      <w:r>
        <w:rPr>
          <w:rFonts w:ascii="Times New Roman" w:hAnsi="Times New Roman" w:eastAsia="宋体" w:cs="Times New Roman"/>
          <w:sz w:val="24"/>
        </w:rPr>
        <w:t>结合本项目场地平面布置、地形地貌特征、区域水文地质条件和地下水保护目标等，为了说明地下水环境的基本情况，本项目评价范围为</w:t>
      </w:r>
      <w:r>
        <w:rPr>
          <w:rFonts w:ascii="Times New Roman" w:hAnsi="Times New Roman" w:cs="Times New Roman"/>
          <w:sz w:val="24"/>
        </w:rPr>
        <w:t>厂</w:t>
      </w:r>
      <w:r>
        <w:rPr>
          <w:rFonts w:ascii="Times New Roman" w:hAnsi="Times New Roman" w:eastAsia="宋体" w:cs="Times New Roman"/>
          <w:sz w:val="24"/>
        </w:rPr>
        <w:t>界沿地下水流向</w:t>
      </w:r>
      <w:r>
        <w:rPr>
          <w:rFonts w:ascii="Times New Roman" w:hAnsi="Times New Roman" w:cs="Times New Roman"/>
          <w:bCs/>
          <w:color w:val="000000" w:themeColor="text1"/>
          <w:sz w:val="24"/>
          <w14:textFill>
            <w14:solidFill>
              <w14:schemeClr w14:val="tx1"/>
            </w14:solidFill>
          </w14:textFill>
        </w:rPr>
        <w:t>，项目厂址上游1km、下游2km、两侧各1km，面积共6km</w:t>
      </w:r>
      <w:r>
        <w:rPr>
          <w:rFonts w:ascii="Times New Roman" w:hAnsi="Times New Roman" w:cs="Times New Roman"/>
          <w:bCs/>
          <w:color w:val="000000" w:themeColor="text1"/>
          <w:sz w:val="24"/>
          <w:vertAlign w:val="superscript"/>
          <w14:textFill>
            <w14:solidFill>
              <w14:schemeClr w14:val="tx1"/>
            </w14:solidFill>
          </w14:textFill>
        </w:rPr>
        <w:t>2</w:t>
      </w:r>
      <w:r>
        <w:rPr>
          <w:rFonts w:ascii="Times New Roman" w:hAnsi="Times New Roman" w:cs="Times New Roman"/>
          <w:bCs/>
          <w:color w:val="000000" w:themeColor="text1"/>
          <w:sz w:val="24"/>
          <w14:textFill>
            <w14:solidFill>
              <w14:schemeClr w14:val="tx1"/>
            </w14:solidFill>
          </w14:textFill>
        </w:rPr>
        <w:t>的浅层地下水，</w:t>
      </w:r>
      <w:r>
        <w:rPr>
          <w:rFonts w:ascii="Times New Roman" w:hAnsi="Times New Roman" w:eastAsia="宋体" w:cs="Times New Roman"/>
          <w:bCs/>
          <w:color w:val="000000" w:themeColor="text1"/>
          <w:sz w:val="24"/>
          <w14:textFill>
            <w14:solidFill>
              <w14:schemeClr w14:val="tx1"/>
            </w14:solidFill>
          </w14:textFill>
        </w:rPr>
        <w:t>确定本项目评价范围为6km</w:t>
      </w:r>
      <w:r>
        <w:rPr>
          <w:rFonts w:ascii="Times New Roman" w:hAnsi="Times New Roman" w:eastAsia="宋体" w:cs="Times New Roman"/>
          <w:bCs/>
          <w:color w:val="000000" w:themeColor="text1"/>
          <w:sz w:val="24"/>
          <w:vertAlign w:val="superscript"/>
          <w14:textFill>
            <w14:solidFill>
              <w14:schemeClr w14:val="tx1"/>
            </w14:solidFill>
          </w14:textFill>
        </w:rPr>
        <w:t>2</w:t>
      </w:r>
      <w:r>
        <w:rPr>
          <w:rFonts w:ascii="Times New Roman" w:hAnsi="Times New Roman" w:eastAsia="宋体" w:cs="Times New Roman"/>
          <w:bCs/>
          <w:color w:val="000000" w:themeColor="text1"/>
          <w:sz w:val="24"/>
          <w14:textFill>
            <w14:solidFill>
              <w14:schemeClr w14:val="tx1"/>
            </w14:solidFill>
          </w14:textFill>
        </w:rPr>
        <w:t>。</w:t>
      </w:r>
    </w:p>
    <w:p w14:paraId="2E84BD06">
      <w:pPr>
        <w:pStyle w:val="4"/>
        <w:numPr>
          <w:ilvl w:val="2"/>
          <w:numId w:val="66"/>
        </w:numPr>
        <w:adjustRightInd w:val="0"/>
        <w:snapToGrid w:val="0"/>
        <w:ind w:left="709" w:hanging="709"/>
      </w:pPr>
      <w:r>
        <w:rPr>
          <w:rFonts w:hint="eastAsia"/>
        </w:rPr>
        <w:t>区域水文地质调查</w:t>
      </w:r>
    </w:p>
    <w:p w14:paraId="0EC6E143">
      <w:pPr>
        <w:adjustRightInd w:val="0"/>
        <w:snapToGrid w:val="0"/>
        <w:spacing w:line="360" w:lineRule="auto"/>
        <w:ind w:firstLine="482"/>
        <w:rPr>
          <w:rFonts w:ascii="Times New Roman" w:hAnsi="Times New Roman" w:cs="Times New Roman"/>
          <w:color w:val="000000" w:themeColor="text1"/>
          <w:sz w:val="24"/>
          <w14:textFill>
            <w14:solidFill>
              <w14:schemeClr w14:val="tx1"/>
            </w14:solidFill>
          </w14:textFill>
        </w:rPr>
      </w:pPr>
      <w:bookmarkStart w:id="266" w:name="_Toc14982057"/>
      <w:bookmarkStart w:id="267" w:name="_Toc500272141"/>
      <w:bookmarkStart w:id="268" w:name="_Toc46711455"/>
      <w:r>
        <w:rPr>
          <w:rFonts w:ascii="Times New Roman" w:hAnsi="Times New Roman" w:cs="Times New Roman"/>
          <w:color w:val="000000" w:themeColor="text1"/>
          <w:sz w:val="24"/>
          <w14:textFill>
            <w14:solidFill>
              <w14:schemeClr w14:val="tx1"/>
            </w14:solidFill>
          </w14:textFill>
        </w:rPr>
        <w:t>本项目厂址位于</w:t>
      </w:r>
      <w:r>
        <w:rPr>
          <w:rFonts w:hint="eastAsia" w:ascii="Times New Roman" w:hAnsi="Times New Roman" w:eastAsia="宋体" w:cs="Times New Roman"/>
          <w:bCs/>
          <w:kern w:val="0"/>
          <w:sz w:val="24"/>
        </w:rPr>
        <w:t>濮阳市清丰县河南省濮阳市清丰县产业集聚区人民路南侧、建设路东侧6号</w:t>
      </w:r>
      <w:r>
        <w:rPr>
          <w:rFonts w:ascii="Times New Roman" w:hAnsi="Times New Roman" w:cs="Times New Roman"/>
          <w:color w:val="000000" w:themeColor="text1"/>
          <w:sz w:val="24"/>
          <w14:textFill>
            <w14:solidFill>
              <w14:schemeClr w14:val="tx1"/>
            </w14:solidFill>
          </w14:textFill>
        </w:rPr>
        <w:t>，根据濮阳市规划建筑设计研究院2015年8月20日对本项目北侧的《清丰县棚户区改造五眼井村村民安置房工程》详细勘察，本项目所在区域场地地形相对平坦。该场地在勘探深度范围内的地层主要为第四系冲洪积物，场地内所揭露的地层按其岩性特征及物理力学性质的差异可划分为9个工程地质层，由上至下依次是：粉质粘土、粉土、粉质粘土、粉土、粉质粘土、粉土、粉质粘土、粉砂、粉质粘土，勘察未发现不良地质作用，未发现河道、沟浜、墓穴、防空洞、孤石等对工程不利的埋置物，地形较平坦，场地稳定。</w:t>
      </w:r>
    </w:p>
    <w:p w14:paraId="3966E203">
      <w:pPr>
        <w:adjustRightInd w:val="0"/>
        <w:snapToGrid w:val="0"/>
        <w:spacing w:line="360" w:lineRule="auto"/>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勘察厂区钻孔柱状图见</w:t>
      </w:r>
      <w:r>
        <w:rPr>
          <w:rFonts w:hint="eastAsia" w:ascii="Times New Roman" w:hAnsi="Times New Roman" w:cs="Times New Roman"/>
          <w:color w:val="000000" w:themeColor="text1"/>
          <w:sz w:val="24"/>
          <w14:textFill>
            <w14:solidFill>
              <w14:schemeClr w14:val="tx1"/>
            </w14:solidFill>
          </w14:textFill>
        </w:rPr>
        <w:t>下</w:t>
      </w:r>
      <w:r>
        <w:rPr>
          <w:rFonts w:ascii="Times New Roman" w:hAnsi="Times New Roman" w:cs="Times New Roman"/>
          <w:color w:val="000000" w:themeColor="text1"/>
          <w:sz w:val="24"/>
          <w14:textFill>
            <w14:solidFill>
              <w14:schemeClr w14:val="tx1"/>
            </w14:solidFill>
          </w14:textFill>
        </w:rPr>
        <w:t>图。勘察各地层性状见</w:t>
      </w:r>
      <w:r>
        <w:rPr>
          <w:rFonts w:hint="eastAsia" w:ascii="Times New Roman" w:hAnsi="Times New Roman" w:cs="Times New Roman"/>
          <w:color w:val="000000" w:themeColor="text1"/>
          <w:sz w:val="24"/>
          <w14:textFill>
            <w14:solidFill>
              <w14:schemeClr w14:val="tx1"/>
            </w14:solidFill>
          </w14:textFill>
        </w:rPr>
        <w:t>下</w:t>
      </w:r>
      <w:r>
        <w:rPr>
          <w:rFonts w:ascii="Times New Roman" w:hAnsi="Times New Roman" w:cs="Times New Roman"/>
          <w:color w:val="000000" w:themeColor="text1"/>
          <w:sz w:val="24"/>
          <w14:textFill>
            <w14:solidFill>
              <w14:schemeClr w14:val="tx1"/>
            </w14:solidFill>
          </w14:textFill>
        </w:rPr>
        <w:t>表。</w:t>
      </w:r>
    </w:p>
    <w:p w14:paraId="34B17CE8">
      <w:pPr>
        <w:rPr>
          <w:rFonts w:ascii="Times New Roman" w:hAnsi="Times New Roman" w:cs="Times New Roman"/>
          <w:b/>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384810</wp:posOffset>
                </wp:positionH>
                <wp:positionV relativeFrom="paragraph">
                  <wp:posOffset>8487410</wp:posOffset>
                </wp:positionV>
                <wp:extent cx="4883785" cy="259715"/>
                <wp:effectExtent l="0" t="0" r="0" b="0"/>
                <wp:wrapNone/>
                <wp:docPr id="338" name="文本框 11"/>
                <wp:cNvGraphicFramePr/>
                <a:graphic xmlns:a="http://schemas.openxmlformats.org/drawingml/2006/main">
                  <a:graphicData uri="http://schemas.microsoft.com/office/word/2010/wordprocessingShape">
                    <wps:wsp>
                      <wps:cNvSpPr txBox="1"/>
                      <wps:spPr>
                        <a:xfrm>
                          <a:off x="0" y="0"/>
                          <a:ext cx="4883785" cy="259715"/>
                        </a:xfrm>
                        <a:prstGeom prst="rect">
                          <a:avLst/>
                        </a:prstGeom>
                        <a:noFill/>
                        <a:ln w="9525">
                          <a:noFill/>
                        </a:ln>
                        <a:effectLst/>
                      </wps:spPr>
                      <wps:txbx>
                        <w:txbxContent>
                          <w:p w14:paraId="5F26790B">
                            <w:pPr>
                              <w:ind w:firstLine="482"/>
                              <w:jc w:val="center"/>
                              <w:rPr>
                                <w:rFonts w:ascii="Times New Roman" w:hAnsi="Times New Roman" w:cs="Times New Roman"/>
                                <w:b/>
                              </w:rPr>
                            </w:pPr>
                            <w:r>
                              <w:rPr>
                                <w:rFonts w:ascii="Times New Roman" w:hAnsi="Times New Roman" w:cs="Times New Roman"/>
                                <w:b/>
                              </w:rPr>
                              <w:t>图</w:t>
                            </w:r>
                            <w:r>
                              <w:rPr>
                                <w:rFonts w:hint="eastAsia" w:ascii="Times New Roman" w:hAnsi="Times New Roman" w:cs="Times New Roman"/>
                                <w:b/>
                              </w:rPr>
                              <w:t>5.5-1</w:t>
                            </w:r>
                            <w:r>
                              <w:rPr>
                                <w:rFonts w:ascii="Times New Roman" w:hAnsi="Times New Roman" w:cs="Times New Roman"/>
                                <w:b/>
                              </w:rPr>
                              <w:t xml:space="preserve">  项目厂区工程地质勘察钻孔柱状图</w:t>
                            </w:r>
                          </w:p>
                          <w:p w14:paraId="440B4EA3">
                            <w:pPr>
                              <w:ind w:firstLine="480"/>
                            </w:pPr>
                          </w:p>
                        </w:txbxContent>
                      </wps:txbx>
                      <wps:bodyPr upright="1"/>
                    </wps:wsp>
                  </a:graphicData>
                </a:graphic>
              </wp:anchor>
            </w:drawing>
          </mc:Choice>
          <mc:Fallback>
            <w:pict>
              <v:shape id="文本框 11" o:spid="_x0000_s1026" o:spt="202" type="#_x0000_t202" style="position:absolute;left:0pt;margin-left:30.3pt;margin-top:668.3pt;height:20.45pt;width:384.55pt;z-index:251664384;mso-width-relative:page;mso-height-relative:page;" filled="f" stroked="f" coordsize="21600,21600" o:gfxdata="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lzecdkAAAAMAQAADwAAAAAAAAABACAAAAAiAAAAZHJzL2Rvd25yZXYueG1s&#10;UEsBAhQAFAAAAAgAh07iQCTY3qW+AQAAaAMAAA4AAAAAAAAAAQAgAAAAKAEAAGRycy9lMm9Eb2Mu&#10;eG1sUEsFBgAAAAAGAAYAWQEAAFgFAAAAAA==&#10;">
                <v:fill on="f" focussize="0,0"/>
                <v:stroke on="f"/>
                <v:imagedata o:title=""/>
                <o:lock v:ext="edit" aspectratio="f"/>
                <v:textbox>
                  <w:txbxContent>
                    <w:p w14:paraId="5F26790B">
                      <w:pPr>
                        <w:ind w:firstLine="482"/>
                        <w:jc w:val="center"/>
                        <w:rPr>
                          <w:rFonts w:ascii="Times New Roman" w:hAnsi="Times New Roman" w:cs="Times New Roman"/>
                          <w:b/>
                        </w:rPr>
                      </w:pPr>
                      <w:r>
                        <w:rPr>
                          <w:rFonts w:ascii="Times New Roman" w:hAnsi="Times New Roman" w:cs="Times New Roman"/>
                          <w:b/>
                        </w:rPr>
                        <w:t>图</w:t>
                      </w:r>
                      <w:r>
                        <w:rPr>
                          <w:rFonts w:hint="eastAsia" w:ascii="Times New Roman" w:hAnsi="Times New Roman" w:cs="Times New Roman"/>
                          <w:b/>
                        </w:rPr>
                        <w:t>5.5-1</w:t>
                      </w:r>
                      <w:r>
                        <w:rPr>
                          <w:rFonts w:ascii="Times New Roman" w:hAnsi="Times New Roman" w:cs="Times New Roman"/>
                          <w:b/>
                        </w:rPr>
                        <w:t xml:space="preserve">  项目厂区工程地质勘察钻孔柱状图</w:t>
                      </w:r>
                    </w:p>
                    <w:p w14:paraId="440B4EA3">
                      <w:pPr>
                        <w:ind w:firstLine="480"/>
                      </w:pPr>
                    </w:p>
                  </w:txbxContent>
                </v:textbox>
              </v:shape>
            </w:pict>
          </mc:Fallback>
        </mc:AlternateContent>
      </w:r>
      <w:r>
        <w:rPr>
          <w:rFonts w:ascii="Times New Roman" w:hAnsi="Times New Roman" w:cs="Times New Roman"/>
          <w:color w:val="000000" w:themeColor="text1"/>
          <w14:textFill>
            <w14:solidFill>
              <w14:schemeClr w14:val="tx1"/>
            </w14:solidFill>
          </w14:textFill>
        </w:rPr>
        <w:drawing>
          <wp:inline distT="0" distB="0" distL="114300" distR="114300">
            <wp:extent cx="5354320" cy="8405495"/>
            <wp:effectExtent l="73025" t="46355" r="78105" b="63500"/>
            <wp:docPr id="3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11"/>
                    <pic:cNvPicPr>
                      <a:picLocks noChangeAspect="1"/>
                    </pic:cNvPicPr>
                  </pic:nvPicPr>
                  <pic:blipFill>
                    <a:blip r:embed="rId72" cstate="print"/>
                    <a:stretch>
                      <a:fillRect/>
                    </a:stretch>
                  </pic:blipFill>
                  <pic:spPr>
                    <a:xfrm rot="-60000">
                      <a:off x="0" y="0"/>
                      <a:ext cx="5354320" cy="8405495"/>
                    </a:xfrm>
                    <a:prstGeom prst="rect">
                      <a:avLst/>
                    </a:prstGeom>
                    <a:noFill/>
                    <a:ln w="9525">
                      <a:noFill/>
                    </a:ln>
                  </pic:spPr>
                </pic:pic>
              </a:graphicData>
            </a:graphic>
          </wp:inline>
        </w:drawing>
      </w:r>
    </w:p>
    <w:p w14:paraId="4E311DB1">
      <w:pPr>
        <w:spacing w:line="360" w:lineRule="auto"/>
        <w:ind w:firstLine="482"/>
        <w:jc w:val="center"/>
        <w:rPr>
          <w:rFonts w:ascii="Times New Roman" w:hAnsi="Times New Roman" w:cs="Times New Roman"/>
          <w:b/>
          <w:color w:val="000000" w:themeColor="text1"/>
          <w14:textFill>
            <w14:solidFill>
              <w14:schemeClr w14:val="tx1"/>
            </w14:solidFill>
          </w14:textFill>
        </w:rPr>
      </w:pPr>
    </w:p>
    <w:p w14:paraId="074B3C36">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评价区域地下水水质特征</w:t>
      </w:r>
    </w:p>
    <w:p w14:paraId="3FCEB57D">
      <w:pPr>
        <w:tabs>
          <w:tab w:val="left" w:pos="540"/>
        </w:tabs>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濮阳市地下水属于松散岩类孔隙水，总体流向是由西南向东北，根据含水层的岩性结构，埋藏条件及动力特征，本区域可划分为潜水含水系统、浅层承压含水系统和深层承压含水系统。</w:t>
      </w:r>
    </w:p>
    <w:p w14:paraId="6262397B">
      <w:pPr>
        <w:tabs>
          <w:tab w:val="left" w:pos="540"/>
        </w:tabs>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fldChar w:fldCharType="begin"/>
      </w:r>
      <w:r>
        <w:rPr>
          <w:rFonts w:ascii="Times New Roman" w:hAnsi="Times New Roman" w:cs="Times New Roman"/>
          <w:color w:val="000000" w:themeColor="text1"/>
          <w:sz w:val="24"/>
          <w14:textFill>
            <w14:solidFill>
              <w14:schemeClr w14:val="tx1"/>
            </w14:solidFill>
          </w14:textFill>
        </w:rPr>
        <w:instrText xml:space="preserve"> = 1 \* GB3 \* MERGEFORMAT </w:instrText>
      </w:r>
      <w:r>
        <w:rPr>
          <w:rFonts w:ascii="Times New Roman" w:hAnsi="Times New Roman" w:cs="Times New Roman"/>
          <w:color w:val="000000" w:themeColor="text1"/>
          <w:sz w:val="24"/>
          <w14:textFill>
            <w14:solidFill>
              <w14:schemeClr w14:val="tx1"/>
            </w14:solidFill>
          </w14:textFill>
        </w:rPr>
        <w:fldChar w:fldCharType="separate"/>
      </w:r>
      <w:r>
        <w:rPr>
          <w:rFonts w:ascii="Times New Roman" w:hAnsi="Times New Roman" w:cs="Times New Roman"/>
          <w:color w:val="000000" w:themeColor="text1"/>
          <w:sz w:val="24"/>
          <w14:textFill>
            <w14:solidFill>
              <w14:schemeClr w14:val="tx1"/>
            </w14:solidFill>
          </w14:textFill>
        </w:rPr>
        <w:t>①</w:t>
      </w:r>
      <w:r>
        <w:rPr>
          <w:rFonts w:ascii="Times New Roman" w:hAnsi="Times New Roman" w:cs="Times New Roman"/>
          <w:color w:val="000000" w:themeColor="text1"/>
          <w:sz w:val="24"/>
          <w14:textFill>
            <w14:solidFill>
              <w14:schemeClr w14:val="tx1"/>
            </w14:solidFill>
          </w14:textFill>
        </w:rPr>
        <w:fldChar w:fldCharType="end"/>
      </w:r>
      <w:r>
        <w:rPr>
          <w:rFonts w:ascii="Times New Roman" w:hAnsi="Times New Roman" w:cs="Times New Roman"/>
          <w:color w:val="000000" w:themeColor="text1"/>
          <w:sz w:val="24"/>
          <w14:textFill>
            <w14:solidFill>
              <w14:schemeClr w14:val="tx1"/>
            </w14:solidFill>
          </w14:textFill>
        </w:rPr>
        <w:t>潜水含水系统</w:t>
      </w:r>
    </w:p>
    <w:p w14:paraId="20C1024A">
      <w:pPr>
        <w:tabs>
          <w:tab w:val="left" w:pos="540"/>
        </w:tabs>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该含水系统为全新统黄河冲积物所组成，在全区均有分布，属潜水，局部承压。含水层为粉细砂，局部为细中砂，多夹粘性土薄层，其厚度受古河道分布控制，在古河道带，含水砂层总厚度20-25m，底板由不甚稳定的粘性土层所组成，埋深30-40m；在古河间带，含水砂层厚度小于5，底板埋深24-30m。潜水含水层与浅层承压含水层之间分布一层由亚沙土、亚粘土组成的弱透析水层，厚4-20 m，二含水层系统之间水力联系密切，共同组成浅层地下水系统。</w:t>
      </w:r>
    </w:p>
    <w:p w14:paraId="7BA820D9">
      <w:pPr>
        <w:tabs>
          <w:tab w:val="left" w:pos="540"/>
        </w:tabs>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潜水含水系统富水性在古河道带较好，单井涌水量150-1300m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/d，古河间带富水性较差，单井涌水量小于50m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该含水系统开启程度最大，接受大气降水、地表水和农灌补给，其排泄主要为人工开采、下渗越流和蒸发。另外，该含水系统埋藏浅，与外界水的交换频繁，易受污染。该含水系统目前主要为农业灌溉和农村人畜用水。</w:t>
      </w:r>
    </w:p>
    <w:p w14:paraId="4EA4BFA6">
      <w:pPr>
        <w:tabs>
          <w:tab w:val="left" w:pos="540"/>
        </w:tabs>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fldChar w:fldCharType="begin"/>
      </w:r>
      <w:r>
        <w:rPr>
          <w:rFonts w:ascii="Times New Roman" w:hAnsi="Times New Roman" w:cs="Times New Roman"/>
          <w:color w:val="000000" w:themeColor="text1"/>
          <w:sz w:val="24"/>
          <w14:textFill>
            <w14:solidFill>
              <w14:schemeClr w14:val="tx1"/>
            </w14:solidFill>
          </w14:textFill>
        </w:rPr>
        <w:instrText xml:space="preserve"> = 2 \* GB3 \* MERGEFORMAT </w:instrText>
      </w:r>
      <w:r>
        <w:rPr>
          <w:rFonts w:ascii="Times New Roman" w:hAnsi="Times New Roman" w:cs="Times New Roman"/>
          <w:color w:val="000000" w:themeColor="text1"/>
          <w:sz w:val="24"/>
          <w14:textFill>
            <w14:solidFill>
              <w14:schemeClr w14:val="tx1"/>
            </w14:solidFill>
          </w14:textFill>
        </w:rPr>
        <w:fldChar w:fldCharType="separate"/>
      </w:r>
      <w:r>
        <w:rPr>
          <w:rFonts w:ascii="Times New Roman" w:hAnsi="Times New Roman" w:cs="Times New Roman"/>
          <w:color w:val="000000" w:themeColor="text1"/>
          <w:sz w:val="24"/>
          <w14:textFill>
            <w14:solidFill>
              <w14:schemeClr w14:val="tx1"/>
            </w14:solidFill>
          </w14:textFill>
        </w:rPr>
        <w:t>②</w:t>
      </w:r>
      <w:r>
        <w:rPr>
          <w:rFonts w:ascii="Times New Roman" w:hAnsi="Times New Roman" w:cs="Times New Roman"/>
          <w:color w:val="000000" w:themeColor="text1"/>
          <w:sz w:val="24"/>
          <w14:textFill>
            <w14:solidFill>
              <w14:schemeClr w14:val="tx1"/>
            </w14:solidFill>
          </w14:textFill>
        </w:rPr>
        <w:fldChar w:fldCharType="end"/>
      </w:r>
      <w:r>
        <w:rPr>
          <w:rFonts w:ascii="Times New Roman" w:hAnsi="Times New Roman" w:cs="Times New Roman"/>
          <w:color w:val="000000" w:themeColor="text1"/>
          <w:sz w:val="24"/>
          <w14:textFill>
            <w14:solidFill>
              <w14:schemeClr w14:val="tx1"/>
            </w14:solidFill>
          </w14:textFill>
        </w:rPr>
        <w:t>浅层承压含水系统</w:t>
      </w:r>
    </w:p>
    <w:p w14:paraId="34E38741">
      <w:pPr>
        <w:tabs>
          <w:tab w:val="left" w:pos="540"/>
        </w:tabs>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该含水系统由上更新统黄河冲积物所组成，其底板厚度为80-103m，顶部有一层粘土、亚粘土、亚砂土所组成的4-20m厚相对隔水层，与上部的潜水含水层系统隔开。区内浅层承压系统的富水性与古河道的分布和结构密切相关。古河道带渗透性强，地下水补给条件良好，单井涌水量大，水量较丰富；而古河道间带颗粒细，渗透性差，单井涌水量小。根据河南省水文地质一队提供的资料，濮阳市境内又分为中等富水区和强富水区。中等富水区单井涌水量5-10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/h，含水层厚度10-20m，濮阳市区在该区内；该富水区单井涌水量10-30m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h，含水层多为中、细砂，局部粗砂，厚度10-30m，区内有两处呈带状分布，一处在花园屯—戚城—油田供应处—油田物探公司—大寨一线，一处在皇甫—后范庄—马庄桥一带。该含水层接受潜水越流及区域径流补给，以人工开采为主要排泄途径，含盐量小于1mg/L，是生活和工业用水的主要地下水源。</w:t>
      </w:r>
    </w:p>
    <w:p w14:paraId="47FED2DF">
      <w:pPr>
        <w:tabs>
          <w:tab w:val="left" w:pos="540"/>
        </w:tabs>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浅层承压水以HCO</w:t>
      </w:r>
      <w:r>
        <w:rPr>
          <w:rFonts w:ascii="Times New Roman" w:hAnsi="Times New Roman" w:cs="Times New Roman"/>
          <w:color w:val="000000" w:themeColor="text1"/>
          <w:sz w:val="24"/>
          <w:vertAlign w:val="subscript"/>
          <w14:textFill>
            <w14:solidFill>
              <w14:schemeClr w14:val="tx1"/>
            </w14:solidFill>
          </w14:textFill>
        </w:rPr>
        <w:t>3</w:t>
      </w:r>
      <w:r>
        <w:rPr>
          <w:rFonts w:ascii="Times New Roman" w:hAnsi="Times New Roman" w:cs="Times New Roman"/>
          <w:color w:val="000000" w:themeColor="text1"/>
          <w:sz w:val="24"/>
          <w:vertAlign w:val="superscript"/>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型水为主，矿化度0.7-1.1g/L，绝大部分小于1.0g/L，水质较好，阳离子呈带状分布。总的来说，沿地下水流向由于Ca</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、Mg</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与Na</w:t>
      </w:r>
      <w:r>
        <w:rPr>
          <w:rFonts w:ascii="Times New Roman" w:hAnsi="Times New Roman" w:cs="Times New Roman"/>
          <w:color w:val="000000" w:themeColor="text1"/>
          <w:sz w:val="24"/>
          <w:vertAlign w:val="superscript"/>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交换所致，使浅层承压水化学类型由HCO</w:t>
      </w:r>
      <w:r>
        <w:rPr>
          <w:rFonts w:ascii="Times New Roman" w:hAnsi="Times New Roman" w:cs="Times New Roman"/>
          <w:color w:val="000000" w:themeColor="text1"/>
          <w:sz w:val="24"/>
          <w:vertAlign w:val="sub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—Ca·Mg型水向HCO</w:t>
      </w:r>
      <w:r>
        <w:rPr>
          <w:rFonts w:ascii="Times New Roman" w:hAnsi="Times New Roman" w:cs="Times New Roman"/>
          <w:color w:val="000000" w:themeColor="text1"/>
          <w:sz w:val="24"/>
          <w:vertAlign w:val="sub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—Na·Mg·Ca型水转化地下水中。</w:t>
      </w:r>
    </w:p>
    <w:p w14:paraId="01E6754D">
      <w:pPr>
        <w:tabs>
          <w:tab w:val="left" w:pos="540"/>
        </w:tabs>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fldChar w:fldCharType="begin"/>
      </w:r>
      <w:r>
        <w:rPr>
          <w:rFonts w:ascii="Times New Roman" w:hAnsi="Times New Roman" w:cs="Times New Roman"/>
          <w:color w:val="000000" w:themeColor="text1"/>
          <w:sz w:val="24"/>
          <w14:textFill>
            <w14:solidFill>
              <w14:schemeClr w14:val="tx1"/>
            </w14:solidFill>
          </w14:textFill>
        </w:rPr>
        <w:instrText xml:space="preserve"> = 3 \* GB3 \* MERGEFORMAT </w:instrText>
      </w:r>
      <w:r>
        <w:rPr>
          <w:rFonts w:ascii="Times New Roman" w:hAnsi="Times New Roman" w:cs="Times New Roman"/>
          <w:color w:val="000000" w:themeColor="text1"/>
          <w:sz w:val="24"/>
          <w14:textFill>
            <w14:solidFill>
              <w14:schemeClr w14:val="tx1"/>
            </w14:solidFill>
          </w14:textFill>
        </w:rPr>
        <w:fldChar w:fldCharType="separate"/>
      </w:r>
      <w:r>
        <w:rPr>
          <w:rFonts w:ascii="Times New Roman" w:hAnsi="Times New Roman" w:cs="Times New Roman"/>
          <w:color w:val="000000" w:themeColor="text1"/>
          <w:sz w:val="24"/>
          <w14:textFill>
            <w14:solidFill>
              <w14:schemeClr w14:val="tx1"/>
            </w14:solidFill>
          </w14:textFill>
        </w:rPr>
        <w:t>③</w:t>
      </w:r>
      <w:r>
        <w:rPr>
          <w:rFonts w:ascii="Times New Roman" w:hAnsi="Times New Roman" w:cs="Times New Roman"/>
          <w:color w:val="000000" w:themeColor="text1"/>
          <w:sz w:val="24"/>
          <w14:textFill>
            <w14:solidFill>
              <w14:schemeClr w14:val="tx1"/>
            </w14:solidFill>
          </w14:textFill>
        </w:rPr>
        <w:fldChar w:fldCharType="end"/>
      </w:r>
      <w:r>
        <w:rPr>
          <w:rFonts w:ascii="Times New Roman" w:hAnsi="Times New Roman" w:cs="Times New Roman"/>
          <w:color w:val="000000" w:themeColor="text1"/>
          <w:sz w:val="24"/>
          <w14:textFill>
            <w14:solidFill>
              <w14:schemeClr w14:val="tx1"/>
            </w14:solidFill>
          </w14:textFill>
        </w:rPr>
        <w:t>深层承压含水系统</w:t>
      </w:r>
    </w:p>
    <w:p w14:paraId="4F485698">
      <w:pPr>
        <w:tabs>
          <w:tab w:val="left" w:pos="540"/>
        </w:tabs>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深层承压含水系统由中、早更新统及上第三系河湖相地层所组成，其顶界埋深为90-103m，顶部有稳定且厚的粘性土层，将其与上层的浅层含水系统隔开。该含水系统在濮阳不同地区含水砂层分布差别较大。根据有关资料，铁丘南，在121.50-195.50m之间有三个含水层，总厚度28.5m，降深6.42m时，涌水量43.9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/h（滤水管直径为146mm）；油田基地及柳屯地区含水砂层单层厚度较小，以粉细砂和中砂为主，一般可见6-8层，单井涌水量32-144m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/d；砂层厚度较大的地方，单井涌水量较大，如大寨—双庙及北昌湖—呼沱一线，降深15m时，单井涌水量可达1000-2000m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/d，其他地区单井涌水量一般小于1000m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/d。该含水系统与上部含水系统之间的联系微弱，与当地气象要素变化几乎无关，水质较差，为氯化物型微咸水。</w:t>
      </w:r>
    </w:p>
    <w:p w14:paraId="47A2C4B1">
      <w:pPr>
        <w:tabs>
          <w:tab w:val="left" w:pos="540"/>
        </w:tabs>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深层承压含水系统地下水化学类型以SO</w:t>
      </w:r>
      <w:r>
        <w:rPr>
          <w:rFonts w:ascii="Times New Roman" w:hAnsi="Times New Roman" w:cs="Times New Roman"/>
          <w:color w:val="000000" w:themeColor="text1"/>
          <w:sz w:val="24"/>
          <w:vertAlign w:val="sub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·Cl—Na·Mg及HCO</w:t>
      </w:r>
      <w:r>
        <w:rPr>
          <w:rFonts w:ascii="Times New Roman" w:hAnsi="Times New Roman" w:cs="Times New Roman"/>
          <w:color w:val="000000" w:themeColor="text1"/>
          <w:sz w:val="24"/>
          <w:vertAlign w:val="sub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·Cl—Na·Mg为主，矿化度0.89-2.1g/L，为微咸水，随深度增加，矿化度有增高的趋势，而硬度有减少的趋势，反应深层承压含水系统的湖相沉积背景和封闭还原的水文地球环境，不宜作为饮用水水源。</w:t>
      </w:r>
    </w:p>
    <w:p w14:paraId="71042683">
      <w:pPr>
        <w:adjustRightInd w:val="0"/>
        <w:snapToGrid w:val="0"/>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（3）区域地下水保护目标调查</w:t>
      </w:r>
    </w:p>
    <w:p w14:paraId="266F8817">
      <w:pPr>
        <w:adjustRightInd w:val="0"/>
        <w:snapToGrid w:val="0"/>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根据导则，本项目地下水评价范围为：</w:t>
      </w:r>
      <w:r>
        <w:rPr>
          <w:rFonts w:ascii="Times New Roman" w:hAnsi="Times New Roman" w:cs="Times New Roman"/>
          <w:bCs/>
          <w:color w:val="000000" w:themeColor="text1"/>
          <w:sz w:val="24"/>
          <w14:textFill>
            <w14:solidFill>
              <w14:schemeClr w14:val="tx1"/>
            </w14:solidFill>
          </w14:textFill>
        </w:rPr>
        <w:t>按地下水流向，项目厂址上游1km、下游2km、两侧各1km，面积共6km</w:t>
      </w:r>
      <w:r>
        <w:rPr>
          <w:rFonts w:ascii="Times New Roman" w:hAnsi="Times New Roman" w:cs="Times New Roman"/>
          <w:bCs/>
          <w:color w:val="000000" w:themeColor="text1"/>
          <w:sz w:val="24"/>
          <w:vertAlign w:val="superscript"/>
          <w14:textFill>
            <w14:solidFill>
              <w14:schemeClr w14:val="tx1"/>
            </w14:solidFill>
          </w14:textFill>
        </w:rPr>
        <w:t>2</w:t>
      </w:r>
      <w:r>
        <w:rPr>
          <w:rFonts w:ascii="Times New Roman" w:hAnsi="Times New Roman" w:cs="Times New Roman"/>
          <w:bCs/>
          <w:color w:val="000000" w:themeColor="text1"/>
          <w:sz w:val="24"/>
          <w14:textFill>
            <w14:solidFill>
              <w14:schemeClr w14:val="tx1"/>
            </w14:solidFill>
          </w14:textFill>
        </w:rPr>
        <w:t>的浅层地下水，</w:t>
      </w:r>
      <w:r>
        <w:rPr>
          <w:rFonts w:ascii="Times New Roman" w:hAnsi="Times New Roman" w:cs="Times New Roman"/>
          <w:color w:val="000000" w:themeColor="text1"/>
          <w:sz w:val="24"/>
          <w14:textFill>
            <w14:solidFill>
              <w14:schemeClr w14:val="tx1"/>
            </w14:solidFill>
          </w14:textFill>
        </w:rPr>
        <w:t>本项目所处位置属于</w:t>
      </w:r>
      <w:r>
        <w:rPr>
          <w:rFonts w:hint="eastAsia" w:ascii="Times New Roman" w:hAnsi="Times New Roman" w:eastAsia="宋体" w:cs="Times New Roman"/>
          <w:bCs/>
          <w:kern w:val="0"/>
          <w:sz w:val="24"/>
        </w:rPr>
        <w:t>濮阳市清丰县河南省濮阳市清丰县产业集聚区人民路南侧、建设路东侧</w:t>
      </w:r>
      <w:r>
        <w:rPr>
          <w:rFonts w:ascii="Times New Roman" w:hAnsi="Times New Roman" w:cs="Times New Roman"/>
          <w:color w:val="000000" w:themeColor="text1"/>
          <w:sz w:val="24"/>
          <w14:textFill>
            <w14:solidFill>
              <w14:schemeClr w14:val="tx1"/>
            </w14:solidFill>
          </w14:textFill>
        </w:rPr>
        <w:t>，根据《河南省人民政府办公厅关于印发河南省乡镇集中式饮用水水源保护区划的通知》（豫政办〔2016〕23号），距离本项目最近的集中式饮用水源保护区为</w:t>
      </w:r>
      <w:r>
        <w:rPr>
          <w:rFonts w:ascii="Times New Roman" w:hAnsi="Times New Roman" w:eastAsia="宋体" w:cs="Times New Roman"/>
          <w:color w:val="000000" w:themeColor="text1"/>
          <w:sz w:val="24"/>
          <w14:textFill>
            <w14:solidFill>
              <w14:schemeClr w14:val="tx1"/>
            </w14:solidFill>
          </w14:textFill>
        </w:rPr>
        <w:t>清丰县柳格镇水厂地下水井群</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共2眼井</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，其一级保护区范围：水厂厂区及外围30米、北至015县道的区域，位于本项目南侧</w:t>
      </w:r>
      <w:r>
        <w:rPr>
          <w:rFonts w:hint="eastAsia" w:ascii="Times New Roman" w:hAnsi="Times New Roman" w:eastAsia="宋体" w:cs="Times New Roman"/>
          <w:color w:val="000000" w:themeColor="text1"/>
          <w:sz w:val="24"/>
          <w14:textFill>
            <w14:solidFill>
              <w14:schemeClr w14:val="tx1"/>
            </w14:solidFill>
          </w14:textFill>
        </w:rPr>
        <w:t>3.99</w:t>
      </w:r>
      <w:r>
        <w:rPr>
          <w:rFonts w:ascii="Times New Roman" w:hAnsi="Times New Roman" w:eastAsia="宋体" w:cs="Times New Roman"/>
          <w:color w:val="000000" w:themeColor="text1"/>
          <w:sz w:val="24"/>
          <w14:textFill>
            <w14:solidFill>
              <w14:schemeClr w14:val="tx1"/>
            </w14:solidFill>
          </w14:textFill>
        </w:rPr>
        <w:t>km处，不在柳格镇水厂一级保护范围内，同时不在本项目地下水评价范围</w:t>
      </w:r>
      <w:r>
        <w:rPr>
          <w:rFonts w:ascii="Times New Roman" w:hAnsi="Times New Roman" w:cs="Times New Roman"/>
          <w:color w:val="000000" w:themeColor="text1"/>
          <w:sz w:val="24"/>
          <w14:textFill>
            <w14:solidFill>
              <w14:schemeClr w14:val="tx1"/>
            </w14:solidFill>
          </w14:textFill>
        </w:rPr>
        <w:t>。因此本项目评价范围不存在集中式以及分散式水源，其余地下水保护目标为附近的村庄。</w:t>
      </w:r>
    </w:p>
    <w:p w14:paraId="5A4E6124">
      <w:pPr>
        <w:pStyle w:val="4"/>
        <w:numPr>
          <w:ilvl w:val="2"/>
          <w:numId w:val="67"/>
        </w:numPr>
        <w:adjustRightInd w:val="0"/>
        <w:snapToGrid w:val="0"/>
        <w:ind w:left="709" w:hanging="709"/>
      </w:pPr>
      <w:r>
        <w:t>地下水环境预测与评价</w:t>
      </w:r>
      <w:bookmarkEnd w:id="266"/>
      <w:bookmarkEnd w:id="267"/>
      <w:bookmarkEnd w:id="268"/>
    </w:p>
    <w:p w14:paraId="79FF20F3">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（1）</w:t>
      </w:r>
      <w:r>
        <w:rPr>
          <w:rFonts w:ascii="Times New Roman" w:hAnsi="Times New Roman" w:eastAsia="宋体" w:cs="Times New Roman"/>
          <w:bCs/>
          <w:color w:val="000000" w:themeColor="text1"/>
          <w:sz w:val="24"/>
          <w14:textFill>
            <w14:solidFill>
              <w14:schemeClr w14:val="tx1"/>
            </w14:solidFill>
          </w14:textFill>
        </w:rPr>
        <w:t>预测范围</w:t>
      </w:r>
    </w:p>
    <w:p w14:paraId="739BC9AA">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地下水环境影响预测范围一般与调查评价范围一致。</w:t>
      </w:r>
    </w:p>
    <w:p w14:paraId="1893399B">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（2）</w:t>
      </w:r>
      <w:r>
        <w:rPr>
          <w:rFonts w:ascii="Times New Roman" w:hAnsi="Times New Roman" w:eastAsia="宋体" w:cs="Times New Roman"/>
          <w:bCs/>
          <w:color w:val="000000" w:themeColor="text1"/>
          <w:sz w:val="24"/>
          <w14:textFill>
            <w14:solidFill>
              <w14:schemeClr w14:val="tx1"/>
            </w14:solidFill>
          </w14:textFill>
        </w:rPr>
        <w:t>预测时段</w:t>
      </w:r>
    </w:p>
    <w:p w14:paraId="0051598B">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根据《环境影响评价技术导则 地下水环境》（HJ610-2016）要求，地下水环境影响预测时段应选取可能产生地下水污染的关键时段，至少包括污染发生后100d、1000d，服务年限或者能反映特征因子迁移规律的其他重要的时间节点。本次工程地下水影响预测时段：废水下渗100d、500d、1000d时间点（典型时间节点）。</w:t>
      </w:r>
    </w:p>
    <w:p w14:paraId="57197D50">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（3）</w:t>
      </w:r>
      <w:r>
        <w:rPr>
          <w:rFonts w:ascii="Times New Roman" w:hAnsi="Times New Roman" w:eastAsia="宋体" w:cs="Times New Roman"/>
          <w:bCs/>
          <w:color w:val="000000" w:themeColor="text1"/>
          <w:sz w:val="24"/>
          <w14:textFill>
            <w14:solidFill>
              <w14:schemeClr w14:val="tx1"/>
            </w14:solidFill>
          </w14:textFill>
        </w:rPr>
        <w:t>情景设置</w:t>
      </w:r>
    </w:p>
    <w:p w14:paraId="0F507743">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根据《环境影响评价技术导则地下水环境》（HJ610-2016）要求，一般情况下，建设项目须对正常状况和非正常状况的情景分别进行预测。9.4.2已依据GB16889、GB18597、GB18598、GB18599、GB/T50934设计地下水污染防渗措施的建设项目，可不进行正常状况情景下的预测。</w:t>
      </w:r>
    </w:p>
    <w:p w14:paraId="081EBC20">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本次工程按照《危险废物贮存污染控制标准》（GB18597-2001）、《石油化工防渗工程技术规范》（GB/T50934-2013）等相关规范的要求进行防渗处理，各生产环节按照设计参数运行。正常状况下污水不会渗漏进入地下造成污染。因此，正常状况下没有废水渗漏至地下水的情景发生。因此，本次模拟预测情景主要针对非正常状况进行设定。</w:t>
      </w:r>
    </w:p>
    <w:p w14:paraId="68C8CF80">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①分析非正常状况下（污水处理设施因防渗层老化，腐蚀等原因造成废水下渗）项目废水下渗对地下水的影响。</w:t>
      </w:r>
    </w:p>
    <w:p w14:paraId="0E4D6B58">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②分析风险事故下</w:t>
      </w:r>
      <w:r>
        <w:rPr>
          <w:rFonts w:hint="eastAsia" w:ascii="Times New Roman" w:hAnsi="Times New Roman" w:eastAsia="宋体" w:cs="Times New Roman"/>
          <w:bCs/>
          <w:color w:val="000000" w:themeColor="text1"/>
          <w:sz w:val="24"/>
          <w14:textFill>
            <w14:solidFill>
              <w14:schemeClr w14:val="tx1"/>
            </w14:solidFill>
          </w14:textFill>
        </w:rPr>
        <w:t>油漆、稀释剂桶破裂</w:t>
      </w:r>
      <w:r>
        <w:rPr>
          <w:rFonts w:ascii="Times New Roman" w:hAnsi="Times New Roman" w:eastAsia="宋体" w:cs="Times New Roman"/>
          <w:bCs/>
          <w:color w:val="000000" w:themeColor="text1"/>
          <w:sz w:val="24"/>
          <w14:textFill>
            <w14:solidFill>
              <w14:schemeClr w14:val="tx1"/>
            </w14:solidFill>
          </w14:textFill>
        </w:rPr>
        <w:t>泄露液通过破损的裂缝渗漏至地下水面而污染地下水</w:t>
      </w:r>
      <w:r>
        <w:rPr>
          <w:rFonts w:hint="eastAsia" w:ascii="Times New Roman" w:hAnsi="Times New Roman" w:eastAsia="宋体" w:cs="Times New Roman"/>
          <w:bCs/>
          <w:color w:val="000000" w:themeColor="text1"/>
          <w:sz w:val="24"/>
          <w14:textFill>
            <w14:solidFill>
              <w14:schemeClr w14:val="tx1"/>
            </w14:solidFill>
          </w14:textFill>
        </w:rPr>
        <w:t>，根据建设单位提供的资料，本项目油漆、稀释剂储存在2F，不会通过地面进入地下水，因此不再分析油漆、稀释剂风险事故。</w:t>
      </w:r>
    </w:p>
    <w:p w14:paraId="41B7043F">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（4）</w:t>
      </w:r>
      <w:r>
        <w:rPr>
          <w:rFonts w:ascii="Times New Roman" w:hAnsi="Times New Roman" w:eastAsia="宋体" w:cs="Times New Roman"/>
          <w:bCs/>
          <w:color w:val="000000" w:themeColor="text1"/>
          <w:sz w:val="24"/>
          <w14:textFill>
            <w14:solidFill>
              <w14:schemeClr w14:val="tx1"/>
            </w14:solidFill>
          </w14:textFill>
        </w:rPr>
        <w:t>预测因子及评价标准</w:t>
      </w:r>
    </w:p>
    <w:p w14:paraId="3C119FB3">
      <w:pPr>
        <w:adjustRightInd w:val="0"/>
        <w:snapToGrid w:val="0"/>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根据《环境影响评价技术导则—地下水环境》（HJ610-2016），按照重金属、持久性有机污染物和其他类别进行分类，并对每一类别中的各项因子采用标准指数法进行排序，分别取标准指数最大的因子作为预测因子。本项目预测因子为COD</w:t>
      </w:r>
      <w:r>
        <w:rPr>
          <w:rFonts w:ascii="Times New Roman" w:hAnsi="Times New Roman" w:eastAsia="宋体" w:cs="Times New Roman"/>
          <w:bCs/>
          <w:color w:val="000000" w:themeColor="text1"/>
          <w:sz w:val="24"/>
          <w:vertAlign w:val="subscript"/>
          <w14:textFill>
            <w14:solidFill>
              <w14:schemeClr w14:val="tx1"/>
            </w14:solidFill>
          </w14:textFill>
        </w:rPr>
        <w:t>Mn</w:t>
      </w:r>
      <w:r>
        <w:rPr>
          <w:rFonts w:ascii="Times New Roman" w:hAnsi="Times New Roman" w:eastAsia="宋体" w:cs="Times New Roman"/>
          <w:bCs/>
          <w:color w:val="000000" w:themeColor="text1"/>
          <w:sz w:val="24"/>
          <w14:textFill>
            <w14:solidFill>
              <w14:schemeClr w14:val="tx1"/>
            </w14:solidFill>
          </w14:textFill>
        </w:rPr>
        <w:t>（耗氧量）、</w:t>
      </w:r>
      <w:r>
        <w:rPr>
          <w:rFonts w:hint="eastAsia" w:ascii="Times New Roman" w:hAnsi="Times New Roman" w:eastAsia="宋体" w:cs="Times New Roman"/>
          <w:bCs/>
          <w:color w:val="000000" w:themeColor="text1"/>
          <w:sz w:val="24"/>
          <w14:textFill>
            <w14:solidFill>
              <w14:schemeClr w14:val="tx1"/>
            </w14:solidFill>
          </w14:textFill>
        </w:rPr>
        <w:t>甲苯、二甲苯</w:t>
      </w:r>
      <w:r>
        <w:rPr>
          <w:rFonts w:ascii="Times New Roman" w:hAnsi="Times New Roman" w:eastAsia="宋体" w:cs="Times New Roman"/>
          <w:bCs/>
          <w:color w:val="000000" w:themeColor="text1"/>
          <w:sz w:val="24"/>
          <w14:textFill>
            <w14:solidFill>
              <w14:schemeClr w14:val="tx1"/>
            </w14:solidFill>
          </w14:textFill>
        </w:rPr>
        <w:t>。</w:t>
      </w:r>
    </w:p>
    <w:p w14:paraId="5A51D13D">
      <w:pPr>
        <w:adjustRightInd w:val="0"/>
        <w:snapToGrid w:val="0"/>
        <w:spacing w:line="360" w:lineRule="auto"/>
        <w:ind w:firstLine="482"/>
        <w:rPr>
          <w:rFonts w:ascii="Times New Roman" w:hAnsi="Times New Roman" w:cs="Times New Roman"/>
          <w:sz w:val="24"/>
        </w:rPr>
      </w:pPr>
      <w:r>
        <w:rPr>
          <w:rFonts w:ascii="Times New Roman" w:hAnsi="Times New Roman" w:cs="Times New Roman"/>
          <w:sz w:val="24"/>
        </w:rPr>
        <w:t>本项目COD</w:t>
      </w:r>
      <w:r>
        <w:rPr>
          <w:rFonts w:ascii="Times New Roman" w:hAnsi="Times New Roman" w:cs="Times New Roman"/>
          <w:sz w:val="24"/>
          <w:vertAlign w:val="subscript"/>
        </w:rPr>
        <w:t>Cr</w:t>
      </w:r>
      <w:r>
        <w:rPr>
          <w:rFonts w:ascii="Times New Roman" w:hAnsi="Times New Roman" w:cs="Times New Roman"/>
          <w:sz w:val="24"/>
        </w:rPr>
        <w:t>为</w:t>
      </w:r>
      <w:r>
        <w:rPr>
          <w:rFonts w:hint="eastAsia" w:ascii="Times New Roman" w:hAnsi="Times New Roman" w:cs="Times New Roman"/>
          <w:sz w:val="24"/>
        </w:rPr>
        <w:t>976</w:t>
      </w:r>
      <w:r>
        <w:rPr>
          <w:rFonts w:ascii="Times New Roman" w:hAnsi="Times New Roman" w:cs="Times New Roman"/>
          <w:sz w:val="24"/>
        </w:rPr>
        <w:t>mg/L，根据《高锰酸盐指数与化学需氧量相关关系探讨》一文得出的高锰酸盐指数与化学需氧量线性回归方程Y=4.76X+2.61（X为高锰酸盐指数，Y为COD）进行换算，因此COD</w:t>
      </w:r>
      <w:r>
        <w:rPr>
          <w:rFonts w:ascii="Times New Roman" w:hAnsi="Times New Roman" w:cs="Times New Roman"/>
          <w:sz w:val="24"/>
          <w:vertAlign w:val="subscript"/>
        </w:rPr>
        <w:t>Cr</w:t>
      </w:r>
      <w:r>
        <w:rPr>
          <w:rFonts w:ascii="Times New Roman" w:hAnsi="Times New Roman" w:cs="Times New Roman"/>
          <w:sz w:val="24"/>
        </w:rPr>
        <w:t>折算成COD</w:t>
      </w:r>
      <w:r>
        <w:rPr>
          <w:rFonts w:ascii="Times New Roman" w:hAnsi="Times New Roman" w:cs="Times New Roman"/>
          <w:sz w:val="24"/>
          <w:vertAlign w:val="subscript"/>
        </w:rPr>
        <w:t>Mn</w:t>
      </w:r>
      <w:r>
        <w:rPr>
          <w:rFonts w:ascii="Times New Roman" w:hAnsi="Times New Roman" w:cs="Times New Roman"/>
          <w:sz w:val="24"/>
        </w:rPr>
        <w:t>（耗氧量）浓度为</w:t>
      </w:r>
      <w:r>
        <w:rPr>
          <w:rFonts w:hint="eastAsia" w:ascii="Times New Roman" w:hAnsi="Times New Roman" w:cs="Times New Roman"/>
          <w:sz w:val="24"/>
        </w:rPr>
        <w:t>167.52</w:t>
      </w:r>
      <w:r>
        <w:rPr>
          <w:rFonts w:ascii="Times New Roman" w:hAnsi="Times New Roman" w:cs="Times New Roman"/>
          <w:sz w:val="24"/>
        </w:rPr>
        <w:t>mg/L。</w:t>
      </w:r>
    </w:p>
    <w:p w14:paraId="4CD7B0AB">
      <w:pPr>
        <w:adjustRightInd w:val="0"/>
        <w:snapToGrid w:val="0"/>
        <w:spacing w:line="360" w:lineRule="auto"/>
        <w:ind w:firstLine="482"/>
        <w:rPr>
          <w:rFonts w:ascii="Times New Roman" w:hAnsi="Times New Roman" w:cs="Times New Roman"/>
          <w:sz w:val="24"/>
        </w:rPr>
      </w:pPr>
      <w:r>
        <w:rPr>
          <w:rFonts w:ascii="Times New Roman" w:hAnsi="Times New Roman" w:cs="Times New Roman"/>
          <w:sz w:val="24"/>
        </w:rPr>
        <w:t>本次预测对各项因子采用标准指数法进行排序，经对比，本次预测选取耗氧量、</w:t>
      </w:r>
      <w:r>
        <w:rPr>
          <w:rFonts w:hint="eastAsia" w:ascii="Times New Roman" w:hAnsi="Times New Roman" w:cs="Times New Roman"/>
          <w:sz w:val="24"/>
        </w:rPr>
        <w:t>甲苯、二甲苯</w:t>
      </w:r>
      <w:r>
        <w:rPr>
          <w:rFonts w:ascii="Times New Roman" w:hAnsi="Times New Roman" w:cs="Times New Roman"/>
          <w:sz w:val="24"/>
        </w:rPr>
        <w:t>作为预测因子。</w:t>
      </w:r>
    </w:p>
    <w:p w14:paraId="2E88568B">
      <w:pPr>
        <w:numPr>
          <w:ilvl w:val="0"/>
          <w:numId w:val="65"/>
        </w:numPr>
        <w:autoSpaceDE w:val="0"/>
        <w:autoSpaceDN w:val="0"/>
        <w:adjustRightInd w:val="0"/>
        <w:jc w:val="center"/>
        <w:textAlignment w:val="baseline"/>
        <w:rPr>
          <w:rFonts w:ascii="Times New Roman" w:hAnsi="Times New Roman" w:eastAsia="宋体" w:cs="Times New Roman"/>
          <w:szCs w:val="21"/>
        </w:rPr>
      </w:pPr>
      <w:r>
        <w:rPr>
          <w:rFonts w:ascii="Times New Roman" w:hAnsi="Times New Roman" w:eastAsia="宋体" w:cs="Times New Roman"/>
          <w:b/>
          <w:bCs/>
          <w:szCs w:val="21"/>
        </w:rPr>
        <w:t xml:space="preserve"> 预测因子一览表</w:t>
      </w:r>
    </w:p>
    <w:tbl>
      <w:tblPr>
        <w:tblStyle w:val="30"/>
        <w:tblW w:w="8519" w:type="dxa"/>
        <w:tblInd w:w="0" w:type="dxa"/>
        <w:tblLayout w:type="fixed"/>
        <w:tblCellMar>
          <w:top w:w="0" w:type="dxa"/>
          <w:left w:w="108" w:type="dxa"/>
          <w:bottom w:w="0" w:type="dxa"/>
          <w:right w:w="108" w:type="dxa"/>
        </w:tblCellMar>
      </w:tblPr>
      <w:tblGrid>
        <w:gridCol w:w="1791"/>
        <w:gridCol w:w="2149"/>
        <w:gridCol w:w="2289"/>
        <w:gridCol w:w="2290"/>
      </w:tblGrid>
      <w:tr w14:paraId="7BA74C8D">
        <w:tblPrEx>
          <w:tblCellMar>
            <w:top w:w="0" w:type="dxa"/>
            <w:left w:w="108" w:type="dxa"/>
            <w:bottom w:w="0" w:type="dxa"/>
            <w:right w:w="108" w:type="dxa"/>
          </w:tblCellMar>
        </w:tblPrEx>
        <w:trPr>
          <w:trHeight w:val="369" w:hRule="atLeast"/>
        </w:trPr>
        <w:tc>
          <w:tcPr>
            <w:tcW w:w="1791" w:type="dxa"/>
            <w:tcBorders>
              <w:top w:val="single" w:color="auto" w:sz="4" w:space="0"/>
              <w:left w:val="single" w:color="auto" w:sz="4" w:space="0"/>
              <w:bottom w:val="single" w:color="auto" w:sz="4" w:space="0"/>
              <w:right w:val="single" w:color="auto" w:sz="4" w:space="0"/>
            </w:tcBorders>
            <w:noWrap/>
            <w:vAlign w:val="center"/>
          </w:tcPr>
          <w:p w14:paraId="2FE89C34">
            <w:pPr>
              <w:jc w:val="center"/>
              <w:rPr>
                <w:rFonts w:ascii="Times New Roman" w:hAnsi="Times New Roman" w:cs="Times New Roman"/>
                <w:szCs w:val="21"/>
              </w:rPr>
            </w:pPr>
            <w:r>
              <w:rPr>
                <w:rFonts w:ascii="Times New Roman" w:hAnsi="Times New Roman" w:cs="Times New Roman"/>
                <w:szCs w:val="21"/>
              </w:rPr>
              <w:t>特征污染物</w:t>
            </w:r>
          </w:p>
        </w:tc>
        <w:tc>
          <w:tcPr>
            <w:tcW w:w="2149" w:type="dxa"/>
            <w:tcBorders>
              <w:top w:val="single" w:color="auto" w:sz="4" w:space="0"/>
              <w:left w:val="nil"/>
              <w:bottom w:val="single" w:color="auto" w:sz="4" w:space="0"/>
              <w:right w:val="single" w:color="auto" w:sz="4" w:space="0"/>
            </w:tcBorders>
            <w:noWrap/>
            <w:vAlign w:val="center"/>
          </w:tcPr>
          <w:p w14:paraId="7E4B2EC0">
            <w:pPr>
              <w:jc w:val="center"/>
              <w:rPr>
                <w:rFonts w:ascii="Times New Roman" w:hAnsi="Times New Roman" w:cs="Times New Roman"/>
                <w:szCs w:val="21"/>
              </w:rPr>
            </w:pPr>
            <w:r>
              <w:rPr>
                <w:rFonts w:ascii="Times New Roman" w:hAnsi="Times New Roman" w:cs="Times New Roman"/>
                <w:szCs w:val="21"/>
              </w:rPr>
              <w:t>浓度（mg/L）</w:t>
            </w:r>
          </w:p>
        </w:tc>
        <w:tc>
          <w:tcPr>
            <w:tcW w:w="2289" w:type="dxa"/>
            <w:tcBorders>
              <w:top w:val="single" w:color="auto" w:sz="4" w:space="0"/>
              <w:left w:val="nil"/>
              <w:bottom w:val="single" w:color="auto" w:sz="4" w:space="0"/>
              <w:right w:val="single" w:color="auto" w:sz="4" w:space="0"/>
            </w:tcBorders>
            <w:noWrap/>
            <w:vAlign w:val="center"/>
          </w:tcPr>
          <w:p w14:paraId="36833915">
            <w:pPr>
              <w:jc w:val="center"/>
              <w:rPr>
                <w:rFonts w:ascii="Times New Roman" w:hAnsi="Times New Roman" w:cs="Times New Roman"/>
                <w:szCs w:val="21"/>
              </w:rPr>
            </w:pPr>
            <w:r>
              <w:rPr>
                <w:rFonts w:ascii="Times New Roman" w:hAnsi="Times New Roman" w:cs="Times New Roman"/>
                <w:szCs w:val="21"/>
              </w:rPr>
              <w:t>标准限值（mg/L）</w:t>
            </w:r>
          </w:p>
        </w:tc>
        <w:tc>
          <w:tcPr>
            <w:tcW w:w="2290" w:type="dxa"/>
            <w:tcBorders>
              <w:top w:val="single" w:color="auto" w:sz="4" w:space="0"/>
              <w:left w:val="nil"/>
              <w:bottom w:val="single" w:color="auto" w:sz="4" w:space="0"/>
              <w:right w:val="single" w:color="auto" w:sz="4" w:space="0"/>
            </w:tcBorders>
            <w:noWrap/>
            <w:vAlign w:val="center"/>
          </w:tcPr>
          <w:p w14:paraId="38A26D06">
            <w:pPr>
              <w:jc w:val="center"/>
              <w:rPr>
                <w:rFonts w:ascii="Times New Roman" w:hAnsi="Times New Roman" w:cs="Times New Roman"/>
                <w:szCs w:val="21"/>
              </w:rPr>
            </w:pPr>
            <w:r>
              <w:rPr>
                <w:rFonts w:hint="eastAsia" w:ascii="Times New Roman" w:hAnsi="Times New Roman" w:cs="Times New Roman"/>
                <w:szCs w:val="21"/>
              </w:rPr>
              <w:t>检出限</w:t>
            </w:r>
            <w:r>
              <w:rPr>
                <w:rFonts w:ascii="Times New Roman" w:hAnsi="Times New Roman" w:cs="Times New Roman"/>
                <w:szCs w:val="21"/>
              </w:rPr>
              <w:t>（mg/L）</w:t>
            </w:r>
          </w:p>
        </w:tc>
      </w:tr>
      <w:tr w14:paraId="5922791E">
        <w:tblPrEx>
          <w:tblCellMar>
            <w:top w:w="0" w:type="dxa"/>
            <w:left w:w="108" w:type="dxa"/>
            <w:bottom w:w="0" w:type="dxa"/>
            <w:right w:w="108" w:type="dxa"/>
          </w:tblCellMar>
        </w:tblPrEx>
        <w:trPr>
          <w:trHeight w:val="369" w:hRule="atLeast"/>
        </w:trPr>
        <w:tc>
          <w:tcPr>
            <w:tcW w:w="1791" w:type="dxa"/>
            <w:tcBorders>
              <w:top w:val="single" w:color="auto" w:sz="4" w:space="0"/>
              <w:left w:val="single" w:color="auto" w:sz="4" w:space="0"/>
              <w:bottom w:val="single" w:color="auto" w:sz="4" w:space="0"/>
              <w:right w:val="single" w:color="auto" w:sz="4" w:space="0"/>
            </w:tcBorders>
            <w:noWrap/>
            <w:vAlign w:val="center"/>
          </w:tcPr>
          <w:p w14:paraId="2E98BC56">
            <w:pPr>
              <w:jc w:val="center"/>
              <w:rPr>
                <w:rFonts w:ascii="Times New Roman" w:hAnsi="Times New Roman" w:cs="Times New Roman"/>
                <w:szCs w:val="21"/>
              </w:rPr>
            </w:pPr>
            <w:r>
              <w:rPr>
                <w:rFonts w:ascii="Times New Roman" w:hAnsi="Times New Roman" w:cs="Times New Roman"/>
                <w:szCs w:val="21"/>
              </w:rPr>
              <w:t>耗氧量</w:t>
            </w:r>
          </w:p>
        </w:tc>
        <w:tc>
          <w:tcPr>
            <w:tcW w:w="2149" w:type="dxa"/>
            <w:tcBorders>
              <w:top w:val="single" w:color="auto" w:sz="4" w:space="0"/>
              <w:left w:val="nil"/>
              <w:bottom w:val="single" w:color="auto" w:sz="4" w:space="0"/>
              <w:right w:val="single" w:color="auto" w:sz="4" w:space="0"/>
            </w:tcBorders>
            <w:noWrap/>
            <w:vAlign w:val="center"/>
          </w:tcPr>
          <w:p w14:paraId="5476F795">
            <w:pPr>
              <w:jc w:val="center"/>
              <w:rPr>
                <w:rFonts w:ascii="Times New Roman" w:hAnsi="Times New Roman" w:eastAsia="宋体" w:cs="Times New Roman"/>
                <w:szCs w:val="21"/>
              </w:rPr>
            </w:pPr>
            <w:r>
              <w:rPr>
                <w:rFonts w:hint="eastAsia" w:ascii="Times New Roman" w:hAnsi="Times New Roman" w:cs="Times New Roman"/>
                <w:szCs w:val="21"/>
              </w:rPr>
              <w:t>204.5</w:t>
            </w:r>
          </w:p>
        </w:tc>
        <w:tc>
          <w:tcPr>
            <w:tcW w:w="2289" w:type="dxa"/>
            <w:tcBorders>
              <w:top w:val="single" w:color="auto" w:sz="4" w:space="0"/>
              <w:left w:val="nil"/>
              <w:bottom w:val="single" w:color="auto" w:sz="4" w:space="0"/>
              <w:right w:val="single" w:color="auto" w:sz="4" w:space="0"/>
            </w:tcBorders>
            <w:noWrap/>
            <w:vAlign w:val="center"/>
          </w:tcPr>
          <w:p w14:paraId="67EFF995">
            <w:pPr>
              <w:jc w:val="center"/>
              <w:rPr>
                <w:rFonts w:ascii="Times New Roman" w:hAnsi="Times New Roman" w:cs="Times New Roman"/>
                <w:szCs w:val="21"/>
              </w:rPr>
            </w:pPr>
            <w:r>
              <w:rPr>
                <w:rFonts w:ascii="Times New Roman" w:hAnsi="Times New Roman" w:cs="Times New Roman"/>
                <w:szCs w:val="21"/>
              </w:rPr>
              <w:t>3.0</w:t>
            </w:r>
          </w:p>
        </w:tc>
        <w:tc>
          <w:tcPr>
            <w:tcW w:w="2290" w:type="dxa"/>
            <w:tcBorders>
              <w:top w:val="single" w:color="auto" w:sz="4" w:space="0"/>
              <w:left w:val="nil"/>
              <w:bottom w:val="single" w:color="auto" w:sz="4" w:space="0"/>
              <w:right w:val="single" w:color="auto" w:sz="4" w:space="0"/>
            </w:tcBorders>
            <w:noWrap/>
            <w:vAlign w:val="center"/>
          </w:tcPr>
          <w:p w14:paraId="12A3A81B">
            <w:pPr>
              <w:jc w:val="center"/>
              <w:rPr>
                <w:rFonts w:ascii="Times New Roman" w:hAnsi="Times New Roman" w:cs="Times New Roman"/>
                <w:szCs w:val="21"/>
              </w:rPr>
            </w:pPr>
            <w:r>
              <w:rPr>
                <w:rFonts w:hint="eastAsia" w:ascii="Times New Roman" w:hAnsi="Times New Roman" w:cs="Times New Roman"/>
                <w:szCs w:val="21"/>
              </w:rPr>
              <w:t>0.05</w:t>
            </w:r>
          </w:p>
        </w:tc>
      </w:tr>
      <w:tr w14:paraId="656E647F">
        <w:tblPrEx>
          <w:tblCellMar>
            <w:top w:w="0" w:type="dxa"/>
            <w:left w:w="108" w:type="dxa"/>
            <w:bottom w:w="0" w:type="dxa"/>
            <w:right w:w="108" w:type="dxa"/>
          </w:tblCellMar>
        </w:tblPrEx>
        <w:trPr>
          <w:trHeight w:val="369" w:hRule="atLeast"/>
        </w:trPr>
        <w:tc>
          <w:tcPr>
            <w:tcW w:w="1791" w:type="dxa"/>
            <w:tcBorders>
              <w:top w:val="single" w:color="auto" w:sz="4" w:space="0"/>
              <w:left w:val="single" w:color="auto" w:sz="4" w:space="0"/>
              <w:bottom w:val="single" w:color="auto" w:sz="4" w:space="0"/>
              <w:right w:val="single" w:color="auto" w:sz="4" w:space="0"/>
            </w:tcBorders>
            <w:noWrap/>
            <w:vAlign w:val="center"/>
          </w:tcPr>
          <w:p w14:paraId="5AE469A2">
            <w:pPr>
              <w:jc w:val="center"/>
              <w:rPr>
                <w:rFonts w:ascii="Times New Roman" w:hAnsi="Times New Roman" w:cs="Times New Roman"/>
                <w:szCs w:val="21"/>
              </w:rPr>
            </w:pPr>
            <w:r>
              <w:rPr>
                <w:rFonts w:hint="eastAsia" w:ascii="Times New Roman" w:hAnsi="Times New Roman" w:cs="Times New Roman"/>
                <w:szCs w:val="21"/>
              </w:rPr>
              <w:t>甲苯</w:t>
            </w:r>
          </w:p>
        </w:tc>
        <w:tc>
          <w:tcPr>
            <w:tcW w:w="2149" w:type="dxa"/>
            <w:tcBorders>
              <w:top w:val="single" w:color="auto" w:sz="4" w:space="0"/>
              <w:left w:val="nil"/>
              <w:bottom w:val="single" w:color="auto" w:sz="4" w:space="0"/>
              <w:right w:val="single" w:color="auto" w:sz="4" w:space="0"/>
            </w:tcBorders>
            <w:noWrap/>
            <w:vAlign w:val="center"/>
          </w:tcPr>
          <w:p w14:paraId="0A14A701">
            <w:pPr>
              <w:jc w:val="center"/>
              <w:rPr>
                <w:rFonts w:ascii="Times New Roman" w:hAnsi="Times New Roman" w:cs="Times New Roman"/>
                <w:szCs w:val="21"/>
              </w:rPr>
            </w:pPr>
            <w:r>
              <w:rPr>
                <w:rFonts w:hint="eastAsia" w:ascii="Times New Roman" w:hAnsi="Times New Roman" w:cs="Times New Roman"/>
                <w:szCs w:val="21"/>
              </w:rPr>
              <w:t>0.0043</w:t>
            </w:r>
          </w:p>
        </w:tc>
        <w:tc>
          <w:tcPr>
            <w:tcW w:w="2289" w:type="dxa"/>
            <w:tcBorders>
              <w:top w:val="single" w:color="auto" w:sz="4" w:space="0"/>
              <w:left w:val="nil"/>
              <w:bottom w:val="single" w:color="auto" w:sz="4" w:space="0"/>
              <w:right w:val="single" w:color="auto" w:sz="4" w:space="0"/>
            </w:tcBorders>
            <w:noWrap/>
            <w:vAlign w:val="center"/>
          </w:tcPr>
          <w:p w14:paraId="21E39846">
            <w:pPr>
              <w:jc w:val="center"/>
              <w:rPr>
                <w:rFonts w:ascii="Times New Roman" w:hAnsi="Times New Roman" w:cs="Times New Roman"/>
                <w:szCs w:val="21"/>
              </w:rPr>
            </w:pPr>
            <w:r>
              <w:rPr>
                <w:rFonts w:hint="eastAsia" w:ascii="Times New Roman" w:hAnsi="Times New Roman" w:cs="Times New Roman"/>
                <w:szCs w:val="21"/>
              </w:rPr>
              <w:t>0.7</w:t>
            </w:r>
          </w:p>
        </w:tc>
        <w:tc>
          <w:tcPr>
            <w:tcW w:w="2290" w:type="dxa"/>
            <w:tcBorders>
              <w:top w:val="single" w:color="auto" w:sz="4" w:space="0"/>
              <w:left w:val="nil"/>
              <w:bottom w:val="single" w:color="auto" w:sz="4" w:space="0"/>
              <w:right w:val="single" w:color="auto" w:sz="4" w:space="0"/>
            </w:tcBorders>
            <w:noWrap/>
            <w:vAlign w:val="center"/>
          </w:tcPr>
          <w:p w14:paraId="7D11C433">
            <w:pPr>
              <w:jc w:val="center"/>
              <w:rPr>
                <w:rFonts w:ascii="Times New Roman" w:hAnsi="Times New Roman" w:cs="Times New Roman"/>
                <w:szCs w:val="21"/>
              </w:rPr>
            </w:pPr>
            <w:r>
              <w:rPr>
                <w:rFonts w:hint="eastAsia" w:ascii="Times New Roman" w:hAnsi="Times New Roman" w:cs="Times New Roman"/>
                <w:szCs w:val="21"/>
              </w:rPr>
              <w:t>0.005</w:t>
            </w:r>
          </w:p>
        </w:tc>
      </w:tr>
      <w:tr w14:paraId="343F85FC">
        <w:tblPrEx>
          <w:tblCellMar>
            <w:top w:w="0" w:type="dxa"/>
            <w:left w:w="108" w:type="dxa"/>
            <w:bottom w:w="0" w:type="dxa"/>
            <w:right w:w="108" w:type="dxa"/>
          </w:tblCellMar>
        </w:tblPrEx>
        <w:trPr>
          <w:trHeight w:val="369" w:hRule="atLeast"/>
        </w:trPr>
        <w:tc>
          <w:tcPr>
            <w:tcW w:w="1791" w:type="dxa"/>
            <w:tcBorders>
              <w:top w:val="single" w:color="auto" w:sz="4" w:space="0"/>
              <w:left w:val="single" w:color="auto" w:sz="4" w:space="0"/>
              <w:bottom w:val="single" w:color="auto" w:sz="4" w:space="0"/>
              <w:right w:val="single" w:color="auto" w:sz="4" w:space="0"/>
            </w:tcBorders>
            <w:noWrap/>
            <w:vAlign w:val="center"/>
          </w:tcPr>
          <w:p w14:paraId="465EA753">
            <w:pPr>
              <w:jc w:val="center"/>
              <w:rPr>
                <w:rFonts w:ascii="Times New Roman" w:hAnsi="Times New Roman" w:cs="Times New Roman"/>
                <w:szCs w:val="21"/>
              </w:rPr>
            </w:pPr>
            <w:r>
              <w:rPr>
                <w:rFonts w:hint="eastAsia" w:ascii="Times New Roman" w:hAnsi="Times New Roman" w:cs="Times New Roman"/>
                <w:szCs w:val="21"/>
              </w:rPr>
              <w:t>二甲苯</w:t>
            </w:r>
          </w:p>
        </w:tc>
        <w:tc>
          <w:tcPr>
            <w:tcW w:w="2149" w:type="dxa"/>
            <w:tcBorders>
              <w:top w:val="single" w:color="auto" w:sz="4" w:space="0"/>
              <w:left w:val="nil"/>
              <w:bottom w:val="single" w:color="auto" w:sz="4" w:space="0"/>
              <w:right w:val="single" w:color="auto" w:sz="4" w:space="0"/>
            </w:tcBorders>
            <w:noWrap/>
            <w:vAlign w:val="center"/>
          </w:tcPr>
          <w:p w14:paraId="0FC0443A">
            <w:pPr>
              <w:jc w:val="center"/>
              <w:rPr>
                <w:rFonts w:ascii="Times New Roman" w:hAnsi="Times New Roman" w:cs="Times New Roman"/>
                <w:szCs w:val="21"/>
              </w:rPr>
            </w:pPr>
            <w:r>
              <w:rPr>
                <w:rFonts w:hint="eastAsia" w:ascii="Times New Roman" w:hAnsi="Times New Roman" w:cs="Times New Roman"/>
                <w:szCs w:val="21"/>
              </w:rPr>
              <w:t>0.262</w:t>
            </w:r>
          </w:p>
        </w:tc>
        <w:tc>
          <w:tcPr>
            <w:tcW w:w="2289" w:type="dxa"/>
            <w:tcBorders>
              <w:top w:val="single" w:color="auto" w:sz="4" w:space="0"/>
              <w:left w:val="nil"/>
              <w:bottom w:val="single" w:color="auto" w:sz="4" w:space="0"/>
              <w:right w:val="single" w:color="auto" w:sz="4" w:space="0"/>
            </w:tcBorders>
            <w:noWrap/>
            <w:vAlign w:val="center"/>
          </w:tcPr>
          <w:p w14:paraId="5BBB080C">
            <w:pPr>
              <w:jc w:val="center"/>
              <w:rPr>
                <w:rFonts w:ascii="Times New Roman" w:hAnsi="Times New Roman" w:cs="Times New Roman"/>
                <w:szCs w:val="21"/>
              </w:rPr>
            </w:pPr>
            <w:r>
              <w:rPr>
                <w:rFonts w:hint="eastAsia" w:ascii="Times New Roman" w:hAnsi="Times New Roman" w:cs="Times New Roman"/>
                <w:szCs w:val="21"/>
              </w:rPr>
              <w:t>0.5</w:t>
            </w:r>
          </w:p>
        </w:tc>
        <w:tc>
          <w:tcPr>
            <w:tcW w:w="2290" w:type="dxa"/>
            <w:tcBorders>
              <w:top w:val="single" w:color="auto" w:sz="4" w:space="0"/>
              <w:left w:val="nil"/>
              <w:bottom w:val="single" w:color="auto" w:sz="4" w:space="0"/>
              <w:right w:val="single" w:color="auto" w:sz="4" w:space="0"/>
            </w:tcBorders>
            <w:noWrap/>
            <w:vAlign w:val="center"/>
          </w:tcPr>
          <w:p w14:paraId="3EF4952E">
            <w:pPr>
              <w:jc w:val="center"/>
              <w:rPr>
                <w:rFonts w:ascii="Times New Roman" w:hAnsi="Times New Roman" w:cs="Times New Roman"/>
                <w:szCs w:val="21"/>
              </w:rPr>
            </w:pPr>
            <w:r>
              <w:rPr>
                <w:rFonts w:hint="eastAsia" w:ascii="Times New Roman" w:hAnsi="Times New Roman" w:cs="Times New Roman"/>
                <w:szCs w:val="21"/>
              </w:rPr>
              <w:t>0.005</w:t>
            </w:r>
          </w:p>
        </w:tc>
      </w:tr>
    </w:tbl>
    <w:p w14:paraId="3AFCB5EE">
      <w:pPr>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（5）</w:t>
      </w:r>
      <w:r>
        <w:rPr>
          <w:rFonts w:ascii="Times New Roman" w:hAnsi="Times New Roman" w:eastAsia="宋体" w:cs="Times New Roman"/>
          <w:bCs/>
          <w:color w:val="000000" w:themeColor="text1"/>
          <w:sz w:val="24"/>
          <w14:textFill>
            <w14:solidFill>
              <w14:schemeClr w14:val="tx1"/>
            </w14:solidFill>
          </w14:textFill>
        </w:rPr>
        <w:t>预测源强</w:t>
      </w:r>
    </w:p>
    <w:p w14:paraId="2D3EADC6">
      <w:pPr>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污水处理站废水泄露</w:t>
      </w:r>
    </w:p>
    <w:p w14:paraId="62CB648D">
      <w:pPr>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本项目地下水污染源主要是生产废水处理设施因防渗层老化，腐蚀等原因，出现非正常情况下的泄露后可能对区域地下水形成污染。根据废水水质情况，污染物泄露浓度取初始值，即</w:t>
      </w:r>
      <w:r>
        <w:rPr>
          <w:rFonts w:hint="eastAsia" w:ascii="Times New Roman" w:hAnsi="Times New Roman" w:eastAsia="宋体" w:cs="Times New Roman"/>
          <w:bCs/>
          <w:color w:val="000000" w:themeColor="text1"/>
          <w:sz w:val="24"/>
          <w14:textFill>
            <w14:solidFill>
              <w14:schemeClr w14:val="tx1"/>
            </w14:solidFill>
          </w14:textFill>
        </w:rPr>
        <w:t>耗氧量204.5</w:t>
      </w:r>
      <w:r>
        <w:rPr>
          <w:rFonts w:ascii="Times New Roman" w:hAnsi="Times New Roman" w:eastAsia="宋体" w:cs="Times New Roman"/>
          <w:bCs/>
          <w:color w:val="000000" w:themeColor="text1"/>
          <w:sz w:val="24"/>
          <w14:textFill>
            <w14:solidFill>
              <w14:schemeClr w14:val="tx1"/>
            </w14:solidFill>
          </w14:textFill>
        </w:rPr>
        <w:t>mg/L，</w:t>
      </w:r>
      <w:r>
        <w:rPr>
          <w:rFonts w:hint="eastAsia" w:ascii="Times New Roman" w:hAnsi="Times New Roman" w:eastAsia="宋体" w:cs="Times New Roman"/>
          <w:bCs/>
          <w:color w:val="000000" w:themeColor="text1"/>
          <w:sz w:val="24"/>
          <w14:textFill>
            <w14:solidFill>
              <w14:schemeClr w14:val="tx1"/>
            </w14:solidFill>
          </w14:textFill>
        </w:rPr>
        <w:t>甲苯0.0043</w:t>
      </w:r>
      <w:r>
        <w:rPr>
          <w:rFonts w:ascii="Times New Roman" w:hAnsi="Times New Roman" w:eastAsia="宋体" w:cs="Times New Roman"/>
          <w:bCs/>
          <w:color w:val="000000" w:themeColor="text1"/>
          <w:sz w:val="24"/>
          <w14:textFill>
            <w14:solidFill>
              <w14:schemeClr w14:val="tx1"/>
            </w14:solidFill>
          </w14:textFill>
        </w:rPr>
        <w:t>mg/L</w:t>
      </w:r>
      <w:r>
        <w:rPr>
          <w:rFonts w:hint="eastAsia" w:ascii="Times New Roman" w:hAnsi="Times New Roman" w:eastAsia="宋体" w:cs="Times New Roman"/>
          <w:bCs/>
          <w:color w:val="000000" w:themeColor="text1"/>
          <w:sz w:val="24"/>
          <w14:textFill>
            <w14:solidFill>
              <w14:schemeClr w14:val="tx1"/>
            </w14:solidFill>
          </w14:textFill>
        </w:rPr>
        <w:t>，二甲苯0.262</w:t>
      </w:r>
      <w:r>
        <w:rPr>
          <w:rFonts w:ascii="Times New Roman" w:hAnsi="Times New Roman" w:eastAsia="宋体" w:cs="Times New Roman"/>
          <w:bCs/>
          <w:color w:val="000000" w:themeColor="text1"/>
          <w:sz w:val="24"/>
          <w14:textFill>
            <w14:solidFill>
              <w14:schemeClr w14:val="tx1"/>
            </w14:solidFill>
          </w14:textFill>
        </w:rPr>
        <w:t>mg/L。</w:t>
      </w:r>
    </w:p>
    <w:p w14:paraId="11365A27">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6</w:t>
      </w:r>
      <w:r>
        <w:rPr>
          <w:rFonts w:ascii="Times New Roman" w:hAnsi="Times New Roman" w:eastAsia="宋体" w:cs="Times New Roman"/>
          <w:sz w:val="24"/>
        </w:rPr>
        <w:t>）预测模型</w:t>
      </w:r>
    </w:p>
    <w:p w14:paraId="7D438FFA">
      <w:pPr>
        <w:spacing w:line="360" w:lineRule="auto"/>
        <w:ind w:firstLine="480" w:firstLineChars="200"/>
        <w:rPr>
          <w:rFonts w:ascii="Times New Roman" w:hAnsi="Times New Roman" w:cs="Times New Roman"/>
          <w:sz w:val="24"/>
        </w:rPr>
      </w:pPr>
      <w:r>
        <w:rPr>
          <w:rFonts w:ascii="Times New Roman" w:hAnsi="Times New Roman" w:cs="Times New Roman"/>
          <w:sz w:val="24"/>
        </w:rPr>
        <w:t>污染物直接进入潜水含水层。污水渗透进入含水层，渗漏面积较小，相对于整个评价范围，可以处理为点源连续污染。</w:t>
      </w:r>
    </w:p>
    <w:p w14:paraId="28B45907">
      <w:pPr>
        <w:spacing w:line="360" w:lineRule="auto"/>
        <w:ind w:firstLine="480" w:firstLineChars="200"/>
        <w:rPr>
          <w:rFonts w:ascii="Times New Roman" w:hAnsi="Times New Roman" w:cs="Times New Roman"/>
          <w:sz w:val="24"/>
        </w:rPr>
      </w:pPr>
      <w:r>
        <w:rPr>
          <w:rFonts w:ascii="Times New Roman" w:hAnsi="Times New Roman" w:cs="Times New Roman"/>
          <w:sz w:val="24"/>
        </w:rPr>
        <w:t>非正常工况下，污水处理站废水泄露在时间尺度上非正常状况可概括连续排放。污染物持续泄漏，且满足污染物的排放对地下水流场没有明显影响，评价区含水层的基本参数变化很小，依据地勘资料以及《环境影响评价技术导则-地下水环境》（HJ610-2016），本次评价选用预测模型为一维稳定流动一维水动力弥散问题模型，概化条件为一维半无限长多孔介质柱体，一端为定浓度边界。其解析解为：</w:t>
      </w:r>
    </w:p>
    <w:p w14:paraId="2FB006F5">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position w:val="-34"/>
          <w:sz w:val="24"/>
        </w:rPr>
        <w:object>
          <v:shape id="_x0000_i1043" o:spt="75" type="#_x0000_t75" style="height:40pt;width:201pt;" o:ole="t" filled="f" o:preferrelative="t" stroked="f" coordsize="21600,21600">
            <v:path/>
            <v:fill on="f" focussize="0,0"/>
            <v:stroke on="f" joinstyle="miter"/>
            <v:imagedata r:id="rId74" o:title=""/>
            <o:lock v:ext="edit" aspectratio="t"/>
            <w10:wrap type="none"/>
            <w10:anchorlock/>
          </v:shape>
          <o:OLEObject Type="Embed" ProgID="Equation.3" ShapeID="_x0000_i1043" DrawAspect="Content" ObjectID="_1468075743" r:id="rId73">
            <o:LockedField>false</o:LockedField>
          </o:OLEObject>
        </w:object>
      </w:r>
    </w:p>
    <w:p w14:paraId="694E6566">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式中：x—预测点距污染源强的距离，m；</w:t>
      </w:r>
    </w:p>
    <w:p w14:paraId="19D5A2E4">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t—预测时间，d；</w:t>
      </w:r>
    </w:p>
    <w:p w14:paraId="11DDF20F">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C—t时刻x处的污染物浓度，mg/L；</w:t>
      </w:r>
    </w:p>
    <w:p w14:paraId="1E52AF34">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C</w:t>
      </w:r>
      <w:r>
        <w:rPr>
          <w:rFonts w:ascii="Times New Roman" w:hAnsi="Times New Roman" w:eastAsia="宋体" w:cs="Times New Roman"/>
          <w:sz w:val="24"/>
          <w:vertAlign w:val="subscript"/>
        </w:rPr>
        <w:t>0</w:t>
      </w:r>
      <w:r>
        <w:rPr>
          <w:rFonts w:ascii="Times New Roman" w:hAnsi="Times New Roman" w:eastAsia="宋体" w:cs="Times New Roman"/>
          <w:sz w:val="24"/>
        </w:rPr>
        <w:t>—地下水污染源强浓度，mg/L；</w:t>
      </w:r>
    </w:p>
    <w:p w14:paraId="401355C9">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u—水流速度，m/d；</w:t>
      </w:r>
    </w:p>
    <w:p w14:paraId="3913EE67">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D</w:t>
      </w:r>
      <w:r>
        <w:rPr>
          <w:rFonts w:ascii="Times New Roman" w:hAnsi="Times New Roman" w:eastAsia="宋体" w:cs="Times New Roman"/>
          <w:sz w:val="24"/>
          <w:vertAlign w:val="subscript"/>
        </w:rPr>
        <w:t>L</w:t>
      </w:r>
      <w:r>
        <w:rPr>
          <w:rFonts w:ascii="Times New Roman" w:hAnsi="Times New Roman" w:eastAsia="宋体" w:cs="Times New Roman"/>
          <w:sz w:val="24"/>
        </w:rPr>
        <w:t>—纵向弥散系数，m</w:t>
      </w:r>
      <w:r>
        <w:rPr>
          <w:rFonts w:ascii="Times New Roman" w:hAnsi="Times New Roman" w:eastAsia="宋体" w:cs="Times New Roman"/>
          <w:sz w:val="24"/>
          <w:vertAlign w:val="superscript"/>
        </w:rPr>
        <w:t>2</w:t>
      </w:r>
      <w:r>
        <w:rPr>
          <w:rFonts w:ascii="Times New Roman" w:hAnsi="Times New Roman" w:eastAsia="宋体" w:cs="Times New Roman"/>
          <w:sz w:val="24"/>
        </w:rPr>
        <w:t>/d；</w:t>
      </w:r>
    </w:p>
    <w:p w14:paraId="0AEE28F2">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erfc（）—余误差函数。</w:t>
      </w:r>
    </w:p>
    <w:p w14:paraId="6B1D1DA4">
      <w:pPr>
        <w:pStyle w:val="12"/>
        <w:spacing w:line="520" w:lineRule="exact"/>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弥散系数是表征流动水体中污染物在沿水流方向（或纵向）弥散的速率系数，本项目含水层地质沉积类型为粉质粘土，为细颗粒介质，参考《环境质量评价》（马债如、程声通等编，1990）中典型的水动力弥散系数值，</w:t>
      </w:r>
      <w:r>
        <w:rPr>
          <w:rFonts w:ascii="Times New Roman" w:hAnsi="Times New Roman" w:cs="Times New Roman"/>
          <w:color w:val="000000" w:themeColor="text1"/>
          <w:sz w:val="24"/>
          <w14:textFill>
            <w14:solidFill>
              <w14:schemeClr w14:val="tx1"/>
            </w14:solidFill>
          </w14:textFill>
        </w:rPr>
        <w:t>由于细砂含量较高，根据国内外经验系数细砂类型含水层的纵向弥散系数0.05~0.5m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/d，取最大值0.5m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/d</w:t>
      </w:r>
      <w:r>
        <w:rPr>
          <w:rFonts w:ascii="Times New Roman" w:hAnsi="Times New Roman" w:eastAsia="宋体" w:cs="Times New Roman"/>
          <w:color w:val="000000" w:themeColor="text1"/>
          <w:sz w:val="24"/>
          <w:lang w:val="en-GB"/>
          <w14:textFill>
            <w14:solidFill>
              <w14:schemeClr w14:val="tx1"/>
            </w14:solidFill>
          </w14:textFill>
        </w:rPr>
        <w:t>。</w:t>
      </w:r>
    </w:p>
    <w:p w14:paraId="5683FB05">
      <w:pPr>
        <w:spacing w:line="360" w:lineRule="auto"/>
        <w:ind w:left="48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（7）模型参数</w:t>
      </w:r>
    </w:p>
    <w:p w14:paraId="2EF274EE">
      <w:pPr>
        <w:pStyle w:val="16"/>
        <w:spacing w:line="360" w:lineRule="auto"/>
        <w:ind w:left="420" w:leftChars="200" w:firstLine="0" w:firstLineChars="0"/>
        <w:rPr>
          <w:rFonts w:ascii="Times New Roman" w:hAnsi="Times New Roman" w:eastAsia="宋体" w:cs="Times New Roman"/>
          <w:sz w:val="24"/>
        </w:rPr>
      </w:pPr>
      <w:r>
        <w:rPr>
          <w:rFonts w:ascii="Times New Roman" w:hAnsi="Times New Roman" w:eastAsia="宋体" w:cs="Times New Roman"/>
          <w:sz w:val="24"/>
        </w:rPr>
        <w:t>①渗透系数k</w:t>
      </w:r>
    </w:p>
    <w:p w14:paraId="72549B97">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根据引用水文地质调查资料，含水层以</w:t>
      </w:r>
      <w:r>
        <w:rPr>
          <w:rFonts w:hint="eastAsia" w:ascii="Times New Roman" w:hAnsi="Times New Roman" w:eastAsia="宋体" w:cs="Times New Roman"/>
          <w:sz w:val="24"/>
        </w:rPr>
        <w:t>粉</w:t>
      </w:r>
      <w:r>
        <w:rPr>
          <w:rFonts w:ascii="Times New Roman" w:hAnsi="Times New Roman" w:eastAsia="宋体" w:cs="Times New Roman"/>
          <w:sz w:val="24"/>
        </w:rPr>
        <w:t>细砂为主，渗透系数为</w:t>
      </w:r>
      <w:r>
        <w:rPr>
          <w:rFonts w:hint="eastAsia" w:ascii="Times New Roman" w:hAnsi="Times New Roman" w:eastAsia="宋体" w:cs="Times New Roman"/>
          <w:sz w:val="24"/>
        </w:rPr>
        <w:t>1.5</w:t>
      </w:r>
      <w:r>
        <w:rPr>
          <w:rFonts w:ascii="Times New Roman" w:hAnsi="Times New Roman" w:eastAsia="宋体" w:cs="Times New Roman"/>
          <w:sz w:val="24"/>
        </w:rPr>
        <w:t>m/d。</w:t>
      </w:r>
    </w:p>
    <w:p w14:paraId="0EC233B9">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②项目区域水力坡度</w:t>
      </w:r>
    </w:p>
    <w:p w14:paraId="0CBA7650">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拟建项目浅层地下水主要补给来源为大气降水补给，主要排泄途径为人工开采，项目区水力坡度为取2‰。</w:t>
      </w:r>
    </w:p>
    <w:p w14:paraId="39B40BAA">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③孔隙度</w:t>
      </w:r>
    </w:p>
    <w:p w14:paraId="16D261A5">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rPr>
        <w:t>参考《濮阳语木皇家家具有限公司年产2万件套家具扩建项目环境影响报告书》土壤理化性质调查</w:t>
      </w:r>
      <w:r>
        <w:rPr>
          <w:rFonts w:ascii="Times New Roman" w:hAnsi="Times New Roman" w:eastAsia="宋体" w:cs="Times New Roman"/>
          <w:sz w:val="24"/>
        </w:rPr>
        <w:t>，项目厂址有效孔隙度ne</w:t>
      </w:r>
      <w:r>
        <w:rPr>
          <w:rFonts w:hint="eastAsia" w:cs="Times New Roman"/>
          <w:sz w:val="24"/>
        </w:rPr>
        <w:t>取</w:t>
      </w:r>
      <w:r>
        <w:rPr>
          <w:rFonts w:ascii="Times New Roman" w:hAnsi="Times New Roman" w:eastAsia="宋体" w:cs="Times New Roman"/>
          <w:sz w:val="24"/>
        </w:rPr>
        <w:t>值为</w:t>
      </w:r>
      <w:r>
        <w:rPr>
          <w:rFonts w:hint="eastAsia" w:ascii="Times New Roman" w:hAnsi="Times New Roman" w:eastAsia="宋体" w:cs="Times New Roman"/>
          <w:sz w:val="24"/>
        </w:rPr>
        <w:t>64.7</w:t>
      </w:r>
      <w:r>
        <w:rPr>
          <w:rFonts w:ascii="Times New Roman" w:hAnsi="Times New Roman" w:eastAsia="宋体" w:cs="Times New Roman"/>
          <w:sz w:val="24"/>
        </w:rPr>
        <w:t>%</w:t>
      </w:r>
      <w:r>
        <w:rPr>
          <w:rFonts w:ascii="Times New Roman" w:hAnsi="Times New Roman" w:cs="Times New Roman"/>
          <w:sz w:val="24"/>
        </w:rPr>
        <w:t>。</w:t>
      </w:r>
    </w:p>
    <w:p w14:paraId="33303ADC">
      <w:pPr>
        <w:pStyle w:val="16"/>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④弥散系数</w:t>
      </w:r>
    </w:p>
    <w:p w14:paraId="007AD42F">
      <w:pPr>
        <w:pStyle w:val="12"/>
        <w:adjustRightInd w:val="0"/>
        <w:snapToGrid w:val="0"/>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参考《环境质量评价》（马债如、程声通等编，1990）中典型的水动力弥散系数值，由于细砂含量较高，根据国内外经验系数细砂类型含水层的纵向弥散系数0.05~0.5m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/d，取最大值0.5m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/d</w:t>
      </w:r>
      <w:r>
        <w:rPr>
          <w:rFonts w:ascii="Times New Roman" w:hAnsi="Times New Roman" w:eastAsia="宋体" w:cs="Times New Roman"/>
          <w:color w:val="000000" w:themeColor="text1"/>
          <w:sz w:val="24"/>
          <w:lang w:val="en-GB"/>
          <w14:textFill>
            <w14:solidFill>
              <w14:schemeClr w14:val="tx1"/>
            </w14:solidFill>
          </w14:textFill>
        </w:rPr>
        <w:t>。</w:t>
      </w:r>
    </w:p>
    <w:p w14:paraId="4D1DC70B">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地下水实际流速按照下面方法计算获取：</w:t>
      </w:r>
    </w:p>
    <w:p w14:paraId="449E6E9A">
      <w:pPr>
        <w:pStyle w:val="16"/>
        <w:spacing w:line="360" w:lineRule="auto"/>
        <w:ind w:firstLine="480"/>
        <w:jc w:val="center"/>
        <w:rPr>
          <w:rFonts w:ascii="Times New Roman" w:hAnsi="Times New Roman" w:eastAsia="宋体" w:cs="Times New Roman"/>
          <w:sz w:val="24"/>
        </w:rPr>
      </w:pPr>
      <w:r>
        <w:rPr>
          <w:rFonts w:ascii="Times New Roman" w:hAnsi="Times New Roman" w:eastAsia="宋体" w:cs="Times New Roman"/>
          <w:sz w:val="24"/>
        </w:rPr>
        <w:t>U=K×I/n</w:t>
      </w:r>
      <w:r>
        <w:rPr>
          <w:rFonts w:ascii="Times New Roman" w:hAnsi="Times New Roman" w:eastAsia="宋体" w:cs="Times New Roman"/>
          <w:sz w:val="24"/>
          <w:vertAlign w:val="subscript"/>
        </w:rPr>
        <w:t>e</w:t>
      </w:r>
    </w:p>
    <w:p w14:paraId="21B1C98E">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其中：U—地下水实际流速，m/d；</w:t>
      </w:r>
    </w:p>
    <w:p w14:paraId="38E964C2">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K—渗透系数，m/d；</w:t>
      </w:r>
    </w:p>
    <w:p w14:paraId="3BF451B2">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I—水力坡度；</w:t>
      </w:r>
    </w:p>
    <w:p w14:paraId="42641DB8">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n</w:t>
      </w:r>
      <w:r>
        <w:rPr>
          <w:rFonts w:ascii="Times New Roman" w:hAnsi="Times New Roman" w:eastAsia="宋体" w:cs="Times New Roman"/>
          <w:sz w:val="24"/>
          <w:vertAlign w:val="subscript"/>
        </w:rPr>
        <w:t>e</w:t>
      </w:r>
      <w:r>
        <w:rPr>
          <w:rFonts w:ascii="Times New Roman" w:hAnsi="Times New Roman" w:eastAsia="宋体" w:cs="Times New Roman"/>
          <w:sz w:val="24"/>
        </w:rPr>
        <w:t>—有效孔隙度；</w:t>
      </w:r>
    </w:p>
    <w:p w14:paraId="5BD67591">
      <w:pPr>
        <w:pStyle w:val="16"/>
        <w:spacing w:line="360" w:lineRule="auto"/>
        <w:ind w:firstLine="480"/>
        <w:rPr>
          <w:rFonts w:ascii="Times New Roman" w:hAnsi="Times New Roman" w:eastAsia="宋体" w:cs="Times New Roman"/>
          <w:sz w:val="24"/>
        </w:rPr>
      </w:pPr>
      <w:r>
        <w:rPr>
          <w:rFonts w:ascii="Times New Roman" w:hAnsi="Times New Roman" w:eastAsia="宋体" w:cs="Times New Roman"/>
          <w:sz w:val="24"/>
        </w:rPr>
        <w:t>经计算，项目区地下水实际流速U=</w:t>
      </w:r>
      <w:r>
        <w:rPr>
          <w:rFonts w:ascii="Times New Roman" w:hAnsi="Times New Roman" w:cs="Times New Roman"/>
          <w:sz w:val="24"/>
        </w:rPr>
        <w:t>0.0</w:t>
      </w:r>
      <w:r>
        <w:rPr>
          <w:rFonts w:hint="eastAsia" w:ascii="Times New Roman" w:hAnsi="Times New Roman" w:cs="Times New Roman"/>
          <w:sz w:val="24"/>
        </w:rPr>
        <w:t>04</w:t>
      </w:r>
      <w:r>
        <w:rPr>
          <w:rFonts w:ascii="Times New Roman" w:hAnsi="Times New Roman" w:cs="Times New Roman"/>
          <w:sz w:val="24"/>
        </w:rPr>
        <w:t>6</w:t>
      </w:r>
      <w:r>
        <w:rPr>
          <w:rFonts w:ascii="Times New Roman" w:hAnsi="Times New Roman" w:eastAsia="宋体" w:cs="Times New Roman"/>
          <w:sz w:val="24"/>
        </w:rPr>
        <w:t>m/d。</w:t>
      </w:r>
    </w:p>
    <w:p w14:paraId="433E8C83">
      <w:pPr>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（7）预测结果</w:t>
      </w:r>
    </w:p>
    <w:p w14:paraId="07213244">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结合《环境影响评价技术导则  地下水环境》（HJ610-2016），选取泄露后100d、</w:t>
      </w:r>
      <w:r>
        <w:rPr>
          <w:rFonts w:hint="eastAsia" w:ascii="Times New Roman" w:hAnsi="Times New Roman" w:eastAsia="宋体" w:cs="Times New Roman"/>
          <w:color w:val="000000" w:themeColor="text1"/>
          <w:sz w:val="24"/>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00d、</w:t>
      </w:r>
      <w:r>
        <w:rPr>
          <w:rFonts w:hint="eastAsia" w:ascii="Times New Roman" w:hAnsi="Times New Roman" w:eastAsia="宋体" w:cs="Times New Roman"/>
          <w:color w:val="000000" w:themeColor="text1"/>
          <w:sz w:val="24"/>
          <w14:textFill>
            <w14:solidFill>
              <w14:schemeClr w14:val="tx1"/>
            </w14:solidFill>
          </w14:textFill>
        </w:rPr>
        <w:t>1</w:t>
      </w:r>
      <w:r>
        <w:rPr>
          <w:rFonts w:ascii="Times New Roman" w:hAnsi="Times New Roman" w:eastAsia="宋体" w:cs="Times New Roman"/>
          <w:color w:val="000000" w:themeColor="text1"/>
          <w:sz w:val="24"/>
          <w14:textFill>
            <w14:solidFill>
              <w14:schemeClr w14:val="tx1"/>
            </w14:solidFill>
          </w14:textFill>
        </w:rPr>
        <w:t>000d下游进行预测。预测结果见</w:t>
      </w:r>
      <w:r>
        <w:rPr>
          <w:rFonts w:hint="eastAsia" w:ascii="Times New Roman" w:hAnsi="Times New Roman" w:eastAsia="宋体" w:cs="Times New Roman"/>
          <w:color w:val="000000" w:themeColor="text1"/>
          <w:sz w:val="24"/>
          <w14:textFill>
            <w14:solidFill>
              <w14:schemeClr w14:val="tx1"/>
            </w14:solidFill>
          </w14:textFill>
        </w:rPr>
        <w:t>下</w:t>
      </w:r>
      <w:r>
        <w:rPr>
          <w:rFonts w:ascii="Times New Roman" w:hAnsi="Times New Roman" w:eastAsia="宋体" w:cs="Times New Roman"/>
          <w:color w:val="000000" w:themeColor="text1"/>
          <w:sz w:val="24"/>
          <w14:textFill>
            <w14:solidFill>
              <w14:schemeClr w14:val="tx1"/>
            </w14:solidFill>
          </w14:textFill>
        </w:rPr>
        <w:t>表。</w:t>
      </w:r>
    </w:p>
    <w:p w14:paraId="08ACE794">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14:paraId="77BDBC51">
      <w:pPr>
        <w:numPr>
          <w:ilvl w:val="0"/>
          <w:numId w:val="65"/>
        </w:numPr>
        <w:autoSpaceDE w:val="0"/>
        <w:autoSpaceDN w:val="0"/>
        <w:adjustRightInd w:val="0"/>
        <w:jc w:val="center"/>
        <w:textAlignment w:val="baseline"/>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 xml:space="preserve">  地下水影响预测结果汇总一览表    单位：mg/m</w:t>
      </w:r>
      <w:r>
        <w:rPr>
          <w:rFonts w:ascii="Times New Roman" w:hAnsi="Times New Roman" w:cs="Times New Roman"/>
          <w:b/>
          <w:bCs/>
          <w:color w:val="000000" w:themeColor="text1"/>
          <w:szCs w:val="21"/>
          <w:vertAlign w:val="superscript"/>
          <w14:textFill>
            <w14:solidFill>
              <w14:schemeClr w14:val="tx1"/>
            </w14:solidFill>
          </w14:textFill>
        </w:rPr>
        <w:t>3</w:t>
      </w:r>
    </w:p>
    <w:tbl>
      <w:tblPr>
        <w:tblStyle w:val="30"/>
        <w:tblW w:w="8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99"/>
        <w:gridCol w:w="1390"/>
        <w:gridCol w:w="1867"/>
        <w:gridCol w:w="2168"/>
        <w:gridCol w:w="2157"/>
      </w:tblGrid>
      <w:tr w14:paraId="216A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restart"/>
            <w:tcMar>
              <w:top w:w="28" w:type="dxa"/>
              <w:left w:w="0" w:type="dxa"/>
              <w:bottom w:w="28" w:type="dxa"/>
              <w:right w:w="0" w:type="dxa"/>
            </w:tcMar>
            <w:vAlign w:val="center"/>
          </w:tcPr>
          <w:p w14:paraId="7F00F14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评价</w:t>
            </w:r>
            <w:r>
              <w:rPr>
                <w:rFonts w:ascii="Times New Roman" w:hAnsi="Times New Roman"/>
                <w:bCs/>
                <w:szCs w:val="21"/>
              </w:rPr>
              <w:t>因子</w:t>
            </w:r>
          </w:p>
        </w:tc>
        <w:tc>
          <w:tcPr>
            <w:tcW w:w="1390" w:type="dxa"/>
            <w:vMerge w:val="restart"/>
            <w:tcMar>
              <w:top w:w="28" w:type="dxa"/>
              <w:left w:w="0" w:type="dxa"/>
              <w:bottom w:w="28" w:type="dxa"/>
              <w:right w:w="0" w:type="dxa"/>
            </w:tcMar>
            <w:vAlign w:val="center"/>
          </w:tcPr>
          <w:p w14:paraId="717EF5A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距离（m）</w:t>
            </w:r>
          </w:p>
        </w:tc>
        <w:tc>
          <w:tcPr>
            <w:tcW w:w="6192" w:type="dxa"/>
            <w:gridSpan w:val="3"/>
            <w:tcMar>
              <w:top w:w="28" w:type="dxa"/>
              <w:left w:w="0" w:type="dxa"/>
              <w:bottom w:w="28" w:type="dxa"/>
              <w:right w:w="0" w:type="dxa"/>
            </w:tcMar>
            <w:vAlign w:val="center"/>
          </w:tcPr>
          <w:p w14:paraId="7EE3DCFF">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时间（d）</w:t>
            </w:r>
          </w:p>
        </w:tc>
      </w:tr>
      <w:tr w14:paraId="74D5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052CF573">
            <w:pPr>
              <w:pStyle w:val="12"/>
              <w:adjustRightInd w:val="0"/>
              <w:snapToGrid w:val="0"/>
              <w:jc w:val="center"/>
              <w:rPr>
                <w:rFonts w:ascii="Times New Roman" w:hAnsi="Times New Roman"/>
                <w:bCs/>
                <w:szCs w:val="21"/>
              </w:rPr>
            </w:pPr>
          </w:p>
        </w:tc>
        <w:tc>
          <w:tcPr>
            <w:tcW w:w="1390" w:type="dxa"/>
            <w:vMerge w:val="continue"/>
            <w:tcMar>
              <w:top w:w="28" w:type="dxa"/>
              <w:left w:w="0" w:type="dxa"/>
              <w:bottom w:w="28" w:type="dxa"/>
              <w:right w:w="0" w:type="dxa"/>
            </w:tcMar>
            <w:vAlign w:val="center"/>
          </w:tcPr>
          <w:p w14:paraId="3AEE1721">
            <w:pPr>
              <w:pStyle w:val="12"/>
              <w:adjustRightInd w:val="0"/>
              <w:snapToGrid w:val="0"/>
              <w:ind w:firstLine="0" w:firstLineChars="0"/>
              <w:jc w:val="center"/>
              <w:rPr>
                <w:rFonts w:ascii="Times New Roman" w:hAnsi="Times New Roman"/>
                <w:bCs/>
                <w:szCs w:val="21"/>
              </w:rPr>
            </w:pPr>
          </w:p>
        </w:tc>
        <w:tc>
          <w:tcPr>
            <w:tcW w:w="1867" w:type="dxa"/>
            <w:tcMar>
              <w:top w:w="28" w:type="dxa"/>
              <w:left w:w="0" w:type="dxa"/>
              <w:bottom w:w="28" w:type="dxa"/>
              <w:right w:w="0" w:type="dxa"/>
            </w:tcMar>
            <w:vAlign w:val="center"/>
          </w:tcPr>
          <w:p w14:paraId="1F0CD58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100</w:t>
            </w:r>
          </w:p>
        </w:tc>
        <w:tc>
          <w:tcPr>
            <w:tcW w:w="2168" w:type="dxa"/>
            <w:tcBorders>
              <w:right w:val="single" w:color="000000" w:sz="4" w:space="0"/>
            </w:tcBorders>
            <w:tcMar>
              <w:top w:w="28" w:type="dxa"/>
              <w:left w:w="0" w:type="dxa"/>
              <w:bottom w:w="28" w:type="dxa"/>
              <w:right w:w="0" w:type="dxa"/>
            </w:tcMar>
            <w:vAlign w:val="center"/>
          </w:tcPr>
          <w:p w14:paraId="008F619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500</w:t>
            </w:r>
          </w:p>
        </w:tc>
        <w:tc>
          <w:tcPr>
            <w:tcW w:w="2157" w:type="dxa"/>
            <w:tcBorders>
              <w:left w:val="single" w:color="000000" w:sz="4" w:space="0"/>
              <w:right w:val="single" w:color="auto" w:sz="4" w:space="0"/>
            </w:tcBorders>
            <w:tcMar>
              <w:top w:w="28" w:type="dxa"/>
              <w:left w:w="0" w:type="dxa"/>
              <w:bottom w:w="28" w:type="dxa"/>
              <w:right w:w="0" w:type="dxa"/>
            </w:tcMar>
            <w:vAlign w:val="center"/>
          </w:tcPr>
          <w:p w14:paraId="13518AF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1000</w:t>
            </w:r>
          </w:p>
        </w:tc>
      </w:tr>
      <w:tr w14:paraId="3BB9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restart"/>
            <w:tcMar>
              <w:top w:w="28" w:type="dxa"/>
              <w:left w:w="0" w:type="dxa"/>
              <w:bottom w:w="28" w:type="dxa"/>
              <w:right w:w="0" w:type="dxa"/>
            </w:tcMar>
            <w:vAlign w:val="center"/>
          </w:tcPr>
          <w:p w14:paraId="662F1E2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耗氧量</w:t>
            </w:r>
          </w:p>
        </w:tc>
        <w:tc>
          <w:tcPr>
            <w:tcW w:w="1390" w:type="dxa"/>
            <w:tcMar>
              <w:top w:w="28" w:type="dxa"/>
              <w:left w:w="0" w:type="dxa"/>
              <w:bottom w:w="28" w:type="dxa"/>
              <w:right w:w="0" w:type="dxa"/>
            </w:tcMar>
            <w:vAlign w:val="center"/>
          </w:tcPr>
          <w:p w14:paraId="76C7DE5B">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w:t>
            </w:r>
          </w:p>
        </w:tc>
        <w:tc>
          <w:tcPr>
            <w:tcW w:w="1867" w:type="dxa"/>
            <w:tcMar>
              <w:top w:w="28" w:type="dxa"/>
              <w:left w:w="0" w:type="dxa"/>
              <w:bottom w:w="28" w:type="dxa"/>
              <w:right w:w="0" w:type="dxa"/>
            </w:tcMar>
            <w:vAlign w:val="center"/>
          </w:tcPr>
          <w:p w14:paraId="3282E4B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4.01E+01</w:t>
            </w:r>
          </w:p>
        </w:tc>
        <w:tc>
          <w:tcPr>
            <w:tcW w:w="2168" w:type="dxa"/>
            <w:tcMar>
              <w:top w:w="28" w:type="dxa"/>
              <w:left w:w="0" w:type="dxa"/>
              <w:bottom w:w="28" w:type="dxa"/>
              <w:right w:w="0" w:type="dxa"/>
            </w:tcMar>
            <w:vAlign w:val="center"/>
          </w:tcPr>
          <w:p w14:paraId="5C86ECDC">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6.59</w:t>
            </w:r>
          </w:p>
        </w:tc>
        <w:tc>
          <w:tcPr>
            <w:tcW w:w="2157" w:type="dxa"/>
            <w:tcMar>
              <w:top w:w="28" w:type="dxa"/>
              <w:left w:w="0" w:type="dxa"/>
              <w:bottom w:w="28" w:type="dxa"/>
              <w:right w:w="0" w:type="dxa"/>
            </w:tcMar>
            <w:vAlign w:val="center"/>
          </w:tcPr>
          <w:p w14:paraId="1FA6840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2.39</w:t>
            </w:r>
          </w:p>
        </w:tc>
      </w:tr>
      <w:tr w14:paraId="4AC1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5F554CB8">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6479C42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20</w:t>
            </w:r>
          </w:p>
        </w:tc>
        <w:tc>
          <w:tcPr>
            <w:tcW w:w="1867" w:type="dxa"/>
            <w:tcMar>
              <w:top w:w="28" w:type="dxa"/>
              <w:left w:w="0" w:type="dxa"/>
              <w:bottom w:w="28" w:type="dxa"/>
              <w:right w:w="0" w:type="dxa"/>
            </w:tcMar>
            <w:vAlign w:val="center"/>
          </w:tcPr>
          <w:p w14:paraId="785B1F4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4.01E+01</w:t>
            </w:r>
          </w:p>
        </w:tc>
        <w:tc>
          <w:tcPr>
            <w:tcW w:w="2168" w:type="dxa"/>
            <w:tcMar>
              <w:top w:w="28" w:type="dxa"/>
              <w:left w:w="0" w:type="dxa"/>
              <w:bottom w:w="28" w:type="dxa"/>
              <w:right w:w="0" w:type="dxa"/>
            </w:tcMar>
            <w:vAlign w:val="center"/>
          </w:tcPr>
          <w:p w14:paraId="5AA76B8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9.98</w:t>
            </w:r>
          </w:p>
        </w:tc>
        <w:tc>
          <w:tcPr>
            <w:tcW w:w="2157" w:type="dxa"/>
            <w:tcMar>
              <w:top w:w="28" w:type="dxa"/>
              <w:left w:w="0" w:type="dxa"/>
              <w:bottom w:w="28" w:type="dxa"/>
              <w:right w:w="0" w:type="dxa"/>
            </w:tcMar>
            <w:vAlign w:val="center"/>
          </w:tcPr>
          <w:p w14:paraId="27E9881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3.83</w:t>
            </w:r>
          </w:p>
        </w:tc>
      </w:tr>
      <w:tr w14:paraId="0A09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1112CD14">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7A84D62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30</w:t>
            </w:r>
          </w:p>
        </w:tc>
        <w:tc>
          <w:tcPr>
            <w:tcW w:w="1867" w:type="dxa"/>
            <w:tcMar>
              <w:top w:w="28" w:type="dxa"/>
              <w:left w:w="0" w:type="dxa"/>
              <w:bottom w:w="28" w:type="dxa"/>
              <w:right w:w="0" w:type="dxa"/>
            </w:tcMar>
            <w:vAlign w:val="center"/>
          </w:tcPr>
          <w:p w14:paraId="06A8AE2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1.13</w:t>
            </w:r>
          </w:p>
        </w:tc>
        <w:tc>
          <w:tcPr>
            <w:tcW w:w="2168" w:type="dxa"/>
            <w:tcMar>
              <w:top w:w="28" w:type="dxa"/>
              <w:left w:w="0" w:type="dxa"/>
              <w:bottom w:w="28" w:type="dxa"/>
              <w:right w:w="0" w:type="dxa"/>
            </w:tcMar>
            <w:vAlign w:val="center"/>
          </w:tcPr>
          <w:p w14:paraId="3A679B0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1.15E+01</w:t>
            </w:r>
          </w:p>
        </w:tc>
        <w:tc>
          <w:tcPr>
            <w:tcW w:w="2157" w:type="dxa"/>
            <w:tcMar>
              <w:top w:w="28" w:type="dxa"/>
              <w:left w:w="0" w:type="dxa"/>
              <w:bottom w:w="28" w:type="dxa"/>
              <w:right w:w="0" w:type="dxa"/>
            </w:tcMar>
            <w:vAlign w:val="center"/>
          </w:tcPr>
          <w:p w14:paraId="7A388609">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5.42</w:t>
            </w:r>
          </w:p>
        </w:tc>
      </w:tr>
      <w:tr w14:paraId="20B4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95" w:hRule="atLeast"/>
          <w:jc w:val="center"/>
        </w:trPr>
        <w:tc>
          <w:tcPr>
            <w:tcW w:w="999" w:type="dxa"/>
            <w:vMerge w:val="continue"/>
            <w:tcMar>
              <w:top w:w="28" w:type="dxa"/>
              <w:left w:w="0" w:type="dxa"/>
              <w:bottom w:w="28" w:type="dxa"/>
              <w:right w:w="0" w:type="dxa"/>
            </w:tcMar>
            <w:vAlign w:val="center"/>
          </w:tcPr>
          <w:p w14:paraId="1AF165CF">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57A9DF4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40</w:t>
            </w:r>
          </w:p>
        </w:tc>
        <w:tc>
          <w:tcPr>
            <w:tcW w:w="1867" w:type="dxa"/>
            <w:tcMar>
              <w:top w:w="28" w:type="dxa"/>
              <w:left w:w="0" w:type="dxa"/>
              <w:bottom w:w="28" w:type="dxa"/>
              <w:right w:w="0" w:type="dxa"/>
            </w:tcMar>
            <w:vAlign w:val="center"/>
          </w:tcPr>
          <w:p w14:paraId="64169D6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4.09E-02</w:t>
            </w:r>
          </w:p>
        </w:tc>
        <w:tc>
          <w:tcPr>
            <w:tcW w:w="2168" w:type="dxa"/>
            <w:tcMar>
              <w:top w:w="28" w:type="dxa"/>
              <w:left w:w="0" w:type="dxa"/>
              <w:bottom w:w="28" w:type="dxa"/>
              <w:right w:w="0" w:type="dxa"/>
            </w:tcMar>
            <w:vAlign w:val="center"/>
          </w:tcPr>
          <w:p w14:paraId="3A24CC35">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1.03E+01</w:t>
            </w:r>
          </w:p>
        </w:tc>
        <w:tc>
          <w:tcPr>
            <w:tcW w:w="2157" w:type="dxa"/>
            <w:tcMar>
              <w:top w:w="28" w:type="dxa"/>
              <w:left w:w="0" w:type="dxa"/>
              <w:bottom w:w="28" w:type="dxa"/>
              <w:right w:w="0" w:type="dxa"/>
            </w:tcMar>
            <w:vAlign w:val="center"/>
          </w:tcPr>
          <w:p w14:paraId="3E6E9D8A">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6.78</w:t>
            </w:r>
          </w:p>
        </w:tc>
      </w:tr>
      <w:tr w14:paraId="7B83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0A675524">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39FE3BC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50</w:t>
            </w:r>
          </w:p>
        </w:tc>
        <w:tc>
          <w:tcPr>
            <w:tcW w:w="1867" w:type="dxa"/>
            <w:tcMar>
              <w:top w:w="28" w:type="dxa"/>
              <w:left w:w="0" w:type="dxa"/>
              <w:bottom w:w="28" w:type="dxa"/>
              <w:right w:w="0" w:type="dxa"/>
            </w:tcMar>
            <w:vAlign w:val="center"/>
          </w:tcPr>
          <w:p w14:paraId="6289564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5.76E-04</w:t>
            </w:r>
          </w:p>
        </w:tc>
        <w:tc>
          <w:tcPr>
            <w:tcW w:w="2168" w:type="dxa"/>
            <w:tcMar>
              <w:top w:w="28" w:type="dxa"/>
              <w:left w:w="0" w:type="dxa"/>
              <w:bottom w:w="28" w:type="dxa"/>
              <w:right w:w="0" w:type="dxa"/>
            </w:tcMar>
            <w:vAlign w:val="center"/>
          </w:tcPr>
          <w:p w14:paraId="17863802">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7.29</w:t>
            </w:r>
          </w:p>
        </w:tc>
        <w:tc>
          <w:tcPr>
            <w:tcW w:w="2157" w:type="dxa"/>
            <w:tcMar>
              <w:top w:w="28" w:type="dxa"/>
              <w:left w:w="0" w:type="dxa"/>
              <w:bottom w:w="28" w:type="dxa"/>
              <w:right w:w="0" w:type="dxa"/>
            </w:tcMar>
            <w:vAlign w:val="center"/>
          </w:tcPr>
          <w:p w14:paraId="05D2D80B">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7.55</w:t>
            </w:r>
          </w:p>
        </w:tc>
      </w:tr>
      <w:tr w14:paraId="3C2A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70D89651">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60053EB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60</w:t>
            </w:r>
          </w:p>
        </w:tc>
        <w:tc>
          <w:tcPr>
            <w:tcW w:w="1867" w:type="dxa"/>
            <w:tcMar>
              <w:top w:w="28" w:type="dxa"/>
              <w:left w:w="0" w:type="dxa"/>
              <w:bottom w:w="28" w:type="dxa"/>
              <w:right w:w="0" w:type="dxa"/>
            </w:tcMar>
            <w:vAlign w:val="center"/>
          </w:tcPr>
          <w:p w14:paraId="6500440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3.10E-06</w:t>
            </w:r>
          </w:p>
        </w:tc>
        <w:tc>
          <w:tcPr>
            <w:tcW w:w="2168" w:type="dxa"/>
            <w:tcMar>
              <w:top w:w="28" w:type="dxa"/>
              <w:left w:w="0" w:type="dxa"/>
              <w:bottom w:w="28" w:type="dxa"/>
              <w:right w:w="0" w:type="dxa"/>
            </w:tcMar>
            <w:vAlign w:val="center"/>
          </w:tcPr>
          <w:p w14:paraId="29366A2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4.09</w:t>
            </w:r>
          </w:p>
        </w:tc>
        <w:tc>
          <w:tcPr>
            <w:tcW w:w="2157" w:type="dxa"/>
            <w:tcMar>
              <w:top w:w="28" w:type="dxa"/>
              <w:left w:w="0" w:type="dxa"/>
              <w:bottom w:w="28" w:type="dxa"/>
              <w:right w:w="0" w:type="dxa"/>
            </w:tcMar>
            <w:vAlign w:val="center"/>
          </w:tcPr>
          <w:p w14:paraId="06F8C235">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7.50</w:t>
            </w:r>
          </w:p>
        </w:tc>
      </w:tr>
      <w:tr w14:paraId="7030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3C8ADC70">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45865FD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70</w:t>
            </w:r>
          </w:p>
        </w:tc>
        <w:tc>
          <w:tcPr>
            <w:tcW w:w="1867" w:type="dxa"/>
            <w:tcMar>
              <w:top w:w="28" w:type="dxa"/>
              <w:left w:w="0" w:type="dxa"/>
              <w:bottom w:w="28" w:type="dxa"/>
              <w:right w:w="0" w:type="dxa"/>
            </w:tcMar>
            <w:vAlign w:val="center"/>
          </w:tcPr>
          <w:p w14:paraId="2A0EED0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6.32E-09</w:t>
            </w:r>
          </w:p>
        </w:tc>
        <w:tc>
          <w:tcPr>
            <w:tcW w:w="2168" w:type="dxa"/>
            <w:tcMar>
              <w:top w:w="28" w:type="dxa"/>
              <w:left w:w="0" w:type="dxa"/>
              <w:bottom w:w="28" w:type="dxa"/>
              <w:right w:w="0" w:type="dxa"/>
            </w:tcMar>
            <w:vAlign w:val="center"/>
          </w:tcPr>
          <w:p w14:paraId="08A04BB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1.83</w:t>
            </w:r>
          </w:p>
        </w:tc>
        <w:tc>
          <w:tcPr>
            <w:tcW w:w="2157" w:type="dxa"/>
            <w:tcMar>
              <w:top w:w="28" w:type="dxa"/>
              <w:left w:w="0" w:type="dxa"/>
              <w:bottom w:w="28" w:type="dxa"/>
              <w:right w:w="0" w:type="dxa"/>
            </w:tcMar>
            <w:vAlign w:val="center"/>
          </w:tcPr>
          <w:p w14:paraId="4117704C">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6.66</w:t>
            </w:r>
          </w:p>
        </w:tc>
      </w:tr>
      <w:tr w14:paraId="56A8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7305DEE9">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44D1382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80</w:t>
            </w:r>
          </w:p>
        </w:tc>
        <w:tc>
          <w:tcPr>
            <w:tcW w:w="1867" w:type="dxa"/>
            <w:tcMar>
              <w:top w:w="28" w:type="dxa"/>
              <w:left w:w="0" w:type="dxa"/>
              <w:bottom w:w="28" w:type="dxa"/>
              <w:right w:w="0" w:type="dxa"/>
            </w:tcMar>
            <w:vAlign w:val="center"/>
          </w:tcPr>
          <w:p w14:paraId="1911C7DF">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5.18E-12</w:t>
            </w:r>
          </w:p>
        </w:tc>
        <w:tc>
          <w:tcPr>
            <w:tcW w:w="2168" w:type="dxa"/>
            <w:tcMar>
              <w:top w:w="28" w:type="dxa"/>
              <w:left w:w="0" w:type="dxa"/>
              <w:bottom w:w="28" w:type="dxa"/>
              <w:right w:w="0" w:type="dxa"/>
            </w:tcMar>
            <w:vAlign w:val="center"/>
          </w:tcPr>
          <w:p w14:paraId="07FC03A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6.56E-01</w:t>
            </w:r>
          </w:p>
        </w:tc>
        <w:tc>
          <w:tcPr>
            <w:tcW w:w="2157" w:type="dxa"/>
            <w:tcMar>
              <w:top w:w="28" w:type="dxa"/>
              <w:left w:w="0" w:type="dxa"/>
              <w:bottom w:w="28" w:type="dxa"/>
              <w:right w:w="0" w:type="dxa"/>
            </w:tcMar>
            <w:vAlign w:val="center"/>
          </w:tcPr>
          <w:p w14:paraId="715B9A88">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5.29</w:t>
            </w:r>
          </w:p>
        </w:tc>
      </w:tr>
      <w:tr w14:paraId="1590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2B8D780F">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7FFEE89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90</w:t>
            </w:r>
          </w:p>
        </w:tc>
        <w:tc>
          <w:tcPr>
            <w:tcW w:w="1867" w:type="dxa"/>
            <w:tcMar>
              <w:top w:w="28" w:type="dxa"/>
              <w:left w:w="0" w:type="dxa"/>
              <w:bottom w:w="28" w:type="dxa"/>
              <w:right w:w="0" w:type="dxa"/>
            </w:tcMar>
            <w:vAlign w:val="center"/>
          </w:tcPr>
          <w:p w14:paraId="1C9F14E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32C7B0F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1.89E-01</w:t>
            </w:r>
          </w:p>
        </w:tc>
        <w:tc>
          <w:tcPr>
            <w:tcW w:w="2157" w:type="dxa"/>
            <w:tcMar>
              <w:top w:w="28" w:type="dxa"/>
              <w:left w:w="0" w:type="dxa"/>
              <w:bottom w:w="28" w:type="dxa"/>
              <w:right w:w="0" w:type="dxa"/>
            </w:tcMar>
            <w:vAlign w:val="center"/>
          </w:tcPr>
          <w:p w14:paraId="493D31FC">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3.77</w:t>
            </w:r>
          </w:p>
        </w:tc>
      </w:tr>
      <w:tr w14:paraId="2462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19044269">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6A8A9CD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100</w:t>
            </w:r>
          </w:p>
        </w:tc>
        <w:tc>
          <w:tcPr>
            <w:tcW w:w="1867" w:type="dxa"/>
            <w:tcMar>
              <w:top w:w="28" w:type="dxa"/>
              <w:left w:w="0" w:type="dxa"/>
              <w:bottom w:w="28" w:type="dxa"/>
              <w:right w:w="0" w:type="dxa"/>
            </w:tcMar>
            <w:vAlign w:val="center"/>
          </w:tcPr>
          <w:p w14:paraId="165CCB0B">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190CCDF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4.41E-02</w:t>
            </w:r>
          </w:p>
        </w:tc>
        <w:tc>
          <w:tcPr>
            <w:tcW w:w="2157" w:type="dxa"/>
            <w:tcMar>
              <w:top w:w="28" w:type="dxa"/>
              <w:left w:w="0" w:type="dxa"/>
              <w:bottom w:w="28" w:type="dxa"/>
              <w:right w:w="0" w:type="dxa"/>
            </w:tcMar>
            <w:vAlign w:val="center"/>
          </w:tcPr>
          <w:p w14:paraId="7CCF9B2A">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2.41</w:t>
            </w:r>
          </w:p>
        </w:tc>
      </w:tr>
      <w:tr w14:paraId="4DB3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7D593749">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42FBEE3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150</w:t>
            </w:r>
          </w:p>
        </w:tc>
        <w:tc>
          <w:tcPr>
            <w:tcW w:w="1867" w:type="dxa"/>
            <w:tcMar>
              <w:top w:w="28" w:type="dxa"/>
              <w:left w:w="0" w:type="dxa"/>
              <w:bottom w:w="28" w:type="dxa"/>
              <w:right w:w="0" w:type="dxa"/>
            </w:tcMar>
            <w:vAlign w:val="center"/>
          </w:tcPr>
          <w:p w14:paraId="3516EC6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0AC0FF2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1.32E-06</w:t>
            </w:r>
          </w:p>
        </w:tc>
        <w:tc>
          <w:tcPr>
            <w:tcW w:w="2157" w:type="dxa"/>
            <w:tcMar>
              <w:top w:w="28" w:type="dxa"/>
              <w:left w:w="0" w:type="dxa"/>
              <w:bottom w:w="28" w:type="dxa"/>
              <w:right w:w="0" w:type="dxa"/>
            </w:tcMar>
            <w:vAlign w:val="center"/>
          </w:tcPr>
          <w:p w14:paraId="3B226D79">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5.20E-02</w:t>
            </w:r>
          </w:p>
        </w:tc>
      </w:tr>
      <w:tr w14:paraId="56E9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02C5E395">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23956926">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200</w:t>
            </w:r>
          </w:p>
        </w:tc>
        <w:tc>
          <w:tcPr>
            <w:tcW w:w="1867" w:type="dxa"/>
            <w:tcMar>
              <w:top w:w="28" w:type="dxa"/>
              <w:left w:w="0" w:type="dxa"/>
              <w:bottom w:w="28" w:type="dxa"/>
              <w:right w:w="0" w:type="dxa"/>
            </w:tcMar>
            <w:vAlign w:val="center"/>
          </w:tcPr>
          <w:p w14:paraId="29B53B5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5B1A1DC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2.72E-13</w:t>
            </w:r>
          </w:p>
        </w:tc>
        <w:tc>
          <w:tcPr>
            <w:tcW w:w="2157" w:type="dxa"/>
            <w:tcMar>
              <w:top w:w="28" w:type="dxa"/>
              <w:left w:w="0" w:type="dxa"/>
              <w:bottom w:w="28" w:type="dxa"/>
              <w:right w:w="0" w:type="dxa"/>
            </w:tcMar>
            <w:vAlign w:val="center"/>
          </w:tcPr>
          <w:p w14:paraId="1058EAF1">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8.18E-05</w:t>
            </w:r>
          </w:p>
        </w:tc>
      </w:tr>
      <w:tr w14:paraId="64D3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68AD4EF9">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62DF3686">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250</w:t>
            </w:r>
          </w:p>
        </w:tc>
        <w:tc>
          <w:tcPr>
            <w:tcW w:w="1867" w:type="dxa"/>
            <w:tcMar>
              <w:top w:w="28" w:type="dxa"/>
              <w:left w:w="0" w:type="dxa"/>
              <w:bottom w:w="28" w:type="dxa"/>
              <w:right w:w="0" w:type="dxa"/>
            </w:tcMar>
            <w:vAlign w:val="center"/>
          </w:tcPr>
          <w:p w14:paraId="35BF06F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78FC991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center"/>
          </w:tcPr>
          <w:p w14:paraId="6458A7C9">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9.08E-14</w:t>
            </w:r>
          </w:p>
        </w:tc>
      </w:tr>
      <w:tr w14:paraId="3741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64C5FC46">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61E5C56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300</w:t>
            </w:r>
          </w:p>
        </w:tc>
        <w:tc>
          <w:tcPr>
            <w:tcW w:w="1867" w:type="dxa"/>
            <w:tcMar>
              <w:top w:w="28" w:type="dxa"/>
              <w:left w:w="0" w:type="dxa"/>
              <w:bottom w:w="28" w:type="dxa"/>
              <w:right w:w="0" w:type="dxa"/>
            </w:tcMar>
            <w:vAlign w:val="center"/>
          </w:tcPr>
          <w:p w14:paraId="5312FD1B">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5468528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center"/>
          </w:tcPr>
          <w:p w14:paraId="4D60F6F4">
            <w:pPr>
              <w:adjustRightInd w:val="0"/>
              <w:snapToGrid w:val="0"/>
              <w:jc w:val="center"/>
              <w:rPr>
                <w:rFonts w:ascii="Times New Roman" w:hAnsi="Times New Roman"/>
                <w:bCs/>
                <w:szCs w:val="21"/>
              </w:rPr>
            </w:pPr>
            <w:r>
              <w:rPr>
                <w:rFonts w:hint="eastAsia" w:ascii="Times New Roman" w:hAnsi="Times New Roman"/>
                <w:bCs/>
                <w:szCs w:val="21"/>
              </w:rPr>
              <w:t>0</w:t>
            </w:r>
          </w:p>
        </w:tc>
      </w:tr>
      <w:tr w14:paraId="23B7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096F34C9">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561F837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400</w:t>
            </w:r>
          </w:p>
        </w:tc>
        <w:tc>
          <w:tcPr>
            <w:tcW w:w="1867" w:type="dxa"/>
            <w:tcMar>
              <w:top w:w="28" w:type="dxa"/>
              <w:left w:w="0" w:type="dxa"/>
              <w:bottom w:w="28" w:type="dxa"/>
              <w:right w:w="0" w:type="dxa"/>
            </w:tcMar>
            <w:vAlign w:val="center"/>
          </w:tcPr>
          <w:p w14:paraId="3592F33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4EDB3D5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center"/>
          </w:tcPr>
          <w:p w14:paraId="56581916">
            <w:pPr>
              <w:adjustRightInd w:val="0"/>
              <w:snapToGrid w:val="0"/>
              <w:jc w:val="center"/>
              <w:rPr>
                <w:rFonts w:ascii="Times New Roman" w:hAnsi="Times New Roman"/>
                <w:bCs/>
                <w:szCs w:val="21"/>
              </w:rPr>
            </w:pPr>
            <w:r>
              <w:rPr>
                <w:rFonts w:hint="eastAsia" w:ascii="Times New Roman" w:hAnsi="Times New Roman"/>
                <w:bCs/>
                <w:szCs w:val="21"/>
              </w:rPr>
              <w:t>0</w:t>
            </w:r>
          </w:p>
        </w:tc>
      </w:tr>
      <w:tr w14:paraId="347F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274CAE92">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6558643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500</w:t>
            </w:r>
          </w:p>
        </w:tc>
        <w:tc>
          <w:tcPr>
            <w:tcW w:w="1867" w:type="dxa"/>
            <w:tcMar>
              <w:top w:w="28" w:type="dxa"/>
              <w:left w:w="0" w:type="dxa"/>
              <w:bottom w:w="28" w:type="dxa"/>
              <w:right w:w="0" w:type="dxa"/>
            </w:tcMar>
            <w:vAlign w:val="center"/>
          </w:tcPr>
          <w:p w14:paraId="269E20F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34B8B95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center"/>
          </w:tcPr>
          <w:p w14:paraId="42AC5BE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430D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1C11450B">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3F21983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600</w:t>
            </w:r>
          </w:p>
        </w:tc>
        <w:tc>
          <w:tcPr>
            <w:tcW w:w="1867" w:type="dxa"/>
            <w:tcMar>
              <w:top w:w="28" w:type="dxa"/>
              <w:left w:w="0" w:type="dxa"/>
              <w:bottom w:w="28" w:type="dxa"/>
              <w:right w:w="0" w:type="dxa"/>
            </w:tcMar>
            <w:vAlign w:val="center"/>
          </w:tcPr>
          <w:p w14:paraId="6B485EF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63E05C0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center"/>
          </w:tcPr>
          <w:p w14:paraId="4E10A99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41ED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68F5C066">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2935CA4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800</w:t>
            </w:r>
          </w:p>
        </w:tc>
        <w:tc>
          <w:tcPr>
            <w:tcW w:w="1867" w:type="dxa"/>
            <w:tcMar>
              <w:top w:w="28" w:type="dxa"/>
              <w:left w:w="0" w:type="dxa"/>
              <w:bottom w:w="28" w:type="dxa"/>
              <w:right w:w="0" w:type="dxa"/>
            </w:tcMar>
            <w:vAlign w:val="center"/>
          </w:tcPr>
          <w:p w14:paraId="12266B6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3D456EF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center"/>
          </w:tcPr>
          <w:p w14:paraId="2023B05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7716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4B46D8C2">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center"/>
          </w:tcPr>
          <w:p w14:paraId="1B04485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900</w:t>
            </w:r>
          </w:p>
        </w:tc>
        <w:tc>
          <w:tcPr>
            <w:tcW w:w="1867" w:type="dxa"/>
            <w:tcMar>
              <w:top w:w="28" w:type="dxa"/>
              <w:left w:w="0" w:type="dxa"/>
              <w:bottom w:w="28" w:type="dxa"/>
              <w:right w:w="0" w:type="dxa"/>
            </w:tcMar>
            <w:vAlign w:val="center"/>
          </w:tcPr>
          <w:p w14:paraId="7A4A17BB">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center"/>
          </w:tcPr>
          <w:p w14:paraId="5986A7A6">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center"/>
          </w:tcPr>
          <w:p w14:paraId="58601DA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7927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76" w:hRule="atLeast"/>
          <w:jc w:val="center"/>
        </w:trPr>
        <w:tc>
          <w:tcPr>
            <w:tcW w:w="999" w:type="dxa"/>
            <w:vMerge w:val="continue"/>
            <w:tcMar>
              <w:top w:w="28" w:type="dxa"/>
              <w:left w:w="0" w:type="dxa"/>
              <w:bottom w:w="28" w:type="dxa"/>
              <w:right w:w="0" w:type="dxa"/>
            </w:tcMar>
            <w:vAlign w:val="center"/>
          </w:tcPr>
          <w:p w14:paraId="4D132A42">
            <w:pPr>
              <w:pStyle w:val="12"/>
              <w:adjustRightInd w:val="0"/>
              <w:snapToGrid w:val="0"/>
              <w:ind w:firstLine="0" w:firstLineChars="0"/>
              <w:jc w:val="center"/>
              <w:rPr>
                <w:rFonts w:ascii="Times New Roman" w:hAnsi="Times New Roman"/>
                <w:bCs/>
                <w:szCs w:val="21"/>
              </w:rPr>
            </w:pPr>
          </w:p>
        </w:tc>
        <w:tc>
          <w:tcPr>
            <w:tcW w:w="1390" w:type="dxa"/>
            <w:tcBorders>
              <w:bottom w:val="single" w:color="000000" w:sz="4" w:space="0"/>
            </w:tcBorders>
            <w:tcMar>
              <w:top w:w="28" w:type="dxa"/>
              <w:left w:w="0" w:type="dxa"/>
              <w:bottom w:w="28" w:type="dxa"/>
              <w:right w:w="0" w:type="dxa"/>
            </w:tcMar>
            <w:vAlign w:val="center"/>
          </w:tcPr>
          <w:p w14:paraId="749DC416">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1000</w:t>
            </w:r>
          </w:p>
        </w:tc>
        <w:tc>
          <w:tcPr>
            <w:tcW w:w="1867" w:type="dxa"/>
            <w:tcBorders>
              <w:bottom w:val="single" w:color="000000" w:sz="4" w:space="0"/>
            </w:tcBorders>
            <w:tcMar>
              <w:top w:w="28" w:type="dxa"/>
              <w:left w:w="0" w:type="dxa"/>
              <w:bottom w:w="28" w:type="dxa"/>
              <w:right w:w="0" w:type="dxa"/>
            </w:tcMar>
            <w:vAlign w:val="center"/>
          </w:tcPr>
          <w:p w14:paraId="1E7B78A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Borders>
              <w:bottom w:val="single" w:color="000000" w:sz="4" w:space="0"/>
            </w:tcBorders>
            <w:tcMar>
              <w:top w:w="28" w:type="dxa"/>
              <w:left w:w="0" w:type="dxa"/>
              <w:bottom w:w="28" w:type="dxa"/>
              <w:right w:w="0" w:type="dxa"/>
            </w:tcMar>
            <w:vAlign w:val="center"/>
          </w:tcPr>
          <w:p w14:paraId="6E46533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Borders>
              <w:bottom w:val="single" w:color="000000" w:sz="4" w:space="0"/>
            </w:tcBorders>
            <w:tcMar>
              <w:top w:w="28" w:type="dxa"/>
              <w:left w:w="0" w:type="dxa"/>
              <w:bottom w:w="28" w:type="dxa"/>
              <w:right w:w="0" w:type="dxa"/>
            </w:tcMar>
            <w:vAlign w:val="center"/>
          </w:tcPr>
          <w:p w14:paraId="5A08686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2771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restart"/>
            <w:tcMar>
              <w:top w:w="28" w:type="dxa"/>
              <w:left w:w="0" w:type="dxa"/>
              <w:bottom w:w="28" w:type="dxa"/>
              <w:right w:w="0" w:type="dxa"/>
            </w:tcMar>
            <w:vAlign w:val="center"/>
          </w:tcPr>
          <w:p w14:paraId="2EB654F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甲苯</w:t>
            </w:r>
          </w:p>
        </w:tc>
        <w:tc>
          <w:tcPr>
            <w:tcW w:w="1390" w:type="dxa"/>
            <w:tcMar>
              <w:top w:w="28" w:type="dxa"/>
              <w:left w:w="0" w:type="dxa"/>
              <w:bottom w:w="28" w:type="dxa"/>
              <w:right w:w="0" w:type="dxa"/>
            </w:tcMar>
            <w:vAlign w:val="bottom"/>
          </w:tcPr>
          <w:p w14:paraId="5F58583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w:t>
            </w:r>
          </w:p>
        </w:tc>
        <w:tc>
          <w:tcPr>
            <w:tcW w:w="1867" w:type="dxa"/>
            <w:tcMar>
              <w:top w:w="28" w:type="dxa"/>
              <w:left w:w="0" w:type="dxa"/>
              <w:bottom w:w="28" w:type="dxa"/>
              <w:right w:w="0" w:type="dxa"/>
            </w:tcMar>
            <w:vAlign w:val="bottom"/>
          </w:tcPr>
          <w:p w14:paraId="4EAAFCC7">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8.43E-04</w:t>
            </w:r>
          </w:p>
        </w:tc>
        <w:tc>
          <w:tcPr>
            <w:tcW w:w="2168" w:type="dxa"/>
            <w:tcMar>
              <w:top w:w="28" w:type="dxa"/>
              <w:left w:w="0" w:type="dxa"/>
              <w:bottom w:w="28" w:type="dxa"/>
              <w:right w:w="0" w:type="dxa"/>
            </w:tcMar>
            <w:vAlign w:val="bottom"/>
          </w:tcPr>
          <w:p w14:paraId="4EA8050E">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1.39E-04</w:t>
            </w:r>
          </w:p>
        </w:tc>
        <w:tc>
          <w:tcPr>
            <w:tcW w:w="2157" w:type="dxa"/>
            <w:tcMar>
              <w:top w:w="28" w:type="dxa"/>
              <w:left w:w="0" w:type="dxa"/>
              <w:bottom w:w="28" w:type="dxa"/>
              <w:right w:w="0" w:type="dxa"/>
            </w:tcMar>
            <w:vAlign w:val="bottom"/>
          </w:tcPr>
          <w:p w14:paraId="612A37B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5.02E-05</w:t>
            </w:r>
          </w:p>
        </w:tc>
      </w:tr>
      <w:tr w14:paraId="635B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1BA17850">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3C2ACD9C">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20</w:t>
            </w:r>
          </w:p>
        </w:tc>
        <w:tc>
          <w:tcPr>
            <w:tcW w:w="1867" w:type="dxa"/>
            <w:tcMar>
              <w:top w:w="28" w:type="dxa"/>
              <w:left w:w="0" w:type="dxa"/>
              <w:bottom w:w="28" w:type="dxa"/>
              <w:right w:w="0" w:type="dxa"/>
            </w:tcMar>
            <w:vAlign w:val="bottom"/>
          </w:tcPr>
          <w:p w14:paraId="5842B84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2.57E-04</w:t>
            </w:r>
          </w:p>
        </w:tc>
        <w:tc>
          <w:tcPr>
            <w:tcW w:w="2168" w:type="dxa"/>
            <w:tcMar>
              <w:top w:w="28" w:type="dxa"/>
              <w:left w:w="0" w:type="dxa"/>
              <w:bottom w:w="28" w:type="dxa"/>
              <w:right w:w="0" w:type="dxa"/>
            </w:tcMar>
            <w:vAlign w:val="bottom"/>
          </w:tcPr>
          <w:p w14:paraId="278ECEB1">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2.10E-04</w:t>
            </w:r>
          </w:p>
        </w:tc>
        <w:tc>
          <w:tcPr>
            <w:tcW w:w="2157" w:type="dxa"/>
            <w:tcMar>
              <w:top w:w="28" w:type="dxa"/>
              <w:left w:w="0" w:type="dxa"/>
              <w:bottom w:w="28" w:type="dxa"/>
              <w:right w:w="0" w:type="dxa"/>
            </w:tcMar>
            <w:vAlign w:val="bottom"/>
          </w:tcPr>
          <w:p w14:paraId="2B81FFB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8.06E-05</w:t>
            </w:r>
          </w:p>
        </w:tc>
      </w:tr>
      <w:tr w14:paraId="516B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56FB283C">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14AAC89C">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30</w:t>
            </w:r>
          </w:p>
        </w:tc>
        <w:tc>
          <w:tcPr>
            <w:tcW w:w="1867" w:type="dxa"/>
            <w:tcMar>
              <w:top w:w="28" w:type="dxa"/>
              <w:left w:w="0" w:type="dxa"/>
              <w:bottom w:w="28" w:type="dxa"/>
              <w:right w:w="0" w:type="dxa"/>
            </w:tcMar>
            <w:vAlign w:val="bottom"/>
          </w:tcPr>
          <w:p w14:paraId="3A7B299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2.38E-05</w:t>
            </w:r>
          </w:p>
        </w:tc>
        <w:tc>
          <w:tcPr>
            <w:tcW w:w="2168" w:type="dxa"/>
            <w:tcMar>
              <w:top w:w="28" w:type="dxa"/>
              <w:left w:w="0" w:type="dxa"/>
              <w:bottom w:w="28" w:type="dxa"/>
              <w:right w:w="0" w:type="dxa"/>
            </w:tcMar>
            <w:vAlign w:val="bottom"/>
          </w:tcPr>
          <w:p w14:paraId="26D8EDD4">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2.42E-04</w:t>
            </w:r>
          </w:p>
        </w:tc>
        <w:tc>
          <w:tcPr>
            <w:tcW w:w="2157" w:type="dxa"/>
            <w:tcMar>
              <w:top w:w="28" w:type="dxa"/>
              <w:left w:w="0" w:type="dxa"/>
              <w:bottom w:w="28" w:type="dxa"/>
              <w:right w:w="0" w:type="dxa"/>
            </w:tcMar>
            <w:vAlign w:val="bottom"/>
          </w:tcPr>
          <w:p w14:paraId="4979A8A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1.14E-04</w:t>
            </w:r>
          </w:p>
        </w:tc>
      </w:tr>
      <w:tr w14:paraId="1387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0F20A825">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6C1DB03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40</w:t>
            </w:r>
          </w:p>
        </w:tc>
        <w:tc>
          <w:tcPr>
            <w:tcW w:w="1867" w:type="dxa"/>
            <w:tcMar>
              <w:top w:w="28" w:type="dxa"/>
              <w:left w:w="0" w:type="dxa"/>
              <w:bottom w:w="28" w:type="dxa"/>
              <w:right w:w="0" w:type="dxa"/>
            </w:tcMar>
            <w:vAlign w:val="bottom"/>
          </w:tcPr>
          <w:p w14:paraId="63953CB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8.60E-07</w:t>
            </w:r>
          </w:p>
        </w:tc>
        <w:tc>
          <w:tcPr>
            <w:tcW w:w="2168" w:type="dxa"/>
            <w:tcMar>
              <w:top w:w="28" w:type="dxa"/>
              <w:left w:w="0" w:type="dxa"/>
              <w:bottom w:w="28" w:type="dxa"/>
              <w:right w:w="0" w:type="dxa"/>
            </w:tcMar>
            <w:vAlign w:val="bottom"/>
          </w:tcPr>
          <w:p w14:paraId="38EDBE81">
            <w:pPr>
              <w:pStyle w:val="12"/>
              <w:adjustRightInd w:val="0"/>
              <w:snapToGrid w:val="0"/>
              <w:ind w:firstLine="0" w:firstLineChars="0"/>
              <w:jc w:val="center"/>
              <w:rPr>
                <w:rFonts w:ascii="Times New Roman" w:hAnsi="Times New Roman"/>
                <w:bCs/>
                <w:szCs w:val="21"/>
              </w:rPr>
            </w:pPr>
            <w:r>
              <w:rPr>
                <w:rFonts w:ascii="Times New Roman" w:hAnsi="Times New Roman"/>
                <w:bCs/>
                <w:szCs w:val="21"/>
              </w:rPr>
              <w:t>2.17E-04</w:t>
            </w:r>
          </w:p>
        </w:tc>
        <w:tc>
          <w:tcPr>
            <w:tcW w:w="2157" w:type="dxa"/>
            <w:tcMar>
              <w:top w:w="28" w:type="dxa"/>
              <w:left w:w="0" w:type="dxa"/>
              <w:bottom w:w="28" w:type="dxa"/>
              <w:right w:w="0" w:type="dxa"/>
            </w:tcMar>
            <w:vAlign w:val="bottom"/>
          </w:tcPr>
          <w:p w14:paraId="5A67B37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1.43E-04</w:t>
            </w:r>
          </w:p>
        </w:tc>
      </w:tr>
      <w:tr w14:paraId="2560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2DD6D65F">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1F251BA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50</w:t>
            </w:r>
          </w:p>
        </w:tc>
        <w:tc>
          <w:tcPr>
            <w:tcW w:w="1867" w:type="dxa"/>
            <w:tcMar>
              <w:top w:w="28" w:type="dxa"/>
              <w:left w:w="0" w:type="dxa"/>
              <w:bottom w:w="28" w:type="dxa"/>
              <w:right w:w="0" w:type="dxa"/>
            </w:tcMar>
            <w:vAlign w:val="bottom"/>
          </w:tcPr>
          <w:p w14:paraId="0304AD2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1.21E-08</w:t>
            </w:r>
          </w:p>
        </w:tc>
        <w:tc>
          <w:tcPr>
            <w:tcW w:w="2168" w:type="dxa"/>
            <w:tcMar>
              <w:top w:w="28" w:type="dxa"/>
              <w:left w:w="0" w:type="dxa"/>
              <w:bottom w:w="28" w:type="dxa"/>
              <w:right w:w="0" w:type="dxa"/>
            </w:tcMar>
            <w:vAlign w:val="bottom"/>
          </w:tcPr>
          <w:p w14:paraId="0B27C27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1.53E-04</w:t>
            </w:r>
          </w:p>
        </w:tc>
        <w:tc>
          <w:tcPr>
            <w:tcW w:w="2157" w:type="dxa"/>
            <w:tcMar>
              <w:top w:w="28" w:type="dxa"/>
              <w:left w:w="0" w:type="dxa"/>
              <w:bottom w:w="28" w:type="dxa"/>
              <w:right w:w="0" w:type="dxa"/>
            </w:tcMar>
            <w:vAlign w:val="bottom"/>
          </w:tcPr>
          <w:p w14:paraId="780AFE1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1.59E-04</w:t>
            </w:r>
          </w:p>
        </w:tc>
      </w:tr>
      <w:tr w14:paraId="5945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615DEA13">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2455BF2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60</w:t>
            </w:r>
          </w:p>
        </w:tc>
        <w:tc>
          <w:tcPr>
            <w:tcW w:w="1867" w:type="dxa"/>
            <w:tcMar>
              <w:top w:w="28" w:type="dxa"/>
              <w:left w:w="0" w:type="dxa"/>
              <w:bottom w:w="28" w:type="dxa"/>
              <w:right w:w="0" w:type="dxa"/>
            </w:tcMar>
            <w:vAlign w:val="bottom"/>
          </w:tcPr>
          <w:p w14:paraId="66777F2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6.52E-11</w:t>
            </w:r>
          </w:p>
        </w:tc>
        <w:tc>
          <w:tcPr>
            <w:tcW w:w="2168" w:type="dxa"/>
            <w:tcMar>
              <w:top w:w="28" w:type="dxa"/>
              <w:left w:w="0" w:type="dxa"/>
              <w:bottom w:w="28" w:type="dxa"/>
              <w:right w:w="0" w:type="dxa"/>
            </w:tcMar>
            <w:vAlign w:val="bottom"/>
          </w:tcPr>
          <w:p w14:paraId="1CA82A6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8.59E-05</w:t>
            </w:r>
          </w:p>
        </w:tc>
        <w:tc>
          <w:tcPr>
            <w:tcW w:w="2157" w:type="dxa"/>
            <w:tcMar>
              <w:top w:w="28" w:type="dxa"/>
              <w:left w:w="0" w:type="dxa"/>
              <w:bottom w:w="28" w:type="dxa"/>
              <w:right w:w="0" w:type="dxa"/>
            </w:tcMar>
            <w:vAlign w:val="bottom"/>
          </w:tcPr>
          <w:p w14:paraId="3BC1A7E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1.58E-04</w:t>
            </w:r>
          </w:p>
        </w:tc>
      </w:tr>
      <w:tr w14:paraId="30CD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3F7CE680">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31D514E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70</w:t>
            </w:r>
          </w:p>
        </w:tc>
        <w:tc>
          <w:tcPr>
            <w:tcW w:w="1867" w:type="dxa"/>
            <w:tcMar>
              <w:top w:w="28" w:type="dxa"/>
              <w:left w:w="0" w:type="dxa"/>
              <w:bottom w:w="28" w:type="dxa"/>
              <w:right w:w="0" w:type="dxa"/>
            </w:tcMar>
            <w:vAlign w:val="bottom"/>
          </w:tcPr>
          <w:p w14:paraId="04176CB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1.33E-13</w:t>
            </w:r>
          </w:p>
        </w:tc>
        <w:tc>
          <w:tcPr>
            <w:tcW w:w="2168" w:type="dxa"/>
            <w:tcMar>
              <w:top w:w="28" w:type="dxa"/>
              <w:left w:w="0" w:type="dxa"/>
              <w:bottom w:w="28" w:type="dxa"/>
              <w:right w:w="0" w:type="dxa"/>
            </w:tcMar>
            <w:vAlign w:val="bottom"/>
          </w:tcPr>
          <w:p w14:paraId="4A3F103F">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3.84E-05</w:t>
            </w:r>
          </w:p>
        </w:tc>
        <w:tc>
          <w:tcPr>
            <w:tcW w:w="2157" w:type="dxa"/>
            <w:tcMar>
              <w:top w:w="28" w:type="dxa"/>
              <w:left w:w="0" w:type="dxa"/>
              <w:bottom w:w="28" w:type="dxa"/>
              <w:right w:w="0" w:type="dxa"/>
            </w:tcMar>
            <w:vAlign w:val="bottom"/>
          </w:tcPr>
          <w:p w14:paraId="5F4E169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1.40E-04</w:t>
            </w:r>
          </w:p>
        </w:tc>
      </w:tr>
      <w:tr w14:paraId="51AA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042AD795">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64DCEE2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80</w:t>
            </w:r>
          </w:p>
        </w:tc>
        <w:tc>
          <w:tcPr>
            <w:tcW w:w="1867" w:type="dxa"/>
            <w:tcMar>
              <w:top w:w="28" w:type="dxa"/>
              <w:left w:w="0" w:type="dxa"/>
              <w:bottom w:w="28" w:type="dxa"/>
              <w:right w:w="0" w:type="dxa"/>
            </w:tcMar>
            <w:vAlign w:val="bottom"/>
          </w:tcPr>
          <w:p w14:paraId="56A6C08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1.09E-16</w:t>
            </w:r>
          </w:p>
        </w:tc>
        <w:tc>
          <w:tcPr>
            <w:tcW w:w="2168" w:type="dxa"/>
            <w:tcMar>
              <w:top w:w="28" w:type="dxa"/>
              <w:left w:w="0" w:type="dxa"/>
              <w:bottom w:w="28" w:type="dxa"/>
              <w:right w:w="0" w:type="dxa"/>
            </w:tcMar>
            <w:vAlign w:val="bottom"/>
          </w:tcPr>
          <w:p w14:paraId="1534DA6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1.38E-05</w:t>
            </w:r>
          </w:p>
        </w:tc>
        <w:tc>
          <w:tcPr>
            <w:tcW w:w="2157" w:type="dxa"/>
            <w:tcMar>
              <w:top w:w="28" w:type="dxa"/>
              <w:left w:w="0" w:type="dxa"/>
              <w:bottom w:w="28" w:type="dxa"/>
              <w:right w:w="0" w:type="dxa"/>
            </w:tcMar>
            <w:vAlign w:val="bottom"/>
          </w:tcPr>
          <w:p w14:paraId="6A6762DB">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1.11E-04</w:t>
            </w:r>
          </w:p>
        </w:tc>
      </w:tr>
      <w:tr w14:paraId="4FD7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41B4EFB1">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4A1173FC">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90</w:t>
            </w:r>
          </w:p>
        </w:tc>
        <w:tc>
          <w:tcPr>
            <w:tcW w:w="1867" w:type="dxa"/>
            <w:tcMar>
              <w:top w:w="28" w:type="dxa"/>
              <w:left w:w="0" w:type="dxa"/>
              <w:bottom w:w="28" w:type="dxa"/>
              <w:right w:w="0" w:type="dxa"/>
            </w:tcMar>
            <w:vAlign w:val="bottom"/>
          </w:tcPr>
          <w:p w14:paraId="7D5900F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32CB63C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3.98E-06</w:t>
            </w:r>
          </w:p>
        </w:tc>
        <w:tc>
          <w:tcPr>
            <w:tcW w:w="2157" w:type="dxa"/>
            <w:tcMar>
              <w:top w:w="28" w:type="dxa"/>
              <w:left w:w="0" w:type="dxa"/>
              <w:bottom w:w="28" w:type="dxa"/>
              <w:right w:w="0" w:type="dxa"/>
            </w:tcMar>
            <w:vAlign w:val="bottom"/>
          </w:tcPr>
          <w:p w14:paraId="6E0BD5F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7.93E-05</w:t>
            </w:r>
          </w:p>
        </w:tc>
      </w:tr>
      <w:tr w14:paraId="115A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75F2928B">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4BC3C18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100</w:t>
            </w:r>
          </w:p>
        </w:tc>
        <w:tc>
          <w:tcPr>
            <w:tcW w:w="1867" w:type="dxa"/>
            <w:tcMar>
              <w:top w:w="28" w:type="dxa"/>
              <w:left w:w="0" w:type="dxa"/>
              <w:bottom w:w="28" w:type="dxa"/>
              <w:right w:w="0" w:type="dxa"/>
            </w:tcMar>
            <w:vAlign w:val="bottom"/>
          </w:tcPr>
          <w:p w14:paraId="4756891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641D288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9.26E-07</w:t>
            </w:r>
          </w:p>
        </w:tc>
        <w:tc>
          <w:tcPr>
            <w:tcW w:w="2157" w:type="dxa"/>
            <w:tcMar>
              <w:top w:w="28" w:type="dxa"/>
              <w:left w:w="0" w:type="dxa"/>
              <w:bottom w:w="28" w:type="dxa"/>
              <w:right w:w="0" w:type="dxa"/>
            </w:tcMar>
            <w:vAlign w:val="bottom"/>
          </w:tcPr>
          <w:p w14:paraId="78154D9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5.07E-05</w:t>
            </w:r>
          </w:p>
        </w:tc>
      </w:tr>
      <w:tr w14:paraId="453A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47D3C3C8">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210FECAB">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150</w:t>
            </w:r>
          </w:p>
        </w:tc>
        <w:tc>
          <w:tcPr>
            <w:tcW w:w="1867" w:type="dxa"/>
            <w:tcMar>
              <w:top w:w="28" w:type="dxa"/>
              <w:left w:w="0" w:type="dxa"/>
              <w:bottom w:w="28" w:type="dxa"/>
              <w:right w:w="0" w:type="dxa"/>
            </w:tcMar>
            <w:vAlign w:val="bottom"/>
          </w:tcPr>
          <w:p w14:paraId="4783324F">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682F760B">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2.78E-11</w:t>
            </w:r>
          </w:p>
        </w:tc>
        <w:tc>
          <w:tcPr>
            <w:tcW w:w="2157" w:type="dxa"/>
            <w:tcMar>
              <w:top w:w="28" w:type="dxa"/>
              <w:left w:w="0" w:type="dxa"/>
              <w:bottom w:w="28" w:type="dxa"/>
              <w:right w:w="0" w:type="dxa"/>
            </w:tcMar>
            <w:vAlign w:val="bottom"/>
          </w:tcPr>
          <w:p w14:paraId="6AA9AA9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1.09E-06</w:t>
            </w:r>
          </w:p>
        </w:tc>
      </w:tr>
      <w:tr w14:paraId="5A90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38152AF2">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2E11486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200</w:t>
            </w:r>
          </w:p>
        </w:tc>
        <w:tc>
          <w:tcPr>
            <w:tcW w:w="1867" w:type="dxa"/>
            <w:tcMar>
              <w:top w:w="28" w:type="dxa"/>
              <w:left w:w="0" w:type="dxa"/>
              <w:bottom w:w="28" w:type="dxa"/>
              <w:right w:w="0" w:type="dxa"/>
            </w:tcMar>
            <w:vAlign w:val="bottom"/>
          </w:tcPr>
          <w:p w14:paraId="2D5B0996">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16E0E43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5.73E-18</w:t>
            </w:r>
          </w:p>
        </w:tc>
        <w:tc>
          <w:tcPr>
            <w:tcW w:w="2157" w:type="dxa"/>
            <w:tcMar>
              <w:top w:w="28" w:type="dxa"/>
              <w:left w:w="0" w:type="dxa"/>
              <w:bottom w:w="28" w:type="dxa"/>
              <w:right w:w="0" w:type="dxa"/>
            </w:tcMar>
            <w:vAlign w:val="bottom"/>
          </w:tcPr>
          <w:p w14:paraId="36132F66">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1.72E-09</w:t>
            </w:r>
          </w:p>
        </w:tc>
      </w:tr>
      <w:tr w14:paraId="517A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3447641A">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340C7A8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250</w:t>
            </w:r>
          </w:p>
        </w:tc>
        <w:tc>
          <w:tcPr>
            <w:tcW w:w="1867" w:type="dxa"/>
            <w:tcMar>
              <w:top w:w="28" w:type="dxa"/>
              <w:left w:w="0" w:type="dxa"/>
              <w:bottom w:w="28" w:type="dxa"/>
              <w:right w:w="0" w:type="dxa"/>
            </w:tcMar>
            <w:vAlign w:val="bottom"/>
          </w:tcPr>
          <w:p w14:paraId="1CC18B4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6C16E0D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28B9129F">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2.07E-13</w:t>
            </w:r>
          </w:p>
        </w:tc>
      </w:tr>
      <w:tr w14:paraId="0E3F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1E609C5B">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65EDD3A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300</w:t>
            </w:r>
          </w:p>
        </w:tc>
        <w:tc>
          <w:tcPr>
            <w:tcW w:w="1867" w:type="dxa"/>
            <w:tcMar>
              <w:top w:w="28" w:type="dxa"/>
              <w:left w:w="0" w:type="dxa"/>
              <w:bottom w:w="28" w:type="dxa"/>
              <w:right w:w="0" w:type="dxa"/>
            </w:tcMar>
            <w:vAlign w:val="bottom"/>
          </w:tcPr>
          <w:p w14:paraId="7D35A14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33FC30BB">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500C13A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1.91E-18</w:t>
            </w:r>
          </w:p>
        </w:tc>
      </w:tr>
      <w:tr w14:paraId="46B3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6DEAA841">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55F7B3A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400</w:t>
            </w:r>
          </w:p>
        </w:tc>
        <w:tc>
          <w:tcPr>
            <w:tcW w:w="1867" w:type="dxa"/>
            <w:tcMar>
              <w:top w:w="28" w:type="dxa"/>
              <w:left w:w="0" w:type="dxa"/>
              <w:bottom w:w="28" w:type="dxa"/>
              <w:right w:w="0" w:type="dxa"/>
            </w:tcMar>
            <w:vAlign w:val="bottom"/>
          </w:tcPr>
          <w:p w14:paraId="26C65FAC">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2D034A7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3B1DC33E">
            <w:pPr>
              <w:adjustRightInd w:val="0"/>
              <w:snapToGrid w:val="0"/>
              <w:jc w:val="center"/>
              <w:rPr>
                <w:rFonts w:ascii="Times New Roman" w:hAnsi="Times New Roman"/>
                <w:bCs/>
                <w:szCs w:val="21"/>
              </w:rPr>
            </w:pPr>
            <w:r>
              <w:rPr>
                <w:rFonts w:hint="eastAsia" w:ascii="Times New Roman" w:hAnsi="Times New Roman"/>
                <w:bCs/>
                <w:szCs w:val="21"/>
              </w:rPr>
              <w:t>0</w:t>
            </w:r>
          </w:p>
        </w:tc>
      </w:tr>
      <w:tr w14:paraId="5121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56086375">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3835118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500</w:t>
            </w:r>
          </w:p>
        </w:tc>
        <w:tc>
          <w:tcPr>
            <w:tcW w:w="1867" w:type="dxa"/>
            <w:tcMar>
              <w:top w:w="28" w:type="dxa"/>
              <w:left w:w="0" w:type="dxa"/>
              <w:bottom w:w="28" w:type="dxa"/>
              <w:right w:w="0" w:type="dxa"/>
            </w:tcMar>
            <w:vAlign w:val="bottom"/>
          </w:tcPr>
          <w:p w14:paraId="289D667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3430CC4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74965600">
            <w:pPr>
              <w:adjustRightInd w:val="0"/>
              <w:snapToGrid w:val="0"/>
              <w:jc w:val="center"/>
              <w:rPr>
                <w:rFonts w:ascii="Times New Roman" w:hAnsi="Times New Roman"/>
                <w:bCs/>
                <w:szCs w:val="21"/>
              </w:rPr>
            </w:pPr>
            <w:r>
              <w:rPr>
                <w:rFonts w:hint="eastAsia" w:ascii="Times New Roman" w:hAnsi="Times New Roman"/>
                <w:bCs/>
                <w:szCs w:val="21"/>
              </w:rPr>
              <w:t>0</w:t>
            </w:r>
          </w:p>
        </w:tc>
      </w:tr>
      <w:tr w14:paraId="1339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2F33DAA7">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2CB2E7E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600</w:t>
            </w:r>
          </w:p>
        </w:tc>
        <w:tc>
          <w:tcPr>
            <w:tcW w:w="1867" w:type="dxa"/>
            <w:tcMar>
              <w:top w:w="28" w:type="dxa"/>
              <w:left w:w="0" w:type="dxa"/>
              <w:bottom w:w="28" w:type="dxa"/>
              <w:right w:w="0" w:type="dxa"/>
            </w:tcMar>
            <w:vAlign w:val="bottom"/>
          </w:tcPr>
          <w:p w14:paraId="3F537D4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5EDD7A3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36C19AF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40CB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39BC3BE9">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7BBD81B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800</w:t>
            </w:r>
          </w:p>
        </w:tc>
        <w:tc>
          <w:tcPr>
            <w:tcW w:w="1867" w:type="dxa"/>
            <w:tcMar>
              <w:top w:w="28" w:type="dxa"/>
              <w:left w:w="0" w:type="dxa"/>
              <w:bottom w:w="28" w:type="dxa"/>
              <w:right w:w="0" w:type="dxa"/>
            </w:tcMar>
            <w:vAlign w:val="bottom"/>
          </w:tcPr>
          <w:p w14:paraId="3D62F2E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2262F75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5E40775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38FA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999" w:type="dxa"/>
            <w:vMerge w:val="continue"/>
            <w:tcMar>
              <w:top w:w="28" w:type="dxa"/>
              <w:left w:w="0" w:type="dxa"/>
              <w:bottom w:w="28" w:type="dxa"/>
              <w:right w:w="0" w:type="dxa"/>
            </w:tcMar>
            <w:vAlign w:val="center"/>
          </w:tcPr>
          <w:p w14:paraId="4D4ACAA3">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28C4A94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900</w:t>
            </w:r>
          </w:p>
        </w:tc>
        <w:tc>
          <w:tcPr>
            <w:tcW w:w="1867" w:type="dxa"/>
            <w:tcMar>
              <w:top w:w="28" w:type="dxa"/>
              <w:left w:w="0" w:type="dxa"/>
              <w:bottom w:w="28" w:type="dxa"/>
              <w:right w:w="0" w:type="dxa"/>
            </w:tcMar>
            <w:vAlign w:val="bottom"/>
          </w:tcPr>
          <w:p w14:paraId="40F1F82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78B8BCC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158745A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4521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7" w:hRule="atLeast"/>
          <w:jc w:val="center"/>
        </w:trPr>
        <w:tc>
          <w:tcPr>
            <w:tcW w:w="999" w:type="dxa"/>
            <w:vMerge w:val="continue"/>
            <w:tcMar>
              <w:top w:w="28" w:type="dxa"/>
              <w:left w:w="0" w:type="dxa"/>
              <w:bottom w:w="28" w:type="dxa"/>
              <w:right w:w="0" w:type="dxa"/>
            </w:tcMar>
            <w:vAlign w:val="center"/>
          </w:tcPr>
          <w:p w14:paraId="724E3AD1">
            <w:pPr>
              <w:pStyle w:val="12"/>
              <w:adjustRightInd w:val="0"/>
              <w:snapToGrid w:val="0"/>
              <w:jc w:val="center"/>
              <w:rPr>
                <w:rFonts w:ascii="Times New Roman" w:hAnsi="Times New Roman"/>
                <w:bCs/>
                <w:szCs w:val="21"/>
              </w:rPr>
            </w:pPr>
          </w:p>
        </w:tc>
        <w:tc>
          <w:tcPr>
            <w:tcW w:w="1390" w:type="dxa"/>
            <w:tcBorders>
              <w:bottom w:val="single" w:color="000000" w:sz="4" w:space="0"/>
            </w:tcBorders>
            <w:tcMar>
              <w:top w:w="28" w:type="dxa"/>
              <w:left w:w="0" w:type="dxa"/>
              <w:bottom w:w="28" w:type="dxa"/>
              <w:right w:w="0" w:type="dxa"/>
            </w:tcMar>
            <w:vAlign w:val="bottom"/>
          </w:tcPr>
          <w:p w14:paraId="36FD108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1000</w:t>
            </w:r>
          </w:p>
        </w:tc>
        <w:tc>
          <w:tcPr>
            <w:tcW w:w="1867" w:type="dxa"/>
            <w:tcBorders>
              <w:bottom w:val="single" w:color="000000" w:sz="4" w:space="0"/>
            </w:tcBorders>
            <w:tcMar>
              <w:top w:w="28" w:type="dxa"/>
              <w:left w:w="0" w:type="dxa"/>
              <w:bottom w:w="28" w:type="dxa"/>
              <w:right w:w="0" w:type="dxa"/>
            </w:tcMar>
            <w:vAlign w:val="bottom"/>
          </w:tcPr>
          <w:p w14:paraId="04B6641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Borders>
              <w:bottom w:val="single" w:color="000000" w:sz="4" w:space="0"/>
            </w:tcBorders>
            <w:tcMar>
              <w:top w:w="28" w:type="dxa"/>
              <w:left w:w="0" w:type="dxa"/>
              <w:bottom w:w="28" w:type="dxa"/>
              <w:right w:w="0" w:type="dxa"/>
            </w:tcMar>
            <w:vAlign w:val="bottom"/>
          </w:tcPr>
          <w:p w14:paraId="6E7F282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Borders>
              <w:bottom w:val="single" w:color="000000" w:sz="4" w:space="0"/>
            </w:tcBorders>
            <w:tcMar>
              <w:top w:w="28" w:type="dxa"/>
              <w:left w:w="0" w:type="dxa"/>
              <w:bottom w:w="28" w:type="dxa"/>
              <w:right w:w="0" w:type="dxa"/>
            </w:tcMar>
            <w:vAlign w:val="bottom"/>
          </w:tcPr>
          <w:p w14:paraId="6B37379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1F5D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1" w:hRule="atLeast"/>
          <w:jc w:val="center"/>
        </w:trPr>
        <w:tc>
          <w:tcPr>
            <w:tcW w:w="999" w:type="dxa"/>
            <w:vMerge w:val="restart"/>
            <w:tcMar>
              <w:top w:w="28" w:type="dxa"/>
              <w:left w:w="0" w:type="dxa"/>
              <w:bottom w:w="28" w:type="dxa"/>
              <w:right w:w="0" w:type="dxa"/>
            </w:tcMar>
            <w:vAlign w:val="center"/>
          </w:tcPr>
          <w:p w14:paraId="04CE234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二甲苯</w:t>
            </w:r>
          </w:p>
        </w:tc>
        <w:tc>
          <w:tcPr>
            <w:tcW w:w="1390" w:type="dxa"/>
            <w:tcMar>
              <w:top w:w="28" w:type="dxa"/>
              <w:left w:w="0" w:type="dxa"/>
              <w:bottom w:w="28" w:type="dxa"/>
              <w:right w:w="0" w:type="dxa"/>
            </w:tcMar>
            <w:vAlign w:val="bottom"/>
          </w:tcPr>
          <w:p w14:paraId="03E46AAC">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w:t>
            </w:r>
          </w:p>
        </w:tc>
        <w:tc>
          <w:tcPr>
            <w:tcW w:w="1867" w:type="dxa"/>
            <w:tcMar>
              <w:top w:w="28" w:type="dxa"/>
              <w:left w:w="0" w:type="dxa"/>
              <w:bottom w:w="28" w:type="dxa"/>
              <w:right w:w="0" w:type="dxa"/>
            </w:tcMar>
            <w:vAlign w:val="bottom"/>
          </w:tcPr>
          <w:p w14:paraId="43E2EAD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5.14E-02</w:t>
            </w:r>
          </w:p>
        </w:tc>
        <w:tc>
          <w:tcPr>
            <w:tcW w:w="2168" w:type="dxa"/>
            <w:tcMar>
              <w:top w:w="28" w:type="dxa"/>
              <w:left w:w="0" w:type="dxa"/>
              <w:bottom w:w="28" w:type="dxa"/>
              <w:right w:w="0" w:type="dxa"/>
            </w:tcMar>
            <w:vAlign w:val="bottom"/>
          </w:tcPr>
          <w:p w14:paraId="11AD4AE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8.44E-03</w:t>
            </w:r>
          </w:p>
        </w:tc>
        <w:tc>
          <w:tcPr>
            <w:tcW w:w="2157" w:type="dxa"/>
            <w:tcMar>
              <w:top w:w="28" w:type="dxa"/>
              <w:left w:w="0" w:type="dxa"/>
              <w:bottom w:w="28" w:type="dxa"/>
              <w:right w:w="0" w:type="dxa"/>
            </w:tcMar>
            <w:vAlign w:val="bottom"/>
          </w:tcPr>
          <w:p w14:paraId="6075C6DF">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3.06E-03</w:t>
            </w:r>
          </w:p>
        </w:tc>
      </w:tr>
      <w:tr w14:paraId="1CE8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50" w:hRule="atLeast"/>
          <w:jc w:val="center"/>
        </w:trPr>
        <w:tc>
          <w:tcPr>
            <w:tcW w:w="999" w:type="dxa"/>
            <w:vMerge w:val="continue"/>
            <w:tcMar>
              <w:top w:w="28" w:type="dxa"/>
              <w:left w:w="0" w:type="dxa"/>
              <w:bottom w:w="28" w:type="dxa"/>
              <w:right w:w="0" w:type="dxa"/>
            </w:tcMar>
            <w:vAlign w:val="center"/>
          </w:tcPr>
          <w:p w14:paraId="1EFF218B">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5D1317C6">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20</w:t>
            </w:r>
          </w:p>
        </w:tc>
        <w:tc>
          <w:tcPr>
            <w:tcW w:w="1867" w:type="dxa"/>
            <w:tcMar>
              <w:top w:w="28" w:type="dxa"/>
              <w:left w:w="0" w:type="dxa"/>
              <w:bottom w:w="28" w:type="dxa"/>
              <w:right w:w="0" w:type="dxa"/>
            </w:tcMar>
            <w:vAlign w:val="bottom"/>
          </w:tcPr>
          <w:p w14:paraId="2486F946">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1.57E-02</w:t>
            </w:r>
          </w:p>
        </w:tc>
        <w:tc>
          <w:tcPr>
            <w:tcW w:w="2168" w:type="dxa"/>
            <w:tcMar>
              <w:top w:w="28" w:type="dxa"/>
              <w:left w:w="0" w:type="dxa"/>
              <w:bottom w:w="28" w:type="dxa"/>
              <w:right w:w="0" w:type="dxa"/>
            </w:tcMar>
            <w:vAlign w:val="bottom"/>
          </w:tcPr>
          <w:p w14:paraId="620E0D6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1.28E-02</w:t>
            </w:r>
          </w:p>
        </w:tc>
        <w:tc>
          <w:tcPr>
            <w:tcW w:w="2157" w:type="dxa"/>
            <w:tcMar>
              <w:top w:w="28" w:type="dxa"/>
              <w:left w:w="0" w:type="dxa"/>
              <w:bottom w:w="28" w:type="dxa"/>
              <w:right w:w="0" w:type="dxa"/>
            </w:tcMar>
            <w:vAlign w:val="bottom"/>
          </w:tcPr>
          <w:p w14:paraId="005F079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4.91E-03</w:t>
            </w:r>
          </w:p>
        </w:tc>
      </w:tr>
      <w:tr w14:paraId="385A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6234D84E">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1E31FADC">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30</w:t>
            </w:r>
          </w:p>
        </w:tc>
        <w:tc>
          <w:tcPr>
            <w:tcW w:w="1867" w:type="dxa"/>
            <w:tcMar>
              <w:top w:w="28" w:type="dxa"/>
              <w:left w:w="0" w:type="dxa"/>
              <w:bottom w:w="28" w:type="dxa"/>
              <w:right w:w="0" w:type="dxa"/>
            </w:tcMar>
            <w:vAlign w:val="bottom"/>
          </w:tcPr>
          <w:p w14:paraId="1018905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1.45E-03</w:t>
            </w:r>
          </w:p>
        </w:tc>
        <w:tc>
          <w:tcPr>
            <w:tcW w:w="2168" w:type="dxa"/>
            <w:tcMar>
              <w:top w:w="28" w:type="dxa"/>
              <w:left w:w="0" w:type="dxa"/>
              <w:bottom w:w="28" w:type="dxa"/>
              <w:right w:w="0" w:type="dxa"/>
            </w:tcMar>
            <w:vAlign w:val="bottom"/>
          </w:tcPr>
          <w:p w14:paraId="0A11E13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1.47E-02</w:t>
            </w:r>
          </w:p>
        </w:tc>
        <w:tc>
          <w:tcPr>
            <w:tcW w:w="2157" w:type="dxa"/>
            <w:tcMar>
              <w:top w:w="28" w:type="dxa"/>
              <w:left w:w="0" w:type="dxa"/>
              <w:bottom w:w="28" w:type="dxa"/>
              <w:right w:w="0" w:type="dxa"/>
            </w:tcMar>
            <w:vAlign w:val="bottom"/>
          </w:tcPr>
          <w:p w14:paraId="4D14C7B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6.94E-03</w:t>
            </w:r>
          </w:p>
        </w:tc>
      </w:tr>
      <w:tr w14:paraId="5CFB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584FE944">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3EAAF87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40</w:t>
            </w:r>
          </w:p>
        </w:tc>
        <w:tc>
          <w:tcPr>
            <w:tcW w:w="1867" w:type="dxa"/>
            <w:tcMar>
              <w:top w:w="28" w:type="dxa"/>
              <w:left w:w="0" w:type="dxa"/>
              <w:bottom w:w="28" w:type="dxa"/>
              <w:right w:w="0" w:type="dxa"/>
            </w:tcMar>
            <w:vAlign w:val="bottom"/>
          </w:tcPr>
          <w:p w14:paraId="0480463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5.24E-05</w:t>
            </w:r>
          </w:p>
        </w:tc>
        <w:tc>
          <w:tcPr>
            <w:tcW w:w="2168" w:type="dxa"/>
            <w:tcMar>
              <w:top w:w="28" w:type="dxa"/>
              <w:left w:w="0" w:type="dxa"/>
              <w:bottom w:w="28" w:type="dxa"/>
              <w:right w:w="0" w:type="dxa"/>
            </w:tcMar>
            <w:vAlign w:val="bottom"/>
          </w:tcPr>
          <w:p w14:paraId="68B9912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1.32E-02</w:t>
            </w:r>
          </w:p>
        </w:tc>
        <w:tc>
          <w:tcPr>
            <w:tcW w:w="2157" w:type="dxa"/>
            <w:tcMar>
              <w:top w:w="28" w:type="dxa"/>
              <w:left w:w="0" w:type="dxa"/>
              <w:bottom w:w="28" w:type="dxa"/>
              <w:right w:w="0" w:type="dxa"/>
            </w:tcMar>
            <w:vAlign w:val="bottom"/>
          </w:tcPr>
          <w:p w14:paraId="258C5C8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8.69E-03</w:t>
            </w:r>
          </w:p>
        </w:tc>
      </w:tr>
      <w:tr w14:paraId="018B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5F5E4B8B">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2703D0EC">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50</w:t>
            </w:r>
          </w:p>
        </w:tc>
        <w:tc>
          <w:tcPr>
            <w:tcW w:w="1867" w:type="dxa"/>
            <w:tcMar>
              <w:top w:w="28" w:type="dxa"/>
              <w:left w:w="0" w:type="dxa"/>
              <w:bottom w:w="28" w:type="dxa"/>
              <w:right w:w="0" w:type="dxa"/>
            </w:tcMar>
            <w:vAlign w:val="bottom"/>
          </w:tcPr>
          <w:p w14:paraId="5C87DF8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7.38E-07</w:t>
            </w:r>
          </w:p>
        </w:tc>
        <w:tc>
          <w:tcPr>
            <w:tcW w:w="2168" w:type="dxa"/>
            <w:tcMar>
              <w:top w:w="28" w:type="dxa"/>
              <w:left w:w="0" w:type="dxa"/>
              <w:bottom w:w="28" w:type="dxa"/>
              <w:right w:w="0" w:type="dxa"/>
            </w:tcMar>
            <w:vAlign w:val="bottom"/>
          </w:tcPr>
          <w:p w14:paraId="249266D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9.34E-03</w:t>
            </w:r>
          </w:p>
        </w:tc>
        <w:tc>
          <w:tcPr>
            <w:tcW w:w="2157" w:type="dxa"/>
            <w:tcMar>
              <w:top w:w="28" w:type="dxa"/>
              <w:left w:w="0" w:type="dxa"/>
              <w:bottom w:w="28" w:type="dxa"/>
              <w:right w:w="0" w:type="dxa"/>
            </w:tcMar>
            <w:vAlign w:val="bottom"/>
          </w:tcPr>
          <w:p w14:paraId="7B6ED03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9.67E-03</w:t>
            </w:r>
          </w:p>
        </w:tc>
      </w:tr>
      <w:tr w14:paraId="584A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566C4CF5">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2A5F25F6">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60</w:t>
            </w:r>
          </w:p>
        </w:tc>
        <w:tc>
          <w:tcPr>
            <w:tcW w:w="1867" w:type="dxa"/>
            <w:tcMar>
              <w:top w:w="28" w:type="dxa"/>
              <w:left w:w="0" w:type="dxa"/>
              <w:bottom w:w="28" w:type="dxa"/>
              <w:right w:w="0" w:type="dxa"/>
            </w:tcMar>
            <w:vAlign w:val="bottom"/>
          </w:tcPr>
          <w:p w14:paraId="65E43E77">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3.97E-09</w:t>
            </w:r>
          </w:p>
        </w:tc>
        <w:tc>
          <w:tcPr>
            <w:tcW w:w="2168" w:type="dxa"/>
            <w:tcMar>
              <w:top w:w="28" w:type="dxa"/>
              <w:left w:w="0" w:type="dxa"/>
              <w:bottom w:w="28" w:type="dxa"/>
              <w:right w:w="0" w:type="dxa"/>
            </w:tcMar>
            <w:vAlign w:val="bottom"/>
          </w:tcPr>
          <w:p w14:paraId="7216191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5.23E-03</w:t>
            </w:r>
          </w:p>
        </w:tc>
        <w:tc>
          <w:tcPr>
            <w:tcW w:w="2157" w:type="dxa"/>
            <w:tcMar>
              <w:top w:w="28" w:type="dxa"/>
              <w:left w:w="0" w:type="dxa"/>
              <w:bottom w:w="28" w:type="dxa"/>
              <w:right w:w="0" w:type="dxa"/>
            </w:tcMar>
            <w:vAlign w:val="bottom"/>
          </w:tcPr>
          <w:p w14:paraId="79F4C84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9.61E-03</w:t>
            </w:r>
          </w:p>
        </w:tc>
      </w:tr>
      <w:tr w14:paraId="6F49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1F633A8C">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3F0612BC">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70</w:t>
            </w:r>
          </w:p>
        </w:tc>
        <w:tc>
          <w:tcPr>
            <w:tcW w:w="1867" w:type="dxa"/>
            <w:tcMar>
              <w:top w:w="28" w:type="dxa"/>
              <w:left w:w="0" w:type="dxa"/>
              <w:bottom w:w="28" w:type="dxa"/>
              <w:right w:w="0" w:type="dxa"/>
            </w:tcMar>
            <w:vAlign w:val="bottom"/>
          </w:tcPr>
          <w:p w14:paraId="4A0AD46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8.10E-12</w:t>
            </w:r>
          </w:p>
        </w:tc>
        <w:tc>
          <w:tcPr>
            <w:tcW w:w="2168" w:type="dxa"/>
            <w:tcMar>
              <w:top w:w="28" w:type="dxa"/>
              <w:left w:w="0" w:type="dxa"/>
              <w:bottom w:w="28" w:type="dxa"/>
              <w:right w:w="0" w:type="dxa"/>
            </w:tcMar>
            <w:vAlign w:val="bottom"/>
          </w:tcPr>
          <w:p w14:paraId="601AF5BB">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2.34E-03</w:t>
            </w:r>
          </w:p>
        </w:tc>
        <w:tc>
          <w:tcPr>
            <w:tcW w:w="2157" w:type="dxa"/>
            <w:tcMar>
              <w:top w:w="28" w:type="dxa"/>
              <w:left w:w="0" w:type="dxa"/>
              <w:bottom w:w="28" w:type="dxa"/>
              <w:right w:w="0" w:type="dxa"/>
            </w:tcMar>
            <w:vAlign w:val="bottom"/>
          </w:tcPr>
          <w:p w14:paraId="259D74A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8.53E-03</w:t>
            </w:r>
          </w:p>
        </w:tc>
      </w:tr>
      <w:tr w14:paraId="5220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3EA6369E">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63EC31B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80</w:t>
            </w:r>
          </w:p>
        </w:tc>
        <w:tc>
          <w:tcPr>
            <w:tcW w:w="1867" w:type="dxa"/>
            <w:tcMar>
              <w:top w:w="28" w:type="dxa"/>
              <w:left w:w="0" w:type="dxa"/>
              <w:bottom w:w="28" w:type="dxa"/>
              <w:right w:w="0" w:type="dxa"/>
            </w:tcMar>
            <w:vAlign w:val="bottom"/>
          </w:tcPr>
          <w:p w14:paraId="4020E02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6.63E-15</w:t>
            </w:r>
          </w:p>
        </w:tc>
        <w:tc>
          <w:tcPr>
            <w:tcW w:w="2168" w:type="dxa"/>
            <w:tcMar>
              <w:top w:w="28" w:type="dxa"/>
              <w:left w:w="0" w:type="dxa"/>
              <w:bottom w:w="28" w:type="dxa"/>
              <w:right w:w="0" w:type="dxa"/>
            </w:tcMar>
            <w:vAlign w:val="bottom"/>
          </w:tcPr>
          <w:p w14:paraId="0396258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8.40E-04</w:t>
            </w:r>
          </w:p>
        </w:tc>
        <w:tc>
          <w:tcPr>
            <w:tcW w:w="2157" w:type="dxa"/>
            <w:tcMar>
              <w:top w:w="28" w:type="dxa"/>
              <w:left w:w="0" w:type="dxa"/>
              <w:bottom w:w="28" w:type="dxa"/>
              <w:right w:w="0" w:type="dxa"/>
            </w:tcMar>
            <w:vAlign w:val="bottom"/>
          </w:tcPr>
          <w:p w14:paraId="08EC231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6.78E-03</w:t>
            </w:r>
          </w:p>
        </w:tc>
      </w:tr>
      <w:tr w14:paraId="21E6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01B5C785">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580A6C7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90</w:t>
            </w:r>
          </w:p>
        </w:tc>
        <w:tc>
          <w:tcPr>
            <w:tcW w:w="1867" w:type="dxa"/>
            <w:tcMar>
              <w:top w:w="28" w:type="dxa"/>
              <w:left w:w="0" w:type="dxa"/>
              <w:bottom w:w="28" w:type="dxa"/>
              <w:right w:w="0" w:type="dxa"/>
            </w:tcMar>
            <w:vAlign w:val="bottom"/>
          </w:tcPr>
          <w:p w14:paraId="5A179D6C">
            <w:pPr>
              <w:adjustRightInd w:val="0"/>
              <w:snapToGrid w:val="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061663F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2.42E-04</w:t>
            </w:r>
          </w:p>
        </w:tc>
        <w:tc>
          <w:tcPr>
            <w:tcW w:w="2157" w:type="dxa"/>
            <w:tcMar>
              <w:top w:w="28" w:type="dxa"/>
              <w:left w:w="0" w:type="dxa"/>
              <w:bottom w:w="28" w:type="dxa"/>
              <w:right w:w="0" w:type="dxa"/>
            </w:tcMar>
            <w:vAlign w:val="bottom"/>
          </w:tcPr>
          <w:p w14:paraId="4209FC1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4.83E-03</w:t>
            </w:r>
          </w:p>
        </w:tc>
      </w:tr>
      <w:tr w14:paraId="632C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098123BE">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79D8791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100</w:t>
            </w:r>
          </w:p>
        </w:tc>
        <w:tc>
          <w:tcPr>
            <w:tcW w:w="1867" w:type="dxa"/>
            <w:tcMar>
              <w:top w:w="28" w:type="dxa"/>
              <w:left w:w="0" w:type="dxa"/>
              <w:bottom w:w="28" w:type="dxa"/>
              <w:right w:w="0" w:type="dxa"/>
            </w:tcMar>
            <w:vAlign w:val="bottom"/>
          </w:tcPr>
          <w:p w14:paraId="719E1E70">
            <w:pPr>
              <w:adjustRightInd w:val="0"/>
              <w:snapToGrid w:val="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6F0B3DB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5.64E-05</w:t>
            </w:r>
          </w:p>
        </w:tc>
        <w:tc>
          <w:tcPr>
            <w:tcW w:w="2157" w:type="dxa"/>
            <w:tcMar>
              <w:top w:w="28" w:type="dxa"/>
              <w:left w:w="0" w:type="dxa"/>
              <w:bottom w:w="28" w:type="dxa"/>
              <w:right w:w="0" w:type="dxa"/>
            </w:tcMar>
            <w:vAlign w:val="bottom"/>
          </w:tcPr>
          <w:p w14:paraId="7734D17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3.09E-03</w:t>
            </w:r>
          </w:p>
        </w:tc>
      </w:tr>
      <w:tr w14:paraId="2B5E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06E4DF4C">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21C2029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150</w:t>
            </w:r>
          </w:p>
        </w:tc>
        <w:tc>
          <w:tcPr>
            <w:tcW w:w="1867" w:type="dxa"/>
            <w:tcMar>
              <w:top w:w="28" w:type="dxa"/>
              <w:left w:w="0" w:type="dxa"/>
              <w:bottom w:w="28" w:type="dxa"/>
              <w:right w:w="0" w:type="dxa"/>
            </w:tcMar>
            <w:vAlign w:val="bottom"/>
          </w:tcPr>
          <w:p w14:paraId="5D41DCAE">
            <w:pPr>
              <w:adjustRightInd w:val="0"/>
              <w:snapToGrid w:val="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22DBEA1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1.69E-09</w:t>
            </w:r>
          </w:p>
        </w:tc>
        <w:tc>
          <w:tcPr>
            <w:tcW w:w="2157" w:type="dxa"/>
            <w:tcMar>
              <w:top w:w="28" w:type="dxa"/>
              <w:left w:w="0" w:type="dxa"/>
              <w:bottom w:w="28" w:type="dxa"/>
              <w:right w:w="0" w:type="dxa"/>
            </w:tcMar>
            <w:vAlign w:val="bottom"/>
          </w:tcPr>
          <w:p w14:paraId="5E20AB6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6.67E-05</w:t>
            </w:r>
          </w:p>
        </w:tc>
      </w:tr>
      <w:tr w14:paraId="3076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5415C321">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31706E6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200</w:t>
            </w:r>
          </w:p>
        </w:tc>
        <w:tc>
          <w:tcPr>
            <w:tcW w:w="1867" w:type="dxa"/>
            <w:tcMar>
              <w:top w:w="28" w:type="dxa"/>
              <w:left w:w="0" w:type="dxa"/>
              <w:bottom w:w="28" w:type="dxa"/>
              <w:right w:w="0" w:type="dxa"/>
            </w:tcMar>
            <w:vAlign w:val="bottom"/>
          </w:tcPr>
          <w:p w14:paraId="7A8B0627">
            <w:pPr>
              <w:adjustRightInd w:val="0"/>
              <w:snapToGrid w:val="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301DA9A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3.49E-16</w:t>
            </w:r>
          </w:p>
        </w:tc>
        <w:tc>
          <w:tcPr>
            <w:tcW w:w="2157" w:type="dxa"/>
            <w:tcMar>
              <w:top w:w="28" w:type="dxa"/>
              <w:left w:w="0" w:type="dxa"/>
              <w:bottom w:w="28" w:type="dxa"/>
              <w:right w:w="0" w:type="dxa"/>
            </w:tcMar>
            <w:vAlign w:val="bottom"/>
          </w:tcPr>
          <w:p w14:paraId="0AD632D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1.05E-07</w:t>
            </w:r>
          </w:p>
        </w:tc>
      </w:tr>
      <w:tr w14:paraId="6319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21B7954E">
            <w:pPr>
              <w:pStyle w:val="12"/>
              <w:adjustRightInd w:val="0"/>
              <w:snapToGrid w:val="0"/>
              <w:ind w:firstLine="0" w:firstLineChars="0"/>
              <w:jc w:val="center"/>
              <w:rPr>
                <w:rFonts w:ascii="Times New Roman" w:hAnsi="Times New Roman"/>
                <w:bCs/>
                <w:szCs w:val="21"/>
              </w:rPr>
            </w:pPr>
          </w:p>
        </w:tc>
        <w:tc>
          <w:tcPr>
            <w:tcW w:w="1390" w:type="dxa"/>
            <w:tcMar>
              <w:top w:w="28" w:type="dxa"/>
              <w:left w:w="0" w:type="dxa"/>
              <w:bottom w:w="28" w:type="dxa"/>
              <w:right w:w="0" w:type="dxa"/>
            </w:tcMar>
            <w:vAlign w:val="bottom"/>
          </w:tcPr>
          <w:p w14:paraId="7FE01BEC">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250</w:t>
            </w:r>
          </w:p>
        </w:tc>
        <w:tc>
          <w:tcPr>
            <w:tcW w:w="1867" w:type="dxa"/>
            <w:tcMar>
              <w:top w:w="28" w:type="dxa"/>
              <w:left w:w="0" w:type="dxa"/>
              <w:bottom w:w="28" w:type="dxa"/>
              <w:right w:w="0" w:type="dxa"/>
            </w:tcMar>
            <w:vAlign w:val="bottom"/>
          </w:tcPr>
          <w:p w14:paraId="772F4E00">
            <w:pPr>
              <w:adjustRightInd w:val="0"/>
              <w:snapToGrid w:val="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33686E6F">
            <w:pPr>
              <w:adjustRightInd w:val="0"/>
              <w:snapToGrid w:val="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1D4C2AA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1.26E-11</w:t>
            </w:r>
          </w:p>
        </w:tc>
      </w:tr>
      <w:tr w14:paraId="61FB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2C685FFF">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2FA8D61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300</w:t>
            </w:r>
          </w:p>
        </w:tc>
        <w:tc>
          <w:tcPr>
            <w:tcW w:w="1867" w:type="dxa"/>
            <w:tcMar>
              <w:top w:w="28" w:type="dxa"/>
              <w:left w:w="0" w:type="dxa"/>
              <w:bottom w:w="28" w:type="dxa"/>
              <w:right w:w="0" w:type="dxa"/>
            </w:tcMar>
            <w:vAlign w:val="bottom"/>
          </w:tcPr>
          <w:p w14:paraId="29F8F75B">
            <w:pPr>
              <w:adjustRightInd w:val="0"/>
              <w:snapToGrid w:val="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335F0D52">
            <w:pPr>
              <w:adjustRightInd w:val="0"/>
              <w:snapToGrid w:val="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5B2CBC2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1.16E-16</w:t>
            </w:r>
          </w:p>
        </w:tc>
      </w:tr>
      <w:tr w14:paraId="0EBD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6D17964C">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7A827F3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400</w:t>
            </w:r>
          </w:p>
        </w:tc>
        <w:tc>
          <w:tcPr>
            <w:tcW w:w="1867" w:type="dxa"/>
            <w:tcMar>
              <w:top w:w="28" w:type="dxa"/>
              <w:left w:w="0" w:type="dxa"/>
              <w:bottom w:w="28" w:type="dxa"/>
              <w:right w:w="0" w:type="dxa"/>
            </w:tcMar>
            <w:vAlign w:val="bottom"/>
          </w:tcPr>
          <w:p w14:paraId="18E3DDC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1FA0CCF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4447086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19D9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29B992E6">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643D6BE4">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500</w:t>
            </w:r>
          </w:p>
        </w:tc>
        <w:tc>
          <w:tcPr>
            <w:tcW w:w="1867" w:type="dxa"/>
            <w:tcMar>
              <w:top w:w="28" w:type="dxa"/>
              <w:left w:w="0" w:type="dxa"/>
              <w:bottom w:w="28" w:type="dxa"/>
              <w:right w:w="0" w:type="dxa"/>
            </w:tcMar>
            <w:vAlign w:val="bottom"/>
          </w:tcPr>
          <w:p w14:paraId="2CE470F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1FF8167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196635F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6BCF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3CBD5915">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70496DA8">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600</w:t>
            </w:r>
          </w:p>
        </w:tc>
        <w:tc>
          <w:tcPr>
            <w:tcW w:w="1867" w:type="dxa"/>
            <w:tcMar>
              <w:top w:w="28" w:type="dxa"/>
              <w:left w:w="0" w:type="dxa"/>
              <w:bottom w:w="28" w:type="dxa"/>
              <w:right w:w="0" w:type="dxa"/>
            </w:tcMar>
            <w:vAlign w:val="bottom"/>
          </w:tcPr>
          <w:p w14:paraId="5D55985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49ED7006">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0076EC8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3B33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3F573B12">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45DC3583">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800</w:t>
            </w:r>
          </w:p>
        </w:tc>
        <w:tc>
          <w:tcPr>
            <w:tcW w:w="1867" w:type="dxa"/>
            <w:tcMar>
              <w:top w:w="28" w:type="dxa"/>
              <w:left w:w="0" w:type="dxa"/>
              <w:bottom w:w="28" w:type="dxa"/>
              <w:right w:w="0" w:type="dxa"/>
            </w:tcMar>
            <w:vAlign w:val="bottom"/>
          </w:tcPr>
          <w:p w14:paraId="36F44F4E">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48C9B89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4BAAF5F5">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0378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3" w:hRule="atLeast"/>
          <w:jc w:val="center"/>
        </w:trPr>
        <w:tc>
          <w:tcPr>
            <w:tcW w:w="999" w:type="dxa"/>
            <w:vMerge w:val="continue"/>
            <w:tcMar>
              <w:top w:w="28" w:type="dxa"/>
              <w:left w:w="0" w:type="dxa"/>
              <w:bottom w:w="28" w:type="dxa"/>
              <w:right w:w="0" w:type="dxa"/>
            </w:tcMar>
            <w:vAlign w:val="center"/>
          </w:tcPr>
          <w:p w14:paraId="355A3DA8">
            <w:pPr>
              <w:pStyle w:val="12"/>
              <w:adjustRightInd w:val="0"/>
              <w:snapToGrid w:val="0"/>
              <w:jc w:val="center"/>
              <w:rPr>
                <w:rFonts w:ascii="Times New Roman" w:hAnsi="Times New Roman"/>
                <w:bCs/>
                <w:szCs w:val="21"/>
              </w:rPr>
            </w:pPr>
          </w:p>
        </w:tc>
        <w:tc>
          <w:tcPr>
            <w:tcW w:w="1390" w:type="dxa"/>
            <w:tcMar>
              <w:top w:w="28" w:type="dxa"/>
              <w:left w:w="0" w:type="dxa"/>
              <w:bottom w:w="28" w:type="dxa"/>
              <w:right w:w="0" w:type="dxa"/>
            </w:tcMar>
            <w:vAlign w:val="bottom"/>
          </w:tcPr>
          <w:p w14:paraId="7CB564AB">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900</w:t>
            </w:r>
          </w:p>
        </w:tc>
        <w:tc>
          <w:tcPr>
            <w:tcW w:w="1867" w:type="dxa"/>
            <w:tcMar>
              <w:top w:w="28" w:type="dxa"/>
              <w:left w:w="0" w:type="dxa"/>
              <w:bottom w:w="28" w:type="dxa"/>
              <w:right w:w="0" w:type="dxa"/>
            </w:tcMar>
            <w:vAlign w:val="bottom"/>
          </w:tcPr>
          <w:p w14:paraId="433E93DA">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Mar>
              <w:top w:w="28" w:type="dxa"/>
              <w:left w:w="0" w:type="dxa"/>
              <w:bottom w:w="28" w:type="dxa"/>
              <w:right w:w="0" w:type="dxa"/>
            </w:tcMar>
            <w:vAlign w:val="bottom"/>
          </w:tcPr>
          <w:p w14:paraId="74645DA0">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Mar>
              <w:top w:w="28" w:type="dxa"/>
              <w:left w:w="0" w:type="dxa"/>
              <w:bottom w:w="28" w:type="dxa"/>
              <w:right w:w="0" w:type="dxa"/>
            </w:tcMar>
            <w:vAlign w:val="bottom"/>
          </w:tcPr>
          <w:p w14:paraId="4D183099">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r w14:paraId="74DC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5" w:hRule="atLeast"/>
          <w:jc w:val="center"/>
        </w:trPr>
        <w:tc>
          <w:tcPr>
            <w:tcW w:w="999" w:type="dxa"/>
            <w:vMerge w:val="continue"/>
            <w:tcMar>
              <w:top w:w="28" w:type="dxa"/>
              <w:left w:w="0" w:type="dxa"/>
              <w:bottom w:w="28" w:type="dxa"/>
              <w:right w:w="0" w:type="dxa"/>
            </w:tcMar>
            <w:vAlign w:val="center"/>
          </w:tcPr>
          <w:p w14:paraId="53FE07EC">
            <w:pPr>
              <w:pStyle w:val="12"/>
              <w:adjustRightInd w:val="0"/>
              <w:snapToGrid w:val="0"/>
              <w:jc w:val="center"/>
              <w:rPr>
                <w:rFonts w:ascii="Times New Roman" w:hAnsi="Times New Roman"/>
                <w:bCs/>
                <w:szCs w:val="21"/>
              </w:rPr>
            </w:pPr>
          </w:p>
        </w:tc>
        <w:tc>
          <w:tcPr>
            <w:tcW w:w="1390" w:type="dxa"/>
            <w:tcBorders>
              <w:bottom w:val="single" w:color="000000" w:sz="4" w:space="0"/>
            </w:tcBorders>
            <w:tcMar>
              <w:top w:w="28" w:type="dxa"/>
              <w:left w:w="0" w:type="dxa"/>
              <w:bottom w:w="28" w:type="dxa"/>
              <w:right w:w="0" w:type="dxa"/>
            </w:tcMar>
            <w:vAlign w:val="bottom"/>
          </w:tcPr>
          <w:p w14:paraId="32A38D6F">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1000</w:t>
            </w:r>
          </w:p>
        </w:tc>
        <w:tc>
          <w:tcPr>
            <w:tcW w:w="1867" w:type="dxa"/>
            <w:tcBorders>
              <w:bottom w:val="single" w:color="000000" w:sz="4" w:space="0"/>
            </w:tcBorders>
            <w:tcMar>
              <w:top w:w="28" w:type="dxa"/>
              <w:left w:w="0" w:type="dxa"/>
              <w:bottom w:w="28" w:type="dxa"/>
              <w:right w:w="0" w:type="dxa"/>
            </w:tcMar>
            <w:vAlign w:val="bottom"/>
          </w:tcPr>
          <w:p w14:paraId="3B649D72">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68" w:type="dxa"/>
            <w:tcBorders>
              <w:bottom w:val="single" w:color="000000" w:sz="4" w:space="0"/>
            </w:tcBorders>
            <w:tcMar>
              <w:top w:w="28" w:type="dxa"/>
              <w:left w:w="0" w:type="dxa"/>
              <w:bottom w:w="28" w:type="dxa"/>
              <w:right w:w="0" w:type="dxa"/>
            </w:tcMar>
            <w:vAlign w:val="bottom"/>
          </w:tcPr>
          <w:p w14:paraId="4B063C5D">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c>
          <w:tcPr>
            <w:tcW w:w="2157" w:type="dxa"/>
            <w:tcBorders>
              <w:bottom w:val="single" w:color="000000" w:sz="4" w:space="0"/>
            </w:tcBorders>
            <w:tcMar>
              <w:top w:w="28" w:type="dxa"/>
              <w:left w:w="0" w:type="dxa"/>
              <w:bottom w:w="28" w:type="dxa"/>
              <w:right w:w="0" w:type="dxa"/>
            </w:tcMar>
            <w:vAlign w:val="bottom"/>
          </w:tcPr>
          <w:p w14:paraId="2D3EB721">
            <w:pPr>
              <w:pStyle w:val="12"/>
              <w:adjustRightInd w:val="0"/>
              <w:snapToGrid w:val="0"/>
              <w:ind w:firstLine="0" w:firstLineChars="0"/>
              <w:jc w:val="center"/>
              <w:rPr>
                <w:rFonts w:ascii="Times New Roman" w:hAnsi="Times New Roman"/>
                <w:bCs/>
                <w:szCs w:val="21"/>
              </w:rPr>
            </w:pPr>
            <w:r>
              <w:rPr>
                <w:rFonts w:hint="eastAsia" w:ascii="Times New Roman" w:hAnsi="Times New Roman"/>
                <w:bCs/>
                <w:szCs w:val="21"/>
              </w:rPr>
              <w:t>0</w:t>
            </w:r>
          </w:p>
        </w:tc>
      </w:tr>
    </w:tbl>
    <w:p w14:paraId="5040AAFD">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根据预测结果可知非正常状况下：</w:t>
      </w:r>
    </w:p>
    <w:p w14:paraId="49AC6ED9">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污水处理站</w:t>
      </w:r>
      <w:r>
        <w:rPr>
          <w:rFonts w:ascii="Times New Roman" w:hAnsi="Times New Roman" w:cs="Times New Roman"/>
          <w:color w:val="000000" w:themeColor="text1"/>
          <w:sz w:val="24"/>
          <w14:textFill>
            <w14:solidFill>
              <w14:schemeClr w14:val="tx1"/>
            </w14:solidFill>
          </w14:textFill>
        </w:rPr>
        <w:t>出现非正常状况后</w:t>
      </w:r>
      <w:r>
        <w:rPr>
          <w:rFonts w:ascii="Times New Roman" w:hAnsi="Times New Roman" w:cs="Times New Roman"/>
          <w:sz w:val="24"/>
        </w:rPr>
        <w:t>，</w:t>
      </w:r>
      <w:r>
        <w:rPr>
          <w:rFonts w:hint="eastAsia" w:ascii="Times New Roman" w:hAnsi="Times New Roman" w:cs="Times New Roman"/>
          <w:sz w:val="24"/>
        </w:rPr>
        <w:t>耗氧量100天时，预测的最大值为41.28762mg/l，位于下游8m，预测超标距离最远为26m；影响距离最远为39m</w:t>
      </w:r>
      <w:r>
        <w:rPr>
          <w:rFonts w:ascii="Times New Roman" w:hAnsi="Times New Roman" w:cs="Times New Roman"/>
          <w:sz w:val="24"/>
        </w:rPr>
        <w:t>；500天时，预测的最大值为11.50697mg/l，位于下游31m，预测超标距离最远为64m；影响距离最远为99m</w:t>
      </w:r>
      <w:r>
        <w:rPr>
          <w:rFonts w:hint="eastAsia" w:ascii="Times New Roman" w:hAnsi="Times New Roman" w:cs="Times New Roman"/>
          <w:sz w:val="24"/>
        </w:rPr>
        <w:t>；1000天时，预测的最大值为7.633772mg/l，位于下游54m，预测超标距离最远为95m；影响距离最远为150m。</w:t>
      </w:r>
      <w:r>
        <w:rPr>
          <w:rFonts w:ascii="Times New Roman" w:hAnsi="Times New Roman" w:cs="Times New Roman"/>
          <w:sz w:val="24"/>
        </w:rPr>
        <w:t>甲苯100天时，预测的最大值为0.0008681505mg/l，位于下游8m，预测结果均未超标；500天时，预测的最大值为0.0002419559mg/l，位于下游31m，预测结果均未超标；且预测结果均低于检出限</w:t>
      </w:r>
      <w:r>
        <w:rPr>
          <w:rFonts w:hint="eastAsia" w:ascii="Times New Roman" w:hAnsi="Times New Roman" w:cs="Times New Roman"/>
          <w:sz w:val="24"/>
        </w:rPr>
        <w:t>；</w:t>
      </w:r>
      <w:r>
        <w:rPr>
          <w:rFonts w:ascii="Times New Roman" w:hAnsi="Times New Roman" w:cs="Times New Roman"/>
          <w:sz w:val="24"/>
        </w:rPr>
        <w:t>1000天时，预测的最大值为0.0001605145mg/l，位于下游54m，预测结果均未超标；且预测结果均低于检出限且预测结果均低于检出限</w:t>
      </w:r>
      <w:r>
        <w:rPr>
          <w:rFonts w:hint="eastAsia" w:ascii="Times New Roman" w:hAnsi="Times New Roman" w:cs="Times New Roman"/>
          <w:sz w:val="24"/>
        </w:rPr>
        <w:t>；二甲苯100天时，预测的最大值为0.05289661mg/l，位于下游8m，预测结果均未超标；影响距离最远为25m；500天时，预测的最大值为0.01474243mg/l，位于下游31m，预测结果均未超标；影响距离最远为60m；1000天时，预测的最大值为0.009780187mg/l，位于下游54m，预测结果均未超标；影响距离最远为89m</w:t>
      </w:r>
      <w:r>
        <w:rPr>
          <w:rFonts w:ascii="Times New Roman" w:hAnsi="Times New Roman" w:cs="Times New Roman"/>
          <w:sz w:val="24"/>
        </w:rPr>
        <w:t>。</w:t>
      </w:r>
      <w:r>
        <w:rPr>
          <w:rFonts w:ascii="Times New Roman" w:hAnsi="Times New Roman" w:eastAsia="宋体" w:cs="Times New Roman"/>
          <w:color w:val="000000" w:themeColor="text1"/>
          <w:sz w:val="24"/>
          <w14:textFill>
            <w14:solidFill>
              <w14:schemeClr w14:val="tx1"/>
            </w14:solidFill>
          </w14:textFill>
        </w:rPr>
        <w:t>为避免事故状态下</w:t>
      </w:r>
      <w:r>
        <w:rPr>
          <w:rFonts w:hint="eastAsia" w:ascii="Times New Roman" w:hAnsi="Times New Roman" w:eastAsia="宋体" w:cs="Times New Roman"/>
          <w:color w:val="000000" w:themeColor="text1"/>
          <w:sz w:val="24"/>
          <w14:textFill>
            <w14:solidFill>
              <w14:schemeClr w14:val="tx1"/>
            </w14:solidFill>
          </w14:textFill>
        </w:rPr>
        <w:t>耗氧量、</w:t>
      </w:r>
      <w:r>
        <w:rPr>
          <w:rFonts w:ascii="Times New Roman" w:hAnsi="Times New Roman" w:eastAsia="宋体" w:cs="Times New Roman"/>
          <w:color w:val="000000" w:themeColor="text1"/>
          <w:sz w:val="24"/>
          <w14:textFill>
            <w14:solidFill>
              <w14:schemeClr w14:val="tx1"/>
            </w14:solidFill>
          </w14:textFill>
        </w:rPr>
        <w:t>甲苯、二甲苯的泄漏，项目营运期间要加强对</w:t>
      </w:r>
      <w:r>
        <w:rPr>
          <w:rFonts w:hint="eastAsia" w:ascii="Times New Roman" w:hAnsi="Times New Roman" w:cs="Times New Roman"/>
          <w:color w:val="000000" w:themeColor="text1"/>
          <w:sz w:val="24"/>
          <w14:textFill>
            <w14:solidFill>
              <w14:schemeClr w14:val="tx1"/>
            </w14:solidFill>
          </w14:textFill>
        </w:rPr>
        <w:t>污水处理站</w:t>
      </w:r>
      <w:r>
        <w:rPr>
          <w:rFonts w:ascii="Times New Roman" w:hAnsi="Times New Roman" w:eastAsia="宋体" w:cs="Times New Roman"/>
          <w:color w:val="000000" w:themeColor="text1"/>
          <w:sz w:val="24"/>
          <w14:textFill>
            <w14:solidFill>
              <w14:schemeClr w14:val="tx1"/>
            </w14:solidFill>
          </w14:textFill>
        </w:rPr>
        <w:t>的维护管理，定期监测厂址周围地下水水质状况，制定跟踪监测计划，将对地下水的污染风险降低到最小。</w:t>
      </w:r>
    </w:p>
    <w:p w14:paraId="120EAD37">
      <w:pPr>
        <w:pStyle w:val="4"/>
        <w:numPr>
          <w:ilvl w:val="2"/>
          <w:numId w:val="68"/>
        </w:numPr>
        <w:ind w:left="709" w:hanging="709"/>
        <w:rPr>
          <w:rFonts w:cs="Times New Roman"/>
        </w:rPr>
      </w:pPr>
      <w:r>
        <w:rPr>
          <w:rFonts w:cs="Times New Roman"/>
        </w:rPr>
        <w:t>地下水影响结论</w:t>
      </w:r>
    </w:p>
    <w:p w14:paraId="7E460562">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上述非正常状况及风险事故发生的情况下，废水</w:t>
      </w:r>
      <w:r>
        <w:rPr>
          <w:rFonts w:hint="eastAsia" w:ascii="Times New Roman" w:hAnsi="Times New Roman" w:eastAsia="宋体" w:cs="Times New Roman"/>
          <w:color w:val="000000"/>
          <w:sz w:val="24"/>
        </w:rPr>
        <w:t>中的污染物</w:t>
      </w:r>
      <w:r>
        <w:rPr>
          <w:rFonts w:ascii="Times New Roman" w:hAnsi="Times New Roman" w:eastAsia="宋体" w:cs="Times New Roman"/>
          <w:color w:val="000000"/>
          <w:sz w:val="24"/>
        </w:rPr>
        <w:t>将会对浅层地下水产生轻微影响，污染物运移主要受源强和时间的影响较大，同工况下，源强越大、时间越长，则污染范围越大；源强越小，时间越短，则污染范围越小。本次污染质模拟计算未考虑污染物在含水层中的吸附、挥发、生物化学反应等，按最保守的情况进行预测得出结论。真实的污染范围会比预测值小，建设单位做好防渗和安全措施，加强长期监测工作，做到能及时发现泄露，切断污染源，可将污染影响控制在可接受范围内，不会威胁到周边村庄村民的用水安全。</w:t>
      </w:r>
    </w:p>
    <w:p w14:paraId="079FA836">
      <w:pPr>
        <w:pStyle w:val="62"/>
        <w:rPr>
          <w:rFonts w:ascii="Times New Roman" w:hAnsi="Times New Roman" w:eastAsia="宋体" w:cs="Times New Roman"/>
          <w:color w:val="auto"/>
          <w:sz w:val="24"/>
          <w:szCs w:val="24"/>
          <w:highlight w:val="yellow"/>
        </w:rPr>
      </w:pPr>
    </w:p>
    <w:p w14:paraId="3115EFF8">
      <w:pPr>
        <w:pStyle w:val="62"/>
        <w:rPr>
          <w:rFonts w:ascii="Times New Roman" w:hAnsi="Times New Roman" w:eastAsia="宋体" w:cs="Times New Roman"/>
          <w:color w:val="auto"/>
          <w:sz w:val="24"/>
          <w:szCs w:val="24"/>
          <w:highlight w:val="yellow"/>
        </w:rPr>
        <w:sectPr>
          <w:headerReference r:id="rId20" w:type="default"/>
          <w:pgSz w:w="11906" w:h="16838"/>
          <w:pgMar w:top="1440" w:right="1800" w:bottom="1440" w:left="1800" w:header="851" w:footer="992" w:gutter="0"/>
          <w:pgNumType w:fmt="decimal"/>
          <w:cols w:space="425" w:num="1"/>
          <w:docGrid w:type="lines" w:linePitch="312" w:charSpace="0"/>
        </w:sectPr>
      </w:pPr>
    </w:p>
    <w:p w14:paraId="57539847">
      <w:pPr>
        <w:keepNext/>
        <w:keepLines/>
        <w:numPr>
          <w:ilvl w:val="1"/>
          <w:numId w:val="69"/>
        </w:numPr>
        <w:spacing w:line="360" w:lineRule="auto"/>
        <w:outlineLvl w:val="1"/>
        <w:rPr>
          <w:rFonts w:ascii="Times New Roman" w:hAnsi="Times New Roman" w:eastAsia="宋体" w:cs="Times New Roman"/>
          <w:b/>
          <w:sz w:val="28"/>
          <w:szCs w:val="28"/>
        </w:rPr>
      </w:pPr>
      <w:bookmarkStart w:id="269" w:name="_Toc16245"/>
      <w:bookmarkStart w:id="270" w:name="_Toc9931"/>
      <w:bookmarkStart w:id="271" w:name="_Toc6651"/>
      <w:bookmarkStart w:id="272" w:name="_Toc14989"/>
      <w:r>
        <w:rPr>
          <w:rFonts w:ascii="Times New Roman" w:hAnsi="Times New Roman" w:eastAsia="宋体" w:cs="Times New Roman"/>
          <w:b/>
          <w:sz w:val="28"/>
          <w:szCs w:val="28"/>
        </w:rPr>
        <w:t>土壤环境影响预测与评价</w:t>
      </w:r>
      <w:bookmarkEnd w:id="269"/>
    </w:p>
    <w:p w14:paraId="5E5918D3">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土壤污染与大气、水体污染有所不同，它是以食物链方式通过粮食、蔬菜、水果、茶叶及草食性动物（如家禽家畜）乃至肉食性动物等后进入人体而影响人群健康，是一个逐步累积的过程，具有隐蔽性和潜伏性。土壤一旦遭受污染后，不但很难得到清除，而且随着有毒有害污染物的逐年进入而不断在土体中蓄集，有些污染物甚至在土体中可能转化为毒性更大的化合物。根据土壤污染物的来源不同，可将土壤污染分为废水污染型、废气污染型、固体废物污染型、农业污染型和生物污染型。</w:t>
      </w:r>
    </w:p>
    <w:p w14:paraId="422C2FB7">
      <w:pPr>
        <w:keepNext/>
        <w:keepLines/>
        <w:numPr>
          <w:ilvl w:val="2"/>
          <w:numId w:val="69"/>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土壤环境影响识别</w:t>
      </w:r>
    </w:p>
    <w:p w14:paraId="017C1A49">
      <w:pPr>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根据</w:t>
      </w:r>
      <w:r>
        <w:rPr>
          <w:rFonts w:ascii="Times New Roman" w:hAnsi="Times New Roman" w:cs="Times New Roman"/>
          <w:sz w:val="24"/>
        </w:rPr>
        <w:t>本项目属于污染影响型，土壤环境影响途径涉及大气沉降、地面漫流及垂直入渗。</w:t>
      </w:r>
    </w:p>
    <w:p w14:paraId="3D314968">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w:t>
      </w:r>
      <w:r>
        <w:rPr>
          <w:rFonts w:ascii="Times New Roman" w:hAnsi="Times New Roman" w:cs="Times New Roman"/>
          <w:sz w:val="24"/>
        </w:rPr>
        <w:t>大气沉降</w:t>
      </w:r>
    </w:p>
    <w:p w14:paraId="55403B85">
      <w:pPr>
        <w:spacing w:line="360" w:lineRule="auto"/>
        <w:ind w:firstLine="480" w:firstLineChars="200"/>
        <w:rPr>
          <w:rFonts w:ascii="Times New Roman" w:hAnsi="Times New Roman" w:cs="Times New Roman"/>
          <w:sz w:val="24"/>
        </w:rPr>
      </w:pPr>
      <w:r>
        <w:rPr>
          <w:rFonts w:ascii="Times New Roman" w:hAnsi="Times New Roman" w:cs="Times New Roman"/>
          <w:sz w:val="24"/>
        </w:rPr>
        <w:t>主要指由于生产活动产生气体排放间接造成土壤环境污染的影响途径，根据生态环境部环境工程评估中心培训资料《环境影响评价技术导则土壤环境关键要点解析》（李秀宇 2019.9.16于贵阳），需要考虑大气沉降的行业通常涉及08黑色金属矿选业、09有色金属矿选业、25石油加工、炼焦和核燃料加工、26化学原料和化学制品制造业、27医药制造业、31黑色金属冶炼和压延加工行业、32有色金属冶炼和压延加工业、38电气机械和器材制造业（电池制造）、77生态保护和环境治理业（危废、医废处置）、78公共设施管理业（生活垃圾处置），根据《国民经济行业分类》（GB/T4754-2017）及2019年修改单，本项目属于“C</w:t>
      </w:r>
      <w:r>
        <w:rPr>
          <w:rFonts w:hint="eastAsia" w:ascii="Times New Roman" w:hAnsi="Times New Roman" w:cs="Times New Roman"/>
          <w:sz w:val="24"/>
        </w:rPr>
        <w:t>2110木质家具</w:t>
      </w:r>
      <w:r>
        <w:rPr>
          <w:rFonts w:ascii="Times New Roman" w:hAnsi="Times New Roman" w:cs="Times New Roman"/>
          <w:sz w:val="24"/>
        </w:rPr>
        <w:t>制造”，不属于上述行业，但是生产车间涉及颗粒物</w:t>
      </w:r>
      <w:r>
        <w:rPr>
          <w:rFonts w:hint="eastAsia" w:ascii="Times New Roman" w:hAnsi="Times New Roman" w:cs="Times New Roman"/>
          <w:sz w:val="24"/>
        </w:rPr>
        <w:t>、</w:t>
      </w:r>
      <w:r>
        <w:rPr>
          <w:rFonts w:hint="eastAsia" w:ascii="Times New Roman" w:hAnsi="Times New Roman" w:cs="Times New Roman"/>
          <w:sz w:val="24"/>
          <w:lang w:val="en-US" w:eastAsia="zh-CN"/>
        </w:rPr>
        <w:t>苯、</w:t>
      </w:r>
      <w:r>
        <w:rPr>
          <w:rFonts w:hint="eastAsia" w:ascii="Times New Roman" w:hAnsi="Times New Roman" w:cs="Times New Roman"/>
          <w:sz w:val="24"/>
        </w:rPr>
        <w:t>甲苯、二甲苯、非甲烷总烃</w:t>
      </w:r>
      <w:r>
        <w:rPr>
          <w:rFonts w:ascii="Times New Roman" w:hAnsi="Times New Roman" w:cs="Times New Roman"/>
          <w:sz w:val="24"/>
        </w:rPr>
        <w:t>的排放，废气的干、湿沉降会导致土壤中</w:t>
      </w:r>
      <w:r>
        <w:rPr>
          <w:rFonts w:hint="eastAsia" w:ascii="Times New Roman" w:hAnsi="Times New Roman" w:cs="Times New Roman"/>
          <w:sz w:val="24"/>
        </w:rPr>
        <w:t>甲苯、二甲苯</w:t>
      </w:r>
      <w:r>
        <w:rPr>
          <w:rFonts w:ascii="Times New Roman" w:hAnsi="Times New Roman" w:cs="Times New Roman"/>
          <w:sz w:val="24"/>
        </w:rPr>
        <w:t>的变化，因此本项目土壤环境影响途径涉及大气沉降。</w:t>
      </w:r>
    </w:p>
    <w:p w14:paraId="470B3AD6">
      <w:pPr>
        <w:pStyle w:val="17"/>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地面漫流</w:t>
      </w:r>
    </w:p>
    <w:p w14:paraId="0489B860">
      <w:pPr>
        <w:spacing w:line="360" w:lineRule="auto"/>
        <w:ind w:firstLine="480" w:firstLineChars="200"/>
        <w:rPr>
          <w:rFonts w:ascii="Times New Roman" w:hAnsi="Times New Roman" w:cs="Times New Roman"/>
          <w:sz w:val="24"/>
        </w:rPr>
      </w:pPr>
      <w:r>
        <w:rPr>
          <w:rFonts w:ascii="Times New Roman" w:hAnsi="Times New Roman" w:cs="Times New Roman"/>
          <w:sz w:val="24"/>
        </w:rPr>
        <w:t>主要指由于占地范围内污染物质的水平扩散造成污染范围水平扩大的影响途径，</w:t>
      </w:r>
      <w:r>
        <w:rPr>
          <w:rFonts w:hint="eastAsia" w:ascii="Times New Roman" w:hAnsi="Times New Roman" w:cs="Times New Roman"/>
          <w:sz w:val="24"/>
        </w:rPr>
        <w:t>本项目</w:t>
      </w:r>
      <w:r>
        <w:rPr>
          <w:rFonts w:ascii="Times New Roman" w:hAnsi="Times New Roman" w:cs="Times New Roman"/>
          <w:sz w:val="24"/>
        </w:rPr>
        <w:t>污水处理设施采用的是抗渗混凝土硬化，即使在非正常或事故状况下，防渗措施失效，废水外渗也不会出现废水大量泄露到地面，因此本项目土壤环境影响途径不考虑地面漫流。</w:t>
      </w:r>
    </w:p>
    <w:p w14:paraId="11C8F4C2">
      <w:pPr>
        <w:pStyle w:val="17"/>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垂直入渗</w:t>
      </w:r>
    </w:p>
    <w:p w14:paraId="282570FF">
      <w:pPr>
        <w:spacing w:line="360" w:lineRule="auto"/>
        <w:ind w:firstLine="480" w:firstLineChars="200"/>
        <w:rPr>
          <w:rFonts w:ascii="Times New Roman" w:hAnsi="Times New Roman" w:cs="Times New Roman"/>
          <w:sz w:val="24"/>
        </w:rPr>
      </w:pPr>
      <w:r>
        <w:rPr>
          <w:rFonts w:ascii="Times New Roman" w:hAnsi="Times New Roman" w:cs="Times New Roman"/>
          <w:sz w:val="24"/>
        </w:rPr>
        <w:t>主要指由于占地范围内污染物质的入渗迁移造成污染范围垂向扩大的影响途径，本项目污水处理站在非正常工况及事故工况下设施均可能发生泄露，导致污染物垂直下渗，污染土壤环境质量，因此本项目土壤环境影响途径涉及垂直入渗。</w:t>
      </w:r>
    </w:p>
    <w:p w14:paraId="650B0C59">
      <w:pPr>
        <w:spacing w:line="360" w:lineRule="auto"/>
        <w:jc w:val="center"/>
        <w:rPr>
          <w:rFonts w:ascii="Times New Roman" w:hAnsi="Times New Roman" w:eastAsia="宋体" w:cs="Times New Roman"/>
          <w:b/>
          <w:bCs/>
          <w:kern w:val="28"/>
          <w:szCs w:val="21"/>
        </w:rPr>
      </w:pPr>
      <w:r>
        <w:rPr>
          <w:rFonts w:hint="eastAsia" w:ascii="Times New Roman" w:hAnsi="Times New Roman" w:eastAsia="宋体" w:cs="Times New Roman"/>
          <w:b/>
          <w:bCs/>
          <w:kern w:val="28"/>
          <w:szCs w:val="21"/>
        </w:rPr>
        <w:t xml:space="preserve">表5.6-1  </w:t>
      </w:r>
      <w:r>
        <w:rPr>
          <w:rFonts w:ascii="Times New Roman" w:hAnsi="Times New Roman" w:eastAsia="宋体" w:cs="Times New Roman"/>
          <w:b/>
          <w:bCs/>
          <w:kern w:val="28"/>
          <w:szCs w:val="21"/>
        </w:rPr>
        <w:t>项目土壤环境影响类型与影响途径表</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826"/>
        <w:gridCol w:w="1826"/>
        <w:gridCol w:w="1830"/>
        <w:gridCol w:w="1377"/>
      </w:tblGrid>
      <w:tr w14:paraId="11CA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660" w:type="dxa"/>
            <w:tcBorders>
              <w:tl2br w:val="nil"/>
              <w:tr2bl w:val="nil"/>
            </w:tcBorders>
            <w:vAlign w:val="center"/>
          </w:tcPr>
          <w:p w14:paraId="7F0E36AB">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不同时段</w:t>
            </w:r>
          </w:p>
        </w:tc>
        <w:tc>
          <w:tcPr>
            <w:tcW w:w="1826" w:type="dxa"/>
            <w:tcBorders>
              <w:tl2br w:val="nil"/>
              <w:tr2bl w:val="nil"/>
            </w:tcBorders>
            <w:vAlign w:val="center"/>
          </w:tcPr>
          <w:p w14:paraId="4913A952">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大气沉降</w:t>
            </w:r>
          </w:p>
        </w:tc>
        <w:tc>
          <w:tcPr>
            <w:tcW w:w="1826" w:type="dxa"/>
            <w:tcBorders>
              <w:tl2br w:val="nil"/>
              <w:tr2bl w:val="nil"/>
            </w:tcBorders>
            <w:vAlign w:val="center"/>
          </w:tcPr>
          <w:p w14:paraId="1F85FD6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地面漫流</w:t>
            </w:r>
          </w:p>
        </w:tc>
        <w:tc>
          <w:tcPr>
            <w:tcW w:w="1830" w:type="dxa"/>
            <w:tcBorders>
              <w:tl2br w:val="nil"/>
              <w:tr2bl w:val="nil"/>
            </w:tcBorders>
            <w:vAlign w:val="center"/>
          </w:tcPr>
          <w:p w14:paraId="790B8FB2">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垂直入渗</w:t>
            </w:r>
          </w:p>
        </w:tc>
        <w:tc>
          <w:tcPr>
            <w:tcW w:w="1377" w:type="dxa"/>
            <w:tcBorders>
              <w:tl2br w:val="nil"/>
              <w:tr2bl w:val="nil"/>
            </w:tcBorders>
            <w:vAlign w:val="center"/>
          </w:tcPr>
          <w:p w14:paraId="1A103B8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其他</w:t>
            </w:r>
          </w:p>
        </w:tc>
      </w:tr>
      <w:tr w14:paraId="3F0F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0" w:type="dxa"/>
            <w:tcBorders>
              <w:tl2br w:val="nil"/>
              <w:tr2bl w:val="nil"/>
            </w:tcBorders>
            <w:vAlign w:val="center"/>
          </w:tcPr>
          <w:p w14:paraId="39128C22">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建设期</w:t>
            </w:r>
          </w:p>
        </w:tc>
        <w:tc>
          <w:tcPr>
            <w:tcW w:w="1826" w:type="dxa"/>
            <w:tcBorders>
              <w:tl2br w:val="nil"/>
              <w:tr2bl w:val="nil"/>
            </w:tcBorders>
            <w:vAlign w:val="center"/>
          </w:tcPr>
          <w:p w14:paraId="19DF38D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826" w:type="dxa"/>
            <w:tcBorders>
              <w:tl2br w:val="nil"/>
              <w:tr2bl w:val="nil"/>
            </w:tcBorders>
            <w:vAlign w:val="center"/>
          </w:tcPr>
          <w:p w14:paraId="3894DF58">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830" w:type="dxa"/>
            <w:tcBorders>
              <w:tl2br w:val="nil"/>
              <w:tr2bl w:val="nil"/>
            </w:tcBorders>
            <w:vAlign w:val="center"/>
          </w:tcPr>
          <w:p w14:paraId="6CF3F6C8">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377" w:type="dxa"/>
            <w:tcBorders>
              <w:tl2br w:val="nil"/>
              <w:tr2bl w:val="nil"/>
            </w:tcBorders>
            <w:vAlign w:val="center"/>
          </w:tcPr>
          <w:p w14:paraId="341EB5A2">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14:paraId="160A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tcBorders>
              <w:tl2br w:val="nil"/>
              <w:tr2bl w:val="nil"/>
            </w:tcBorders>
            <w:vAlign w:val="center"/>
          </w:tcPr>
          <w:p w14:paraId="43F87231">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运营期</w:t>
            </w:r>
          </w:p>
        </w:tc>
        <w:tc>
          <w:tcPr>
            <w:tcW w:w="1826" w:type="dxa"/>
            <w:tcBorders>
              <w:tl2br w:val="nil"/>
              <w:tr2bl w:val="nil"/>
            </w:tcBorders>
            <w:vAlign w:val="center"/>
          </w:tcPr>
          <w:p w14:paraId="6449DF1F">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826" w:type="dxa"/>
            <w:tcBorders>
              <w:tl2br w:val="nil"/>
              <w:tr2bl w:val="nil"/>
            </w:tcBorders>
            <w:vAlign w:val="center"/>
          </w:tcPr>
          <w:p w14:paraId="077C142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830" w:type="dxa"/>
            <w:tcBorders>
              <w:tl2br w:val="nil"/>
              <w:tr2bl w:val="nil"/>
            </w:tcBorders>
            <w:vAlign w:val="center"/>
          </w:tcPr>
          <w:p w14:paraId="01F42082">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377" w:type="dxa"/>
            <w:tcBorders>
              <w:tl2br w:val="nil"/>
              <w:tr2bl w:val="nil"/>
            </w:tcBorders>
            <w:vAlign w:val="center"/>
          </w:tcPr>
          <w:p w14:paraId="167AB70F">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14:paraId="37CB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0" w:type="dxa"/>
            <w:tcBorders>
              <w:tl2br w:val="nil"/>
              <w:tr2bl w:val="nil"/>
            </w:tcBorders>
            <w:vAlign w:val="center"/>
          </w:tcPr>
          <w:p w14:paraId="7841DBB8">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服务期满后</w:t>
            </w:r>
          </w:p>
        </w:tc>
        <w:tc>
          <w:tcPr>
            <w:tcW w:w="1826" w:type="dxa"/>
            <w:tcBorders>
              <w:tl2br w:val="nil"/>
              <w:tr2bl w:val="nil"/>
            </w:tcBorders>
            <w:vAlign w:val="center"/>
          </w:tcPr>
          <w:p w14:paraId="4762264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826" w:type="dxa"/>
            <w:tcBorders>
              <w:tl2br w:val="nil"/>
              <w:tr2bl w:val="nil"/>
            </w:tcBorders>
            <w:vAlign w:val="center"/>
          </w:tcPr>
          <w:p w14:paraId="3E7C452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830" w:type="dxa"/>
            <w:tcBorders>
              <w:tl2br w:val="nil"/>
              <w:tr2bl w:val="nil"/>
            </w:tcBorders>
            <w:vAlign w:val="center"/>
          </w:tcPr>
          <w:p w14:paraId="75F88B68">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377" w:type="dxa"/>
            <w:tcBorders>
              <w:tl2br w:val="nil"/>
              <w:tr2bl w:val="nil"/>
            </w:tcBorders>
            <w:vAlign w:val="center"/>
          </w:tcPr>
          <w:p w14:paraId="5DE1918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14:paraId="45A7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9" w:type="dxa"/>
            <w:gridSpan w:val="5"/>
            <w:tcBorders>
              <w:tl2br w:val="nil"/>
              <w:tr2bl w:val="nil"/>
            </w:tcBorders>
            <w:vAlign w:val="center"/>
          </w:tcPr>
          <w:p w14:paraId="7A8A7FE6">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注：在可能产生的土壤环境影响类型处打“√”，列表未涵盖的可自行设计。</w:t>
            </w:r>
          </w:p>
        </w:tc>
      </w:tr>
    </w:tbl>
    <w:p w14:paraId="6577C018">
      <w:pPr>
        <w:keepNext/>
        <w:keepLines/>
        <w:numPr>
          <w:ilvl w:val="2"/>
          <w:numId w:val="69"/>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废水渗漏对土壤影响分析</w:t>
      </w:r>
    </w:p>
    <w:p w14:paraId="54AA6761">
      <w:pPr>
        <w:keepNext/>
        <w:keepLines/>
        <w:numPr>
          <w:ilvl w:val="3"/>
          <w:numId w:val="69"/>
        </w:numPr>
        <w:spacing w:line="360" w:lineRule="auto"/>
        <w:outlineLvl w:val="3"/>
        <w:rPr>
          <w:rFonts w:ascii="Times New Roman" w:hAnsi="Times New Roman" w:eastAsia="宋体" w:cs="Times New Roman"/>
          <w:b/>
          <w:sz w:val="24"/>
        </w:rPr>
      </w:pPr>
      <w:r>
        <w:rPr>
          <w:rFonts w:ascii="Times New Roman" w:hAnsi="Times New Roman" w:eastAsia="宋体" w:cs="Times New Roman"/>
          <w:b/>
          <w:sz w:val="24"/>
        </w:rPr>
        <w:t>正常状况分析</w:t>
      </w:r>
    </w:p>
    <w:p w14:paraId="32772731">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污水处理站、危险废物暂存间以及污水管线若没有适当的防漏措施，其中的有害组分渗出后，很容易经过雨水淋溶、地表径流侵蚀而渗入土壤，杀死土壤中的微生物，破坏微生物与周围环境构成系统的平衡。同时这些水分经土壤渗入地下水，对地下水水质也造成污染。</w:t>
      </w:r>
    </w:p>
    <w:p w14:paraId="7CB380B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本次建设项目厂内的污水处理站、生产厂房等均进行了硬底化和防渗措施，项目危险废物储存区严格按照《危险废物贮存污染控制标准》（GB18597-20</w:t>
      </w:r>
      <w:r>
        <w:rPr>
          <w:rFonts w:hint="eastAsia" w:ascii="Times New Roman" w:hAnsi="Times New Roman" w:eastAsia="宋体" w:cs="Times New Roman"/>
          <w:sz w:val="24"/>
        </w:rPr>
        <w:t>23</w:t>
      </w:r>
      <w:r>
        <w:rPr>
          <w:rFonts w:ascii="Times New Roman" w:hAnsi="Times New Roman" w:eastAsia="宋体" w:cs="Times New Roman"/>
          <w:sz w:val="24"/>
        </w:rPr>
        <w:t>）有关规范设计，生产厂房等构筑物按要求做好防渗措施，项目建成后对周边土壤的影响较小。因此只要各个环节得到良好控制，可以将本项目对土壤的影响降至最低。</w:t>
      </w:r>
    </w:p>
    <w:p w14:paraId="143797DB">
      <w:pPr>
        <w:keepNext/>
        <w:keepLines/>
        <w:numPr>
          <w:ilvl w:val="3"/>
          <w:numId w:val="69"/>
        </w:numPr>
        <w:spacing w:line="360" w:lineRule="auto"/>
        <w:outlineLvl w:val="3"/>
        <w:rPr>
          <w:rFonts w:ascii="Times New Roman" w:hAnsi="Times New Roman" w:eastAsia="宋体" w:cs="Times New Roman"/>
          <w:b/>
          <w:sz w:val="24"/>
        </w:rPr>
      </w:pPr>
      <w:r>
        <w:rPr>
          <w:rFonts w:ascii="Times New Roman" w:hAnsi="Times New Roman" w:eastAsia="宋体" w:cs="Times New Roman"/>
          <w:b/>
          <w:sz w:val="24"/>
        </w:rPr>
        <w:t>非正常状况分析</w:t>
      </w:r>
    </w:p>
    <w:p w14:paraId="06EADBE0">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本项目建成后，运营期非正常状况主要包括：废水收集管道破损，厂区污水处理站出现故障等。</w:t>
      </w:r>
    </w:p>
    <w:p w14:paraId="04A6B610">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1、情景设定</w:t>
      </w:r>
    </w:p>
    <w:p w14:paraId="7F9439C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由于项目废水处理系统废水相对集中，进水浓度较高，且防渗层发生破损较难发现，对土壤环境影响相对较大。本项目生产废水中主要污染物包括pH值、COD、SS、NH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hint="eastAsia" w:ascii="Times New Roman" w:hAnsi="Times New Roman" w:eastAsia="宋体" w:cs="Times New Roman"/>
          <w:sz w:val="24"/>
        </w:rPr>
        <w:t>甲苯、二甲苯</w:t>
      </w:r>
      <w:r>
        <w:rPr>
          <w:rFonts w:ascii="Times New Roman" w:hAnsi="Times New Roman" w:eastAsia="宋体" w:cs="Times New Roman"/>
          <w:sz w:val="24"/>
        </w:rPr>
        <w:t>等，会通过垂直下渗形式进入废水处理站的土壤，从而使局部土壤环境质量逐步受到污染影响。因此，设定以下污染物泄露情景：含</w:t>
      </w:r>
      <w:r>
        <w:rPr>
          <w:rFonts w:ascii="Times New Roman" w:hAnsi="Times New Roman" w:eastAsia="宋体" w:cs="Times New Roman"/>
          <w:bCs/>
          <w:kern w:val="0"/>
          <w:sz w:val="24"/>
        </w:rPr>
        <w:t>COD、</w:t>
      </w:r>
      <w:r>
        <w:rPr>
          <w:rFonts w:hint="eastAsia" w:ascii="Times New Roman" w:hAnsi="Times New Roman" w:eastAsia="宋体" w:cs="Times New Roman"/>
          <w:sz w:val="24"/>
        </w:rPr>
        <w:t>甲苯、二甲苯</w:t>
      </w:r>
      <w:r>
        <w:rPr>
          <w:rFonts w:ascii="Times New Roman" w:hAnsi="Times New Roman" w:eastAsia="宋体" w:cs="Times New Roman"/>
          <w:sz w:val="24"/>
        </w:rPr>
        <w:t>废水池体防渗层发生破损后长时间未被发现，废水连续进入土壤环境中，设定事故持续时间为100天。</w:t>
      </w:r>
    </w:p>
    <w:p w14:paraId="132199C2">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2、预测方法</w:t>
      </w:r>
    </w:p>
    <w:p w14:paraId="32AA8CB8">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根据《环境影响评价技术导则 土壤环境》（HJ964-2018）要求，本</w:t>
      </w:r>
      <w:r>
        <w:rPr>
          <w:rFonts w:hint="eastAsia" w:ascii="Times New Roman" w:hAnsi="Times New Roman" w:eastAsia="宋体" w:cs="Times New Roman"/>
          <w:sz w:val="24"/>
        </w:rPr>
        <w:t>项目</w:t>
      </w:r>
      <w:r>
        <w:rPr>
          <w:rFonts w:ascii="Times New Roman" w:hAnsi="Times New Roman" w:eastAsia="宋体" w:cs="Times New Roman"/>
          <w:sz w:val="24"/>
        </w:rPr>
        <w:t>评价等</w:t>
      </w:r>
      <w:r>
        <w:rPr>
          <w:rFonts w:ascii="Times New Roman" w:hAnsi="Times New Roman" w:eastAsia="宋体" w:cs="Times New Roman"/>
          <w:color w:val="auto"/>
          <w:sz w:val="24"/>
        </w:rPr>
        <w:t>级为</w:t>
      </w:r>
      <w:r>
        <w:rPr>
          <w:rFonts w:hint="eastAsia" w:ascii="Times New Roman" w:hAnsi="Times New Roman" w:eastAsia="宋体" w:cs="Times New Roman"/>
          <w:color w:val="auto"/>
          <w:sz w:val="24"/>
        </w:rPr>
        <w:t>二</w:t>
      </w:r>
      <w:r>
        <w:rPr>
          <w:rFonts w:ascii="Times New Roman" w:hAnsi="Times New Roman" w:eastAsia="宋体" w:cs="Times New Roman"/>
          <w:color w:val="auto"/>
          <w:sz w:val="24"/>
        </w:rPr>
        <w:t>级，预</w:t>
      </w:r>
      <w:r>
        <w:rPr>
          <w:rFonts w:ascii="Times New Roman" w:hAnsi="Times New Roman" w:eastAsia="宋体" w:cs="Times New Roman"/>
          <w:sz w:val="24"/>
        </w:rPr>
        <w:t>测方法选用导则附录E的预测方法二对废水处理站废水中的</w:t>
      </w:r>
      <w:r>
        <w:rPr>
          <w:rFonts w:ascii="Times New Roman" w:hAnsi="Times New Roman" w:eastAsia="宋体" w:cs="Times New Roman"/>
          <w:bCs/>
          <w:kern w:val="0"/>
          <w:sz w:val="24"/>
        </w:rPr>
        <w:t>COD、</w:t>
      </w:r>
      <w:r>
        <w:rPr>
          <w:rFonts w:hint="eastAsia" w:ascii="Times New Roman" w:hAnsi="Times New Roman" w:eastAsia="宋体" w:cs="Times New Roman"/>
          <w:sz w:val="24"/>
        </w:rPr>
        <w:t>甲苯、二甲苯</w:t>
      </w:r>
      <w:r>
        <w:rPr>
          <w:rFonts w:ascii="Times New Roman" w:hAnsi="Times New Roman" w:eastAsia="宋体" w:cs="Times New Roman"/>
          <w:sz w:val="24"/>
        </w:rPr>
        <w:t>垂直下渗对土壤环境的影响深度进行分析。</w:t>
      </w:r>
    </w:p>
    <w:p w14:paraId="6C11F9C1">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（1）一维非饱和溶质垂向运移控制方程：</w:t>
      </w:r>
    </w:p>
    <w:p w14:paraId="21577796">
      <w:pPr>
        <w:spacing w:line="360" w:lineRule="auto"/>
        <w:ind w:firstLine="480" w:firstLineChars="200"/>
        <w:jc w:val="center"/>
        <w:rPr>
          <w:rFonts w:ascii="Times New Roman" w:hAnsi="Times New Roman" w:eastAsia="宋体" w:cs="Times New Roman"/>
          <w:sz w:val="24"/>
        </w:rPr>
      </w:pPr>
      <m:oMathPara>
        <m:oMath>
          <m:f>
            <m:fPr>
              <m:ctrlPr>
                <w:rPr>
                  <w:rFonts w:ascii="Cambria Math" w:hAnsi="Cambria Math" w:cs="Times New Roman"/>
                  <w:sz w:val="24"/>
                </w:rPr>
              </m:ctrlPr>
            </m:fPr>
            <m:num>
              <m:r>
                <m:rPr/>
                <w:rPr>
                  <w:rFonts w:ascii="Cambria Math" w:hAnsi="Cambria Math" w:cs="Times New Roman"/>
                  <w:sz w:val="24"/>
                </w:rPr>
                <m:t>∂(θc)</m:t>
              </m:r>
              <m:ctrlPr>
                <w:rPr>
                  <w:rFonts w:ascii="Cambria Math" w:hAnsi="Cambria Math" w:cs="Times New Roman"/>
                  <w:sz w:val="24"/>
                </w:rPr>
              </m:ctrlPr>
            </m:num>
            <m:den>
              <m:r>
                <m:rPr/>
                <w:rPr>
                  <w:rFonts w:ascii="Cambria Math" w:hAnsi="Cambria Math" w:cs="Times New Roman"/>
                  <w:sz w:val="24"/>
                </w:rPr>
                <m:t>∂t</m:t>
              </m:r>
              <m:ctrlPr>
                <w:rPr>
                  <w:rFonts w:ascii="Cambria Math" w:hAnsi="Cambria Math" w:cs="Times New Roman"/>
                  <w:sz w:val="24"/>
                </w:rPr>
              </m:ctrlPr>
            </m:den>
          </m:f>
          <m:r>
            <m:rPr/>
            <w:rPr>
              <w:rFonts w:ascii="Cambria Math" w:hAnsi="Cambria Math" w:cs="Times New Roman"/>
              <w:sz w:val="24"/>
            </w:rPr>
            <m:t>=</m:t>
          </m:r>
          <m:f>
            <m:fPr>
              <m:ctrlPr>
                <w:rPr>
                  <w:rFonts w:ascii="Cambria Math" w:hAnsi="Cambria Math" w:cs="Times New Roman"/>
                  <w:i/>
                  <w:sz w:val="24"/>
                </w:rPr>
              </m:ctrlPr>
            </m:fPr>
            <m:num>
              <m:r>
                <m:rPr/>
                <w:rPr>
                  <w:rFonts w:ascii="Cambria Math" w:hAnsi="Cambria Math" w:cs="Times New Roman"/>
                  <w:sz w:val="24"/>
                </w:rPr>
                <m:t>∂</m:t>
              </m:r>
              <m:ctrlPr>
                <w:rPr>
                  <w:rFonts w:ascii="Cambria Math" w:hAnsi="Cambria Math" w:cs="Times New Roman"/>
                  <w:i/>
                  <w:sz w:val="24"/>
                </w:rPr>
              </m:ctrlPr>
            </m:num>
            <m:den>
              <m:r>
                <m:rPr/>
                <w:rPr>
                  <w:rFonts w:ascii="Cambria Math" w:hAnsi="Cambria Math" w:cs="Times New Roman"/>
                  <w:sz w:val="24"/>
                </w:rPr>
                <m:t>∂z</m:t>
              </m:r>
              <m:ctrlPr>
                <w:rPr>
                  <w:rFonts w:ascii="Cambria Math" w:hAnsi="Cambria Math" w:cs="Times New Roman"/>
                  <w:i/>
                  <w:sz w:val="24"/>
                </w:rPr>
              </m:ctrlPr>
            </m:den>
          </m:f>
          <m:d>
            <m:dPr>
              <m:ctrlPr>
                <w:rPr>
                  <w:rFonts w:ascii="Cambria Math" w:hAnsi="Cambria Math" w:cs="Times New Roman"/>
                  <w:i/>
                  <w:sz w:val="24"/>
                </w:rPr>
              </m:ctrlPr>
            </m:dPr>
            <m:e>
              <m:r>
                <m:rPr/>
                <w:rPr>
                  <w:rFonts w:ascii="Cambria Math" w:hAnsi="Cambria Math" w:cs="Times New Roman"/>
                  <w:sz w:val="24"/>
                </w:rPr>
                <m:t>θD</m:t>
              </m:r>
              <m:f>
                <m:fPr>
                  <m:ctrlPr>
                    <w:rPr>
                      <w:rFonts w:ascii="Cambria Math" w:hAnsi="Cambria Math" w:cs="Times New Roman"/>
                      <w:i/>
                      <w:sz w:val="24"/>
                    </w:rPr>
                  </m:ctrlPr>
                </m:fPr>
                <m:num>
                  <m:r>
                    <m:rPr/>
                    <w:rPr>
                      <w:rFonts w:ascii="Cambria Math" w:hAnsi="Cambria Math" w:cs="Times New Roman"/>
                      <w:sz w:val="24"/>
                    </w:rPr>
                    <m:t>∂c</m:t>
                  </m:r>
                  <m:ctrlPr>
                    <w:rPr>
                      <w:rFonts w:ascii="Cambria Math" w:hAnsi="Cambria Math" w:cs="Times New Roman"/>
                      <w:i/>
                      <w:sz w:val="24"/>
                    </w:rPr>
                  </m:ctrlPr>
                </m:num>
                <m:den>
                  <m:r>
                    <m:rPr/>
                    <w:rPr>
                      <w:rFonts w:ascii="Cambria Math" w:hAnsi="Cambria Math" w:cs="Times New Roman"/>
                      <w:sz w:val="24"/>
                    </w:rPr>
                    <m:t>∂z</m:t>
                  </m:r>
                  <m:ctrlPr>
                    <w:rPr>
                      <w:rFonts w:ascii="Cambria Math" w:hAnsi="Cambria Math" w:cs="Times New Roman"/>
                      <w:i/>
                      <w:sz w:val="24"/>
                    </w:rPr>
                  </m:ctrlPr>
                </m:den>
              </m:f>
              <m:ctrlPr>
                <w:rPr>
                  <w:rFonts w:ascii="Cambria Math" w:hAnsi="Cambria Math" w:cs="Times New Roman"/>
                  <w:i/>
                  <w:sz w:val="24"/>
                </w:rPr>
              </m:ctrlPr>
            </m:e>
          </m:d>
          <m:r>
            <m:rPr/>
            <w:rPr>
              <w:rFonts w:ascii="Cambria Math" w:hAnsi="Cambria Math" w:cs="Times New Roman"/>
              <w:sz w:val="24"/>
            </w:rPr>
            <m:t>−</m:t>
          </m:r>
          <m:f>
            <m:fPr>
              <m:ctrlPr>
                <w:rPr>
                  <w:rFonts w:ascii="Cambria Math" w:hAnsi="Cambria Math" w:cs="Times New Roman"/>
                  <w:i/>
                  <w:sz w:val="24"/>
                </w:rPr>
              </m:ctrlPr>
            </m:fPr>
            <m:num>
              <m:r>
                <m:rPr/>
                <w:rPr>
                  <w:rFonts w:ascii="Cambria Math" w:hAnsi="Cambria Math" w:cs="Times New Roman"/>
                  <w:sz w:val="24"/>
                </w:rPr>
                <m:t>∂</m:t>
              </m:r>
              <m:ctrlPr>
                <w:rPr>
                  <w:rFonts w:ascii="Cambria Math" w:hAnsi="Cambria Math" w:cs="Times New Roman"/>
                  <w:i/>
                  <w:sz w:val="24"/>
                </w:rPr>
              </m:ctrlPr>
            </m:num>
            <m:den>
              <m:r>
                <m:rPr/>
                <w:rPr>
                  <w:rFonts w:ascii="Cambria Math" w:hAnsi="Cambria Math" w:cs="Times New Roman"/>
                  <w:sz w:val="24"/>
                </w:rPr>
                <m:t>∂z</m:t>
              </m:r>
              <m:ctrlPr>
                <w:rPr>
                  <w:rFonts w:ascii="Cambria Math" w:hAnsi="Cambria Math" w:cs="Times New Roman"/>
                  <w:i/>
                  <w:sz w:val="24"/>
                </w:rPr>
              </m:ctrlPr>
            </m:den>
          </m:f>
          <m:r>
            <m:rPr/>
            <w:rPr>
              <w:rFonts w:ascii="Cambria Math" w:hAnsi="Cambria Math" w:cs="Times New Roman"/>
              <w:sz w:val="24"/>
            </w:rPr>
            <m:t>(qc)</m:t>
          </m:r>
        </m:oMath>
      </m:oMathPara>
    </w:p>
    <w:p w14:paraId="05006328">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w:t>
      </w:r>
      <w:r>
        <w:rPr>
          <w:rFonts w:ascii="Times New Roman" w:hAnsi="Times New Roman" w:eastAsia="宋体" w:cs="Times New Roman"/>
          <w:i/>
          <w:sz w:val="24"/>
        </w:rPr>
        <w:t>c</w:t>
      </w:r>
      <w:r>
        <w:rPr>
          <w:rFonts w:ascii="Times New Roman" w:hAnsi="Times New Roman" w:eastAsia="宋体" w:cs="Times New Roman"/>
          <w:sz w:val="24"/>
        </w:rPr>
        <w:t>——污染物介质中的浓度，mg/L；</w:t>
      </w:r>
    </w:p>
    <w:p w14:paraId="6291D5AF">
      <w:pPr>
        <w:spacing w:line="360" w:lineRule="auto"/>
        <w:ind w:firstLine="1132" w:firstLineChars="472"/>
        <w:rPr>
          <w:rFonts w:ascii="Times New Roman" w:hAnsi="Times New Roman" w:eastAsia="宋体" w:cs="Times New Roman"/>
          <w:sz w:val="24"/>
        </w:rPr>
      </w:pPr>
      <w:r>
        <w:rPr>
          <w:rFonts w:ascii="Times New Roman" w:hAnsi="Times New Roman" w:eastAsia="宋体" w:cs="Times New Roman"/>
          <w:i/>
          <w:sz w:val="24"/>
        </w:rPr>
        <w:t>D</w:t>
      </w:r>
      <w:r>
        <w:rPr>
          <w:rFonts w:ascii="Times New Roman" w:hAnsi="Times New Roman" w:eastAsia="宋体" w:cs="Times New Roman"/>
          <w:sz w:val="24"/>
        </w:rPr>
        <w:t>——弥散系数，m</w:t>
      </w:r>
      <w:r>
        <w:rPr>
          <w:rFonts w:ascii="Times New Roman" w:hAnsi="Times New Roman" w:eastAsia="宋体" w:cs="Times New Roman"/>
          <w:sz w:val="24"/>
          <w:vertAlign w:val="superscript"/>
        </w:rPr>
        <w:t>2</w:t>
      </w:r>
      <w:r>
        <w:rPr>
          <w:rFonts w:ascii="Times New Roman" w:hAnsi="Times New Roman" w:eastAsia="宋体" w:cs="Times New Roman"/>
          <w:sz w:val="24"/>
        </w:rPr>
        <w:t>/d；</w:t>
      </w:r>
    </w:p>
    <w:p w14:paraId="6288A8CD">
      <w:pPr>
        <w:spacing w:line="360" w:lineRule="auto"/>
        <w:ind w:firstLine="1132" w:firstLineChars="472"/>
        <w:rPr>
          <w:rFonts w:ascii="Times New Roman" w:hAnsi="Times New Roman" w:eastAsia="宋体" w:cs="Times New Roman"/>
          <w:sz w:val="24"/>
        </w:rPr>
      </w:pPr>
      <w:r>
        <w:rPr>
          <w:rFonts w:ascii="Times New Roman" w:hAnsi="Times New Roman" w:eastAsia="宋体" w:cs="Times New Roman"/>
          <w:i/>
          <w:sz w:val="24"/>
        </w:rPr>
        <w:t>q</w:t>
      </w:r>
      <w:r>
        <w:rPr>
          <w:rFonts w:ascii="Times New Roman" w:hAnsi="Times New Roman" w:eastAsia="宋体" w:cs="Times New Roman"/>
          <w:sz w:val="24"/>
        </w:rPr>
        <w:t>——渗流速率，m/d；</w:t>
      </w:r>
    </w:p>
    <w:p w14:paraId="45FBDEDA">
      <w:pPr>
        <w:spacing w:line="360" w:lineRule="auto"/>
        <w:ind w:firstLine="1132" w:firstLineChars="472"/>
        <w:rPr>
          <w:rFonts w:ascii="Times New Roman" w:hAnsi="Times New Roman" w:eastAsia="宋体" w:cs="Times New Roman"/>
          <w:sz w:val="24"/>
        </w:rPr>
      </w:pPr>
      <w:r>
        <w:rPr>
          <w:rFonts w:ascii="Times New Roman" w:hAnsi="Times New Roman" w:eastAsia="宋体" w:cs="Times New Roman"/>
          <w:i/>
          <w:sz w:val="24"/>
        </w:rPr>
        <w:t>z</w:t>
      </w:r>
      <w:r>
        <w:rPr>
          <w:rFonts w:ascii="Times New Roman" w:hAnsi="Times New Roman" w:eastAsia="宋体" w:cs="Times New Roman"/>
          <w:sz w:val="24"/>
        </w:rPr>
        <w:t>——沿</w:t>
      </w:r>
      <w:r>
        <w:rPr>
          <w:rFonts w:ascii="Times New Roman" w:hAnsi="Times New Roman" w:eastAsia="宋体" w:cs="Times New Roman"/>
          <w:i/>
          <w:sz w:val="24"/>
        </w:rPr>
        <w:t>z</w:t>
      </w:r>
      <w:r>
        <w:rPr>
          <w:rFonts w:ascii="Times New Roman" w:hAnsi="Times New Roman" w:eastAsia="宋体" w:cs="Times New Roman"/>
          <w:sz w:val="24"/>
        </w:rPr>
        <w:t>轴的距离，m；</w:t>
      </w:r>
    </w:p>
    <w:p w14:paraId="3ECCC3A0">
      <w:pPr>
        <w:spacing w:line="360" w:lineRule="auto"/>
        <w:ind w:firstLine="1132" w:firstLineChars="472"/>
        <w:rPr>
          <w:rFonts w:ascii="Times New Roman" w:hAnsi="Times New Roman" w:eastAsia="宋体" w:cs="Times New Roman"/>
          <w:sz w:val="24"/>
        </w:rPr>
      </w:pPr>
      <w:r>
        <w:rPr>
          <w:rFonts w:ascii="Times New Roman" w:hAnsi="Times New Roman" w:eastAsia="宋体" w:cs="Times New Roman"/>
          <w:i/>
          <w:sz w:val="24"/>
        </w:rPr>
        <w:t>t</w:t>
      </w:r>
      <w:r>
        <w:rPr>
          <w:rFonts w:ascii="Times New Roman" w:hAnsi="Times New Roman" w:eastAsia="宋体" w:cs="Times New Roman"/>
          <w:sz w:val="24"/>
        </w:rPr>
        <w:t>——时间变量，d；</w:t>
      </w:r>
    </w:p>
    <w:p w14:paraId="1C42C225">
      <w:pPr>
        <w:spacing w:line="360" w:lineRule="auto"/>
        <w:ind w:firstLine="1132" w:firstLineChars="472"/>
        <w:rPr>
          <w:rFonts w:ascii="Times New Roman" w:hAnsi="Times New Roman" w:eastAsia="宋体" w:cs="Times New Roman"/>
          <w:sz w:val="24"/>
        </w:rPr>
      </w:pPr>
      <w:r>
        <w:rPr>
          <w:rFonts w:ascii="Times New Roman" w:hAnsi="Times New Roman" w:eastAsia="宋体" w:cs="Times New Roman"/>
          <w:i/>
          <w:sz w:val="24"/>
        </w:rPr>
        <w:t>θ</w:t>
      </w:r>
      <w:r>
        <w:rPr>
          <w:rFonts w:ascii="Times New Roman" w:hAnsi="Times New Roman" w:eastAsia="宋体" w:cs="Times New Roman"/>
          <w:sz w:val="24"/>
        </w:rPr>
        <w:t>——土壤含水率，%。</w:t>
      </w:r>
    </w:p>
    <w:p w14:paraId="55BBC464">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（2）初始条件</w:t>
      </w:r>
    </w:p>
    <w:p w14:paraId="7B92EF07">
      <w:pPr>
        <w:spacing w:line="360" w:lineRule="auto"/>
        <w:jc w:val="center"/>
        <w:rPr>
          <w:rFonts w:ascii="Times New Roman" w:hAnsi="Times New Roman" w:eastAsia="宋体" w:cs="Times New Roman"/>
          <w:sz w:val="24"/>
        </w:rPr>
      </w:pPr>
      <w:r>
        <w:rPr>
          <w:rFonts w:ascii="Times New Roman" w:hAnsi="Times New Roman" w:eastAsia="宋体" w:cs="Times New Roman"/>
          <w:sz w:val="24"/>
        </w:rPr>
        <w:t>c(z,t)=0    t=0，L≤z&lt;0</w:t>
      </w:r>
    </w:p>
    <w:p w14:paraId="3E7C34E7">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（3）边界条件</w:t>
      </w:r>
    </w:p>
    <w:p w14:paraId="4FD90041">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第一类Dirichlet边界条件，其中E.6适用于连续点源情景，E.7适用于非连续点源情景。</w:t>
      </w:r>
    </w:p>
    <w:p w14:paraId="753BCEAD">
      <w:pPr>
        <w:wordWrap w:val="0"/>
        <w:spacing w:line="360" w:lineRule="auto"/>
        <w:ind w:firstLine="480" w:firstLineChars="200"/>
        <w:jc w:val="right"/>
        <w:rPr>
          <w:rFonts w:ascii="Times New Roman" w:hAnsi="Times New Roman" w:eastAsia="宋体" w:cs="Times New Roman"/>
          <w:sz w:val="24"/>
        </w:rPr>
      </w:pPr>
      <w:r>
        <w:rPr>
          <w:rFonts w:ascii="Times New Roman" w:hAnsi="Times New Roman" w:eastAsia="宋体" w:cs="Times New Roman"/>
          <w:sz w:val="24"/>
        </w:rPr>
        <w:t>c(z,t)=c</w:t>
      </w:r>
      <w:r>
        <w:rPr>
          <w:rFonts w:ascii="Times New Roman" w:hAnsi="Times New Roman" w:eastAsia="宋体" w:cs="Times New Roman"/>
          <w:sz w:val="24"/>
          <w:vertAlign w:val="subscript"/>
        </w:rPr>
        <w:t>o</w:t>
      </w:r>
      <w:r>
        <w:rPr>
          <w:rFonts w:ascii="Times New Roman" w:hAnsi="Times New Roman" w:eastAsia="宋体" w:cs="Times New Roman"/>
          <w:sz w:val="24"/>
        </w:rPr>
        <w:t xml:space="preserve">    t&gt;0，z=0                    (E.6)</w:t>
      </w:r>
    </w:p>
    <w:p w14:paraId="039A0572">
      <w:pPr>
        <w:wordWrap w:val="0"/>
        <w:spacing w:line="360" w:lineRule="auto"/>
        <w:ind w:firstLine="420" w:firstLineChars="200"/>
        <w:jc w:val="right"/>
        <w:rPr>
          <w:rFonts w:ascii="Times New Roman" w:hAnsi="Times New Roman" w:eastAsia="宋体" w:cs="Times New Roman"/>
          <w:sz w:val="24"/>
        </w:rPr>
      </w:pPr>
      <w:r>
        <w:rPr>
          <w:rFonts w:ascii="Times New Roman" w:hAnsi="Times New Roman" w:eastAsia="宋体" w:cs="Times New Roman"/>
          <w:szCs w:val="22"/>
        </w:rPr>
        <w:drawing>
          <wp:inline distT="0" distB="0" distL="114300" distR="114300">
            <wp:extent cx="1981200" cy="571500"/>
            <wp:effectExtent l="0" t="0" r="5080" b="635"/>
            <wp:docPr id="29"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6"/>
                    <pic:cNvPicPr>
                      <a:picLocks noChangeAspect="1"/>
                    </pic:cNvPicPr>
                  </pic:nvPicPr>
                  <pic:blipFill>
                    <a:blip r:embed="rId75"/>
                    <a:stretch>
                      <a:fillRect/>
                    </a:stretch>
                  </pic:blipFill>
                  <pic:spPr>
                    <a:xfrm>
                      <a:off x="0" y="0"/>
                      <a:ext cx="1981200" cy="571500"/>
                    </a:xfrm>
                    <a:prstGeom prst="rect">
                      <a:avLst/>
                    </a:prstGeom>
                    <a:noFill/>
                    <a:ln>
                      <a:noFill/>
                    </a:ln>
                  </pic:spPr>
                </pic:pic>
              </a:graphicData>
            </a:graphic>
          </wp:inline>
        </w:drawing>
      </w:r>
      <w:r>
        <w:rPr>
          <w:rFonts w:ascii="Times New Roman" w:hAnsi="Times New Roman" w:eastAsia="宋体" w:cs="Times New Roman"/>
          <w:sz w:val="24"/>
        </w:rPr>
        <w:t xml:space="preserve">                  (E.7)</w:t>
      </w:r>
    </w:p>
    <w:p w14:paraId="772ED556">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第二类Neumann零梯度边界。</w:t>
      </w:r>
    </w:p>
    <w:p w14:paraId="6D0AEBA6">
      <w:pPr>
        <w:wordWrap w:val="0"/>
        <w:spacing w:line="360" w:lineRule="auto"/>
        <w:ind w:firstLine="420" w:firstLineChars="200"/>
        <w:jc w:val="right"/>
        <w:rPr>
          <w:rFonts w:ascii="Times New Roman" w:hAnsi="Times New Roman" w:eastAsia="宋体" w:cs="Times New Roman"/>
          <w:sz w:val="24"/>
        </w:rPr>
      </w:pPr>
      <w:r>
        <w:rPr>
          <w:rFonts w:ascii="Times New Roman" w:hAnsi="Times New Roman" w:eastAsia="宋体" w:cs="Times New Roman"/>
          <w:szCs w:val="22"/>
        </w:rPr>
        <w:drawing>
          <wp:inline distT="0" distB="0" distL="114300" distR="114300">
            <wp:extent cx="2181225" cy="428625"/>
            <wp:effectExtent l="0" t="0" r="10160" b="3175"/>
            <wp:docPr id="30"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7"/>
                    <pic:cNvPicPr>
                      <a:picLocks noChangeAspect="1"/>
                    </pic:cNvPicPr>
                  </pic:nvPicPr>
                  <pic:blipFill>
                    <a:blip r:embed="rId76"/>
                    <a:stretch>
                      <a:fillRect/>
                    </a:stretch>
                  </pic:blipFill>
                  <pic:spPr>
                    <a:xfrm>
                      <a:off x="0" y="0"/>
                      <a:ext cx="2181225" cy="428625"/>
                    </a:xfrm>
                    <a:prstGeom prst="rect">
                      <a:avLst/>
                    </a:prstGeom>
                    <a:noFill/>
                    <a:ln>
                      <a:noFill/>
                    </a:ln>
                  </pic:spPr>
                </pic:pic>
              </a:graphicData>
            </a:graphic>
          </wp:inline>
        </w:drawing>
      </w:r>
      <w:r>
        <w:rPr>
          <w:rFonts w:ascii="Times New Roman" w:hAnsi="Times New Roman" w:eastAsia="宋体" w:cs="Times New Roman"/>
          <w:sz w:val="24"/>
        </w:rPr>
        <w:t xml:space="preserve">                (E.8)</w:t>
      </w:r>
    </w:p>
    <w:p w14:paraId="3F73E8C3">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3、参数设定</w:t>
      </w:r>
    </w:p>
    <w:p w14:paraId="30B58C28">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预测采用HYDRUS-1D软件进行预测，该软件为美国农业部盐田实验室创建的土壤物理模拟软件，可用于模拟与计算微观和宏观尺度上的饱和及非饱和介质中的水分运动、溶质运移、热量传输及根系吸水的一维运动。</w:t>
      </w:r>
    </w:p>
    <w:p w14:paraId="3A6C14C1">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土壤水分运移模型参数：①HYDRUS-1D软件中对土壤水力特性的描述提供了5种土壤水力模型，本次评价选用目前使用最广泛的van Genuchten-Mualem 模型计算土壤水力特性参数，且不考虑水流运动的滞后现象；②土壤水力参数选取HYDRUS-1D程序数据库中粉质壤土（共提供了12中不同土壤类型的参数）水力参数的经验数值。③选定水分运移动模型上边界为定压水头边界，下边界为自由排水边界。</w:t>
      </w:r>
    </w:p>
    <w:p w14:paraId="380C54A0">
      <w:pPr>
        <w:pStyle w:val="17"/>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土壤溶质运移模型参数：①溶质运移模块种土壤特定参数中土壤容重根据本项目土壤监测报告取值1.</w:t>
      </w:r>
      <w:r>
        <w:rPr>
          <w:rFonts w:hint="eastAsia" w:ascii="Times New Roman" w:hAnsi="Times New Roman" w:eastAsia="宋体" w:cs="Times New Roman"/>
          <w:sz w:val="24"/>
          <w:szCs w:val="24"/>
        </w:rPr>
        <w:t>7</w:t>
      </w:r>
      <w:r>
        <w:rPr>
          <w:rFonts w:ascii="Times New Roman" w:hAnsi="Times New Roman" w:eastAsia="宋体" w:cs="Times New Roman"/>
          <w:sz w:val="24"/>
          <w:szCs w:val="24"/>
        </w:rPr>
        <w:t>g/cm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，其余参数选用HYDRUS-1D 土壤数据库经验数值；②吸附等温线系数取1.2；③选定溶质运移动模型上边界为定浓度边界，下边界为零通量边界。</w:t>
      </w:r>
    </w:p>
    <w:p w14:paraId="7A724128">
      <w:pPr>
        <w:spacing w:line="360" w:lineRule="auto"/>
        <w:ind w:firstLine="480" w:firstLineChars="200"/>
        <w:rPr>
          <w:rFonts w:ascii="Times New Roman" w:hAnsi="Times New Roman" w:eastAsia="宋体" w:cs="Times New Roman"/>
          <w:iCs/>
          <w:color w:val="0000FF"/>
          <w:sz w:val="24"/>
          <w:u w:val="single"/>
        </w:rPr>
      </w:pPr>
      <w:r>
        <w:rPr>
          <w:rFonts w:ascii="Times New Roman" w:hAnsi="Times New Roman" w:eastAsia="宋体" w:cs="Times New Roman"/>
          <w:sz w:val="24"/>
        </w:rPr>
        <w:t>根据工程分析，选取污水处理站</w:t>
      </w:r>
      <w:r>
        <w:rPr>
          <w:rFonts w:hint="eastAsia" w:ascii="Times New Roman" w:hAnsi="Times New Roman" w:eastAsia="宋体" w:cs="Times New Roman"/>
          <w:sz w:val="24"/>
        </w:rPr>
        <w:t>COD、甲苯、二甲苯</w:t>
      </w:r>
      <w:r>
        <w:rPr>
          <w:rFonts w:ascii="Times New Roman" w:hAnsi="Times New Roman" w:eastAsia="宋体" w:cs="Times New Roman"/>
          <w:sz w:val="24"/>
        </w:rPr>
        <w:t>作为预测因子，初始浓度C</w:t>
      </w:r>
      <w:r>
        <w:rPr>
          <w:rFonts w:ascii="Times New Roman" w:hAnsi="Times New Roman" w:eastAsia="宋体" w:cs="Times New Roman"/>
          <w:sz w:val="24"/>
          <w:vertAlign w:val="subscript"/>
        </w:rPr>
        <w:t>0</w:t>
      </w:r>
      <w:r>
        <w:rPr>
          <w:rFonts w:ascii="Times New Roman" w:hAnsi="Times New Roman" w:eastAsia="宋体" w:cs="Times New Roman"/>
          <w:sz w:val="24"/>
        </w:rPr>
        <w:t>设定为</w:t>
      </w:r>
      <w:r>
        <w:rPr>
          <w:rFonts w:hint="eastAsia" w:ascii="Times New Roman" w:hAnsi="Times New Roman" w:eastAsia="宋体" w:cs="Times New Roman"/>
          <w:sz w:val="24"/>
        </w:rPr>
        <w:t>COD976</w:t>
      </w:r>
      <w:r>
        <w:rPr>
          <w:rFonts w:ascii="Times New Roman" w:hAnsi="Times New Roman" w:eastAsia="宋体" w:cs="Times New Roman"/>
          <w:sz w:val="24"/>
        </w:rPr>
        <w:t>mg/L、</w:t>
      </w:r>
      <w:r>
        <w:rPr>
          <w:rFonts w:hint="eastAsia" w:ascii="Times New Roman" w:hAnsi="Times New Roman" w:eastAsia="宋体" w:cs="Times New Roman"/>
          <w:sz w:val="24"/>
        </w:rPr>
        <w:t>甲苯0.0043</w:t>
      </w:r>
      <w:r>
        <w:rPr>
          <w:rFonts w:ascii="Times New Roman" w:hAnsi="Times New Roman" w:eastAsia="宋体" w:cs="Times New Roman"/>
          <w:sz w:val="24"/>
        </w:rPr>
        <w:t>mg/L、</w:t>
      </w:r>
      <w:r>
        <w:rPr>
          <w:rFonts w:hint="eastAsia" w:ascii="Times New Roman" w:hAnsi="Times New Roman" w:eastAsia="宋体" w:cs="Times New Roman"/>
          <w:sz w:val="24"/>
        </w:rPr>
        <w:t>二甲苯0.262</w:t>
      </w:r>
      <w:r>
        <w:rPr>
          <w:rFonts w:ascii="Times New Roman" w:hAnsi="Times New Roman" w:eastAsia="宋体" w:cs="Times New Roman"/>
          <w:sz w:val="24"/>
        </w:rPr>
        <w:t>mg/L。</w:t>
      </w:r>
    </w:p>
    <w:p w14:paraId="2D567D15">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4、预测结果</w:t>
      </w:r>
    </w:p>
    <w:p w14:paraId="625DB0EE">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本次预测时间上分别以100d（T1）、500d（T2）、1000d（T3）为预测时间点，土壤剖面深度设置为</w:t>
      </w:r>
      <w:r>
        <w:rPr>
          <w:rFonts w:hint="eastAsia" w:ascii="Times New Roman" w:hAnsi="Times New Roman" w:eastAsia="宋体" w:cs="Times New Roman"/>
          <w:sz w:val="24"/>
        </w:rPr>
        <w:t>10</w:t>
      </w:r>
      <w:r>
        <w:rPr>
          <w:rFonts w:ascii="Times New Roman" w:hAnsi="Times New Roman" w:eastAsia="宋体" w:cs="Times New Roman"/>
          <w:sz w:val="24"/>
        </w:rPr>
        <w:t>m，预测具体结果见</w:t>
      </w:r>
      <w:r>
        <w:rPr>
          <w:rFonts w:hint="eastAsia" w:ascii="Times New Roman" w:hAnsi="Times New Roman" w:eastAsia="宋体" w:cs="Times New Roman"/>
          <w:sz w:val="24"/>
        </w:rPr>
        <w:t>下</w:t>
      </w:r>
      <w:r>
        <w:rPr>
          <w:rFonts w:ascii="Times New Roman" w:hAnsi="Times New Roman" w:eastAsia="宋体" w:cs="Times New Roman"/>
          <w:sz w:val="24"/>
        </w:rPr>
        <w:t>图。</w:t>
      </w:r>
    </w:p>
    <w:p w14:paraId="251ED117">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w:t>
      </w:r>
      <w:r>
        <w:rPr>
          <w:rFonts w:ascii="Times New Roman" w:hAnsi="Times New Roman" w:eastAsia="宋体" w:cs="Times New Roman"/>
          <w:iCs/>
          <w:sz w:val="24"/>
        </w:rPr>
        <w:t>COD</w:t>
      </w:r>
    </w:p>
    <w:p w14:paraId="2BCE96D4">
      <w:pPr>
        <w:jc w:val="center"/>
      </w:pPr>
      <w:r>
        <w:drawing>
          <wp:inline distT="0" distB="0" distL="114300" distR="114300">
            <wp:extent cx="3914775" cy="2760980"/>
            <wp:effectExtent l="0" t="0" r="9525" b="1270"/>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pic:cNvPicPr>
                      <a:picLocks noChangeAspect="1"/>
                    </pic:cNvPicPr>
                  </pic:nvPicPr>
                  <pic:blipFill>
                    <a:blip r:embed="rId77"/>
                    <a:stretch>
                      <a:fillRect/>
                    </a:stretch>
                  </pic:blipFill>
                  <pic:spPr>
                    <a:xfrm>
                      <a:off x="0" y="0"/>
                      <a:ext cx="3914775" cy="2760980"/>
                    </a:xfrm>
                    <a:prstGeom prst="rect">
                      <a:avLst/>
                    </a:prstGeom>
                    <a:noFill/>
                    <a:ln>
                      <a:noFill/>
                    </a:ln>
                  </pic:spPr>
                </pic:pic>
              </a:graphicData>
            </a:graphic>
          </wp:inline>
        </w:drawing>
      </w:r>
    </w:p>
    <w:p w14:paraId="22627D31">
      <w:pPr>
        <w:jc w:val="center"/>
        <w:rPr>
          <w:rFonts w:ascii="Times New Roman" w:hAnsi="Times New Roman" w:eastAsia="宋体" w:cs="Times New Roman"/>
          <w:b/>
          <w:bCs/>
          <w:szCs w:val="21"/>
        </w:rPr>
      </w:pPr>
      <w:r>
        <w:rPr>
          <w:rFonts w:ascii="Times New Roman" w:hAnsi="Times New Roman" w:eastAsia="宋体" w:cs="Times New Roman"/>
          <w:b/>
          <w:bCs/>
          <w:szCs w:val="21"/>
        </w:rPr>
        <w:t>图5.</w:t>
      </w:r>
      <w:r>
        <w:rPr>
          <w:rFonts w:hint="eastAsia" w:ascii="Times New Roman" w:hAnsi="Times New Roman" w:eastAsia="宋体" w:cs="Times New Roman"/>
          <w:b/>
          <w:bCs/>
          <w:szCs w:val="21"/>
        </w:rPr>
        <w:t>6</w:t>
      </w:r>
      <w:r>
        <w:rPr>
          <w:rFonts w:ascii="Times New Roman" w:hAnsi="Times New Roman" w:eastAsia="宋体" w:cs="Times New Roman"/>
          <w:b/>
          <w:bCs/>
          <w:szCs w:val="21"/>
        </w:rPr>
        <w:t>-</w:t>
      </w:r>
      <w:r>
        <w:rPr>
          <w:rFonts w:hint="eastAsia" w:ascii="Times New Roman" w:hAnsi="Times New Roman" w:eastAsia="宋体" w:cs="Times New Roman"/>
          <w:b/>
          <w:bCs/>
          <w:szCs w:val="21"/>
        </w:rPr>
        <w:t>1</w:t>
      </w:r>
      <w:r>
        <w:rPr>
          <w:rFonts w:ascii="Times New Roman" w:hAnsi="Times New Roman" w:eastAsia="宋体" w:cs="Times New Roman"/>
          <w:b/>
          <w:bCs/>
          <w:szCs w:val="21"/>
        </w:rPr>
        <w:t xml:space="preserve"> 渗漏100d、500d、1000d时COD</w:t>
      </w:r>
      <w:r>
        <w:rPr>
          <w:rFonts w:ascii="Times New Roman" w:hAnsi="Times New Roman" w:eastAsia="宋体" w:cs="Times New Roman"/>
          <w:b/>
          <w:bCs/>
          <w:szCs w:val="21"/>
          <w:vertAlign w:val="subscript"/>
        </w:rPr>
        <w:t>Cr</w:t>
      </w:r>
      <w:r>
        <w:rPr>
          <w:rFonts w:ascii="Times New Roman" w:hAnsi="Times New Roman" w:eastAsia="宋体" w:cs="Times New Roman"/>
          <w:b/>
          <w:bCs/>
          <w:szCs w:val="21"/>
        </w:rPr>
        <w:t>浓度与垂向深度变化曲线图</w:t>
      </w:r>
    </w:p>
    <w:p w14:paraId="72AE0B8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cs="Times New Roman"/>
          <w:sz w:val="24"/>
        </w:rPr>
        <w:t>2</w:t>
      </w:r>
      <w:r>
        <w:rPr>
          <w:rFonts w:ascii="Times New Roman" w:hAnsi="Times New Roman" w:eastAsia="宋体" w:cs="Times New Roman"/>
          <w:sz w:val="24"/>
        </w:rPr>
        <w:t>）</w:t>
      </w:r>
      <w:r>
        <w:rPr>
          <w:rFonts w:hint="eastAsia" w:cs="Times New Roman"/>
          <w:sz w:val="24"/>
        </w:rPr>
        <w:t>甲苯</w:t>
      </w:r>
    </w:p>
    <w:p w14:paraId="41F12B51">
      <w:pPr>
        <w:spacing w:line="360" w:lineRule="auto"/>
        <w:ind w:firstLine="420" w:firstLineChars="200"/>
        <w:jc w:val="center"/>
      </w:pPr>
      <w:r>
        <w:drawing>
          <wp:inline distT="0" distB="0" distL="114300" distR="114300">
            <wp:extent cx="3505200" cy="2552700"/>
            <wp:effectExtent l="0" t="0" r="0" b="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78"/>
                    <a:stretch>
                      <a:fillRect/>
                    </a:stretch>
                  </pic:blipFill>
                  <pic:spPr>
                    <a:xfrm>
                      <a:off x="0" y="0"/>
                      <a:ext cx="3505200" cy="2552700"/>
                    </a:xfrm>
                    <a:prstGeom prst="rect">
                      <a:avLst/>
                    </a:prstGeom>
                    <a:noFill/>
                    <a:ln>
                      <a:noFill/>
                    </a:ln>
                  </pic:spPr>
                </pic:pic>
              </a:graphicData>
            </a:graphic>
          </wp:inline>
        </w:drawing>
      </w:r>
    </w:p>
    <w:p w14:paraId="62567C20">
      <w:pPr>
        <w:jc w:val="center"/>
        <w:rPr>
          <w:rFonts w:ascii="Times New Roman" w:hAnsi="Times New Roman" w:eastAsia="宋体" w:cs="Times New Roman"/>
          <w:b/>
          <w:bCs/>
          <w:szCs w:val="21"/>
        </w:rPr>
      </w:pPr>
      <w:r>
        <w:rPr>
          <w:rFonts w:ascii="Times New Roman" w:hAnsi="Times New Roman" w:eastAsia="宋体" w:cs="Times New Roman"/>
          <w:b/>
          <w:bCs/>
          <w:szCs w:val="21"/>
        </w:rPr>
        <w:t>图5.</w:t>
      </w:r>
      <w:r>
        <w:rPr>
          <w:rFonts w:hint="eastAsia" w:ascii="Times New Roman" w:hAnsi="Times New Roman" w:eastAsia="宋体" w:cs="Times New Roman"/>
          <w:b/>
          <w:bCs/>
          <w:szCs w:val="21"/>
        </w:rPr>
        <w:t>6</w:t>
      </w:r>
      <w:r>
        <w:rPr>
          <w:rFonts w:ascii="Times New Roman" w:hAnsi="Times New Roman" w:eastAsia="宋体" w:cs="Times New Roman"/>
          <w:b/>
          <w:bCs/>
          <w:szCs w:val="21"/>
        </w:rPr>
        <w:t>-</w:t>
      </w:r>
      <w:r>
        <w:rPr>
          <w:rFonts w:hint="eastAsia" w:ascii="Times New Roman" w:hAnsi="Times New Roman" w:eastAsia="宋体" w:cs="Times New Roman"/>
          <w:b/>
          <w:bCs/>
          <w:szCs w:val="21"/>
        </w:rPr>
        <w:t>2</w:t>
      </w:r>
      <w:r>
        <w:rPr>
          <w:rFonts w:ascii="Times New Roman" w:hAnsi="Times New Roman" w:eastAsia="宋体" w:cs="Times New Roman"/>
          <w:b/>
          <w:bCs/>
          <w:szCs w:val="21"/>
        </w:rPr>
        <w:t xml:space="preserve"> 渗漏100d、500d、1000d时</w:t>
      </w:r>
      <w:r>
        <w:rPr>
          <w:rFonts w:hint="eastAsia" w:ascii="Times New Roman" w:hAnsi="Times New Roman" w:eastAsia="宋体" w:cs="Times New Roman"/>
          <w:b/>
          <w:bCs/>
          <w:szCs w:val="21"/>
        </w:rPr>
        <w:t>甲苯</w:t>
      </w:r>
      <w:r>
        <w:rPr>
          <w:rFonts w:ascii="Times New Roman" w:hAnsi="Times New Roman" w:eastAsia="宋体" w:cs="Times New Roman"/>
          <w:b/>
          <w:bCs/>
          <w:szCs w:val="21"/>
        </w:rPr>
        <w:t>浓度与垂向深度变化曲线图</w:t>
      </w:r>
    </w:p>
    <w:p w14:paraId="69A0ADF7">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cs="Times New Roman"/>
          <w:sz w:val="24"/>
        </w:rPr>
        <w:t>3</w:t>
      </w:r>
      <w:r>
        <w:rPr>
          <w:rFonts w:ascii="Times New Roman" w:hAnsi="Times New Roman" w:eastAsia="宋体" w:cs="Times New Roman"/>
          <w:sz w:val="24"/>
        </w:rPr>
        <w:t>）</w:t>
      </w:r>
      <w:r>
        <w:rPr>
          <w:rFonts w:hint="eastAsia" w:cs="Times New Roman"/>
          <w:sz w:val="24"/>
        </w:rPr>
        <w:t>二甲苯</w:t>
      </w:r>
    </w:p>
    <w:p w14:paraId="700C7D86">
      <w:pPr>
        <w:spacing w:line="360" w:lineRule="auto"/>
        <w:ind w:firstLine="420" w:firstLineChars="200"/>
        <w:jc w:val="center"/>
        <w:rPr>
          <w:rFonts w:ascii="Times New Roman" w:hAnsi="Times New Roman" w:eastAsia="宋体" w:cs="Times New Roman"/>
          <w:color w:val="0000FF"/>
          <w:sz w:val="24"/>
          <w:u w:val="single"/>
        </w:rPr>
      </w:pPr>
      <w:r>
        <w:drawing>
          <wp:inline distT="0" distB="0" distL="114300" distR="114300">
            <wp:extent cx="3552825" cy="2438400"/>
            <wp:effectExtent l="0" t="0" r="9525"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pic:cNvPicPr>
                  </pic:nvPicPr>
                  <pic:blipFill>
                    <a:blip r:embed="rId79"/>
                    <a:stretch>
                      <a:fillRect/>
                    </a:stretch>
                  </pic:blipFill>
                  <pic:spPr>
                    <a:xfrm>
                      <a:off x="0" y="0"/>
                      <a:ext cx="3552825" cy="2438400"/>
                    </a:xfrm>
                    <a:prstGeom prst="rect">
                      <a:avLst/>
                    </a:prstGeom>
                    <a:noFill/>
                    <a:ln>
                      <a:noFill/>
                    </a:ln>
                  </pic:spPr>
                </pic:pic>
              </a:graphicData>
            </a:graphic>
          </wp:inline>
        </w:drawing>
      </w:r>
    </w:p>
    <w:bookmarkEnd w:id="270"/>
    <w:bookmarkEnd w:id="271"/>
    <w:p w14:paraId="61590602">
      <w:pPr>
        <w:jc w:val="center"/>
        <w:rPr>
          <w:rFonts w:ascii="Times New Roman" w:hAnsi="Times New Roman" w:eastAsia="宋体" w:cs="Times New Roman"/>
          <w:b/>
          <w:bCs/>
          <w:szCs w:val="21"/>
        </w:rPr>
      </w:pPr>
      <w:r>
        <w:rPr>
          <w:rFonts w:ascii="Times New Roman" w:hAnsi="Times New Roman" w:eastAsia="宋体" w:cs="Times New Roman"/>
          <w:b/>
          <w:bCs/>
          <w:szCs w:val="21"/>
        </w:rPr>
        <w:t>图5.</w:t>
      </w:r>
      <w:r>
        <w:rPr>
          <w:rFonts w:hint="eastAsia" w:ascii="Times New Roman" w:hAnsi="Times New Roman" w:eastAsia="宋体" w:cs="Times New Roman"/>
          <w:b/>
          <w:bCs/>
          <w:szCs w:val="21"/>
        </w:rPr>
        <w:t>6</w:t>
      </w:r>
      <w:r>
        <w:rPr>
          <w:rFonts w:ascii="Times New Roman" w:hAnsi="Times New Roman" w:eastAsia="宋体" w:cs="Times New Roman"/>
          <w:b/>
          <w:bCs/>
          <w:szCs w:val="21"/>
        </w:rPr>
        <w:t>-</w:t>
      </w:r>
      <w:r>
        <w:rPr>
          <w:rFonts w:hint="eastAsia" w:ascii="Times New Roman" w:hAnsi="Times New Roman" w:eastAsia="宋体" w:cs="Times New Roman"/>
          <w:b/>
          <w:bCs/>
          <w:szCs w:val="21"/>
        </w:rPr>
        <w:t>3</w:t>
      </w:r>
      <w:r>
        <w:rPr>
          <w:rFonts w:ascii="Times New Roman" w:hAnsi="Times New Roman" w:eastAsia="宋体" w:cs="Times New Roman"/>
          <w:b/>
          <w:bCs/>
          <w:szCs w:val="21"/>
        </w:rPr>
        <w:t xml:space="preserve"> 渗漏100d、500d、1000d时</w:t>
      </w:r>
      <w:r>
        <w:rPr>
          <w:rFonts w:hint="eastAsia" w:ascii="Times New Roman" w:hAnsi="Times New Roman" w:eastAsia="宋体" w:cs="Times New Roman"/>
          <w:b/>
          <w:bCs/>
          <w:szCs w:val="21"/>
        </w:rPr>
        <w:t>二甲苯</w:t>
      </w:r>
      <w:r>
        <w:rPr>
          <w:rFonts w:ascii="Times New Roman" w:hAnsi="Times New Roman" w:eastAsia="宋体" w:cs="Times New Roman"/>
          <w:b/>
          <w:bCs/>
          <w:szCs w:val="21"/>
        </w:rPr>
        <w:t>浓度与垂向深度变化曲线图</w:t>
      </w:r>
    </w:p>
    <w:p w14:paraId="58B20DC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综上所述，事故状态下，污水处理站污染因子局部土壤环境受到影响，因此建议在污水处理系统周边设置土壤柱状样常规监测点，定时取样观测污水处理系统周边土壤环境质量，以杜绝出现污水处理系统防渗层破坏后出现的长时间泄漏情景，做到早发现、早反应。</w:t>
      </w:r>
    </w:p>
    <w:p w14:paraId="5BE160BC">
      <w:pPr>
        <w:keepNext/>
        <w:keepLines/>
        <w:numPr>
          <w:ilvl w:val="2"/>
          <w:numId w:val="69"/>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废气排放对周边土壤环境的累积影响预测</w:t>
      </w:r>
    </w:p>
    <w:p w14:paraId="1AE417CA">
      <w:pPr>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sz w:val="24"/>
        </w:rPr>
        <w:t>本项目排放的废气污染物有</w:t>
      </w:r>
      <w:r>
        <w:rPr>
          <w:rFonts w:ascii="Times New Roman" w:hAnsi="Times New Roman" w:eastAsia="宋体" w:cs="Times New Roman"/>
          <w:kern w:val="0"/>
          <w:sz w:val="24"/>
        </w:rPr>
        <w:t>颗粒物、</w:t>
      </w:r>
      <w:r>
        <w:rPr>
          <w:rFonts w:hint="eastAsia" w:ascii="Times New Roman" w:hAnsi="Times New Roman" w:eastAsia="宋体" w:cs="Times New Roman"/>
          <w:kern w:val="0"/>
          <w:sz w:val="24"/>
        </w:rPr>
        <w:t>甲苯、二甲苯、非甲烷总烃</w:t>
      </w:r>
      <w:r>
        <w:rPr>
          <w:rFonts w:ascii="Times New Roman" w:hAnsi="Times New Roman" w:eastAsia="宋体" w:cs="Times New Roman"/>
          <w:kern w:val="0"/>
          <w:sz w:val="24"/>
        </w:rPr>
        <w:t>，污染物随排放废气进入环境空气中，主要通过干湿沉降影响土壤环境，其中干沉降是指在重力作用或与其它物体碰撞后发生的沉降，湿沉降是由于雨、雪等降水冲刷空气中的污染物产生的沉降。污染物最后沉降在周围的土壤从而进入土壤环境，有可能对土壤环境中的物质含量产生影响。</w:t>
      </w:r>
    </w:p>
    <w:p w14:paraId="18F6A10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kern w:val="0"/>
          <w:sz w:val="24"/>
        </w:rPr>
        <w:t>项目年工作</w:t>
      </w:r>
      <w:r>
        <w:rPr>
          <w:rFonts w:hint="eastAsia" w:ascii="Times New Roman" w:hAnsi="Times New Roman" w:eastAsia="宋体" w:cs="Times New Roman"/>
          <w:kern w:val="0"/>
          <w:sz w:val="24"/>
        </w:rPr>
        <w:t>2400</w:t>
      </w:r>
      <w:r>
        <w:rPr>
          <w:rFonts w:ascii="Times New Roman" w:hAnsi="Times New Roman" w:eastAsia="宋体" w:cs="Times New Roman"/>
          <w:kern w:val="0"/>
          <w:sz w:val="24"/>
        </w:rPr>
        <w:t>h，废气</w:t>
      </w:r>
      <w:r>
        <w:rPr>
          <w:rFonts w:hint="eastAsia" w:ascii="Times New Roman" w:hAnsi="Times New Roman" w:eastAsia="宋体" w:cs="Times New Roman"/>
          <w:kern w:val="0"/>
          <w:sz w:val="24"/>
        </w:rPr>
        <w:t>8</w:t>
      </w:r>
      <w:r>
        <w:rPr>
          <w:rFonts w:ascii="Times New Roman" w:hAnsi="Times New Roman" w:eastAsia="宋体" w:cs="Times New Roman"/>
          <w:kern w:val="0"/>
          <w:sz w:val="24"/>
        </w:rPr>
        <w:t>小时连续式排放，受大气沉降影响，其会持续对影响区域内的土壤环境造成影响。大气污染物长期积累可能使局部土壤环境质量逐步受到污染的影响。</w:t>
      </w:r>
      <w:r>
        <w:rPr>
          <w:rFonts w:ascii="Times New Roman" w:hAnsi="Times New Roman" w:eastAsia="宋体" w:cs="Times New Roman"/>
          <w:color w:val="000000"/>
          <w:kern w:val="0"/>
          <w:sz w:val="24"/>
        </w:rPr>
        <w:t>本次评价选取废气排放的</w:t>
      </w:r>
      <w:r>
        <w:rPr>
          <w:rFonts w:hint="eastAsia" w:ascii="Times New Roman" w:hAnsi="Times New Roman" w:eastAsia="宋体" w:cs="Times New Roman"/>
          <w:color w:val="000000"/>
          <w:kern w:val="0"/>
          <w:sz w:val="24"/>
          <w:lang w:val="en-US" w:eastAsia="zh-CN"/>
        </w:rPr>
        <w:t>苯、</w:t>
      </w:r>
      <w:r>
        <w:rPr>
          <w:rFonts w:hint="eastAsia" w:ascii="Times New Roman" w:hAnsi="Times New Roman" w:eastAsia="宋体" w:cs="Times New Roman"/>
          <w:color w:val="000000"/>
          <w:kern w:val="0"/>
          <w:sz w:val="24"/>
        </w:rPr>
        <w:t>甲苯、二甲苯、</w:t>
      </w:r>
      <w:r>
        <w:rPr>
          <w:rFonts w:ascii="Times New Roman" w:hAnsi="Times New Roman" w:eastAsia="宋体" w:cs="Times New Roman"/>
          <w:color w:val="000000"/>
          <w:kern w:val="0"/>
          <w:sz w:val="24"/>
        </w:rPr>
        <w:t>非甲烷总烃NMHC（特征因子：石油烃C</w:t>
      </w:r>
      <w:r>
        <w:rPr>
          <w:rFonts w:ascii="Times New Roman" w:hAnsi="Times New Roman" w:eastAsia="宋体" w:cs="Times New Roman"/>
          <w:color w:val="000000"/>
          <w:kern w:val="0"/>
          <w:sz w:val="24"/>
          <w:vertAlign w:val="subscript"/>
        </w:rPr>
        <w:t>10</w:t>
      </w:r>
      <w:r>
        <w:rPr>
          <w:rFonts w:ascii="Times New Roman" w:hAnsi="Times New Roman" w:eastAsia="宋体" w:cs="Times New Roman"/>
          <w:color w:val="000000"/>
          <w:kern w:val="0"/>
          <w:sz w:val="24"/>
        </w:rPr>
        <w:t>~C</w:t>
      </w:r>
      <w:r>
        <w:rPr>
          <w:rFonts w:ascii="Times New Roman" w:hAnsi="Times New Roman" w:eastAsia="宋体" w:cs="Times New Roman"/>
          <w:color w:val="000000"/>
          <w:kern w:val="0"/>
          <w:sz w:val="24"/>
          <w:vertAlign w:val="subscript"/>
        </w:rPr>
        <w:t>40</w:t>
      </w:r>
      <w:r>
        <w:rPr>
          <w:rFonts w:ascii="Times New Roman" w:hAnsi="Times New Roman" w:eastAsia="宋体" w:cs="Times New Roman"/>
          <w:color w:val="000000"/>
          <w:kern w:val="0"/>
          <w:sz w:val="24"/>
        </w:rPr>
        <w:t>）</w:t>
      </w:r>
      <w:r>
        <w:rPr>
          <w:rFonts w:ascii="Times New Roman" w:hAnsi="Times New Roman" w:eastAsia="宋体" w:cs="Times New Roman"/>
          <w:kern w:val="0"/>
          <w:sz w:val="24"/>
        </w:rPr>
        <w:t>，预测其通过多年沉降后对区域土壤环境质量的影响。</w:t>
      </w:r>
    </w:p>
    <w:p w14:paraId="6132F49E">
      <w:pPr>
        <w:autoSpaceDE w:val="0"/>
        <w:autoSpaceDN w:val="0"/>
        <w:adjustRightInd w:val="0"/>
        <w:spacing w:line="360" w:lineRule="auto"/>
        <w:ind w:firstLine="482" w:firstLineChars="200"/>
        <w:rPr>
          <w:rFonts w:ascii="Times New Roman" w:hAnsi="Times New Roman" w:eastAsia="宋体" w:cs="Times New Roman"/>
          <w:b/>
          <w:bCs/>
          <w:sz w:val="24"/>
          <w:highlight w:val="none"/>
          <w:u w:val="single"/>
        </w:rPr>
      </w:pPr>
      <w:r>
        <w:rPr>
          <w:rFonts w:ascii="Times New Roman" w:hAnsi="Times New Roman" w:eastAsia="宋体" w:cs="Times New Roman"/>
          <w:b/>
          <w:bCs/>
          <w:sz w:val="24"/>
          <w:highlight w:val="none"/>
          <w:u w:val="single"/>
        </w:rPr>
        <w:t>（1）预测方法</w:t>
      </w:r>
    </w:p>
    <w:p w14:paraId="039E702E">
      <w:pPr>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根据《环境影响评价技术导则 土壤（试行）》（HJ964-2018）附录E土壤环境影响预测方法。</w:t>
      </w:r>
    </w:p>
    <w:p w14:paraId="19624D2B">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1）单位质量土壤中某种物质的增量可用下式计算</w:t>
      </w:r>
    </w:p>
    <w:p w14:paraId="111A84D7">
      <w:pPr>
        <w:snapToGrid w:val="0"/>
        <w:spacing w:line="360" w:lineRule="auto"/>
        <w:ind w:firstLine="482" w:firstLineChars="200"/>
        <w:jc w:val="center"/>
        <w:rPr>
          <w:rFonts w:ascii="Times New Roman" w:hAnsi="Times New Roman" w:eastAsia="宋体" w:cs="Times New Roman"/>
          <w:b/>
          <w:bCs/>
          <w:sz w:val="24"/>
          <w:u w:val="single"/>
        </w:rPr>
      </w:pPr>
      <w:r>
        <w:rPr>
          <w:rFonts w:ascii="Times New Roman" w:hAnsi="Times New Roman" w:eastAsia="宋体" w:cs="Times New Roman"/>
          <w:b/>
          <w:bCs/>
          <w:sz w:val="24"/>
          <w:u w:val="single"/>
        </w:rPr>
        <w:t>△S=n(Is-Ls-Rs)/(ρ</w:t>
      </w:r>
      <w:r>
        <w:rPr>
          <w:rFonts w:ascii="Times New Roman" w:hAnsi="Times New Roman" w:eastAsia="宋体" w:cs="Times New Roman"/>
          <w:b/>
          <w:bCs/>
          <w:sz w:val="24"/>
          <w:u w:val="single"/>
          <w:vertAlign w:val="subscript"/>
        </w:rPr>
        <w:t>b</w:t>
      </w:r>
      <w:r>
        <w:rPr>
          <w:rFonts w:ascii="Times New Roman" w:hAnsi="Times New Roman" w:eastAsia="宋体" w:cs="Times New Roman"/>
          <w:b/>
          <w:bCs/>
          <w:sz w:val="24"/>
          <w:u w:val="single"/>
        </w:rPr>
        <w:t>×A×D)</w:t>
      </w:r>
    </w:p>
    <w:p w14:paraId="5CFD6865">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式中：△S——单位质量表层土壤中某种物质的增量，g/kg；</w:t>
      </w:r>
    </w:p>
    <w:p w14:paraId="5BBBEBB9">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Is——预测评级范围内单位年份表层土壤中某种物质的输入量，g；</w:t>
      </w:r>
    </w:p>
    <w:p w14:paraId="34F97B93">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Ls——预测评价范围内单位年份表层土壤中某种物质经淋溶排出的量，g，大气沉降影响不考虑（Ls=0）；</w:t>
      </w:r>
    </w:p>
    <w:p w14:paraId="13C782A3">
      <w:pPr>
        <w:autoSpaceDE w:val="0"/>
        <w:autoSpaceDN w:val="0"/>
        <w:adjustRightInd w:val="0"/>
        <w:spacing w:line="360" w:lineRule="auto"/>
        <w:ind w:firstLine="482" w:firstLineChars="200"/>
        <w:rPr>
          <w:rFonts w:hint="eastAsia" w:ascii="Times New Roman" w:hAnsi="Times New Roman" w:eastAsia="宋体" w:cs="Times New Roman"/>
          <w:b/>
          <w:bCs/>
          <w:sz w:val="24"/>
          <w:u w:val="single"/>
          <w:lang w:eastAsia="zh-CN"/>
        </w:rPr>
      </w:pPr>
      <w:r>
        <w:rPr>
          <w:rFonts w:ascii="Times New Roman" w:hAnsi="Times New Roman" w:eastAsia="宋体" w:cs="Times New Roman"/>
          <w:b/>
          <w:bCs/>
          <w:sz w:val="24"/>
          <w:u w:val="single"/>
        </w:rPr>
        <w:t>Rs——预测评价范围内单位年份表层土壤中某种物质经径流排出的量，g，大气沉降影响不考虑（Rs=0）</w:t>
      </w:r>
      <w:r>
        <w:rPr>
          <w:rFonts w:hint="eastAsia" w:ascii="Times New Roman" w:hAnsi="Times New Roman" w:eastAsia="宋体" w:cs="Times New Roman"/>
          <w:b/>
          <w:bCs/>
          <w:sz w:val="24"/>
          <w:u w:val="single"/>
          <w:lang w:eastAsia="zh-CN"/>
        </w:rPr>
        <w:t>；</w:t>
      </w:r>
    </w:p>
    <w:p w14:paraId="11359C22">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ρ</w:t>
      </w:r>
      <w:r>
        <w:rPr>
          <w:rFonts w:ascii="Times New Roman" w:hAnsi="Times New Roman" w:eastAsia="宋体" w:cs="Times New Roman"/>
          <w:b/>
          <w:bCs/>
          <w:sz w:val="24"/>
          <w:u w:val="single"/>
          <w:vertAlign w:val="subscript"/>
        </w:rPr>
        <w:t>b</w:t>
      </w:r>
      <w:r>
        <w:rPr>
          <w:rFonts w:ascii="Times New Roman" w:hAnsi="Times New Roman" w:eastAsia="宋体" w:cs="Times New Roman"/>
          <w:b/>
          <w:bCs/>
          <w:sz w:val="24"/>
          <w:u w:val="single"/>
        </w:rPr>
        <w:t>——表层土壤容重，kg/m</w:t>
      </w:r>
      <w:r>
        <w:rPr>
          <w:rFonts w:ascii="Times New Roman" w:hAnsi="Times New Roman" w:eastAsia="宋体" w:cs="Times New Roman"/>
          <w:b/>
          <w:bCs/>
          <w:sz w:val="24"/>
          <w:u w:val="single"/>
          <w:vertAlign w:val="superscript"/>
        </w:rPr>
        <w:t>3</w:t>
      </w:r>
      <w:r>
        <w:rPr>
          <w:rFonts w:ascii="Times New Roman" w:hAnsi="Times New Roman" w:eastAsia="宋体" w:cs="Times New Roman"/>
          <w:b/>
          <w:bCs/>
          <w:sz w:val="24"/>
          <w:u w:val="single"/>
        </w:rPr>
        <w:t>；本项目取</w:t>
      </w:r>
      <w:r>
        <w:rPr>
          <w:rFonts w:hint="eastAsia" w:ascii="Times New Roman" w:hAnsi="Times New Roman" w:eastAsia="宋体" w:cs="Times New Roman"/>
          <w:b/>
          <w:bCs/>
          <w:sz w:val="24"/>
          <w:u w:val="single"/>
        </w:rPr>
        <w:t>1700</w:t>
      </w:r>
      <w:r>
        <w:rPr>
          <w:rFonts w:ascii="Times New Roman" w:hAnsi="Times New Roman" w:eastAsia="宋体" w:cs="Times New Roman"/>
          <w:b/>
          <w:bCs/>
          <w:sz w:val="24"/>
          <w:u w:val="single"/>
        </w:rPr>
        <w:t>kg/m</w:t>
      </w:r>
      <w:r>
        <w:rPr>
          <w:rFonts w:ascii="Times New Roman" w:hAnsi="Times New Roman" w:eastAsia="宋体" w:cs="Times New Roman"/>
          <w:b/>
          <w:bCs/>
          <w:sz w:val="24"/>
          <w:u w:val="single"/>
          <w:vertAlign w:val="superscript"/>
        </w:rPr>
        <w:t>3</w:t>
      </w:r>
      <w:r>
        <w:rPr>
          <w:rFonts w:hint="eastAsia" w:ascii="Times New Roman" w:hAnsi="Times New Roman" w:eastAsia="宋体" w:cs="Times New Roman"/>
          <w:b/>
          <w:bCs/>
          <w:sz w:val="24"/>
          <w:u w:val="single"/>
        </w:rPr>
        <w:t>（最大值）</w:t>
      </w:r>
    </w:p>
    <w:p w14:paraId="1A2ADDBA">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A——预测评价范围，</w:t>
      </w:r>
      <w:r>
        <w:rPr>
          <w:rFonts w:hint="eastAsia" w:ascii="Times New Roman" w:hAnsi="Times New Roman" w:eastAsia="宋体" w:cs="Times New Roman"/>
          <w:b/>
          <w:bCs/>
          <w:sz w:val="24"/>
          <w:u w:val="single"/>
          <w:lang w:val="en-US" w:eastAsia="zh-CN"/>
        </w:rPr>
        <w:t>255875</w:t>
      </w:r>
      <w:r>
        <w:rPr>
          <w:rFonts w:ascii="Times New Roman" w:hAnsi="Times New Roman" w:eastAsia="宋体" w:cs="Times New Roman"/>
          <w:b/>
          <w:bCs/>
          <w:sz w:val="24"/>
          <w:u w:val="single"/>
        </w:rPr>
        <w:t>m</w:t>
      </w:r>
      <w:r>
        <w:rPr>
          <w:rFonts w:ascii="Times New Roman" w:hAnsi="Times New Roman" w:eastAsia="宋体" w:cs="Times New Roman"/>
          <w:b/>
          <w:bCs/>
          <w:sz w:val="24"/>
          <w:u w:val="single"/>
          <w:vertAlign w:val="superscript"/>
        </w:rPr>
        <w:t>2</w:t>
      </w:r>
      <w:r>
        <w:rPr>
          <w:rFonts w:ascii="Times New Roman" w:hAnsi="Times New Roman" w:eastAsia="宋体" w:cs="Times New Roman"/>
          <w:b/>
          <w:bCs/>
          <w:sz w:val="24"/>
          <w:u w:val="single"/>
        </w:rPr>
        <w:t>；D——表层土壤深度，取0.2m；</w:t>
      </w:r>
    </w:p>
    <w:p w14:paraId="12C5B402">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n——持续年份，a，取10、20、30。</w:t>
      </w:r>
    </w:p>
    <w:p w14:paraId="2AD63ACC">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2）单位质量土壤中某种物质的预测值计算公式：</w:t>
      </w:r>
    </w:p>
    <w:p w14:paraId="3C0A433F">
      <w:pPr>
        <w:autoSpaceDE w:val="0"/>
        <w:autoSpaceDN w:val="0"/>
        <w:adjustRightInd w:val="0"/>
        <w:spacing w:line="360" w:lineRule="auto"/>
        <w:ind w:firstLine="482" w:firstLineChars="200"/>
        <w:jc w:val="center"/>
        <w:rPr>
          <w:rFonts w:ascii="Times New Roman" w:hAnsi="Times New Roman" w:eastAsia="宋体" w:cs="Times New Roman"/>
          <w:b/>
          <w:bCs/>
          <w:sz w:val="24"/>
          <w:u w:val="single"/>
        </w:rPr>
      </w:pPr>
      <w:r>
        <w:rPr>
          <w:rFonts w:ascii="Times New Roman" w:hAnsi="Times New Roman" w:eastAsia="宋体" w:cs="Times New Roman"/>
          <w:b/>
          <w:bCs/>
          <w:sz w:val="24"/>
          <w:u w:val="single"/>
        </w:rPr>
        <w:t>S=S</w:t>
      </w:r>
      <w:r>
        <w:rPr>
          <w:rFonts w:ascii="Times New Roman" w:hAnsi="Times New Roman" w:eastAsia="宋体" w:cs="Times New Roman"/>
          <w:b/>
          <w:bCs/>
          <w:sz w:val="24"/>
          <w:u w:val="single"/>
          <w:vertAlign w:val="subscript"/>
        </w:rPr>
        <w:t>b</w:t>
      </w:r>
      <w:r>
        <w:rPr>
          <w:rFonts w:ascii="Times New Roman" w:hAnsi="Times New Roman" w:eastAsia="宋体" w:cs="Times New Roman"/>
          <w:b/>
          <w:bCs/>
          <w:sz w:val="24"/>
          <w:u w:val="single"/>
        </w:rPr>
        <w:t>+△S</w:t>
      </w:r>
    </w:p>
    <w:p w14:paraId="30BE580D">
      <w:pPr>
        <w:autoSpaceDE w:val="0"/>
        <w:autoSpaceDN w:val="0"/>
        <w:adjustRightInd w:val="0"/>
        <w:spacing w:line="360" w:lineRule="auto"/>
        <w:ind w:firstLine="482" w:firstLineChars="200"/>
        <w:jc w:val="left"/>
        <w:rPr>
          <w:rFonts w:ascii="Times New Roman" w:hAnsi="Times New Roman" w:eastAsia="宋体" w:cs="Times New Roman"/>
          <w:b/>
          <w:bCs/>
          <w:kern w:val="0"/>
          <w:sz w:val="24"/>
          <w:u w:val="single"/>
        </w:rPr>
      </w:pPr>
      <w:r>
        <w:rPr>
          <w:rFonts w:ascii="Times New Roman" w:hAnsi="Times New Roman" w:eastAsia="宋体" w:cs="Times New Roman"/>
          <w:b/>
          <w:bCs/>
          <w:kern w:val="0"/>
          <w:sz w:val="24"/>
          <w:u w:val="single"/>
        </w:rPr>
        <w:t>式中：S——单位质量表层土壤中某种物质的预测值，mg/kg；</w:t>
      </w:r>
    </w:p>
    <w:p w14:paraId="279E09A2">
      <w:pPr>
        <w:snapToGrid w:val="0"/>
        <w:spacing w:line="360" w:lineRule="auto"/>
        <w:ind w:firstLine="482" w:firstLineChars="200"/>
        <w:rPr>
          <w:rFonts w:ascii="Times New Roman" w:hAnsi="Times New Roman" w:eastAsia="宋体" w:cs="Times New Roman"/>
          <w:b/>
          <w:bCs/>
          <w:kern w:val="0"/>
          <w:sz w:val="24"/>
          <w:highlight w:val="yellow"/>
          <w:u w:val="single"/>
        </w:rPr>
      </w:pPr>
      <w:r>
        <w:rPr>
          <w:rFonts w:ascii="Times New Roman" w:hAnsi="Times New Roman" w:eastAsia="宋体" w:cs="Times New Roman"/>
          <w:b/>
          <w:bCs/>
          <w:kern w:val="0"/>
          <w:sz w:val="24"/>
          <w:u w:val="single"/>
        </w:rPr>
        <w:t>Sb——单位质量表层土壤中某种物质的现状值，mg/kg；由于区域土壤背景值可较长时间维持一定值，变化缓慢，故本次区域土壤背景值</w:t>
      </w:r>
      <w:r>
        <w:rPr>
          <w:rFonts w:hint="eastAsia" w:ascii="Times New Roman" w:hAnsi="Times New Roman" w:eastAsia="宋体" w:cs="Times New Roman"/>
          <w:b/>
          <w:bCs/>
          <w:kern w:val="0"/>
          <w:sz w:val="24"/>
          <w:u w:val="single"/>
        </w:rPr>
        <w:t>均为未检出。</w:t>
      </w:r>
    </w:p>
    <w:p w14:paraId="343FD707">
      <w:pPr>
        <w:numPr>
          <w:ilvl w:val="0"/>
          <w:numId w:val="70"/>
        </w:num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表层土壤中某种物质的输入量Is可通过下列公式估算：</w:t>
      </w:r>
    </w:p>
    <w:p w14:paraId="38BAACFC">
      <w:pPr>
        <w:autoSpaceDE w:val="0"/>
        <w:autoSpaceDN w:val="0"/>
        <w:adjustRightInd w:val="0"/>
        <w:spacing w:line="360" w:lineRule="auto"/>
        <w:ind w:firstLine="482" w:firstLineChars="200"/>
        <w:jc w:val="center"/>
        <w:rPr>
          <w:rFonts w:ascii="Times New Roman" w:hAnsi="Times New Roman" w:eastAsia="宋体" w:cs="Times New Roman"/>
          <w:b/>
          <w:bCs/>
          <w:sz w:val="24"/>
          <w:u w:val="single"/>
        </w:rPr>
      </w:pPr>
      <w:r>
        <w:rPr>
          <w:rFonts w:ascii="Times New Roman" w:hAnsi="Times New Roman" w:eastAsia="宋体" w:cs="Times New Roman"/>
          <w:b/>
          <w:bCs/>
          <w:sz w:val="24"/>
          <w:u w:val="single"/>
        </w:rPr>
        <w:t>Is=C×V×T×A</w:t>
      </w:r>
    </w:p>
    <w:p w14:paraId="0A63ED1A">
      <w:pPr>
        <w:autoSpaceDE w:val="0"/>
        <w:autoSpaceDN w:val="0"/>
        <w:adjustRightInd w:val="0"/>
        <w:spacing w:line="360" w:lineRule="auto"/>
        <w:ind w:firstLine="482" w:firstLineChars="200"/>
        <w:rPr>
          <w:rFonts w:ascii="Times New Roman" w:hAnsi="Times New Roman" w:eastAsia="宋体" w:cs="Times New Roman"/>
          <w:b/>
          <w:bCs/>
          <w:color w:val="0000FF"/>
          <w:sz w:val="24"/>
          <w:szCs w:val="20"/>
          <w:highlight w:val="yellow"/>
          <w:u w:val="single"/>
        </w:rPr>
      </w:pPr>
      <w:r>
        <w:rPr>
          <w:rFonts w:ascii="Times New Roman" w:hAnsi="Times New Roman" w:eastAsia="宋体" w:cs="Times New Roman"/>
          <w:b/>
          <w:bCs/>
          <w:sz w:val="24"/>
          <w:u w:val="single"/>
        </w:rPr>
        <w:t>式中：C——污染物的最大小时落地浓度，</w:t>
      </w:r>
      <w:r>
        <w:rPr>
          <w:rFonts w:hint="eastAsia" w:ascii="Times New Roman" w:hAnsi="Times New Roman" w:eastAsia="宋体" w:cs="Times New Roman"/>
          <w:b/>
          <w:bCs/>
          <w:sz w:val="24"/>
          <w:u w:val="single"/>
          <w:lang w:val="en-US" w:eastAsia="zh-CN"/>
        </w:rPr>
        <w:t>苯为0.2418E-03</w:t>
      </w:r>
      <w:r>
        <w:rPr>
          <w:rFonts w:ascii="Times New Roman" w:hAnsi="Times New Roman" w:eastAsia="宋体" w:cs="Times New Roman"/>
          <w:b/>
          <w:bCs/>
          <w:sz w:val="24"/>
          <w:highlight w:val="none"/>
          <w:u w:val="single"/>
        </w:rPr>
        <w:t>mg/m</w:t>
      </w:r>
      <w:r>
        <w:rPr>
          <w:rFonts w:ascii="Times New Roman" w:hAnsi="Times New Roman" w:eastAsia="宋体" w:cs="Times New Roman"/>
          <w:b/>
          <w:bCs/>
          <w:sz w:val="24"/>
          <w:highlight w:val="none"/>
          <w:u w:val="single"/>
          <w:vertAlign w:val="superscript"/>
        </w:rPr>
        <w:t>3</w:t>
      </w:r>
      <w:r>
        <w:rPr>
          <w:rFonts w:ascii="Times New Roman" w:hAnsi="Times New Roman" w:cs="Times New Roman"/>
          <w:b/>
          <w:bCs/>
          <w:sz w:val="24"/>
          <w:highlight w:val="none"/>
          <w:u w:val="single"/>
        </w:rPr>
        <w:t>、甲苯</w:t>
      </w:r>
      <w:r>
        <w:rPr>
          <w:rFonts w:ascii="Times New Roman" w:hAnsi="Times New Roman" w:eastAsia="宋体" w:cs="Times New Roman"/>
          <w:b/>
          <w:bCs/>
          <w:sz w:val="24"/>
          <w:highlight w:val="none"/>
          <w:u w:val="single"/>
        </w:rPr>
        <w:t>为</w:t>
      </w:r>
      <w:r>
        <w:rPr>
          <w:rFonts w:hint="eastAsia" w:ascii="Times New Roman" w:hAnsi="Times New Roman" w:eastAsia="宋体" w:cs="Times New Roman"/>
          <w:b/>
          <w:bCs/>
          <w:sz w:val="24"/>
          <w:highlight w:val="none"/>
          <w:u w:val="single"/>
          <w:lang w:val="en-US" w:eastAsia="zh-CN"/>
        </w:rPr>
        <w:t>1.1097</w:t>
      </w:r>
      <w:r>
        <w:rPr>
          <w:rFonts w:ascii="Times New Roman" w:hAnsi="Times New Roman" w:eastAsia="宋体" w:cs="Times New Roman"/>
          <w:b/>
          <w:bCs/>
          <w:sz w:val="24"/>
          <w:highlight w:val="none"/>
          <w:u w:val="single"/>
        </w:rPr>
        <w:t>E-0</w:t>
      </w:r>
      <w:r>
        <w:rPr>
          <w:rFonts w:hint="eastAsia" w:ascii="Times New Roman" w:hAnsi="Times New Roman" w:eastAsia="宋体" w:cs="Times New Roman"/>
          <w:b/>
          <w:bCs/>
          <w:sz w:val="24"/>
          <w:highlight w:val="none"/>
          <w:u w:val="single"/>
        </w:rPr>
        <w:t>3</w:t>
      </w:r>
      <w:r>
        <w:rPr>
          <w:rFonts w:ascii="Times New Roman" w:hAnsi="Times New Roman" w:eastAsia="宋体" w:cs="Times New Roman"/>
          <w:b/>
          <w:bCs/>
          <w:sz w:val="24"/>
          <w:highlight w:val="none"/>
          <w:u w:val="single"/>
        </w:rPr>
        <w:t>mg/m</w:t>
      </w:r>
      <w:r>
        <w:rPr>
          <w:rFonts w:ascii="Times New Roman" w:hAnsi="Times New Roman" w:eastAsia="宋体" w:cs="Times New Roman"/>
          <w:b/>
          <w:bCs/>
          <w:sz w:val="24"/>
          <w:highlight w:val="none"/>
          <w:u w:val="single"/>
          <w:vertAlign w:val="superscript"/>
        </w:rPr>
        <w:t>3</w:t>
      </w:r>
      <w:r>
        <w:rPr>
          <w:rFonts w:ascii="Times New Roman" w:hAnsi="Times New Roman" w:cs="Times New Roman"/>
          <w:b/>
          <w:bCs/>
          <w:sz w:val="24"/>
          <w:highlight w:val="none"/>
          <w:u w:val="single"/>
        </w:rPr>
        <w:t>、二甲苯</w:t>
      </w:r>
      <w:r>
        <w:rPr>
          <w:rFonts w:ascii="Times New Roman" w:hAnsi="Times New Roman" w:eastAsia="宋体" w:cs="Times New Roman"/>
          <w:b/>
          <w:bCs/>
          <w:sz w:val="24"/>
          <w:highlight w:val="none"/>
          <w:u w:val="single"/>
        </w:rPr>
        <w:t>为</w:t>
      </w:r>
      <w:r>
        <w:rPr>
          <w:rFonts w:hint="eastAsia" w:ascii="Times New Roman" w:hAnsi="Times New Roman" w:eastAsia="宋体" w:cs="Times New Roman"/>
          <w:b/>
          <w:bCs/>
          <w:sz w:val="24"/>
          <w:highlight w:val="none"/>
          <w:u w:val="single"/>
          <w:lang w:val="en-US" w:eastAsia="zh-CN"/>
        </w:rPr>
        <w:t>2.4613</w:t>
      </w:r>
      <w:r>
        <w:rPr>
          <w:rFonts w:ascii="Times New Roman" w:hAnsi="Times New Roman" w:eastAsia="宋体" w:cs="Times New Roman"/>
          <w:b/>
          <w:bCs/>
          <w:sz w:val="24"/>
          <w:highlight w:val="none"/>
          <w:u w:val="single"/>
        </w:rPr>
        <w:t>E-0</w:t>
      </w:r>
      <w:r>
        <w:rPr>
          <w:rFonts w:hint="eastAsia" w:ascii="Times New Roman" w:hAnsi="Times New Roman" w:eastAsia="宋体" w:cs="Times New Roman"/>
          <w:b/>
          <w:bCs/>
          <w:sz w:val="24"/>
          <w:highlight w:val="none"/>
          <w:u w:val="single"/>
        </w:rPr>
        <w:t>3</w:t>
      </w:r>
      <w:r>
        <w:rPr>
          <w:rFonts w:ascii="Times New Roman" w:hAnsi="Times New Roman" w:eastAsia="宋体" w:cs="Times New Roman"/>
          <w:b/>
          <w:bCs/>
          <w:sz w:val="24"/>
          <w:highlight w:val="none"/>
          <w:u w:val="single"/>
        </w:rPr>
        <w:t>mg/m</w:t>
      </w:r>
      <w:r>
        <w:rPr>
          <w:rFonts w:ascii="Times New Roman" w:hAnsi="Times New Roman" w:eastAsia="宋体" w:cs="Times New Roman"/>
          <w:b/>
          <w:bCs/>
          <w:sz w:val="24"/>
          <w:highlight w:val="none"/>
          <w:u w:val="single"/>
          <w:vertAlign w:val="superscript"/>
        </w:rPr>
        <w:t>3</w:t>
      </w:r>
      <w:r>
        <w:rPr>
          <w:rFonts w:ascii="Times New Roman" w:hAnsi="Times New Roman" w:cs="Times New Roman"/>
          <w:b/>
          <w:bCs/>
          <w:sz w:val="24"/>
          <w:highlight w:val="none"/>
          <w:u w:val="single"/>
        </w:rPr>
        <w:t>、非甲烷总烃</w:t>
      </w:r>
      <w:r>
        <w:rPr>
          <w:rFonts w:ascii="Times New Roman" w:hAnsi="Times New Roman" w:eastAsia="宋体" w:cs="Times New Roman"/>
          <w:b/>
          <w:bCs/>
          <w:sz w:val="24"/>
          <w:highlight w:val="none"/>
          <w:u w:val="single"/>
        </w:rPr>
        <w:t>为</w:t>
      </w:r>
      <w:r>
        <w:rPr>
          <w:rFonts w:hint="eastAsia" w:ascii="Times New Roman" w:hAnsi="Times New Roman" w:eastAsia="宋体" w:cs="Times New Roman"/>
          <w:b/>
          <w:bCs/>
          <w:sz w:val="24"/>
          <w:highlight w:val="none"/>
          <w:u w:val="single"/>
          <w:lang w:val="en-US" w:eastAsia="zh-CN"/>
        </w:rPr>
        <w:t>19.0796</w:t>
      </w:r>
      <w:r>
        <w:rPr>
          <w:rFonts w:ascii="Times New Roman" w:hAnsi="Times New Roman" w:eastAsia="宋体" w:cs="Times New Roman"/>
          <w:b/>
          <w:bCs/>
          <w:sz w:val="24"/>
          <w:highlight w:val="none"/>
          <w:u w:val="single"/>
        </w:rPr>
        <w:t>E-0</w:t>
      </w:r>
      <w:r>
        <w:rPr>
          <w:rFonts w:hint="eastAsia" w:ascii="Times New Roman" w:hAnsi="Times New Roman" w:eastAsia="宋体" w:cs="Times New Roman"/>
          <w:b/>
          <w:bCs/>
          <w:sz w:val="24"/>
          <w:highlight w:val="none"/>
          <w:u w:val="single"/>
        </w:rPr>
        <w:t>3</w:t>
      </w:r>
      <w:r>
        <w:rPr>
          <w:rFonts w:ascii="Times New Roman" w:hAnsi="Times New Roman" w:eastAsia="宋体" w:cs="Times New Roman"/>
          <w:b/>
          <w:bCs/>
          <w:sz w:val="24"/>
          <w:highlight w:val="none"/>
          <w:u w:val="single"/>
        </w:rPr>
        <w:t>mg/m</w:t>
      </w:r>
      <w:r>
        <w:rPr>
          <w:rFonts w:ascii="Times New Roman" w:hAnsi="Times New Roman" w:eastAsia="宋体" w:cs="Times New Roman"/>
          <w:b/>
          <w:bCs/>
          <w:sz w:val="24"/>
          <w:highlight w:val="none"/>
          <w:u w:val="single"/>
          <w:vertAlign w:val="superscript"/>
        </w:rPr>
        <w:t>3</w:t>
      </w:r>
      <w:r>
        <w:rPr>
          <w:rFonts w:ascii="Times New Roman" w:hAnsi="Times New Roman" w:eastAsia="宋体" w:cs="Times New Roman"/>
          <w:b/>
          <w:bCs/>
          <w:sz w:val="24"/>
          <w:highlight w:val="none"/>
          <w:u w:val="single"/>
        </w:rPr>
        <w:t>。</w:t>
      </w:r>
    </w:p>
    <w:p w14:paraId="58A27A4F">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V——污染物沉降速率，m/s；由于项目排放废气的粒度比较细，粒度小于1μm，沉降速率取值为1cm/s（即0.01m/s）。</w:t>
      </w:r>
    </w:p>
    <w:p w14:paraId="35018E08">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T——年内污染物沉降时间，s。项目年运转</w:t>
      </w:r>
      <w:r>
        <w:rPr>
          <w:rFonts w:hint="eastAsia" w:ascii="Times New Roman" w:hAnsi="Times New Roman" w:eastAsia="宋体" w:cs="Times New Roman"/>
          <w:b/>
          <w:bCs/>
          <w:sz w:val="24"/>
          <w:u w:val="single"/>
        </w:rPr>
        <w:t>2400</w:t>
      </w:r>
      <w:r>
        <w:rPr>
          <w:rFonts w:ascii="Times New Roman" w:hAnsi="Times New Roman" w:eastAsia="宋体" w:cs="Times New Roman"/>
          <w:b/>
          <w:bCs/>
          <w:sz w:val="24"/>
          <w:u w:val="single"/>
        </w:rPr>
        <w:t>h，T=</w:t>
      </w:r>
      <w:r>
        <w:rPr>
          <w:rFonts w:hint="eastAsia" w:ascii="Times New Roman" w:hAnsi="Times New Roman" w:eastAsia="宋体" w:cs="Times New Roman"/>
          <w:b/>
          <w:bCs/>
          <w:sz w:val="24"/>
          <w:u w:val="single"/>
        </w:rPr>
        <w:t>8.64</w:t>
      </w:r>
      <w:r>
        <w:rPr>
          <w:rFonts w:ascii="Times New Roman" w:hAnsi="Times New Roman" w:eastAsia="宋体" w:cs="Times New Roman"/>
          <w:b/>
          <w:bCs/>
          <w:sz w:val="24"/>
          <w:u w:val="single"/>
        </w:rPr>
        <w:t>×10</w:t>
      </w:r>
      <w:r>
        <w:rPr>
          <w:rFonts w:hint="eastAsia" w:ascii="Times New Roman" w:hAnsi="Times New Roman" w:eastAsia="宋体" w:cs="Times New Roman"/>
          <w:b/>
          <w:bCs/>
          <w:sz w:val="24"/>
          <w:u w:val="single"/>
          <w:vertAlign w:val="superscript"/>
        </w:rPr>
        <w:t>6</w:t>
      </w:r>
      <w:r>
        <w:rPr>
          <w:rFonts w:ascii="Times New Roman" w:hAnsi="Times New Roman" w:eastAsia="宋体" w:cs="Times New Roman"/>
          <w:b/>
          <w:bCs/>
          <w:sz w:val="24"/>
          <w:u w:val="single"/>
        </w:rPr>
        <w:t>s。</w:t>
      </w:r>
    </w:p>
    <w:p w14:paraId="5B610456">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A——预测评价范围，m</w:t>
      </w:r>
      <w:r>
        <w:rPr>
          <w:rFonts w:ascii="Times New Roman" w:hAnsi="Times New Roman" w:eastAsia="宋体" w:cs="Times New Roman"/>
          <w:b/>
          <w:bCs/>
          <w:sz w:val="24"/>
          <w:u w:val="single"/>
          <w:vertAlign w:val="superscript"/>
        </w:rPr>
        <w:t>2</w:t>
      </w:r>
      <w:r>
        <w:rPr>
          <w:rFonts w:ascii="Times New Roman" w:hAnsi="Times New Roman" w:eastAsia="宋体" w:cs="Times New Roman"/>
          <w:b/>
          <w:bCs/>
          <w:sz w:val="24"/>
          <w:u w:val="single"/>
        </w:rPr>
        <w:t>；本项目</w:t>
      </w:r>
      <w:r>
        <w:rPr>
          <w:rFonts w:ascii="Times New Roman" w:hAnsi="Times New Roman" w:eastAsia="宋体" w:cs="Times New Roman"/>
          <w:b/>
          <w:bCs/>
          <w:sz w:val="24"/>
          <w:highlight w:val="none"/>
          <w:u w:val="single"/>
        </w:rPr>
        <w:t>取</w:t>
      </w:r>
      <w:r>
        <w:rPr>
          <w:rFonts w:hint="eastAsia" w:ascii="Times New Roman" w:hAnsi="Times New Roman" w:eastAsia="宋体" w:cs="Times New Roman"/>
          <w:b/>
          <w:bCs/>
          <w:sz w:val="24"/>
          <w:highlight w:val="none"/>
          <w:u w:val="single"/>
          <w:lang w:val="en-US" w:eastAsia="zh-CN"/>
        </w:rPr>
        <w:t>255875</w:t>
      </w:r>
      <w:r>
        <w:rPr>
          <w:rFonts w:ascii="Times New Roman" w:hAnsi="Times New Roman" w:eastAsia="宋体" w:cs="Times New Roman"/>
          <w:b/>
          <w:bCs/>
          <w:sz w:val="24"/>
          <w:highlight w:val="none"/>
          <w:u w:val="single"/>
        </w:rPr>
        <w:t>m</w:t>
      </w:r>
      <w:r>
        <w:rPr>
          <w:rFonts w:ascii="Times New Roman" w:hAnsi="Times New Roman" w:eastAsia="宋体" w:cs="Times New Roman"/>
          <w:b/>
          <w:bCs/>
          <w:sz w:val="24"/>
          <w:highlight w:val="none"/>
          <w:u w:val="single"/>
          <w:vertAlign w:val="superscript"/>
        </w:rPr>
        <w:t>2</w:t>
      </w:r>
      <w:r>
        <w:rPr>
          <w:rFonts w:ascii="Times New Roman" w:hAnsi="Times New Roman" w:eastAsia="宋体" w:cs="Times New Roman"/>
          <w:b/>
          <w:bCs/>
          <w:sz w:val="24"/>
          <w:highlight w:val="none"/>
          <w:u w:val="single"/>
        </w:rPr>
        <w:t>。</w:t>
      </w:r>
    </w:p>
    <w:p w14:paraId="6B93F7B2">
      <w:pPr>
        <w:autoSpaceDE w:val="0"/>
        <w:autoSpaceDN w:val="0"/>
        <w:adjustRightIn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考虑最不利情况，按项目大气污染物排放量全部位于土壤环境评价范围内，则苯Is=</w:t>
      </w:r>
      <w:r>
        <w:rPr>
          <w:rFonts w:hint="eastAsia" w:ascii="Times New Roman" w:hAnsi="Times New Roman" w:eastAsia="宋体" w:cs="Times New Roman"/>
          <w:b/>
          <w:bCs/>
          <w:sz w:val="24"/>
          <w:u w:val="single"/>
          <w:lang w:val="en-US" w:eastAsia="zh-CN"/>
        </w:rPr>
        <w:t>5345617.7</w:t>
      </w:r>
      <w:r>
        <w:rPr>
          <w:rFonts w:ascii="Times New Roman" w:hAnsi="Times New Roman" w:eastAsia="宋体" w:cs="Times New Roman"/>
          <w:b/>
          <w:bCs/>
          <w:sz w:val="24"/>
          <w:u w:val="single"/>
        </w:rPr>
        <w:t>mg；甲苯Is=</w:t>
      </w:r>
      <w:r>
        <w:rPr>
          <w:rFonts w:hint="eastAsia" w:ascii="Times New Roman" w:hAnsi="Times New Roman" w:eastAsia="宋体" w:cs="Times New Roman"/>
          <w:b/>
          <w:bCs/>
          <w:sz w:val="24"/>
          <w:u w:val="single"/>
          <w:lang w:val="en-US" w:eastAsia="zh-CN"/>
        </w:rPr>
        <w:t>24517328.4</w:t>
      </w:r>
      <w:r>
        <w:rPr>
          <w:rFonts w:ascii="Times New Roman" w:hAnsi="Times New Roman" w:eastAsia="宋体" w:cs="Times New Roman"/>
          <w:b/>
          <w:bCs/>
          <w:sz w:val="24"/>
          <w:u w:val="single"/>
        </w:rPr>
        <w:t>mg；</w:t>
      </w:r>
      <w:r>
        <w:rPr>
          <w:rFonts w:ascii="Times New Roman" w:hAnsi="Times New Roman" w:cs="Times New Roman"/>
          <w:b/>
          <w:bCs/>
          <w:sz w:val="24"/>
          <w:u w:val="single"/>
        </w:rPr>
        <w:t>二甲苯</w:t>
      </w:r>
      <w:r>
        <w:rPr>
          <w:rFonts w:ascii="Times New Roman" w:hAnsi="Times New Roman" w:eastAsia="宋体" w:cs="Times New Roman"/>
          <w:b/>
          <w:bCs/>
          <w:sz w:val="24"/>
          <w:u w:val="single"/>
        </w:rPr>
        <w:t>Is=</w:t>
      </w:r>
      <w:r>
        <w:rPr>
          <w:rFonts w:hint="eastAsia" w:ascii="Times New Roman" w:hAnsi="Times New Roman" w:eastAsia="宋体" w:cs="Times New Roman"/>
          <w:b/>
          <w:bCs/>
          <w:kern w:val="0"/>
          <w:sz w:val="24"/>
          <w:u w:val="single"/>
          <w:lang w:val="en-US" w:eastAsia="zh-CN" w:bidi="ar"/>
        </w:rPr>
        <w:t>54413435.88</w:t>
      </w:r>
      <w:r>
        <w:rPr>
          <w:rFonts w:ascii="Times New Roman" w:hAnsi="Times New Roman" w:eastAsia="宋体" w:cs="Times New Roman"/>
          <w:b/>
          <w:bCs/>
          <w:sz w:val="24"/>
          <w:u w:val="single"/>
        </w:rPr>
        <w:t>mg；非甲烷总烃Is=</w:t>
      </w:r>
      <w:r>
        <w:rPr>
          <w:rFonts w:hint="eastAsia" w:ascii="Times New Roman" w:hAnsi="Times New Roman" w:eastAsia="宋体" w:cs="Times New Roman"/>
          <w:b/>
          <w:bCs/>
          <w:kern w:val="0"/>
          <w:sz w:val="24"/>
          <w:u w:val="single"/>
          <w:lang w:val="en-US" w:eastAsia="zh-CN" w:bidi="ar"/>
        </w:rPr>
        <w:t>421804165</w:t>
      </w:r>
      <w:r>
        <w:rPr>
          <w:rFonts w:ascii="Times New Roman" w:hAnsi="Times New Roman" w:eastAsia="宋体" w:cs="Times New Roman"/>
          <w:b/>
          <w:bCs/>
          <w:sz w:val="24"/>
          <w:u w:val="single"/>
        </w:rPr>
        <w:t>mg</w:t>
      </w:r>
      <w:r>
        <w:rPr>
          <w:rFonts w:ascii="Times New Roman" w:hAnsi="Times New Roman" w:eastAsia="宋体" w:cs="Times New Roman"/>
          <w:b/>
          <w:bCs/>
          <w:kern w:val="0"/>
          <w:sz w:val="24"/>
          <w:u w:val="single"/>
          <w:lang w:bidi="ar"/>
        </w:rPr>
        <w:t>。</w:t>
      </w:r>
    </w:p>
    <w:p w14:paraId="2C442F1B">
      <w:pPr>
        <w:tabs>
          <w:tab w:val="left" w:pos="1260"/>
        </w:tabs>
        <w:adjustRightInd w:val="0"/>
        <w:spacing w:line="360" w:lineRule="auto"/>
        <w:ind w:firstLine="482" w:firstLineChars="200"/>
        <w:rPr>
          <w:rFonts w:ascii="Times New Roman" w:hAnsi="Times New Roman" w:eastAsia="宋体" w:cs="Times New Roman"/>
          <w:b/>
          <w:bCs/>
          <w:color w:val="000000"/>
          <w:sz w:val="24"/>
          <w:u w:val="single"/>
        </w:rPr>
      </w:pPr>
      <w:r>
        <w:rPr>
          <w:rFonts w:ascii="Times New Roman" w:hAnsi="Times New Roman" w:eastAsia="宋体" w:cs="Times New Roman"/>
          <w:b/>
          <w:bCs/>
          <w:color w:val="000000"/>
          <w:sz w:val="24"/>
          <w:u w:val="single"/>
        </w:rPr>
        <w:t>项目受影响土壤质量=ρb×A×D=1</w:t>
      </w:r>
      <w:r>
        <w:rPr>
          <w:rFonts w:hint="eastAsia" w:ascii="Times New Roman" w:hAnsi="Times New Roman" w:eastAsia="宋体" w:cs="Times New Roman"/>
          <w:b/>
          <w:bCs/>
          <w:color w:val="000000"/>
          <w:sz w:val="24"/>
          <w:u w:val="single"/>
        </w:rPr>
        <w:t>700</w:t>
      </w:r>
      <w:r>
        <w:rPr>
          <w:rFonts w:ascii="Times New Roman" w:hAnsi="Times New Roman" w:eastAsia="宋体" w:cs="Times New Roman"/>
          <w:b/>
          <w:bCs/>
          <w:color w:val="000000"/>
          <w:sz w:val="24"/>
          <w:u w:val="single"/>
        </w:rPr>
        <w:t>kg/m</w:t>
      </w:r>
      <w:r>
        <w:rPr>
          <w:rFonts w:ascii="Times New Roman" w:hAnsi="Times New Roman" w:eastAsia="宋体" w:cs="Times New Roman"/>
          <w:b/>
          <w:bCs/>
          <w:color w:val="000000"/>
          <w:sz w:val="24"/>
          <w:u w:val="single"/>
          <w:vertAlign w:val="superscript"/>
        </w:rPr>
        <w:t>3</w:t>
      </w:r>
      <w:r>
        <w:rPr>
          <w:rFonts w:ascii="Times New Roman" w:hAnsi="Times New Roman" w:eastAsia="宋体" w:cs="Times New Roman"/>
          <w:b/>
          <w:bCs/>
          <w:color w:val="000000"/>
          <w:sz w:val="24"/>
          <w:u w:val="single"/>
        </w:rPr>
        <w:t>×</w:t>
      </w:r>
      <w:r>
        <w:rPr>
          <w:rFonts w:hint="eastAsia" w:ascii="Times New Roman" w:hAnsi="Times New Roman" w:eastAsia="宋体" w:cs="Times New Roman"/>
          <w:b/>
          <w:bCs/>
          <w:sz w:val="24"/>
          <w:u w:val="single"/>
          <w:lang w:val="en-US" w:eastAsia="zh-CN"/>
        </w:rPr>
        <w:t>255875</w:t>
      </w:r>
      <w:r>
        <w:rPr>
          <w:rFonts w:ascii="Times New Roman" w:hAnsi="Times New Roman" w:eastAsia="宋体" w:cs="Times New Roman"/>
          <w:b/>
          <w:bCs/>
          <w:color w:val="000000"/>
          <w:sz w:val="24"/>
          <w:u w:val="single"/>
        </w:rPr>
        <w:t>m</w:t>
      </w:r>
      <w:r>
        <w:rPr>
          <w:rFonts w:ascii="Times New Roman" w:hAnsi="Times New Roman" w:eastAsia="宋体" w:cs="Times New Roman"/>
          <w:b/>
          <w:bCs/>
          <w:color w:val="000000"/>
          <w:sz w:val="24"/>
          <w:u w:val="single"/>
          <w:vertAlign w:val="superscript"/>
        </w:rPr>
        <w:t>2</w:t>
      </w:r>
      <w:r>
        <w:rPr>
          <w:rFonts w:ascii="Times New Roman" w:hAnsi="Times New Roman" w:eastAsia="宋体" w:cs="Times New Roman"/>
          <w:b/>
          <w:bCs/>
          <w:color w:val="000000"/>
          <w:sz w:val="24"/>
          <w:u w:val="single"/>
        </w:rPr>
        <w:t>×0.2m=</w:t>
      </w:r>
      <w:r>
        <w:rPr>
          <w:rFonts w:hint="eastAsia" w:ascii="Times New Roman" w:hAnsi="Times New Roman" w:eastAsia="宋体" w:cs="Times New Roman"/>
          <w:b/>
          <w:bCs/>
          <w:color w:val="000000"/>
          <w:sz w:val="24"/>
          <w:u w:val="single"/>
          <w:lang w:val="en-US" w:eastAsia="zh-CN"/>
        </w:rPr>
        <w:t>8.7</w:t>
      </w:r>
      <w:r>
        <w:rPr>
          <w:rFonts w:ascii="Times New Roman" w:hAnsi="Times New Roman" w:eastAsia="宋体" w:cs="Times New Roman"/>
          <w:b/>
          <w:bCs/>
          <w:color w:val="000000"/>
          <w:sz w:val="24"/>
          <w:u w:val="single"/>
        </w:rPr>
        <w:t>×10</w:t>
      </w:r>
      <w:r>
        <w:rPr>
          <w:rFonts w:hint="eastAsia" w:ascii="Times New Roman" w:hAnsi="Times New Roman" w:eastAsia="宋体" w:cs="Times New Roman"/>
          <w:b/>
          <w:bCs/>
          <w:color w:val="000000"/>
          <w:sz w:val="24"/>
          <w:u w:val="single"/>
          <w:vertAlign w:val="superscript"/>
        </w:rPr>
        <w:t>7</w:t>
      </w:r>
      <w:r>
        <w:rPr>
          <w:rFonts w:ascii="Times New Roman" w:hAnsi="Times New Roman" w:eastAsia="宋体" w:cs="Times New Roman"/>
          <w:b/>
          <w:bCs/>
          <w:color w:val="000000"/>
          <w:sz w:val="24"/>
          <w:u w:val="single"/>
        </w:rPr>
        <w:t>kg</w:t>
      </w:r>
    </w:p>
    <w:p w14:paraId="54C5A6A3">
      <w:pPr>
        <w:numPr>
          <w:ilvl w:val="0"/>
          <w:numId w:val="70"/>
        </w:numPr>
        <w:autoSpaceDE w:val="0"/>
        <w:autoSpaceDN w:val="0"/>
        <w:adjustRightInd w:val="0"/>
        <w:spacing w:line="360" w:lineRule="auto"/>
        <w:ind w:firstLine="482" w:firstLineChars="200"/>
        <w:rPr>
          <w:rFonts w:ascii="Times New Roman" w:hAnsi="Times New Roman" w:eastAsia="宋体" w:cs="Times New Roman"/>
          <w:b/>
          <w:bCs/>
          <w:sz w:val="24"/>
          <w:szCs w:val="20"/>
          <w:u w:val="single"/>
        </w:rPr>
      </w:pPr>
      <w:r>
        <w:rPr>
          <w:rFonts w:ascii="Times New Roman" w:hAnsi="Times New Roman" w:eastAsia="宋体" w:cs="Times New Roman"/>
          <w:b/>
          <w:bCs/>
          <w:sz w:val="24"/>
          <w:szCs w:val="20"/>
          <w:u w:val="single"/>
        </w:rPr>
        <w:t>预测结果</w:t>
      </w:r>
    </w:p>
    <w:p w14:paraId="0FB5468E">
      <w:pPr>
        <w:autoSpaceDE w:val="0"/>
        <w:autoSpaceDN w:val="0"/>
        <w:adjustRightInd w:val="0"/>
        <w:spacing w:line="360" w:lineRule="auto"/>
        <w:ind w:firstLine="482" w:firstLineChars="200"/>
        <w:rPr>
          <w:rFonts w:ascii="Times New Roman" w:hAnsi="Times New Roman" w:eastAsia="宋体" w:cs="Times New Roman"/>
          <w:b/>
          <w:bCs/>
          <w:sz w:val="24"/>
          <w:szCs w:val="20"/>
          <w:u w:val="single"/>
        </w:rPr>
      </w:pPr>
      <w:r>
        <w:rPr>
          <w:rFonts w:ascii="Times New Roman" w:hAnsi="Times New Roman" w:eastAsia="宋体" w:cs="Times New Roman"/>
          <w:b/>
          <w:bCs/>
          <w:sz w:val="24"/>
          <w:szCs w:val="20"/>
          <w:u w:val="single"/>
        </w:rPr>
        <w:t>通过叠加现状背景值，可知本项目运营期污染物排放对土壤累积影响见</w:t>
      </w:r>
      <w:r>
        <w:rPr>
          <w:rFonts w:hint="eastAsia" w:ascii="Times New Roman" w:hAnsi="Times New Roman" w:eastAsia="宋体" w:cs="Times New Roman"/>
          <w:b/>
          <w:bCs/>
          <w:sz w:val="24"/>
          <w:szCs w:val="20"/>
          <w:u w:val="single"/>
        </w:rPr>
        <w:t>下</w:t>
      </w:r>
      <w:r>
        <w:rPr>
          <w:rFonts w:ascii="Times New Roman" w:hAnsi="Times New Roman" w:eastAsia="宋体" w:cs="Times New Roman"/>
          <w:b/>
          <w:bCs/>
          <w:sz w:val="24"/>
          <w:szCs w:val="20"/>
          <w:u w:val="single"/>
        </w:rPr>
        <w:t>表</w:t>
      </w:r>
      <w:r>
        <w:rPr>
          <w:rFonts w:hint="eastAsia" w:ascii="Times New Roman" w:hAnsi="Times New Roman" w:eastAsia="宋体" w:cs="Times New Roman"/>
          <w:b/>
          <w:bCs/>
          <w:sz w:val="24"/>
          <w:szCs w:val="20"/>
          <w:u w:val="single"/>
        </w:rPr>
        <w:t>。</w:t>
      </w:r>
    </w:p>
    <w:p w14:paraId="161927BB">
      <w:pPr>
        <w:numPr>
          <w:ilvl w:val="0"/>
          <w:numId w:val="71"/>
        </w:numPr>
        <w:autoSpaceDE w:val="0"/>
        <w:autoSpaceDN w:val="0"/>
        <w:adjustRightInd w:val="0"/>
        <w:spacing w:line="240" w:lineRule="auto"/>
        <w:jc w:val="center"/>
        <w:textAlignment w:val="baseline"/>
        <w:rPr>
          <w:rFonts w:ascii="Times New Roman" w:hAnsi="Times New Roman" w:eastAsia="宋体" w:cs="Times New Roman"/>
          <w:b/>
          <w:bCs/>
          <w:kern w:val="0"/>
          <w:szCs w:val="21"/>
          <w:u w:val="single"/>
        </w:rPr>
      </w:pPr>
      <w:r>
        <w:rPr>
          <w:rFonts w:hint="eastAsia" w:ascii="Times New Roman" w:hAnsi="Times New Roman" w:eastAsia="宋体" w:cs="Times New Roman"/>
          <w:b/>
          <w:bCs/>
          <w:color w:val="000000"/>
          <w:szCs w:val="21"/>
          <w:u w:val="single"/>
        </w:rPr>
        <w:t xml:space="preserve"> </w:t>
      </w:r>
      <w:r>
        <w:rPr>
          <w:rFonts w:ascii="Times New Roman" w:hAnsi="Times New Roman" w:eastAsia="宋体" w:cs="Times New Roman"/>
          <w:b/>
          <w:bCs/>
          <w:kern w:val="0"/>
          <w:szCs w:val="21"/>
          <w:u w:val="single"/>
        </w:rPr>
        <w:t xml:space="preserve"> 本项目大气污染物排放对土壤的累计影响预测</w:t>
      </w:r>
    </w:p>
    <w:tbl>
      <w:tblPr>
        <w:tblStyle w:val="3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716"/>
        <w:gridCol w:w="1742"/>
        <w:gridCol w:w="1375"/>
        <w:gridCol w:w="1867"/>
        <w:gridCol w:w="1294"/>
      </w:tblGrid>
      <w:tr w14:paraId="121C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5" w:type="dxa"/>
            <w:vMerge w:val="restart"/>
            <w:vAlign w:val="center"/>
          </w:tcPr>
          <w:p w14:paraId="5C22BC80">
            <w:pPr>
              <w:widowControl/>
              <w:jc w:val="center"/>
              <w:textAlignment w:val="center"/>
              <w:rPr>
                <w:rFonts w:ascii="Times New Roman" w:hAnsi="Times New Roman" w:eastAsia="宋体" w:cs="Times New Roman"/>
                <w:b/>
                <w:bCs/>
                <w:szCs w:val="21"/>
                <w:u w:val="single"/>
              </w:rPr>
            </w:pPr>
            <w:r>
              <w:rPr>
                <w:rFonts w:ascii="Times New Roman" w:hAnsi="Times New Roman" w:eastAsia="宋体" w:cs="Times New Roman"/>
                <w:b/>
                <w:bCs/>
                <w:kern w:val="0"/>
                <w:szCs w:val="21"/>
                <w:u w:val="single"/>
                <w:lang w:bidi="ar"/>
              </w:rPr>
              <w:t>指标</w:t>
            </w:r>
          </w:p>
        </w:tc>
        <w:tc>
          <w:tcPr>
            <w:tcW w:w="2458" w:type="dxa"/>
            <w:gridSpan w:val="2"/>
            <w:vAlign w:val="center"/>
          </w:tcPr>
          <w:p w14:paraId="7D6ACD6E">
            <w:pPr>
              <w:widowControl/>
              <w:jc w:val="center"/>
              <w:textAlignment w:val="center"/>
              <w:rPr>
                <w:rFonts w:ascii="Times New Roman" w:hAnsi="Times New Roman" w:eastAsia="宋体" w:cs="Times New Roman"/>
                <w:b/>
                <w:bCs/>
                <w:szCs w:val="21"/>
                <w:u w:val="single"/>
              </w:rPr>
            </w:pPr>
            <w:r>
              <w:rPr>
                <w:rFonts w:ascii="Times New Roman" w:hAnsi="Times New Roman" w:eastAsia="宋体" w:cs="Times New Roman"/>
                <w:b/>
                <w:bCs/>
                <w:kern w:val="0"/>
                <w:szCs w:val="21"/>
                <w:u w:val="single"/>
                <w:lang w:bidi="ar"/>
              </w:rPr>
              <w:t>贡献值△S</w:t>
            </w:r>
          </w:p>
        </w:tc>
        <w:tc>
          <w:tcPr>
            <w:tcW w:w="1375" w:type="dxa"/>
            <w:vMerge w:val="restart"/>
            <w:vAlign w:val="center"/>
          </w:tcPr>
          <w:p w14:paraId="76886BFC">
            <w:pPr>
              <w:widowControl/>
              <w:jc w:val="center"/>
              <w:textAlignment w:val="center"/>
              <w:rPr>
                <w:rFonts w:ascii="Times New Roman" w:hAnsi="Times New Roman" w:eastAsia="宋体" w:cs="Times New Roman"/>
                <w:b/>
                <w:bCs/>
                <w:szCs w:val="21"/>
                <w:u w:val="single"/>
              </w:rPr>
            </w:pPr>
            <w:r>
              <w:rPr>
                <w:rFonts w:ascii="Times New Roman" w:hAnsi="Times New Roman" w:eastAsia="宋体" w:cs="Times New Roman"/>
                <w:b/>
                <w:bCs/>
                <w:kern w:val="0"/>
                <w:szCs w:val="21"/>
                <w:u w:val="single"/>
                <w:lang w:bidi="ar"/>
              </w:rPr>
              <w:t>Sb（mg/kg）</w:t>
            </w:r>
          </w:p>
        </w:tc>
        <w:tc>
          <w:tcPr>
            <w:tcW w:w="1867" w:type="dxa"/>
            <w:vMerge w:val="restart"/>
            <w:vAlign w:val="center"/>
          </w:tcPr>
          <w:p w14:paraId="5DA837B3">
            <w:pPr>
              <w:widowControl/>
              <w:jc w:val="center"/>
              <w:textAlignment w:val="center"/>
              <w:rPr>
                <w:rFonts w:ascii="Times New Roman" w:hAnsi="Times New Roman" w:eastAsia="宋体" w:cs="Times New Roman"/>
                <w:b/>
                <w:bCs/>
                <w:szCs w:val="21"/>
                <w:u w:val="single"/>
              </w:rPr>
            </w:pPr>
            <w:r>
              <w:rPr>
                <w:rFonts w:ascii="Times New Roman" w:hAnsi="Times New Roman" w:eastAsia="宋体" w:cs="Times New Roman"/>
                <w:b/>
                <w:bCs/>
                <w:kern w:val="0"/>
                <w:szCs w:val="21"/>
                <w:u w:val="single"/>
                <w:lang w:bidi="ar"/>
              </w:rPr>
              <w:t>叠加背景值后（mg/kg）</w:t>
            </w:r>
          </w:p>
        </w:tc>
        <w:tc>
          <w:tcPr>
            <w:tcW w:w="1294" w:type="dxa"/>
            <w:vMerge w:val="restart"/>
            <w:vAlign w:val="center"/>
          </w:tcPr>
          <w:p w14:paraId="47FAF9D7">
            <w:pPr>
              <w:widowControl/>
              <w:jc w:val="center"/>
              <w:textAlignment w:val="center"/>
              <w:rPr>
                <w:rFonts w:ascii="Times New Roman" w:hAnsi="Times New Roman" w:eastAsia="宋体" w:cs="Times New Roman"/>
                <w:b/>
                <w:bCs/>
                <w:szCs w:val="21"/>
                <w:u w:val="single"/>
              </w:rPr>
            </w:pPr>
            <w:r>
              <w:rPr>
                <w:rFonts w:ascii="Times New Roman" w:hAnsi="Times New Roman" w:eastAsia="宋体" w:cs="Times New Roman"/>
                <w:b/>
                <w:bCs/>
                <w:kern w:val="0"/>
                <w:szCs w:val="21"/>
                <w:u w:val="single"/>
                <w:lang w:bidi="ar"/>
              </w:rPr>
              <w:t>标准（mg/kg）</w:t>
            </w:r>
          </w:p>
        </w:tc>
      </w:tr>
      <w:tr w14:paraId="48A9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25" w:type="dxa"/>
            <w:vMerge w:val="continue"/>
            <w:vAlign w:val="center"/>
          </w:tcPr>
          <w:p w14:paraId="790E2173">
            <w:pPr>
              <w:jc w:val="center"/>
              <w:rPr>
                <w:rFonts w:ascii="Times New Roman" w:hAnsi="Times New Roman" w:eastAsia="宋体" w:cs="Times New Roman"/>
                <w:b/>
                <w:bCs/>
                <w:szCs w:val="21"/>
                <w:u w:val="single"/>
              </w:rPr>
            </w:pPr>
          </w:p>
        </w:tc>
        <w:tc>
          <w:tcPr>
            <w:tcW w:w="716" w:type="dxa"/>
            <w:vAlign w:val="center"/>
          </w:tcPr>
          <w:p w14:paraId="4DDDE7ED">
            <w:pPr>
              <w:widowControl/>
              <w:jc w:val="center"/>
              <w:textAlignment w:val="center"/>
              <w:rPr>
                <w:rFonts w:ascii="Times New Roman" w:hAnsi="Times New Roman" w:eastAsia="宋体" w:cs="Times New Roman"/>
                <w:b/>
                <w:bCs/>
                <w:szCs w:val="21"/>
                <w:u w:val="single"/>
              </w:rPr>
            </w:pPr>
            <w:r>
              <w:rPr>
                <w:rFonts w:ascii="Times New Roman" w:hAnsi="Times New Roman" w:eastAsia="宋体" w:cs="Times New Roman"/>
                <w:b/>
                <w:bCs/>
                <w:kern w:val="0"/>
                <w:szCs w:val="21"/>
                <w:u w:val="single"/>
                <w:lang w:bidi="ar"/>
              </w:rPr>
              <w:t>持续年份</w:t>
            </w:r>
          </w:p>
        </w:tc>
        <w:tc>
          <w:tcPr>
            <w:tcW w:w="1742" w:type="dxa"/>
            <w:vAlign w:val="center"/>
          </w:tcPr>
          <w:p w14:paraId="664502C4">
            <w:pPr>
              <w:widowControl/>
              <w:jc w:val="center"/>
              <w:textAlignment w:val="center"/>
              <w:rPr>
                <w:rFonts w:ascii="Times New Roman" w:hAnsi="Times New Roman" w:eastAsia="宋体" w:cs="Times New Roman"/>
                <w:b/>
                <w:bCs/>
                <w:szCs w:val="21"/>
                <w:u w:val="single"/>
              </w:rPr>
            </w:pPr>
            <w:r>
              <w:rPr>
                <w:rFonts w:ascii="Times New Roman" w:hAnsi="Times New Roman" w:eastAsia="宋体" w:cs="Times New Roman"/>
                <w:b/>
                <w:bCs/>
                <w:kern w:val="0"/>
                <w:szCs w:val="21"/>
                <w:u w:val="single"/>
                <w:lang w:bidi="ar"/>
              </w:rPr>
              <w:t>△S（mg/kg）</w:t>
            </w:r>
          </w:p>
        </w:tc>
        <w:tc>
          <w:tcPr>
            <w:tcW w:w="1375" w:type="dxa"/>
            <w:vMerge w:val="continue"/>
            <w:vAlign w:val="center"/>
          </w:tcPr>
          <w:p w14:paraId="68938456">
            <w:pPr>
              <w:jc w:val="center"/>
              <w:rPr>
                <w:rFonts w:ascii="Times New Roman" w:hAnsi="Times New Roman" w:eastAsia="宋体" w:cs="Times New Roman"/>
                <w:b/>
                <w:bCs/>
                <w:szCs w:val="21"/>
                <w:u w:val="single"/>
              </w:rPr>
            </w:pPr>
          </w:p>
        </w:tc>
        <w:tc>
          <w:tcPr>
            <w:tcW w:w="1867" w:type="dxa"/>
            <w:vMerge w:val="continue"/>
            <w:vAlign w:val="center"/>
          </w:tcPr>
          <w:p w14:paraId="203F2393">
            <w:pPr>
              <w:jc w:val="center"/>
              <w:rPr>
                <w:rFonts w:ascii="Times New Roman" w:hAnsi="Times New Roman" w:eastAsia="宋体" w:cs="Times New Roman"/>
                <w:b/>
                <w:bCs/>
                <w:szCs w:val="21"/>
                <w:u w:val="single"/>
              </w:rPr>
            </w:pPr>
          </w:p>
        </w:tc>
        <w:tc>
          <w:tcPr>
            <w:tcW w:w="1294" w:type="dxa"/>
            <w:vMerge w:val="continue"/>
            <w:vAlign w:val="center"/>
          </w:tcPr>
          <w:p w14:paraId="2E569A73">
            <w:pPr>
              <w:jc w:val="center"/>
              <w:rPr>
                <w:rFonts w:ascii="Times New Roman" w:hAnsi="Times New Roman" w:eastAsia="宋体" w:cs="Times New Roman"/>
                <w:b/>
                <w:bCs/>
                <w:szCs w:val="21"/>
                <w:u w:val="single"/>
              </w:rPr>
            </w:pPr>
          </w:p>
        </w:tc>
      </w:tr>
      <w:tr w14:paraId="0D2A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525" w:type="dxa"/>
            <w:vAlign w:val="center"/>
          </w:tcPr>
          <w:p w14:paraId="67B8ECAE">
            <w:pPr>
              <w:widowControl/>
              <w:jc w:val="center"/>
              <w:textAlignment w:val="center"/>
              <w:rPr>
                <w:rFonts w:hint="eastAsia"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苯</w:t>
            </w:r>
          </w:p>
        </w:tc>
        <w:tc>
          <w:tcPr>
            <w:tcW w:w="716" w:type="dxa"/>
            <w:vMerge w:val="restart"/>
            <w:vAlign w:val="center"/>
          </w:tcPr>
          <w:p w14:paraId="42787156">
            <w:pPr>
              <w:widowControl/>
              <w:jc w:val="center"/>
              <w:textAlignment w:val="center"/>
              <w:rPr>
                <w:rFonts w:ascii="Times New Roman" w:hAnsi="Times New Roman" w:eastAsia="宋体" w:cs="Times New Roman"/>
                <w:b/>
                <w:bCs/>
                <w:szCs w:val="21"/>
                <w:u w:val="single"/>
              </w:rPr>
            </w:pPr>
            <w:r>
              <w:rPr>
                <w:rFonts w:ascii="Times New Roman" w:hAnsi="Times New Roman" w:eastAsia="宋体" w:cs="Times New Roman"/>
                <w:b/>
                <w:bCs/>
                <w:kern w:val="0"/>
                <w:szCs w:val="21"/>
                <w:u w:val="single"/>
                <w:lang w:bidi="ar"/>
              </w:rPr>
              <w:t>10年</w:t>
            </w:r>
          </w:p>
        </w:tc>
        <w:tc>
          <w:tcPr>
            <w:tcW w:w="1742" w:type="dxa"/>
            <w:noWrap/>
            <w:vAlign w:val="center"/>
          </w:tcPr>
          <w:p w14:paraId="233B4C8C">
            <w:pPr>
              <w:widowControl/>
              <w:jc w:val="center"/>
              <w:textAlignment w:val="center"/>
              <w:rPr>
                <w:rFonts w:hint="default"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0.6</w:t>
            </w:r>
          </w:p>
        </w:tc>
        <w:tc>
          <w:tcPr>
            <w:tcW w:w="1375" w:type="dxa"/>
            <w:noWrap/>
            <w:vAlign w:val="center"/>
          </w:tcPr>
          <w:p w14:paraId="406AFF06">
            <w:pPr>
              <w:widowControl/>
              <w:jc w:val="center"/>
              <w:textAlignment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0</w:t>
            </w:r>
          </w:p>
        </w:tc>
        <w:tc>
          <w:tcPr>
            <w:tcW w:w="1867" w:type="dxa"/>
            <w:vAlign w:val="center"/>
          </w:tcPr>
          <w:p w14:paraId="12A77D00">
            <w:pPr>
              <w:widowControl/>
              <w:jc w:val="center"/>
              <w:textAlignment w:val="center"/>
              <w:rPr>
                <w:rFonts w:ascii="Times New Roman" w:hAnsi="Times New Roman" w:eastAsia="宋体" w:cs="Times New Roman"/>
                <w:b/>
                <w:bCs/>
                <w:szCs w:val="21"/>
                <w:u w:val="single"/>
              </w:rPr>
            </w:pPr>
            <w:r>
              <w:rPr>
                <w:rFonts w:hint="eastAsia" w:ascii="Times New Roman" w:hAnsi="Times New Roman" w:eastAsia="宋体" w:cs="Times New Roman"/>
                <w:b/>
                <w:bCs/>
                <w:kern w:val="0"/>
                <w:szCs w:val="21"/>
                <w:u w:val="single"/>
                <w:lang w:val="en-US" w:eastAsia="zh-CN" w:bidi="ar"/>
              </w:rPr>
              <w:t>0.6</w:t>
            </w:r>
          </w:p>
        </w:tc>
        <w:tc>
          <w:tcPr>
            <w:tcW w:w="1294" w:type="dxa"/>
            <w:vAlign w:val="center"/>
          </w:tcPr>
          <w:p w14:paraId="00ACF37E">
            <w:pPr>
              <w:widowControl/>
              <w:jc w:val="center"/>
              <w:textAlignment w:val="center"/>
              <w:rPr>
                <w:rFonts w:hint="eastAsia"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4</w:t>
            </w:r>
          </w:p>
        </w:tc>
      </w:tr>
      <w:tr w14:paraId="0DE7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525" w:type="dxa"/>
            <w:vAlign w:val="center"/>
          </w:tcPr>
          <w:p w14:paraId="3C1E2463">
            <w:pPr>
              <w:widowControl/>
              <w:jc w:val="center"/>
              <w:textAlignment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rPr>
              <w:t>甲苯</w:t>
            </w:r>
          </w:p>
        </w:tc>
        <w:tc>
          <w:tcPr>
            <w:tcW w:w="716" w:type="dxa"/>
            <w:vMerge w:val="continue"/>
            <w:vAlign w:val="center"/>
          </w:tcPr>
          <w:p w14:paraId="63602303">
            <w:pPr>
              <w:widowControl/>
              <w:jc w:val="center"/>
              <w:textAlignment w:val="center"/>
              <w:rPr>
                <w:rFonts w:ascii="Times New Roman" w:hAnsi="Times New Roman" w:eastAsia="宋体" w:cs="Times New Roman"/>
                <w:b/>
                <w:bCs/>
                <w:kern w:val="0"/>
                <w:szCs w:val="21"/>
                <w:u w:val="single"/>
                <w:lang w:bidi="ar"/>
              </w:rPr>
            </w:pPr>
          </w:p>
        </w:tc>
        <w:tc>
          <w:tcPr>
            <w:tcW w:w="1742" w:type="dxa"/>
            <w:noWrap/>
            <w:vAlign w:val="center"/>
          </w:tcPr>
          <w:p w14:paraId="0839A55D">
            <w:pPr>
              <w:widowControl/>
              <w:jc w:val="center"/>
              <w:textAlignment w:val="center"/>
              <w:rPr>
                <w:rFonts w:hint="default"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2.8</w:t>
            </w:r>
          </w:p>
        </w:tc>
        <w:tc>
          <w:tcPr>
            <w:tcW w:w="1375" w:type="dxa"/>
            <w:noWrap/>
            <w:vAlign w:val="center"/>
          </w:tcPr>
          <w:p w14:paraId="3B3CD431">
            <w:pPr>
              <w:widowControl/>
              <w:jc w:val="center"/>
              <w:textAlignment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rPr>
              <w:t>0</w:t>
            </w:r>
          </w:p>
        </w:tc>
        <w:tc>
          <w:tcPr>
            <w:tcW w:w="1867" w:type="dxa"/>
            <w:vAlign w:val="center"/>
          </w:tcPr>
          <w:p w14:paraId="73246105">
            <w:pPr>
              <w:widowControl/>
              <w:jc w:val="center"/>
              <w:textAlignment w:val="center"/>
              <w:rPr>
                <w:rFonts w:hint="eastAsia"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2.8</w:t>
            </w:r>
          </w:p>
        </w:tc>
        <w:tc>
          <w:tcPr>
            <w:tcW w:w="1294" w:type="dxa"/>
            <w:vAlign w:val="center"/>
          </w:tcPr>
          <w:p w14:paraId="13B85AD0">
            <w:pPr>
              <w:widowControl/>
              <w:jc w:val="center"/>
              <w:textAlignment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rPr>
              <w:t>1200</w:t>
            </w:r>
          </w:p>
        </w:tc>
      </w:tr>
      <w:tr w14:paraId="39DB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525" w:type="dxa"/>
            <w:vAlign w:val="center"/>
          </w:tcPr>
          <w:p w14:paraId="4A2D61FE">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rPr>
              <w:t>二甲苯</w:t>
            </w:r>
          </w:p>
        </w:tc>
        <w:tc>
          <w:tcPr>
            <w:tcW w:w="716" w:type="dxa"/>
            <w:vMerge w:val="continue"/>
            <w:vAlign w:val="center"/>
          </w:tcPr>
          <w:p w14:paraId="1A751AA2">
            <w:pPr>
              <w:widowControl/>
              <w:jc w:val="center"/>
              <w:textAlignment w:val="center"/>
              <w:rPr>
                <w:rFonts w:ascii="Times New Roman" w:hAnsi="Times New Roman" w:eastAsia="宋体" w:cs="Times New Roman"/>
                <w:b/>
                <w:bCs/>
                <w:kern w:val="0"/>
                <w:szCs w:val="21"/>
                <w:u w:val="single"/>
                <w:lang w:bidi="ar"/>
              </w:rPr>
            </w:pPr>
          </w:p>
        </w:tc>
        <w:tc>
          <w:tcPr>
            <w:tcW w:w="1742" w:type="dxa"/>
            <w:noWrap/>
            <w:vAlign w:val="center"/>
          </w:tcPr>
          <w:p w14:paraId="7A30630E">
            <w:pPr>
              <w:widowControl/>
              <w:jc w:val="center"/>
              <w:textAlignment w:val="center"/>
              <w:rPr>
                <w:rFonts w:hint="default"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6.3</w:t>
            </w:r>
          </w:p>
        </w:tc>
        <w:tc>
          <w:tcPr>
            <w:tcW w:w="1375" w:type="dxa"/>
            <w:noWrap/>
            <w:vAlign w:val="center"/>
          </w:tcPr>
          <w:p w14:paraId="6B0672ED">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rPr>
              <w:t>0</w:t>
            </w:r>
          </w:p>
        </w:tc>
        <w:tc>
          <w:tcPr>
            <w:tcW w:w="1867" w:type="dxa"/>
            <w:vAlign w:val="center"/>
          </w:tcPr>
          <w:p w14:paraId="4D38FC39">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6.3</w:t>
            </w:r>
          </w:p>
        </w:tc>
        <w:tc>
          <w:tcPr>
            <w:tcW w:w="1294" w:type="dxa"/>
            <w:vAlign w:val="center"/>
          </w:tcPr>
          <w:p w14:paraId="102F502B">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bidi="ar"/>
              </w:rPr>
              <w:t>570</w:t>
            </w:r>
          </w:p>
        </w:tc>
      </w:tr>
      <w:tr w14:paraId="04FE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25" w:type="dxa"/>
            <w:vAlign w:val="center"/>
          </w:tcPr>
          <w:p w14:paraId="33686A9D">
            <w:pPr>
              <w:widowControl/>
              <w:jc w:val="center"/>
              <w:textAlignment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非甲烷总烃</w:t>
            </w:r>
          </w:p>
        </w:tc>
        <w:tc>
          <w:tcPr>
            <w:tcW w:w="716" w:type="dxa"/>
            <w:vMerge w:val="continue"/>
            <w:vAlign w:val="center"/>
          </w:tcPr>
          <w:p w14:paraId="6C914502">
            <w:pPr>
              <w:widowControl/>
              <w:jc w:val="center"/>
              <w:textAlignment w:val="center"/>
              <w:rPr>
                <w:rFonts w:ascii="Times New Roman" w:hAnsi="Times New Roman" w:eastAsia="宋体" w:cs="Times New Roman"/>
                <w:b/>
                <w:bCs/>
                <w:kern w:val="0"/>
                <w:szCs w:val="21"/>
                <w:u w:val="single"/>
                <w:lang w:bidi="ar"/>
              </w:rPr>
            </w:pPr>
          </w:p>
        </w:tc>
        <w:tc>
          <w:tcPr>
            <w:tcW w:w="1742" w:type="dxa"/>
            <w:noWrap/>
            <w:vAlign w:val="center"/>
          </w:tcPr>
          <w:p w14:paraId="10F70ECE">
            <w:pPr>
              <w:widowControl/>
              <w:jc w:val="center"/>
              <w:textAlignment w:val="center"/>
              <w:rPr>
                <w:rFonts w:hint="default"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48.5</w:t>
            </w:r>
          </w:p>
        </w:tc>
        <w:tc>
          <w:tcPr>
            <w:tcW w:w="1375" w:type="dxa"/>
            <w:noWrap/>
            <w:vAlign w:val="center"/>
          </w:tcPr>
          <w:p w14:paraId="0381E812">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rPr>
              <w:t>0</w:t>
            </w:r>
          </w:p>
        </w:tc>
        <w:tc>
          <w:tcPr>
            <w:tcW w:w="1867" w:type="dxa"/>
            <w:vAlign w:val="center"/>
          </w:tcPr>
          <w:p w14:paraId="732B2FBB">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48.5</w:t>
            </w:r>
          </w:p>
        </w:tc>
        <w:tc>
          <w:tcPr>
            <w:tcW w:w="1294" w:type="dxa"/>
            <w:vAlign w:val="center"/>
          </w:tcPr>
          <w:p w14:paraId="1735C60B">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bidi="ar"/>
              </w:rPr>
              <w:t>4500</w:t>
            </w:r>
          </w:p>
        </w:tc>
      </w:tr>
      <w:tr w14:paraId="0E59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525" w:type="dxa"/>
            <w:vAlign w:val="center"/>
          </w:tcPr>
          <w:p w14:paraId="28C8DE34">
            <w:pPr>
              <w:widowControl/>
              <w:jc w:val="center"/>
              <w:textAlignment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苯</w:t>
            </w:r>
          </w:p>
        </w:tc>
        <w:tc>
          <w:tcPr>
            <w:tcW w:w="716" w:type="dxa"/>
            <w:vMerge w:val="restart"/>
            <w:vAlign w:val="center"/>
          </w:tcPr>
          <w:p w14:paraId="3D88E1DF">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bidi="ar"/>
              </w:rPr>
              <w:t>2</w:t>
            </w:r>
            <w:r>
              <w:rPr>
                <w:rFonts w:ascii="Times New Roman" w:hAnsi="Times New Roman" w:eastAsia="宋体" w:cs="Times New Roman"/>
                <w:b/>
                <w:bCs/>
                <w:kern w:val="0"/>
                <w:szCs w:val="21"/>
                <w:u w:val="single"/>
                <w:lang w:bidi="ar"/>
              </w:rPr>
              <w:t>0年</w:t>
            </w:r>
          </w:p>
        </w:tc>
        <w:tc>
          <w:tcPr>
            <w:tcW w:w="1742" w:type="dxa"/>
            <w:noWrap/>
            <w:vAlign w:val="center"/>
          </w:tcPr>
          <w:p w14:paraId="5016C3C0">
            <w:pPr>
              <w:widowControl/>
              <w:jc w:val="center"/>
              <w:textAlignment w:val="center"/>
              <w:rPr>
                <w:rFonts w:hint="eastAsia"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1.2</w:t>
            </w:r>
          </w:p>
        </w:tc>
        <w:tc>
          <w:tcPr>
            <w:tcW w:w="1375" w:type="dxa"/>
            <w:noWrap/>
            <w:vAlign w:val="center"/>
          </w:tcPr>
          <w:p w14:paraId="5D630FDF">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rPr>
              <w:t>0</w:t>
            </w:r>
          </w:p>
        </w:tc>
        <w:tc>
          <w:tcPr>
            <w:tcW w:w="1867" w:type="dxa"/>
            <w:vAlign w:val="center"/>
          </w:tcPr>
          <w:p w14:paraId="158EF692">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1.2</w:t>
            </w:r>
          </w:p>
        </w:tc>
        <w:tc>
          <w:tcPr>
            <w:tcW w:w="1294" w:type="dxa"/>
            <w:vAlign w:val="center"/>
          </w:tcPr>
          <w:p w14:paraId="1A05B323">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lang w:val="en-US" w:eastAsia="zh-CN"/>
              </w:rPr>
              <w:t>4</w:t>
            </w:r>
          </w:p>
        </w:tc>
      </w:tr>
      <w:tr w14:paraId="0E8A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525" w:type="dxa"/>
            <w:vAlign w:val="center"/>
          </w:tcPr>
          <w:p w14:paraId="19902B86">
            <w:pPr>
              <w:widowControl/>
              <w:jc w:val="center"/>
              <w:textAlignment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rPr>
              <w:t>甲苯</w:t>
            </w:r>
          </w:p>
        </w:tc>
        <w:tc>
          <w:tcPr>
            <w:tcW w:w="716" w:type="dxa"/>
            <w:vMerge w:val="continue"/>
            <w:vAlign w:val="center"/>
          </w:tcPr>
          <w:p w14:paraId="247F409F">
            <w:pPr>
              <w:widowControl/>
              <w:jc w:val="center"/>
              <w:textAlignment w:val="center"/>
              <w:rPr>
                <w:rFonts w:hint="eastAsia" w:ascii="Times New Roman" w:hAnsi="Times New Roman" w:eastAsia="宋体" w:cs="Times New Roman"/>
                <w:b/>
                <w:bCs/>
                <w:kern w:val="0"/>
                <w:szCs w:val="21"/>
                <w:u w:val="single"/>
                <w:lang w:bidi="ar"/>
              </w:rPr>
            </w:pPr>
          </w:p>
        </w:tc>
        <w:tc>
          <w:tcPr>
            <w:tcW w:w="1742" w:type="dxa"/>
            <w:noWrap/>
            <w:vAlign w:val="center"/>
          </w:tcPr>
          <w:p w14:paraId="2FDB4560">
            <w:pPr>
              <w:widowControl/>
              <w:jc w:val="center"/>
              <w:textAlignment w:val="center"/>
              <w:rPr>
                <w:rFonts w:hint="eastAsia"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5.6</w:t>
            </w:r>
          </w:p>
        </w:tc>
        <w:tc>
          <w:tcPr>
            <w:tcW w:w="1375" w:type="dxa"/>
            <w:noWrap/>
            <w:vAlign w:val="center"/>
          </w:tcPr>
          <w:p w14:paraId="23BF49D5">
            <w:pPr>
              <w:widowControl/>
              <w:jc w:val="center"/>
              <w:textAlignment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rPr>
              <w:t>0</w:t>
            </w:r>
          </w:p>
        </w:tc>
        <w:tc>
          <w:tcPr>
            <w:tcW w:w="1867" w:type="dxa"/>
            <w:vAlign w:val="center"/>
          </w:tcPr>
          <w:p w14:paraId="12AB9503">
            <w:pPr>
              <w:widowControl/>
              <w:jc w:val="center"/>
              <w:textAlignment w:val="center"/>
              <w:rPr>
                <w:rFonts w:hint="eastAsia"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5.6</w:t>
            </w:r>
          </w:p>
        </w:tc>
        <w:tc>
          <w:tcPr>
            <w:tcW w:w="1294" w:type="dxa"/>
            <w:vAlign w:val="center"/>
          </w:tcPr>
          <w:p w14:paraId="22096DC2">
            <w:pPr>
              <w:widowControl/>
              <w:jc w:val="center"/>
              <w:textAlignment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rPr>
              <w:t>1200</w:t>
            </w:r>
          </w:p>
        </w:tc>
      </w:tr>
      <w:tr w14:paraId="3237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25" w:type="dxa"/>
            <w:vAlign w:val="center"/>
          </w:tcPr>
          <w:p w14:paraId="7132DCAE">
            <w:pPr>
              <w:widowControl/>
              <w:jc w:val="center"/>
              <w:textAlignment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二甲苯</w:t>
            </w:r>
          </w:p>
        </w:tc>
        <w:tc>
          <w:tcPr>
            <w:tcW w:w="716" w:type="dxa"/>
            <w:vMerge w:val="continue"/>
            <w:vAlign w:val="center"/>
          </w:tcPr>
          <w:p w14:paraId="18F4B4D8">
            <w:pPr>
              <w:widowControl/>
              <w:jc w:val="center"/>
              <w:textAlignment w:val="center"/>
              <w:rPr>
                <w:rFonts w:ascii="Times New Roman" w:hAnsi="Times New Roman" w:eastAsia="宋体" w:cs="Times New Roman"/>
                <w:b/>
                <w:bCs/>
                <w:kern w:val="0"/>
                <w:szCs w:val="21"/>
                <w:u w:val="single"/>
                <w:lang w:bidi="ar"/>
              </w:rPr>
            </w:pPr>
          </w:p>
        </w:tc>
        <w:tc>
          <w:tcPr>
            <w:tcW w:w="1742" w:type="dxa"/>
            <w:noWrap/>
            <w:vAlign w:val="center"/>
          </w:tcPr>
          <w:p w14:paraId="4BD4921B">
            <w:pPr>
              <w:widowControl/>
              <w:jc w:val="center"/>
              <w:textAlignment w:val="center"/>
              <w:rPr>
                <w:rFonts w:hint="eastAsia"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12.6</w:t>
            </w:r>
          </w:p>
        </w:tc>
        <w:tc>
          <w:tcPr>
            <w:tcW w:w="1375" w:type="dxa"/>
            <w:noWrap/>
            <w:vAlign w:val="center"/>
          </w:tcPr>
          <w:p w14:paraId="5E2F7C90">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rPr>
              <w:t>0</w:t>
            </w:r>
          </w:p>
        </w:tc>
        <w:tc>
          <w:tcPr>
            <w:tcW w:w="1867" w:type="dxa"/>
            <w:vAlign w:val="center"/>
          </w:tcPr>
          <w:p w14:paraId="48B28192">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12.6</w:t>
            </w:r>
          </w:p>
        </w:tc>
        <w:tc>
          <w:tcPr>
            <w:tcW w:w="1294" w:type="dxa"/>
            <w:vAlign w:val="center"/>
          </w:tcPr>
          <w:p w14:paraId="76A2F1AB">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bidi="ar"/>
              </w:rPr>
              <w:t>570</w:t>
            </w:r>
          </w:p>
        </w:tc>
      </w:tr>
      <w:tr w14:paraId="10AD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525" w:type="dxa"/>
            <w:vAlign w:val="center"/>
          </w:tcPr>
          <w:p w14:paraId="76812393">
            <w:pPr>
              <w:widowControl/>
              <w:jc w:val="center"/>
              <w:textAlignment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非甲烷总烃</w:t>
            </w:r>
          </w:p>
        </w:tc>
        <w:tc>
          <w:tcPr>
            <w:tcW w:w="716" w:type="dxa"/>
            <w:vMerge w:val="continue"/>
            <w:vAlign w:val="center"/>
          </w:tcPr>
          <w:p w14:paraId="5663F1AC">
            <w:pPr>
              <w:widowControl/>
              <w:jc w:val="center"/>
              <w:textAlignment w:val="center"/>
              <w:rPr>
                <w:rFonts w:ascii="Times New Roman" w:hAnsi="Times New Roman" w:eastAsia="宋体" w:cs="Times New Roman"/>
                <w:b/>
                <w:bCs/>
                <w:kern w:val="0"/>
                <w:szCs w:val="21"/>
                <w:u w:val="single"/>
                <w:lang w:bidi="ar"/>
              </w:rPr>
            </w:pPr>
          </w:p>
        </w:tc>
        <w:tc>
          <w:tcPr>
            <w:tcW w:w="1742" w:type="dxa"/>
            <w:noWrap/>
            <w:vAlign w:val="center"/>
          </w:tcPr>
          <w:p w14:paraId="4BCC5F76">
            <w:pPr>
              <w:widowControl/>
              <w:jc w:val="center"/>
              <w:textAlignment w:val="center"/>
              <w:rPr>
                <w:rFonts w:hint="eastAsia"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97</w:t>
            </w:r>
          </w:p>
        </w:tc>
        <w:tc>
          <w:tcPr>
            <w:tcW w:w="1375" w:type="dxa"/>
            <w:noWrap/>
            <w:vAlign w:val="center"/>
          </w:tcPr>
          <w:p w14:paraId="6253F243">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rPr>
              <w:t>0</w:t>
            </w:r>
          </w:p>
        </w:tc>
        <w:tc>
          <w:tcPr>
            <w:tcW w:w="1867" w:type="dxa"/>
            <w:vAlign w:val="center"/>
          </w:tcPr>
          <w:p w14:paraId="404D370E">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97</w:t>
            </w:r>
          </w:p>
        </w:tc>
        <w:tc>
          <w:tcPr>
            <w:tcW w:w="1294" w:type="dxa"/>
            <w:vAlign w:val="center"/>
          </w:tcPr>
          <w:p w14:paraId="0FD721D0">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bidi="ar"/>
              </w:rPr>
              <w:t>4500</w:t>
            </w:r>
          </w:p>
        </w:tc>
      </w:tr>
      <w:tr w14:paraId="702E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525" w:type="dxa"/>
            <w:vAlign w:val="center"/>
          </w:tcPr>
          <w:p w14:paraId="32350DB6">
            <w:pPr>
              <w:widowControl/>
              <w:jc w:val="center"/>
              <w:textAlignment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lang w:val="en-US" w:eastAsia="zh-CN"/>
              </w:rPr>
              <w:t>苯</w:t>
            </w:r>
          </w:p>
        </w:tc>
        <w:tc>
          <w:tcPr>
            <w:tcW w:w="716" w:type="dxa"/>
            <w:vMerge w:val="restart"/>
            <w:vAlign w:val="center"/>
          </w:tcPr>
          <w:p w14:paraId="3CC2354E">
            <w:pPr>
              <w:widowControl/>
              <w:jc w:val="center"/>
              <w:textAlignment w:val="center"/>
              <w:rPr>
                <w:rFonts w:ascii="Times New Roman" w:hAnsi="Times New Roman" w:eastAsia="宋体" w:cs="Times New Roman"/>
                <w:b/>
                <w:bCs/>
                <w:kern w:val="0"/>
                <w:szCs w:val="21"/>
                <w:u w:val="single"/>
                <w:lang w:bidi="ar"/>
              </w:rPr>
            </w:pPr>
            <w:r>
              <w:rPr>
                <w:rFonts w:ascii="Times New Roman" w:hAnsi="Times New Roman" w:eastAsia="宋体" w:cs="Times New Roman"/>
                <w:b/>
                <w:bCs/>
                <w:kern w:val="0"/>
                <w:szCs w:val="21"/>
                <w:u w:val="single"/>
                <w:lang w:bidi="ar"/>
              </w:rPr>
              <w:t>30年</w:t>
            </w:r>
          </w:p>
        </w:tc>
        <w:tc>
          <w:tcPr>
            <w:tcW w:w="1742" w:type="dxa"/>
            <w:noWrap/>
            <w:vAlign w:val="center"/>
          </w:tcPr>
          <w:p w14:paraId="341A5CAF">
            <w:pPr>
              <w:widowControl/>
              <w:jc w:val="center"/>
              <w:textAlignment w:val="center"/>
              <w:rPr>
                <w:rFonts w:hint="eastAsia"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1.8</w:t>
            </w:r>
          </w:p>
        </w:tc>
        <w:tc>
          <w:tcPr>
            <w:tcW w:w="1375" w:type="dxa"/>
            <w:noWrap/>
            <w:vAlign w:val="center"/>
          </w:tcPr>
          <w:p w14:paraId="221093EC">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rPr>
              <w:t>0</w:t>
            </w:r>
          </w:p>
        </w:tc>
        <w:tc>
          <w:tcPr>
            <w:tcW w:w="1867" w:type="dxa"/>
            <w:vAlign w:val="center"/>
          </w:tcPr>
          <w:p w14:paraId="3C6B9875">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1.8</w:t>
            </w:r>
          </w:p>
        </w:tc>
        <w:tc>
          <w:tcPr>
            <w:tcW w:w="1294" w:type="dxa"/>
            <w:vAlign w:val="center"/>
          </w:tcPr>
          <w:p w14:paraId="48DFAFD6">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lang w:val="en-US" w:eastAsia="zh-CN"/>
              </w:rPr>
              <w:t>4</w:t>
            </w:r>
          </w:p>
        </w:tc>
      </w:tr>
      <w:tr w14:paraId="6D9B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1525" w:type="dxa"/>
            <w:vAlign w:val="center"/>
          </w:tcPr>
          <w:p w14:paraId="308418B1">
            <w:pPr>
              <w:widowControl/>
              <w:jc w:val="center"/>
              <w:textAlignment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rPr>
              <w:t>甲苯</w:t>
            </w:r>
          </w:p>
        </w:tc>
        <w:tc>
          <w:tcPr>
            <w:tcW w:w="716" w:type="dxa"/>
            <w:vMerge w:val="continue"/>
            <w:vAlign w:val="center"/>
          </w:tcPr>
          <w:p w14:paraId="5902D2FE">
            <w:pPr>
              <w:widowControl/>
              <w:jc w:val="center"/>
              <w:textAlignment w:val="center"/>
              <w:rPr>
                <w:rFonts w:ascii="Times New Roman" w:hAnsi="Times New Roman" w:eastAsia="宋体" w:cs="Times New Roman"/>
                <w:b/>
                <w:bCs/>
                <w:kern w:val="0"/>
                <w:szCs w:val="21"/>
                <w:u w:val="single"/>
                <w:lang w:bidi="ar"/>
              </w:rPr>
            </w:pPr>
          </w:p>
        </w:tc>
        <w:tc>
          <w:tcPr>
            <w:tcW w:w="1742" w:type="dxa"/>
            <w:noWrap/>
            <w:vAlign w:val="center"/>
          </w:tcPr>
          <w:p w14:paraId="277A5790">
            <w:pPr>
              <w:widowControl/>
              <w:jc w:val="center"/>
              <w:textAlignment w:val="center"/>
              <w:rPr>
                <w:rFonts w:hint="eastAsia"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8.4</w:t>
            </w:r>
          </w:p>
        </w:tc>
        <w:tc>
          <w:tcPr>
            <w:tcW w:w="1375" w:type="dxa"/>
            <w:noWrap/>
            <w:vAlign w:val="center"/>
          </w:tcPr>
          <w:p w14:paraId="49E5D9BE">
            <w:pPr>
              <w:widowControl/>
              <w:jc w:val="center"/>
              <w:textAlignment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rPr>
              <w:t>0</w:t>
            </w:r>
          </w:p>
        </w:tc>
        <w:tc>
          <w:tcPr>
            <w:tcW w:w="1867" w:type="dxa"/>
            <w:vAlign w:val="center"/>
          </w:tcPr>
          <w:p w14:paraId="493735F3">
            <w:pPr>
              <w:widowControl/>
              <w:jc w:val="center"/>
              <w:textAlignment w:val="center"/>
              <w:rPr>
                <w:rFonts w:hint="eastAsia"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8.4</w:t>
            </w:r>
          </w:p>
        </w:tc>
        <w:tc>
          <w:tcPr>
            <w:tcW w:w="1294" w:type="dxa"/>
            <w:vAlign w:val="center"/>
          </w:tcPr>
          <w:p w14:paraId="225D17DE">
            <w:pPr>
              <w:widowControl/>
              <w:jc w:val="center"/>
              <w:textAlignment w:val="center"/>
              <w:rPr>
                <w:rFonts w:hint="eastAsia" w:ascii="Times New Roman" w:hAnsi="Times New Roman" w:eastAsia="宋体" w:cs="Times New Roman"/>
                <w:b/>
                <w:bCs/>
                <w:szCs w:val="21"/>
                <w:u w:val="single"/>
              </w:rPr>
            </w:pPr>
            <w:r>
              <w:rPr>
                <w:rFonts w:hint="eastAsia" w:ascii="Times New Roman" w:hAnsi="Times New Roman" w:eastAsia="宋体" w:cs="Times New Roman"/>
                <w:b/>
                <w:bCs/>
                <w:szCs w:val="21"/>
                <w:u w:val="single"/>
              </w:rPr>
              <w:t>1200</w:t>
            </w:r>
          </w:p>
        </w:tc>
      </w:tr>
      <w:tr w14:paraId="5BCA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525" w:type="dxa"/>
            <w:vAlign w:val="center"/>
          </w:tcPr>
          <w:p w14:paraId="465610AF">
            <w:pPr>
              <w:widowControl/>
              <w:jc w:val="center"/>
              <w:textAlignment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二甲苯</w:t>
            </w:r>
          </w:p>
        </w:tc>
        <w:tc>
          <w:tcPr>
            <w:tcW w:w="716" w:type="dxa"/>
            <w:vMerge w:val="continue"/>
            <w:vAlign w:val="center"/>
          </w:tcPr>
          <w:p w14:paraId="0AB5C362">
            <w:pPr>
              <w:widowControl/>
              <w:jc w:val="center"/>
              <w:textAlignment w:val="center"/>
              <w:rPr>
                <w:rFonts w:ascii="Times New Roman" w:hAnsi="Times New Roman" w:eastAsia="宋体" w:cs="Times New Roman"/>
                <w:b/>
                <w:bCs/>
                <w:kern w:val="0"/>
                <w:szCs w:val="21"/>
                <w:u w:val="single"/>
                <w:lang w:bidi="ar"/>
              </w:rPr>
            </w:pPr>
          </w:p>
        </w:tc>
        <w:tc>
          <w:tcPr>
            <w:tcW w:w="1742" w:type="dxa"/>
            <w:noWrap/>
            <w:vAlign w:val="center"/>
          </w:tcPr>
          <w:p w14:paraId="77E20BBA">
            <w:pPr>
              <w:widowControl/>
              <w:jc w:val="center"/>
              <w:textAlignment w:val="center"/>
              <w:rPr>
                <w:rFonts w:hint="eastAsia"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18.9</w:t>
            </w:r>
          </w:p>
        </w:tc>
        <w:tc>
          <w:tcPr>
            <w:tcW w:w="1375" w:type="dxa"/>
            <w:noWrap/>
            <w:vAlign w:val="center"/>
          </w:tcPr>
          <w:p w14:paraId="4C2B9F80">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rPr>
              <w:t>0</w:t>
            </w:r>
          </w:p>
        </w:tc>
        <w:tc>
          <w:tcPr>
            <w:tcW w:w="1867" w:type="dxa"/>
            <w:vAlign w:val="center"/>
          </w:tcPr>
          <w:p w14:paraId="5AA8C775">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18.9</w:t>
            </w:r>
          </w:p>
        </w:tc>
        <w:tc>
          <w:tcPr>
            <w:tcW w:w="1294" w:type="dxa"/>
            <w:vAlign w:val="center"/>
          </w:tcPr>
          <w:p w14:paraId="71F4113E">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bidi="ar"/>
              </w:rPr>
              <w:t>570</w:t>
            </w:r>
          </w:p>
        </w:tc>
      </w:tr>
      <w:tr w14:paraId="36F2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525" w:type="dxa"/>
            <w:vAlign w:val="center"/>
          </w:tcPr>
          <w:p w14:paraId="376BA040">
            <w:pPr>
              <w:widowControl/>
              <w:jc w:val="center"/>
              <w:textAlignment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非甲烷总烃</w:t>
            </w:r>
          </w:p>
        </w:tc>
        <w:tc>
          <w:tcPr>
            <w:tcW w:w="716" w:type="dxa"/>
            <w:vMerge w:val="continue"/>
            <w:vAlign w:val="center"/>
          </w:tcPr>
          <w:p w14:paraId="5F94FA9C">
            <w:pPr>
              <w:widowControl/>
              <w:jc w:val="center"/>
              <w:textAlignment w:val="center"/>
              <w:rPr>
                <w:rFonts w:ascii="Times New Roman" w:hAnsi="Times New Roman" w:eastAsia="宋体" w:cs="Times New Roman"/>
                <w:b/>
                <w:bCs/>
                <w:kern w:val="0"/>
                <w:szCs w:val="21"/>
                <w:u w:val="single"/>
                <w:lang w:bidi="ar"/>
              </w:rPr>
            </w:pPr>
          </w:p>
        </w:tc>
        <w:tc>
          <w:tcPr>
            <w:tcW w:w="1742" w:type="dxa"/>
            <w:noWrap/>
            <w:vAlign w:val="center"/>
          </w:tcPr>
          <w:p w14:paraId="3147C179">
            <w:pPr>
              <w:widowControl/>
              <w:jc w:val="center"/>
              <w:textAlignment w:val="center"/>
              <w:rPr>
                <w:rFonts w:hint="eastAsia" w:ascii="Times New Roman" w:hAnsi="Times New Roman" w:eastAsia="宋体" w:cs="Times New Roman"/>
                <w:b/>
                <w:bCs/>
                <w:kern w:val="0"/>
                <w:szCs w:val="21"/>
                <w:u w:val="single"/>
                <w:lang w:val="en-US" w:eastAsia="zh-CN" w:bidi="ar"/>
              </w:rPr>
            </w:pPr>
            <w:r>
              <w:rPr>
                <w:rFonts w:hint="eastAsia" w:ascii="Times New Roman" w:hAnsi="Times New Roman" w:eastAsia="宋体" w:cs="Times New Roman"/>
                <w:b/>
                <w:bCs/>
                <w:kern w:val="0"/>
                <w:szCs w:val="21"/>
                <w:u w:val="single"/>
                <w:lang w:val="en-US" w:eastAsia="zh-CN" w:bidi="ar"/>
              </w:rPr>
              <w:t>145.5</w:t>
            </w:r>
          </w:p>
        </w:tc>
        <w:tc>
          <w:tcPr>
            <w:tcW w:w="1375" w:type="dxa"/>
            <w:noWrap/>
            <w:vAlign w:val="center"/>
          </w:tcPr>
          <w:p w14:paraId="23563621">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szCs w:val="21"/>
                <w:u w:val="single"/>
              </w:rPr>
              <w:t>0</w:t>
            </w:r>
          </w:p>
        </w:tc>
        <w:tc>
          <w:tcPr>
            <w:tcW w:w="1867" w:type="dxa"/>
            <w:vAlign w:val="center"/>
          </w:tcPr>
          <w:p w14:paraId="356C4919">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val="en-US" w:eastAsia="zh-CN" w:bidi="ar"/>
              </w:rPr>
              <w:t>145.5</w:t>
            </w:r>
          </w:p>
        </w:tc>
        <w:tc>
          <w:tcPr>
            <w:tcW w:w="1294" w:type="dxa"/>
            <w:vAlign w:val="center"/>
          </w:tcPr>
          <w:p w14:paraId="291931B9">
            <w:pPr>
              <w:widowControl/>
              <w:jc w:val="center"/>
              <w:textAlignment w:val="center"/>
              <w:rPr>
                <w:rFonts w:ascii="Times New Roman" w:hAnsi="Times New Roman" w:eastAsia="宋体" w:cs="Times New Roman"/>
                <w:b/>
                <w:bCs/>
                <w:kern w:val="0"/>
                <w:szCs w:val="21"/>
                <w:u w:val="single"/>
                <w:lang w:bidi="ar"/>
              </w:rPr>
            </w:pPr>
            <w:r>
              <w:rPr>
                <w:rFonts w:hint="eastAsia" w:ascii="Times New Roman" w:hAnsi="Times New Roman" w:eastAsia="宋体" w:cs="Times New Roman"/>
                <w:b/>
                <w:bCs/>
                <w:kern w:val="0"/>
                <w:szCs w:val="21"/>
                <w:u w:val="single"/>
                <w:lang w:bidi="ar"/>
              </w:rPr>
              <w:t>4500</w:t>
            </w:r>
          </w:p>
        </w:tc>
      </w:tr>
    </w:tbl>
    <w:p w14:paraId="5E2CEF6E">
      <w:pPr>
        <w:autoSpaceDE w:val="0"/>
        <w:autoSpaceDN w:val="0"/>
        <w:adjustRightInd w:val="0"/>
        <w:spacing w:line="360" w:lineRule="auto"/>
        <w:ind w:firstLine="482" w:firstLineChars="200"/>
        <w:rPr>
          <w:rFonts w:ascii="Times New Roman" w:hAnsi="Times New Roman" w:eastAsia="宋体" w:cs="Times New Roman"/>
          <w:b/>
          <w:bCs/>
          <w:sz w:val="24"/>
          <w:szCs w:val="20"/>
          <w:u w:val="single"/>
        </w:rPr>
      </w:pPr>
      <w:r>
        <w:rPr>
          <w:rFonts w:hint="eastAsia" w:ascii="Times New Roman" w:hAnsi="Times New Roman" w:eastAsia="宋体" w:cs="Times New Roman"/>
          <w:b/>
          <w:bCs/>
          <w:sz w:val="24"/>
          <w:u w:val="single"/>
        </w:rPr>
        <w:t>根据预测结果，</w:t>
      </w:r>
      <w:r>
        <w:rPr>
          <w:rFonts w:ascii="Times New Roman" w:hAnsi="Times New Roman" w:eastAsia="宋体" w:cs="Times New Roman"/>
          <w:b/>
          <w:bCs/>
          <w:sz w:val="24"/>
          <w:u w:val="single"/>
        </w:rPr>
        <w:t>项目</w:t>
      </w:r>
      <w:r>
        <w:rPr>
          <w:rFonts w:hint="eastAsia" w:ascii="Times New Roman" w:hAnsi="Times New Roman" w:eastAsia="宋体" w:cs="Times New Roman"/>
          <w:b/>
          <w:bCs/>
          <w:sz w:val="24"/>
          <w:u w:val="single"/>
        </w:rPr>
        <w:t>运行时，</w:t>
      </w:r>
      <w:r>
        <w:rPr>
          <w:rFonts w:ascii="Times New Roman" w:hAnsi="Times New Roman" w:eastAsia="宋体" w:cs="Times New Roman"/>
          <w:b/>
          <w:bCs/>
          <w:sz w:val="24"/>
          <w:u w:val="single"/>
        </w:rPr>
        <w:t>随着</w:t>
      </w:r>
      <w:r>
        <w:rPr>
          <w:rFonts w:hint="eastAsia" w:ascii="Times New Roman" w:hAnsi="Times New Roman" w:eastAsia="宋体" w:cs="Times New Roman"/>
          <w:b/>
          <w:bCs/>
          <w:sz w:val="24"/>
          <w:u w:val="single"/>
          <w:lang w:val="en-US" w:eastAsia="zh-CN"/>
        </w:rPr>
        <w:t>苯、</w:t>
      </w:r>
      <w:r>
        <w:rPr>
          <w:rFonts w:hint="eastAsia" w:cs="Times New Roman"/>
          <w:b/>
          <w:bCs/>
          <w:sz w:val="24"/>
          <w:u w:val="single"/>
        </w:rPr>
        <w:t>甲苯、二甲苯、非甲烷总烃</w:t>
      </w:r>
      <w:r>
        <w:rPr>
          <w:rFonts w:hint="eastAsia" w:ascii="Times New Roman" w:hAnsi="Times New Roman" w:eastAsia="宋体" w:cs="Times New Roman"/>
          <w:b/>
          <w:bCs/>
          <w:sz w:val="24"/>
          <w:u w:val="single"/>
        </w:rPr>
        <w:t>输入时间的延长，</w:t>
      </w:r>
      <w:r>
        <w:rPr>
          <w:rFonts w:ascii="Times New Roman" w:hAnsi="Times New Roman" w:eastAsia="宋体" w:cs="Times New Roman"/>
          <w:b/>
          <w:bCs/>
          <w:sz w:val="24"/>
          <w:u w:val="single"/>
        </w:rPr>
        <w:t>项目</w:t>
      </w:r>
      <w:r>
        <w:rPr>
          <w:rFonts w:hint="eastAsia" w:ascii="Times New Roman" w:hAnsi="Times New Roman" w:eastAsia="宋体" w:cs="Times New Roman"/>
          <w:b/>
          <w:bCs/>
          <w:sz w:val="24"/>
          <w:u w:val="single"/>
        </w:rPr>
        <w:t>所在地土壤的</w:t>
      </w:r>
      <w:r>
        <w:rPr>
          <w:rFonts w:hint="eastAsia" w:ascii="Times New Roman" w:hAnsi="Times New Roman" w:eastAsia="宋体" w:cs="Times New Roman"/>
          <w:b/>
          <w:bCs/>
          <w:sz w:val="24"/>
          <w:u w:val="single"/>
          <w:lang w:val="en-US" w:eastAsia="zh-CN"/>
        </w:rPr>
        <w:t>苯、</w:t>
      </w:r>
      <w:r>
        <w:rPr>
          <w:rFonts w:hint="eastAsia" w:cs="Times New Roman"/>
          <w:b/>
          <w:bCs/>
          <w:sz w:val="24"/>
          <w:u w:val="single"/>
        </w:rPr>
        <w:t>甲苯、二甲苯、非甲烷总烃</w:t>
      </w:r>
      <w:r>
        <w:rPr>
          <w:rFonts w:hint="eastAsia" w:ascii="Times New Roman" w:hAnsi="Times New Roman" w:eastAsia="宋体" w:cs="Times New Roman"/>
          <w:b/>
          <w:bCs/>
          <w:sz w:val="24"/>
          <w:u w:val="single"/>
        </w:rPr>
        <w:t>有所增加，但是贡献值较小，运行</w:t>
      </w:r>
      <w:r>
        <w:rPr>
          <w:rFonts w:ascii="Times New Roman" w:hAnsi="Times New Roman" w:eastAsia="宋体" w:cs="Times New Roman"/>
          <w:b/>
          <w:bCs/>
          <w:sz w:val="24"/>
          <w:u w:val="single"/>
        </w:rPr>
        <w:t>10</w:t>
      </w:r>
      <w:r>
        <w:rPr>
          <w:rFonts w:hint="eastAsia" w:ascii="Times New Roman" w:hAnsi="Times New Roman" w:eastAsia="宋体" w:cs="Times New Roman"/>
          <w:b/>
          <w:bCs/>
          <w:sz w:val="24"/>
          <w:u w:val="single"/>
        </w:rPr>
        <w:t>年后，</w:t>
      </w:r>
      <w:r>
        <w:rPr>
          <w:rFonts w:hint="eastAsia" w:ascii="Times New Roman" w:hAnsi="Times New Roman" w:eastAsia="宋体" w:cs="Times New Roman"/>
          <w:b/>
          <w:bCs/>
          <w:sz w:val="24"/>
          <w:u w:val="single"/>
          <w:lang w:val="en-US" w:eastAsia="zh-CN"/>
        </w:rPr>
        <w:t>苯、</w:t>
      </w:r>
      <w:r>
        <w:rPr>
          <w:rFonts w:hint="eastAsia" w:cs="Times New Roman"/>
          <w:b/>
          <w:bCs/>
          <w:sz w:val="24"/>
          <w:u w:val="single"/>
        </w:rPr>
        <w:t>甲苯、二甲苯、非甲烷总烃</w:t>
      </w:r>
      <w:r>
        <w:rPr>
          <w:rFonts w:hint="eastAsia" w:ascii="Times New Roman" w:hAnsi="Times New Roman" w:eastAsia="宋体" w:cs="Times New Roman"/>
          <w:b/>
          <w:bCs/>
          <w:sz w:val="24"/>
          <w:u w:val="single"/>
        </w:rPr>
        <w:t>在土壤中的累积远小于土壤标准值，即，项目评价范围内土壤</w:t>
      </w:r>
      <w:r>
        <w:rPr>
          <w:rFonts w:hint="eastAsia" w:ascii="Times New Roman" w:hAnsi="Times New Roman" w:eastAsia="宋体" w:cs="Times New Roman"/>
          <w:b/>
          <w:bCs/>
          <w:sz w:val="24"/>
          <w:u w:val="single"/>
          <w:lang w:val="en-US" w:eastAsia="zh-CN"/>
        </w:rPr>
        <w:t>苯、</w:t>
      </w:r>
      <w:r>
        <w:rPr>
          <w:rFonts w:hint="eastAsia" w:cs="Times New Roman"/>
          <w:b/>
          <w:bCs/>
          <w:sz w:val="24"/>
          <w:u w:val="single"/>
        </w:rPr>
        <w:t>甲苯、二甲苯、非甲烷总烃</w:t>
      </w:r>
      <w:r>
        <w:rPr>
          <w:rFonts w:hint="eastAsia" w:ascii="Times New Roman" w:hAnsi="Times New Roman" w:eastAsia="宋体" w:cs="Times New Roman"/>
          <w:b/>
          <w:bCs/>
          <w:kern w:val="0"/>
          <w:sz w:val="24"/>
          <w:szCs w:val="21"/>
          <w:u w:val="single"/>
        </w:rPr>
        <w:t>的预测值能满足《</w:t>
      </w:r>
      <w:r>
        <w:rPr>
          <w:rFonts w:ascii="Times New Roman" w:hAnsi="Times New Roman" w:eastAsia="宋体" w:cs="Times New Roman"/>
          <w:b/>
          <w:bCs/>
          <w:kern w:val="0"/>
          <w:sz w:val="24"/>
          <w:szCs w:val="21"/>
          <w:u w:val="single"/>
        </w:rPr>
        <w:t>土壤</w:t>
      </w:r>
      <w:r>
        <w:rPr>
          <w:rFonts w:hint="eastAsia" w:ascii="Times New Roman" w:hAnsi="Times New Roman" w:eastAsia="宋体" w:cs="Times New Roman"/>
          <w:b/>
          <w:bCs/>
          <w:kern w:val="0"/>
          <w:sz w:val="24"/>
          <w:szCs w:val="21"/>
          <w:u w:val="single"/>
        </w:rPr>
        <w:t>环境质量 建设用地土壤污染风险管控标准（</w:t>
      </w:r>
      <w:r>
        <w:rPr>
          <w:rFonts w:ascii="Times New Roman" w:hAnsi="Times New Roman" w:eastAsia="宋体" w:cs="Times New Roman"/>
          <w:b/>
          <w:bCs/>
          <w:kern w:val="0"/>
          <w:sz w:val="24"/>
          <w:szCs w:val="21"/>
          <w:u w:val="single"/>
        </w:rPr>
        <w:t>试行</w:t>
      </w:r>
      <w:r>
        <w:rPr>
          <w:rFonts w:hint="eastAsia" w:ascii="Times New Roman" w:hAnsi="Times New Roman" w:eastAsia="宋体" w:cs="Times New Roman"/>
          <w:b/>
          <w:bCs/>
          <w:kern w:val="0"/>
          <w:sz w:val="24"/>
          <w:szCs w:val="21"/>
          <w:u w:val="single"/>
        </w:rPr>
        <w:t>）</w:t>
      </w:r>
      <w:r>
        <w:rPr>
          <w:rFonts w:ascii="Times New Roman" w:hAnsi="Times New Roman" w:eastAsia="宋体" w:cs="Times New Roman"/>
          <w:b/>
          <w:bCs/>
          <w:kern w:val="0"/>
          <w:sz w:val="24"/>
          <w:szCs w:val="21"/>
          <w:u w:val="single"/>
        </w:rPr>
        <w:t>》（</w:t>
      </w:r>
      <w:r>
        <w:rPr>
          <w:rFonts w:hint="eastAsia" w:ascii="Times New Roman" w:hAnsi="Times New Roman" w:eastAsia="宋体" w:cs="Times New Roman"/>
          <w:b/>
          <w:bCs/>
          <w:kern w:val="0"/>
          <w:sz w:val="24"/>
          <w:szCs w:val="21"/>
          <w:u w:val="single"/>
        </w:rPr>
        <w:t>GB36600-2018）</w:t>
      </w:r>
      <w:r>
        <w:rPr>
          <w:rFonts w:ascii="Times New Roman" w:hAnsi="Times New Roman" w:eastAsia="宋体" w:cs="Times New Roman"/>
          <w:b/>
          <w:bCs/>
          <w:kern w:val="0"/>
          <w:sz w:val="24"/>
          <w:szCs w:val="21"/>
          <w:u w:val="single"/>
        </w:rPr>
        <w:t>第二类</w:t>
      </w:r>
      <w:r>
        <w:rPr>
          <w:rFonts w:hint="eastAsia" w:ascii="Times New Roman" w:hAnsi="Times New Roman" w:eastAsia="宋体" w:cs="Times New Roman"/>
          <w:b/>
          <w:bCs/>
          <w:kern w:val="0"/>
          <w:sz w:val="24"/>
          <w:szCs w:val="21"/>
          <w:u w:val="single"/>
        </w:rPr>
        <w:t>土壤污染风险筛选值。</w:t>
      </w:r>
      <w:r>
        <w:rPr>
          <w:rFonts w:ascii="Times New Roman" w:hAnsi="Times New Roman" w:eastAsia="宋体" w:cs="Times New Roman"/>
          <w:b/>
          <w:bCs/>
          <w:kern w:val="0"/>
          <w:sz w:val="24"/>
          <w:szCs w:val="21"/>
          <w:u w:val="single"/>
        </w:rPr>
        <w:t>因此</w:t>
      </w:r>
      <w:r>
        <w:rPr>
          <w:rFonts w:hint="eastAsia" w:ascii="Times New Roman" w:hAnsi="Times New Roman" w:eastAsia="宋体" w:cs="Times New Roman"/>
          <w:b/>
          <w:bCs/>
          <w:kern w:val="0"/>
          <w:sz w:val="24"/>
          <w:szCs w:val="21"/>
          <w:u w:val="single"/>
        </w:rPr>
        <w:t>，</w:t>
      </w:r>
      <w:r>
        <w:rPr>
          <w:rFonts w:ascii="Times New Roman" w:hAnsi="Times New Roman" w:eastAsia="宋体" w:cs="Times New Roman"/>
          <w:b/>
          <w:bCs/>
          <w:kern w:val="0"/>
          <w:sz w:val="24"/>
          <w:szCs w:val="21"/>
          <w:u w:val="single"/>
        </w:rPr>
        <w:t>本项目</w:t>
      </w:r>
      <w:r>
        <w:rPr>
          <w:rFonts w:hint="eastAsia" w:ascii="Times New Roman" w:hAnsi="Times New Roman" w:eastAsia="宋体" w:cs="Times New Roman"/>
          <w:b/>
          <w:bCs/>
          <w:sz w:val="24"/>
          <w:u w:val="single"/>
          <w:lang w:val="en-US" w:eastAsia="zh-CN"/>
        </w:rPr>
        <w:t>苯、</w:t>
      </w:r>
      <w:r>
        <w:rPr>
          <w:rFonts w:hint="eastAsia" w:cs="Times New Roman"/>
          <w:b/>
          <w:bCs/>
          <w:sz w:val="24"/>
          <w:u w:val="single"/>
        </w:rPr>
        <w:t>甲苯、二甲苯、非甲烷总烃</w:t>
      </w:r>
      <w:r>
        <w:rPr>
          <w:rFonts w:hint="eastAsia" w:ascii="Times New Roman" w:hAnsi="Times New Roman" w:eastAsia="宋体" w:cs="Times New Roman"/>
          <w:b/>
          <w:bCs/>
          <w:kern w:val="0"/>
          <w:sz w:val="24"/>
          <w:szCs w:val="21"/>
          <w:u w:val="single"/>
        </w:rPr>
        <w:t>基本</w:t>
      </w:r>
      <w:r>
        <w:rPr>
          <w:rFonts w:hint="eastAsia" w:ascii="Times New Roman" w:hAnsi="Times New Roman" w:eastAsia="宋体" w:cs="Times New Roman"/>
          <w:b/>
          <w:bCs/>
          <w:sz w:val="24"/>
          <w:u w:val="single"/>
        </w:rPr>
        <w:t>不会对周边土壤产生明显影响。</w:t>
      </w:r>
    </w:p>
    <w:p w14:paraId="58F562C5">
      <w:pPr>
        <w:keepNext/>
        <w:keepLines/>
        <w:numPr>
          <w:ilvl w:val="2"/>
          <w:numId w:val="69"/>
        </w:numPr>
        <w:spacing w:line="360" w:lineRule="auto"/>
        <w:outlineLvl w:val="2"/>
        <w:rPr>
          <w:rFonts w:ascii="Times New Roman" w:hAnsi="Times New Roman" w:eastAsia="宋体" w:cs="Times New Roman"/>
          <w:b/>
          <w:sz w:val="28"/>
          <w:szCs w:val="28"/>
        </w:rPr>
      </w:pPr>
      <w:r>
        <w:rPr>
          <w:rFonts w:ascii="Times New Roman" w:hAnsi="Times New Roman" w:eastAsia="宋体" w:cs="Times New Roman"/>
          <w:b/>
          <w:sz w:val="28"/>
          <w:szCs w:val="28"/>
        </w:rPr>
        <w:t>预测评价结论</w:t>
      </w:r>
    </w:p>
    <w:p w14:paraId="465A1D9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综合上述分析及预测结果，污水处理站、生产车间各建构筑物按要求做好防渗措施，危险废物储存区等均严格按照《危险废物贮存污染控制标准》（GB18597-20</w:t>
      </w:r>
      <w:r>
        <w:rPr>
          <w:rFonts w:hint="eastAsia" w:ascii="Times New Roman" w:hAnsi="Times New Roman" w:eastAsia="宋体" w:cs="Times New Roman"/>
          <w:sz w:val="24"/>
        </w:rPr>
        <w:t>23</w:t>
      </w:r>
      <w:r>
        <w:rPr>
          <w:rFonts w:ascii="Times New Roman" w:hAnsi="Times New Roman" w:eastAsia="宋体" w:cs="Times New Roman"/>
          <w:sz w:val="24"/>
        </w:rPr>
        <w:t>）有关规范设计，建设项目对周边土壤的影响较小；从预测结果看，本项目废气排放对周边</w:t>
      </w:r>
      <w:r>
        <w:rPr>
          <w:rFonts w:hint="eastAsia" w:ascii="Times New Roman" w:hAnsi="Times New Roman" w:eastAsia="宋体" w:cs="Times New Roman"/>
          <w:sz w:val="24"/>
        </w:rPr>
        <w:t>环境</w:t>
      </w:r>
      <w:r>
        <w:rPr>
          <w:rFonts w:ascii="Times New Roman" w:hAnsi="Times New Roman" w:eastAsia="宋体" w:cs="Times New Roman"/>
          <w:sz w:val="24"/>
        </w:rPr>
        <w:t>的贡献浓度很低，运行</w:t>
      </w:r>
      <w:r>
        <w:rPr>
          <w:rFonts w:hint="eastAsia" w:ascii="Times New Roman" w:hAnsi="Times New Roman" w:eastAsia="宋体" w:cs="Times New Roman"/>
          <w:sz w:val="24"/>
        </w:rPr>
        <w:t>10</w:t>
      </w:r>
      <w:r>
        <w:rPr>
          <w:rFonts w:ascii="Times New Roman" w:hAnsi="Times New Roman" w:eastAsia="宋体" w:cs="Times New Roman"/>
          <w:sz w:val="24"/>
        </w:rPr>
        <w:t>至</w:t>
      </w:r>
      <w:r>
        <w:rPr>
          <w:rFonts w:hint="eastAsia" w:ascii="Times New Roman" w:hAnsi="Times New Roman" w:eastAsia="宋体" w:cs="Times New Roman"/>
          <w:sz w:val="24"/>
        </w:rPr>
        <w:t>30</w:t>
      </w:r>
      <w:r>
        <w:rPr>
          <w:rFonts w:ascii="Times New Roman" w:hAnsi="Times New Roman" w:eastAsia="宋体" w:cs="Times New Roman"/>
          <w:sz w:val="24"/>
        </w:rPr>
        <w:t>年后，</w:t>
      </w:r>
      <w:r>
        <w:rPr>
          <w:rFonts w:hint="eastAsia" w:ascii="Times New Roman" w:hAnsi="Times New Roman" w:eastAsia="宋体" w:cs="Times New Roman"/>
          <w:sz w:val="24"/>
        </w:rPr>
        <w:t>甲苯、二甲苯、</w:t>
      </w:r>
      <w:r>
        <w:rPr>
          <w:rFonts w:hint="eastAsia" w:ascii="Times New Roman" w:hAnsi="Times New Roman" w:eastAsia="宋体" w:cs="Times New Roman"/>
          <w:kern w:val="0"/>
          <w:sz w:val="24"/>
        </w:rPr>
        <w:t>非甲烷总烃</w:t>
      </w:r>
      <w:r>
        <w:rPr>
          <w:rFonts w:ascii="Times New Roman" w:hAnsi="Times New Roman" w:eastAsia="宋体" w:cs="Times New Roman"/>
          <w:sz w:val="24"/>
        </w:rPr>
        <w:t>在土壤中的累积较小，因此，本建设项目生产过程中废气的排放不会对周边土壤产生明显影响。</w:t>
      </w:r>
    </w:p>
    <w:p w14:paraId="2595DFB4">
      <w:pPr>
        <w:numPr>
          <w:ilvl w:val="0"/>
          <w:numId w:val="71"/>
        </w:numPr>
        <w:autoSpaceDE w:val="0"/>
        <w:autoSpaceDN w:val="0"/>
        <w:adjustRightInd w:val="0"/>
        <w:spacing w:line="360" w:lineRule="auto"/>
        <w:jc w:val="center"/>
        <w:textAlignment w:val="baseline"/>
        <w:rPr>
          <w:rFonts w:ascii="Times New Roman" w:hAnsi="Times New Roman" w:eastAsia="宋体" w:cs="Times New Roman"/>
          <w:b/>
          <w:bCs/>
          <w:szCs w:val="22"/>
        </w:rPr>
      </w:pPr>
      <w:r>
        <w:rPr>
          <w:rFonts w:ascii="Times New Roman" w:hAnsi="Times New Roman" w:eastAsia="宋体" w:cs="Times New Roman"/>
          <w:b/>
          <w:bCs/>
          <w:szCs w:val="22"/>
        </w:rPr>
        <w:t xml:space="preserve"> 土壤环境影响评价自查表</w:t>
      </w:r>
    </w:p>
    <w:tbl>
      <w:tblPr>
        <w:tblStyle w:val="30"/>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4"/>
        <w:gridCol w:w="1456"/>
        <w:gridCol w:w="1201"/>
        <w:gridCol w:w="1132"/>
        <w:gridCol w:w="1446"/>
        <w:gridCol w:w="317"/>
        <w:gridCol w:w="1631"/>
        <w:gridCol w:w="858"/>
      </w:tblGrid>
      <w:tr w14:paraId="34F0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1980" w:type="dxa"/>
            <w:gridSpan w:val="2"/>
            <w:vAlign w:val="center"/>
          </w:tcPr>
          <w:p w14:paraId="53D8D60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工作内容</w:t>
            </w:r>
          </w:p>
        </w:tc>
        <w:tc>
          <w:tcPr>
            <w:tcW w:w="5727" w:type="dxa"/>
            <w:gridSpan w:val="5"/>
            <w:vAlign w:val="center"/>
          </w:tcPr>
          <w:p w14:paraId="1B4B282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完成情况</w:t>
            </w:r>
          </w:p>
        </w:tc>
        <w:tc>
          <w:tcPr>
            <w:tcW w:w="858" w:type="dxa"/>
            <w:vAlign w:val="center"/>
          </w:tcPr>
          <w:p w14:paraId="6FC59A1A">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备注</w:t>
            </w:r>
          </w:p>
        </w:tc>
      </w:tr>
      <w:tr w14:paraId="1807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524" w:type="dxa"/>
            <w:vMerge w:val="restart"/>
            <w:vAlign w:val="center"/>
          </w:tcPr>
          <w:p w14:paraId="457CD1B3">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影响</w:t>
            </w:r>
          </w:p>
          <w:p w14:paraId="31159F00">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识别</w:t>
            </w:r>
          </w:p>
        </w:tc>
        <w:tc>
          <w:tcPr>
            <w:tcW w:w="1456" w:type="dxa"/>
            <w:vAlign w:val="center"/>
          </w:tcPr>
          <w:p w14:paraId="6CA44CB7">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影响类型</w:t>
            </w:r>
          </w:p>
        </w:tc>
        <w:tc>
          <w:tcPr>
            <w:tcW w:w="5727" w:type="dxa"/>
            <w:gridSpan w:val="5"/>
            <w:vAlign w:val="center"/>
          </w:tcPr>
          <w:p w14:paraId="452CF62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污染影响型</w:t>
            </w:r>
            <w:r>
              <w:rPr>
                <w:rFonts w:ascii="Times New Roman" w:hAnsi="Times New Roman" w:eastAsia="宋体" w:cs="Times New Roman"/>
                <w:szCs w:val="21"/>
              </w:rPr>
              <w:sym w:font="Wingdings 2" w:char="F052"/>
            </w:r>
            <w:r>
              <w:rPr>
                <w:rFonts w:ascii="Times New Roman" w:hAnsi="Times New Roman" w:eastAsia="宋体" w:cs="Times New Roman"/>
                <w:szCs w:val="21"/>
              </w:rPr>
              <w:t>；生态影响型□；两种兼有□</w:t>
            </w:r>
          </w:p>
        </w:tc>
        <w:tc>
          <w:tcPr>
            <w:tcW w:w="858" w:type="dxa"/>
            <w:vAlign w:val="center"/>
          </w:tcPr>
          <w:p w14:paraId="1FE2A378">
            <w:pPr>
              <w:widowControl/>
              <w:snapToGrid w:val="0"/>
              <w:jc w:val="center"/>
              <w:rPr>
                <w:rFonts w:ascii="Times New Roman" w:hAnsi="Times New Roman" w:eastAsia="宋体" w:cs="Times New Roman"/>
                <w:szCs w:val="21"/>
              </w:rPr>
            </w:pPr>
          </w:p>
        </w:tc>
      </w:tr>
      <w:tr w14:paraId="299D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24" w:type="dxa"/>
            <w:vMerge w:val="continue"/>
            <w:vAlign w:val="center"/>
          </w:tcPr>
          <w:p w14:paraId="0C6FF044">
            <w:pPr>
              <w:widowControl/>
              <w:jc w:val="left"/>
              <w:rPr>
                <w:rFonts w:ascii="Times New Roman" w:hAnsi="Times New Roman" w:eastAsia="宋体" w:cs="Times New Roman"/>
                <w:szCs w:val="21"/>
              </w:rPr>
            </w:pPr>
          </w:p>
        </w:tc>
        <w:tc>
          <w:tcPr>
            <w:tcW w:w="1456" w:type="dxa"/>
            <w:vAlign w:val="center"/>
          </w:tcPr>
          <w:p w14:paraId="65AFA603">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土地利用类型</w:t>
            </w:r>
          </w:p>
        </w:tc>
        <w:tc>
          <w:tcPr>
            <w:tcW w:w="5727" w:type="dxa"/>
            <w:gridSpan w:val="5"/>
            <w:vAlign w:val="center"/>
          </w:tcPr>
          <w:p w14:paraId="3D71B6F3">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建设用地</w:t>
            </w:r>
            <w:r>
              <w:rPr>
                <w:rFonts w:ascii="Times New Roman" w:hAnsi="Times New Roman" w:eastAsia="宋体" w:cs="Times New Roman"/>
                <w:szCs w:val="21"/>
              </w:rPr>
              <w:sym w:font="Wingdings 2" w:char="F052"/>
            </w:r>
            <w:r>
              <w:rPr>
                <w:rFonts w:ascii="Times New Roman" w:hAnsi="Times New Roman" w:eastAsia="宋体" w:cs="Times New Roman"/>
                <w:szCs w:val="21"/>
              </w:rPr>
              <w:t>；农用地</w:t>
            </w:r>
            <w:r>
              <w:rPr>
                <w:rFonts w:ascii="Times New Roman" w:hAnsi="Times New Roman" w:eastAsia="宋体" w:cs="Times New Roman"/>
                <w:szCs w:val="21"/>
              </w:rPr>
              <w:sym w:font="Wingdings 2" w:char="00A3"/>
            </w:r>
            <w:r>
              <w:rPr>
                <w:rFonts w:ascii="Times New Roman" w:hAnsi="Times New Roman" w:eastAsia="宋体" w:cs="Times New Roman"/>
                <w:szCs w:val="21"/>
              </w:rPr>
              <w:t>；未利用地□</w:t>
            </w:r>
          </w:p>
        </w:tc>
        <w:tc>
          <w:tcPr>
            <w:tcW w:w="858" w:type="dxa"/>
            <w:vAlign w:val="center"/>
          </w:tcPr>
          <w:p w14:paraId="0E520913">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土地利用类型图</w:t>
            </w:r>
          </w:p>
        </w:tc>
      </w:tr>
      <w:tr w14:paraId="22FB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524" w:type="dxa"/>
            <w:vMerge w:val="continue"/>
            <w:vAlign w:val="center"/>
          </w:tcPr>
          <w:p w14:paraId="7C0B5420">
            <w:pPr>
              <w:widowControl/>
              <w:jc w:val="left"/>
              <w:rPr>
                <w:rFonts w:ascii="Times New Roman" w:hAnsi="Times New Roman" w:eastAsia="宋体" w:cs="Times New Roman"/>
                <w:szCs w:val="21"/>
              </w:rPr>
            </w:pPr>
          </w:p>
        </w:tc>
        <w:tc>
          <w:tcPr>
            <w:tcW w:w="1456" w:type="dxa"/>
            <w:vAlign w:val="center"/>
          </w:tcPr>
          <w:p w14:paraId="2878C213">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占地规模</w:t>
            </w:r>
          </w:p>
        </w:tc>
        <w:tc>
          <w:tcPr>
            <w:tcW w:w="5727" w:type="dxa"/>
            <w:gridSpan w:val="5"/>
            <w:vAlign w:val="center"/>
          </w:tcPr>
          <w:p w14:paraId="644407FD">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cs="Times New Roman"/>
                <w:szCs w:val="21"/>
              </w:rPr>
              <w:t>0.8</w:t>
            </w:r>
            <w:r>
              <w:rPr>
                <w:rFonts w:ascii="Times New Roman" w:hAnsi="Times New Roman" w:eastAsia="宋体" w:cs="Times New Roman"/>
                <w:szCs w:val="21"/>
              </w:rPr>
              <w:t>）hm</w:t>
            </w:r>
            <w:r>
              <w:rPr>
                <w:rFonts w:ascii="Times New Roman" w:hAnsi="Times New Roman" w:eastAsia="宋体" w:cs="Times New Roman"/>
                <w:szCs w:val="21"/>
                <w:vertAlign w:val="superscript"/>
              </w:rPr>
              <w:t>2</w:t>
            </w:r>
          </w:p>
        </w:tc>
        <w:tc>
          <w:tcPr>
            <w:tcW w:w="858" w:type="dxa"/>
            <w:vAlign w:val="center"/>
          </w:tcPr>
          <w:p w14:paraId="45B4B2C0">
            <w:pPr>
              <w:widowControl/>
              <w:snapToGrid w:val="0"/>
              <w:jc w:val="center"/>
              <w:rPr>
                <w:rFonts w:ascii="Times New Roman" w:hAnsi="Times New Roman" w:eastAsia="宋体" w:cs="Times New Roman"/>
                <w:szCs w:val="21"/>
              </w:rPr>
            </w:pPr>
          </w:p>
        </w:tc>
      </w:tr>
      <w:tr w14:paraId="5489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4" w:type="dxa"/>
            <w:vMerge w:val="continue"/>
            <w:vAlign w:val="center"/>
          </w:tcPr>
          <w:p w14:paraId="3E3AC163">
            <w:pPr>
              <w:widowControl/>
              <w:jc w:val="left"/>
              <w:rPr>
                <w:rFonts w:ascii="Times New Roman" w:hAnsi="Times New Roman" w:eastAsia="宋体" w:cs="Times New Roman"/>
                <w:szCs w:val="21"/>
              </w:rPr>
            </w:pPr>
          </w:p>
        </w:tc>
        <w:tc>
          <w:tcPr>
            <w:tcW w:w="1456" w:type="dxa"/>
            <w:vAlign w:val="center"/>
          </w:tcPr>
          <w:p w14:paraId="5867C7D3">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敏感目标信息</w:t>
            </w:r>
          </w:p>
        </w:tc>
        <w:tc>
          <w:tcPr>
            <w:tcW w:w="5727" w:type="dxa"/>
            <w:gridSpan w:val="5"/>
            <w:vAlign w:val="center"/>
          </w:tcPr>
          <w:p w14:paraId="64A462A7">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敏感目标（  ）、方位（  ）、距离（  ）</w:t>
            </w:r>
          </w:p>
        </w:tc>
        <w:tc>
          <w:tcPr>
            <w:tcW w:w="858" w:type="dxa"/>
            <w:vAlign w:val="center"/>
          </w:tcPr>
          <w:p w14:paraId="6E3538CB">
            <w:pPr>
              <w:widowControl/>
              <w:snapToGrid w:val="0"/>
              <w:jc w:val="center"/>
              <w:rPr>
                <w:rFonts w:ascii="Times New Roman" w:hAnsi="Times New Roman" w:eastAsia="宋体" w:cs="Times New Roman"/>
                <w:szCs w:val="21"/>
              </w:rPr>
            </w:pPr>
          </w:p>
        </w:tc>
      </w:tr>
      <w:tr w14:paraId="3F19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4" w:type="dxa"/>
            <w:vMerge w:val="continue"/>
            <w:vAlign w:val="center"/>
          </w:tcPr>
          <w:p w14:paraId="01BBCBA9">
            <w:pPr>
              <w:widowControl/>
              <w:jc w:val="left"/>
              <w:rPr>
                <w:rFonts w:ascii="Times New Roman" w:hAnsi="Times New Roman" w:eastAsia="宋体" w:cs="Times New Roman"/>
                <w:szCs w:val="21"/>
              </w:rPr>
            </w:pPr>
          </w:p>
        </w:tc>
        <w:tc>
          <w:tcPr>
            <w:tcW w:w="1456" w:type="dxa"/>
            <w:vAlign w:val="center"/>
          </w:tcPr>
          <w:p w14:paraId="0C2AFA87">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影响途径</w:t>
            </w:r>
          </w:p>
        </w:tc>
        <w:tc>
          <w:tcPr>
            <w:tcW w:w="5727" w:type="dxa"/>
            <w:gridSpan w:val="5"/>
            <w:vAlign w:val="center"/>
          </w:tcPr>
          <w:p w14:paraId="1E38277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大气沉降</w:t>
            </w:r>
            <w:r>
              <w:rPr>
                <w:rFonts w:ascii="Times New Roman" w:hAnsi="Times New Roman" w:eastAsia="宋体" w:cs="Times New Roman"/>
                <w:szCs w:val="21"/>
              </w:rPr>
              <w:sym w:font="Wingdings 2" w:char="F052"/>
            </w:r>
            <w:r>
              <w:rPr>
                <w:rFonts w:ascii="Times New Roman" w:hAnsi="Times New Roman" w:eastAsia="宋体" w:cs="Times New Roman"/>
                <w:szCs w:val="21"/>
              </w:rPr>
              <w:t>；地面漫流</w:t>
            </w:r>
            <w:r>
              <w:rPr>
                <w:rFonts w:ascii="Times New Roman" w:hAnsi="Times New Roman" w:eastAsia="宋体" w:cs="Times New Roman"/>
                <w:szCs w:val="21"/>
              </w:rPr>
              <w:sym w:font="Wingdings 2" w:char="F0A3"/>
            </w:r>
            <w:r>
              <w:rPr>
                <w:rFonts w:ascii="Times New Roman" w:hAnsi="Times New Roman" w:eastAsia="宋体" w:cs="Times New Roman"/>
                <w:szCs w:val="21"/>
              </w:rPr>
              <w:t>；垂直入渗</w:t>
            </w:r>
            <w:r>
              <w:rPr>
                <w:rFonts w:ascii="Times New Roman" w:hAnsi="Times New Roman" w:eastAsia="宋体" w:cs="Times New Roman"/>
                <w:szCs w:val="21"/>
              </w:rPr>
              <w:sym w:font="Wingdings 2" w:char="F052"/>
            </w:r>
            <w:r>
              <w:rPr>
                <w:rFonts w:ascii="Times New Roman" w:hAnsi="Times New Roman" w:eastAsia="宋体" w:cs="Times New Roman"/>
                <w:szCs w:val="21"/>
              </w:rPr>
              <w:t>；地下水位</w:t>
            </w:r>
            <w:r>
              <w:rPr>
                <w:rFonts w:ascii="Times New Roman" w:hAnsi="Times New Roman" w:eastAsia="宋体" w:cs="Times New Roman"/>
                <w:szCs w:val="21"/>
              </w:rPr>
              <w:sym w:font="Wingdings 2" w:char="F0A3"/>
            </w:r>
            <w:r>
              <w:rPr>
                <w:rFonts w:ascii="Times New Roman" w:hAnsi="Times New Roman" w:eastAsia="宋体" w:cs="Times New Roman"/>
                <w:szCs w:val="21"/>
              </w:rPr>
              <w:t>；其他（）</w:t>
            </w:r>
          </w:p>
        </w:tc>
        <w:tc>
          <w:tcPr>
            <w:tcW w:w="858" w:type="dxa"/>
            <w:vAlign w:val="center"/>
          </w:tcPr>
          <w:p w14:paraId="0331F991">
            <w:pPr>
              <w:widowControl/>
              <w:snapToGrid w:val="0"/>
              <w:jc w:val="center"/>
              <w:rPr>
                <w:rFonts w:ascii="Times New Roman" w:hAnsi="Times New Roman" w:eastAsia="宋体" w:cs="Times New Roman"/>
                <w:szCs w:val="21"/>
              </w:rPr>
            </w:pPr>
          </w:p>
        </w:tc>
      </w:tr>
      <w:tr w14:paraId="46CC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4" w:type="dxa"/>
            <w:vMerge w:val="continue"/>
            <w:vAlign w:val="center"/>
          </w:tcPr>
          <w:p w14:paraId="6CEC73AA">
            <w:pPr>
              <w:widowControl/>
              <w:jc w:val="left"/>
              <w:rPr>
                <w:rFonts w:ascii="Times New Roman" w:hAnsi="Times New Roman" w:eastAsia="宋体" w:cs="Times New Roman"/>
                <w:szCs w:val="21"/>
              </w:rPr>
            </w:pPr>
          </w:p>
        </w:tc>
        <w:tc>
          <w:tcPr>
            <w:tcW w:w="1456" w:type="dxa"/>
            <w:vAlign w:val="center"/>
          </w:tcPr>
          <w:p w14:paraId="0A29517A">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全部污染物</w:t>
            </w:r>
          </w:p>
        </w:tc>
        <w:tc>
          <w:tcPr>
            <w:tcW w:w="5727" w:type="dxa"/>
            <w:gridSpan w:val="5"/>
            <w:vAlign w:val="center"/>
          </w:tcPr>
          <w:p w14:paraId="21CBD9D5">
            <w:pPr>
              <w:widowControl/>
              <w:snapToGrid w:val="0"/>
              <w:jc w:val="center"/>
              <w:rPr>
                <w:rFonts w:ascii="Times New Roman" w:hAnsi="Times New Roman" w:eastAsia="宋体" w:cs="Times New Roman"/>
                <w:szCs w:val="21"/>
              </w:rPr>
            </w:pPr>
            <w:r>
              <w:rPr>
                <w:rFonts w:hint="eastAsia" w:ascii="Times New Roman" w:hAnsi="Times New Roman" w:cs="Times New Roman"/>
                <w:bCs/>
                <w:szCs w:val="21"/>
              </w:rPr>
              <w:t>颗粒物、</w:t>
            </w:r>
            <w:r>
              <w:rPr>
                <w:rFonts w:hint="eastAsia" w:ascii="Times New Roman" w:hAnsi="Times New Roman" w:cs="Times New Roman"/>
                <w:bCs/>
                <w:szCs w:val="21"/>
                <w:lang w:val="en-US" w:eastAsia="zh-CN"/>
              </w:rPr>
              <w:t>苯、</w:t>
            </w:r>
            <w:r>
              <w:rPr>
                <w:rFonts w:hint="eastAsia" w:ascii="Times New Roman" w:hAnsi="Times New Roman" w:cs="Times New Roman"/>
                <w:bCs/>
                <w:szCs w:val="21"/>
              </w:rPr>
              <w:t>甲苯、二甲苯</w:t>
            </w:r>
            <w:r>
              <w:rPr>
                <w:rFonts w:ascii="Times New Roman" w:hAnsi="Times New Roman" w:cs="Times New Roman"/>
                <w:bCs/>
                <w:szCs w:val="21"/>
              </w:rPr>
              <w:t>、</w:t>
            </w:r>
            <w:r>
              <w:rPr>
                <w:rFonts w:ascii="Times New Roman" w:hAnsi="Times New Roman" w:eastAsia="宋体" w:cs="Times New Roman"/>
                <w:color w:val="000000"/>
                <w:szCs w:val="21"/>
              </w:rPr>
              <w:t>非甲烷总烃</w:t>
            </w:r>
          </w:p>
        </w:tc>
        <w:tc>
          <w:tcPr>
            <w:tcW w:w="858" w:type="dxa"/>
            <w:vAlign w:val="center"/>
          </w:tcPr>
          <w:p w14:paraId="5E4CC6E6">
            <w:pPr>
              <w:widowControl/>
              <w:snapToGrid w:val="0"/>
              <w:jc w:val="center"/>
              <w:rPr>
                <w:rFonts w:ascii="Times New Roman" w:hAnsi="Times New Roman" w:eastAsia="宋体" w:cs="Times New Roman"/>
                <w:szCs w:val="21"/>
              </w:rPr>
            </w:pPr>
          </w:p>
        </w:tc>
      </w:tr>
      <w:tr w14:paraId="011D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4" w:type="dxa"/>
            <w:vMerge w:val="continue"/>
            <w:vAlign w:val="center"/>
          </w:tcPr>
          <w:p w14:paraId="4D2464D7">
            <w:pPr>
              <w:widowControl/>
              <w:jc w:val="left"/>
              <w:rPr>
                <w:rFonts w:ascii="Times New Roman" w:hAnsi="Times New Roman" w:eastAsia="宋体" w:cs="Times New Roman"/>
                <w:szCs w:val="21"/>
              </w:rPr>
            </w:pPr>
          </w:p>
        </w:tc>
        <w:tc>
          <w:tcPr>
            <w:tcW w:w="1456" w:type="dxa"/>
            <w:vAlign w:val="center"/>
          </w:tcPr>
          <w:p w14:paraId="2227F895">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特征因子</w:t>
            </w:r>
          </w:p>
        </w:tc>
        <w:tc>
          <w:tcPr>
            <w:tcW w:w="5727" w:type="dxa"/>
            <w:gridSpan w:val="5"/>
            <w:vAlign w:val="center"/>
          </w:tcPr>
          <w:p w14:paraId="24828107">
            <w:pPr>
              <w:widowControl/>
              <w:snapToGrid w:val="0"/>
              <w:jc w:val="center"/>
              <w:rPr>
                <w:rFonts w:ascii="Times New Roman" w:hAnsi="Times New Roman" w:eastAsia="宋体" w:cs="Times New Roman"/>
                <w:szCs w:val="21"/>
              </w:rPr>
            </w:pPr>
            <w:r>
              <w:rPr>
                <w:rFonts w:hint="eastAsia" w:ascii="Times New Roman" w:hAnsi="Times New Roman" w:cs="Times New Roman"/>
                <w:bCs/>
                <w:szCs w:val="21"/>
                <w:lang w:val="en-US" w:eastAsia="zh-CN"/>
              </w:rPr>
              <w:t>苯、</w:t>
            </w:r>
            <w:r>
              <w:rPr>
                <w:rFonts w:hint="eastAsia" w:ascii="Times New Roman" w:hAnsi="Times New Roman" w:cs="Times New Roman"/>
                <w:bCs/>
                <w:szCs w:val="21"/>
              </w:rPr>
              <w:t>甲苯、二甲苯</w:t>
            </w:r>
            <w:r>
              <w:rPr>
                <w:rFonts w:ascii="Times New Roman" w:hAnsi="Times New Roman" w:cs="Times New Roman"/>
                <w:bCs/>
                <w:szCs w:val="21"/>
              </w:rPr>
              <w:t>、</w:t>
            </w:r>
            <w:r>
              <w:rPr>
                <w:rFonts w:ascii="Times New Roman" w:hAnsi="Times New Roman" w:eastAsia="宋体" w:cs="Times New Roman"/>
                <w:color w:val="000000"/>
                <w:szCs w:val="21"/>
              </w:rPr>
              <w:t>非甲烷总烃</w:t>
            </w:r>
          </w:p>
        </w:tc>
        <w:tc>
          <w:tcPr>
            <w:tcW w:w="858" w:type="dxa"/>
            <w:vAlign w:val="center"/>
          </w:tcPr>
          <w:p w14:paraId="2F79E13C">
            <w:pPr>
              <w:widowControl/>
              <w:snapToGrid w:val="0"/>
              <w:jc w:val="center"/>
              <w:rPr>
                <w:rFonts w:ascii="Times New Roman" w:hAnsi="Times New Roman" w:eastAsia="宋体" w:cs="Times New Roman"/>
                <w:szCs w:val="21"/>
              </w:rPr>
            </w:pPr>
          </w:p>
        </w:tc>
      </w:tr>
      <w:tr w14:paraId="7559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524" w:type="dxa"/>
            <w:vMerge w:val="continue"/>
            <w:vAlign w:val="center"/>
          </w:tcPr>
          <w:p w14:paraId="4013CC9C">
            <w:pPr>
              <w:widowControl/>
              <w:jc w:val="left"/>
              <w:rPr>
                <w:rFonts w:ascii="Times New Roman" w:hAnsi="Times New Roman" w:eastAsia="宋体" w:cs="Times New Roman"/>
                <w:szCs w:val="21"/>
              </w:rPr>
            </w:pPr>
          </w:p>
        </w:tc>
        <w:tc>
          <w:tcPr>
            <w:tcW w:w="1456" w:type="dxa"/>
            <w:vAlign w:val="center"/>
          </w:tcPr>
          <w:p w14:paraId="3C79E90C">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所属土壤环境影响评价项目类别</w:t>
            </w:r>
          </w:p>
        </w:tc>
        <w:tc>
          <w:tcPr>
            <w:tcW w:w="5727" w:type="dxa"/>
            <w:gridSpan w:val="5"/>
            <w:vAlign w:val="center"/>
          </w:tcPr>
          <w:p w14:paraId="59E84807">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Ⅰ类</w:t>
            </w:r>
            <w:r>
              <w:rPr>
                <w:rFonts w:ascii="Times New Roman" w:hAnsi="Times New Roman" w:eastAsia="宋体" w:cs="Times New Roman"/>
                <w:szCs w:val="21"/>
              </w:rPr>
              <w:sym w:font="Wingdings 2" w:char="0052"/>
            </w:r>
            <w:r>
              <w:rPr>
                <w:rFonts w:ascii="Times New Roman" w:hAnsi="Times New Roman" w:eastAsia="宋体" w:cs="Times New Roman"/>
                <w:szCs w:val="21"/>
              </w:rPr>
              <w:t>；Ⅱ类</w:t>
            </w:r>
            <w:r>
              <w:rPr>
                <w:rFonts w:ascii="Times New Roman" w:hAnsi="Times New Roman" w:eastAsia="宋体" w:cs="Times New Roman"/>
                <w:szCs w:val="21"/>
              </w:rPr>
              <w:sym w:font="Wingdings 2" w:char="00A3"/>
            </w:r>
            <w:r>
              <w:rPr>
                <w:rFonts w:ascii="Times New Roman" w:hAnsi="Times New Roman" w:eastAsia="宋体" w:cs="Times New Roman"/>
                <w:szCs w:val="21"/>
              </w:rPr>
              <w:t>；Ⅲ类□；Ⅳ类□</w:t>
            </w:r>
          </w:p>
        </w:tc>
        <w:tc>
          <w:tcPr>
            <w:tcW w:w="858" w:type="dxa"/>
            <w:vAlign w:val="center"/>
          </w:tcPr>
          <w:p w14:paraId="77A27243">
            <w:pPr>
              <w:widowControl/>
              <w:snapToGrid w:val="0"/>
              <w:jc w:val="center"/>
              <w:rPr>
                <w:rFonts w:ascii="Times New Roman" w:hAnsi="Times New Roman" w:eastAsia="宋体" w:cs="Times New Roman"/>
                <w:szCs w:val="21"/>
              </w:rPr>
            </w:pPr>
          </w:p>
        </w:tc>
      </w:tr>
      <w:tr w14:paraId="36E4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4" w:type="dxa"/>
            <w:vMerge w:val="continue"/>
            <w:vAlign w:val="center"/>
          </w:tcPr>
          <w:p w14:paraId="330B49DC">
            <w:pPr>
              <w:widowControl/>
              <w:jc w:val="left"/>
              <w:rPr>
                <w:rFonts w:ascii="Times New Roman" w:hAnsi="Times New Roman" w:eastAsia="宋体" w:cs="Times New Roman"/>
                <w:szCs w:val="21"/>
              </w:rPr>
            </w:pPr>
          </w:p>
        </w:tc>
        <w:tc>
          <w:tcPr>
            <w:tcW w:w="1456" w:type="dxa"/>
            <w:vAlign w:val="center"/>
          </w:tcPr>
          <w:p w14:paraId="31166D3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敏感程度</w:t>
            </w:r>
          </w:p>
        </w:tc>
        <w:tc>
          <w:tcPr>
            <w:tcW w:w="5727" w:type="dxa"/>
            <w:gridSpan w:val="5"/>
            <w:vAlign w:val="center"/>
          </w:tcPr>
          <w:p w14:paraId="323FDFA5">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敏感</w:t>
            </w:r>
            <w:r>
              <w:rPr>
                <w:rFonts w:ascii="Times New Roman" w:hAnsi="Times New Roman" w:eastAsia="宋体" w:cs="Times New Roman"/>
                <w:szCs w:val="21"/>
              </w:rPr>
              <w:sym w:font="Wingdings 2" w:char="00A3"/>
            </w:r>
            <w:r>
              <w:rPr>
                <w:rFonts w:ascii="Times New Roman" w:hAnsi="Times New Roman" w:eastAsia="宋体" w:cs="Times New Roman"/>
                <w:szCs w:val="21"/>
              </w:rPr>
              <w:t>；较敏感</w:t>
            </w:r>
            <w:r>
              <w:rPr>
                <w:rFonts w:ascii="Times New Roman" w:hAnsi="Times New Roman" w:eastAsia="宋体" w:cs="Times New Roman"/>
                <w:szCs w:val="21"/>
              </w:rPr>
              <w:sym w:font="Wingdings 2" w:char="00A3"/>
            </w:r>
            <w:r>
              <w:rPr>
                <w:rFonts w:ascii="Times New Roman" w:hAnsi="Times New Roman" w:eastAsia="宋体" w:cs="Times New Roman"/>
                <w:szCs w:val="21"/>
              </w:rPr>
              <w:t>；不敏感</w:t>
            </w:r>
            <w:r>
              <w:rPr>
                <w:rFonts w:ascii="Times New Roman" w:hAnsi="Times New Roman" w:eastAsia="宋体" w:cs="Times New Roman"/>
                <w:szCs w:val="21"/>
              </w:rPr>
              <w:sym w:font="Wingdings 2" w:char="0052"/>
            </w:r>
          </w:p>
        </w:tc>
        <w:tc>
          <w:tcPr>
            <w:tcW w:w="858" w:type="dxa"/>
            <w:vAlign w:val="center"/>
          </w:tcPr>
          <w:p w14:paraId="15961D39">
            <w:pPr>
              <w:widowControl/>
              <w:snapToGrid w:val="0"/>
              <w:jc w:val="center"/>
              <w:rPr>
                <w:rFonts w:ascii="Times New Roman" w:hAnsi="Times New Roman" w:eastAsia="宋体" w:cs="Times New Roman"/>
                <w:szCs w:val="21"/>
              </w:rPr>
            </w:pPr>
          </w:p>
        </w:tc>
      </w:tr>
      <w:tr w14:paraId="7A79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980" w:type="dxa"/>
            <w:gridSpan w:val="2"/>
            <w:vAlign w:val="center"/>
          </w:tcPr>
          <w:p w14:paraId="01C2FC26">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评价工作等级</w:t>
            </w:r>
          </w:p>
        </w:tc>
        <w:tc>
          <w:tcPr>
            <w:tcW w:w="5727" w:type="dxa"/>
            <w:gridSpan w:val="5"/>
            <w:vAlign w:val="center"/>
          </w:tcPr>
          <w:p w14:paraId="7CA0AB4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一级</w:t>
            </w:r>
            <w:r>
              <w:rPr>
                <w:rFonts w:ascii="Times New Roman" w:hAnsi="Times New Roman" w:eastAsia="宋体" w:cs="Times New Roman"/>
                <w:szCs w:val="21"/>
              </w:rPr>
              <w:sym w:font="Wingdings 2" w:char="00A3"/>
            </w:r>
            <w:r>
              <w:rPr>
                <w:rFonts w:ascii="Times New Roman" w:hAnsi="Times New Roman" w:eastAsia="宋体" w:cs="Times New Roman"/>
                <w:szCs w:val="21"/>
              </w:rPr>
              <w:t>；二级</w:t>
            </w:r>
            <w:r>
              <w:rPr>
                <w:rFonts w:ascii="Times New Roman" w:hAnsi="Times New Roman" w:eastAsia="宋体" w:cs="Times New Roman"/>
                <w:szCs w:val="21"/>
              </w:rPr>
              <w:sym w:font="Wingdings 2" w:char="0052"/>
            </w:r>
            <w:r>
              <w:rPr>
                <w:rFonts w:ascii="Times New Roman" w:hAnsi="Times New Roman" w:eastAsia="宋体" w:cs="Times New Roman"/>
                <w:szCs w:val="21"/>
              </w:rPr>
              <w:t>；三级□</w:t>
            </w:r>
          </w:p>
        </w:tc>
        <w:tc>
          <w:tcPr>
            <w:tcW w:w="858" w:type="dxa"/>
            <w:vAlign w:val="center"/>
          </w:tcPr>
          <w:p w14:paraId="243C010D">
            <w:pPr>
              <w:widowControl/>
              <w:snapToGrid w:val="0"/>
              <w:jc w:val="center"/>
              <w:rPr>
                <w:rFonts w:ascii="Times New Roman" w:hAnsi="Times New Roman" w:eastAsia="宋体" w:cs="Times New Roman"/>
                <w:szCs w:val="21"/>
              </w:rPr>
            </w:pPr>
          </w:p>
        </w:tc>
      </w:tr>
      <w:tr w14:paraId="19E0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524" w:type="dxa"/>
            <w:vMerge w:val="restart"/>
            <w:vAlign w:val="center"/>
          </w:tcPr>
          <w:p w14:paraId="66013BB3">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现状调查内容</w:t>
            </w:r>
          </w:p>
        </w:tc>
        <w:tc>
          <w:tcPr>
            <w:tcW w:w="1456" w:type="dxa"/>
            <w:vAlign w:val="center"/>
          </w:tcPr>
          <w:p w14:paraId="43F4438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资料收集</w:t>
            </w:r>
          </w:p>
        </w:tc>
        <w:tc>
          <w:tcPr>
            <w:tcW w:w="5727" w:type="dxa"/>
            <w:gridSpan w:val="5"/>
            <w:vAlign w:val="center"/>
          </w:tcPr>
          <w:p w14:paraId="3BC8BE4F">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sym w:font="Wingdings 2" w:char="F052"/>
            </w:r>
            <w:r>
              <w:rPr>
                <w:rFonts w:ascii="Times New Roman" w:hAnsi="Times New Roman" w:eastAsia="宋体" w:cs="Times New Roman"/>
                <w:szCs w:val="21"/>
              </w:rPr>
              <w:t>；b）</w:t>
            </w:r>
            <w:r>
              <w:rPr>
                <w:rFonts w:ascii="Times New Roman" w:hAnsi="Times New Roman" w:eastAsia="宋体" w:cs="Times New Roman"/>
                <w:szCs w:val="21"/>
              </w:rPr>
              <w:sym w:font="Wingdings 2" w:char="F052"/>
            </w:r>
            <w:r>
              <w:rPr>
                <w:rFonts w:ascii="Times New Roman" w:hAnsi="Times New Roman" w:eastAsia="宋体" w:cs="Times New Roman"/>
                <w:szCs w:val="21"/>
              </w:rPr>
              <w:t>；c）</w:t>
            </w:r>
            <w:r>
              <w:rPr>
                <w:rFonts w:ascii="Times New Roman" w:hAnsi="Times New Roman" w:eastAsia="宋体" w:cs="Times New Roman"/>
                <w:szCs w:val="21"/>
              </w:rPr>
              <w:sym w:font="Wingdings 2" w:char="F052"/>
            </w:r>
            <w:r>
              <w:rPr>
                <w:rFonts w:ascii="Times New Roman" w:hAnsi="Times New Roman" w:eastAsia="宋体" w:cs="Times New Roman"/>
                <w:szCs w:val="21"/>
              </w:rPr>
              <w:t>；d）</w:t>
            </w:r>
            <w:r>
              <w:rPr>
                <w:rFonts w:ascii="Times New Roman" w:hAnsi="Times New Roman" w:eastAsia="宋体" w:cs="Times New Roman"/>
                <w:szCs w:val="21"/>
              </w:rPr>
              <w:sym w:font="Wingdings 2" w:char="F052"/>
            </w:r>
          </w:p>
        </w:tc>
        <w:tc>
          <w:tcPr>
            <w:tcW w:w="858" w:type="dxa"/>
            <w:vAlign w:val="center"/>
          </w:tcPr>
          <w:p w14:paraId="26E3F9E8">
            <w:pPr>
              <w:widowControl/>
              <w:snapToGrid w:val="0"/>
              <w:jc w:val="center"/>
              <w:rPr>
                <w:rFonts w:ascii="Times New Roman" w:hAnsi="Times New Roman" w:eastAsia="宋体" w:cs="Times New Roman"/>
                <w:szCs w:val="21"/>
              </w:rPr>
            </w:pPr>
          </w:p>
        </w:tc>
      </w:tr>
      <w:tr w14:paraId="37DC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4" w:type="dxa"/>
            <w:vMerge w:val="continue"/>
            <w:vAlign w:val="center"/>
          </w:tcPr>
          <w:p w14:paraId="444B2EAA">
            <w:pPr>
              <w:widowControl/>
              <w:jc w:val="left"/>
              <w:rPr>
                <w:rFonts w:ascii="Times New Roman" w:hAnsi="Times New Roman" w:eastAsia="宋体" w:cs="Times New Roman"/>
                <w:szCs w:val="21"/>
              </w:rPr>
            </w:pPr>
          </w:p>
        </w:tc>
        <w:tc>
          <w:tcPr>
            <w:tcW w:w="1456" w:type="dxa"/>
            <w:vAlign w:val="center"/>
          </w:tcPr>
          <w:p w14:paraId="0D609ADC">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理化特性</w:t>
            </w:r>
          </w:p>
        </w:tc>
        <w:tc>
          <w:tcPr>
            <w:tcW w:w="5727" w:type="dxa"/>
            <w:gridSpan w:val="5"/>
            <w:vAlign w:val="center"/>
          </w:tcPr>
          <w:p w14:paraId="00B4769A">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见监测章节</w:t>
            </w:r>
          </w:p>
        </w:tc>
        <w:tc>
          <w:tcPr>
            <w:tcW w:w="858" w:type="dxa"/>
            <w:vAlign w:val="center"/>
          </w:tcPr>
          <w:p w14:paraId="292F6EF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同附录 C</w:t>
            </w:r>
          </w:p>
        </w:tc>
      </w:tr>
      <w:tr w14:paraId="1FB2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24" w:type="dxa"/>
            <w:vMerge w:val="continue"/>
            <w:vAlign w:val="center"/>
          </w:tcPr>
          <w:p w14:paraId="72ADBF62">
            <w:pPr>
              <w:widowControl/>
              <w:jc w:val="left"/>
              <w:rPr>
                <w:rFonts w:ascii="Times New Roman" w:hAnsi="Times New Roman" w:eastAsia="宋体" w:cs="Times New Roman"/>
                <w:szCs w:val="21"/>
              </w:rPr>
            </w:pPr>
          </w:p>
        </w:tc>
        <w:tc>
          <w:tcPr>
            <w:tcW w:w="1456" w:type="dxa"/>
            <w:vMerge w:val="restart"/>
            <w:vAlign w:val="center"/>
          </w:tcPr>
          <w:p w14:paraId="208D47FD">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现状监测点位</w:t>
            </w:r>
          </w:p>
        </w:tc>
        <w:tc>
          <w:tcPr>
            <w:tcW w:w="1201" w:type="dxa"/>
            <w:vAlign w:val="center"/>
          </w:tcPr>
          <w:p w14:paraId="6BEE5193">
            <w:pPr>
              <w:widowControl/>
              <w:snapToGrid w:val="0"/>
              <w:jc w:val="center"/>
              <w:rPr>
                <w:rFonts w:ascii="Times New Roman" w:hAnsi="Times New Roman" w:eastAsia="宋体" w:cs="Times New Roman"/>
                <w:szCs w:val="21"/>
              </w:rPr>
            </w:pPr>
          </w:p>
        </w:tc>
        <w:tc>
          <w:tcPr>
            <w:tcW w:w="1132" w:type="dxa"/>
            <w:vAlign w:val="center"/>
          </w:tcPr>
          <w:p w14:paraId="38985E7C">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占地范围内</w:t>
            </w:r>
          </w:p>
        </w:tc>
        <w:tc>
          <w:tcPr>
            <w:tcW w:w="1446" w:type="dxa"/>
            <w:vAlign w:val="center"/>
          </w:tcPr>
          <w:p w14:paraId="72AD2C32">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占地范围外</w:t>
            </w:r>
          </w:p>
        </w:tc>
        <w:tc>
          <w:tcPr>
            <w:tcW w:w="1948" w:type="dxa"/>
            <w:gridSpan w:val="2"/>
            <w:vAlign w:val="center"/>
          </w:tcPr>
          <w:p w14:paraId="4CB42E9C">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深度</w:t>
            </w:r>
          </w:p>
        </w:tc>
        <w:tc>
          <w:tcPr>
            <w:tcW w:w="858" w:type="dxa"/>
            <w:vMerge w:val="restart"/>
            <w:vAlign w:val="center"/>
          </w:tcPr>
          <w:p w14:paraId="6372E32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点位布置见4.6节</w:t>
            </w:r>
          </w:p>
        </w:tc>
      </w:tr>
      <w:tr w14:paraId="57DF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4" w:type="dxa"/>
            <w:vMerge w:val="continue"/>
            <w:vAlign w:val="center"/>
          </w:tcPr>
          <w:p w14:paraId="1BCF6ABA">
            <w:pPr>
              <w:widowControl/>
              <w:jc w:val="left"/>
              <w:rPr>
                <w:rFonts w:ascii="Times New Roman" w:hAnsi="Times New Roman" w:eastAsia="宋体" w:cs="Times New Roman"/>
                <w:szCs w:val="21"/>
              </w:rPr>
            </w:pPr>
          </w:p>
        </w:tc>
        <w:tc>
          <w:tcPr>
            <w:tcW w:w="1456" w:type="dxa"/>
            <w:vMerge w:val="continue"/>
            <w:vAlign w:val="center"/>
          </w:tcPr>
          <w:p w14:paraId="7602564E">
            <w:pPr>
              <w:widowControl/>
              <w:jc w:val="left"/>
              <w:rPr>
                <w:rFonts w:ascii="Times New Roman" w:hAnsi="Times New Roman" w:eastAsia="宋体" w:cs="Times New Roman"/>
                <w:szCs w:val="21"/>
              </w:rPr>
            </w:pPr>
          </w:p>
        </w:tc>
        <w:tc>
          <w:tcPr>
            <w:tcW w:w="1201" w:type="dxa"/>
            <w:vAlign w:val="center"/>
          </w:tcPr>
          <w:p w14:paraId="319B13A5">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表层样点数</w:t>
            </w:r>
          </w:p>
        </w:tc>
        <w:tc>
          <w:tcPr>
            <w:tcW w:w="1132" w:type="dxa"/>
            <w:vAlign w:val="center"/>
          </w:tcPr>
          <w:p w14:paraId="569B7D1B">
            <w:pPr>
              <w:widowControl/>
              <w:snapToGrid w:val="0"/>
              <w:jc w:val="center"/>
              <w:rPr>
                <w:rFonts w:ascii="Times New Roman" w:hAnsi="Times New Roman" w:eastAsia="宋体" w:cs="Times New Roman"/>
                <w:szCs w:val="21"/>
              </w:rPr>
            </w:pPr>
            <w:r>
              <w:rPr>
                <w:rFonts w:hint="eastAsia" w:ascii="Times New Roman" w:hAnsi="Times New Roman" w:cs="Times New Roman"/>
                <w:szCs w:val="21"/>
              </w:rPr>
              <w:t>0</w:t>
            </w:r>
          </w:p>
        </w:tc>
        <w:tc>
          <w:tcPr>
            <w:tcW w:w="1446" w:type="dxa"/>
            <w:vAlign w:val="center"/>
          </w:tcPr>
          <w:p w14:paraId="209D6BD1">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948" w:type="dxa"/>
            <w:gridSpan w:val="2"/>
            <w:vAlign w:val="center"/>
          </w:tcPr>
          <w:p w14:paraId="6017ECB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0-0.2</w:t>
            </w:r>
          </w:p>
        </w:tc>
        <w:tc>
          <w:tcPr>
            <w:tcW w:w="858" w:type="dxa"/>
            <w:vMerge w:val="continue"/>
            <w:vAlign w:val="center"/>
          </w:tcPr>
          <w:p w14:paraId="4226FD57">
            <w:pPr>
              <w:widowControl/>
              <w:jc w:val="left"/>
              <w:rPr>
                <w:rFonts w:ascii="Times New Roman" w:hAnsi="Times New Roman" w:eastAsia="宋体" w:cs="Times New Roman"/>
                <w:szCs w:val="21"/>
              </w:rPr>
            </w:pPr>
          </w:p>
        </w:tc>
      </w:tr>
      <w:tr w14:paraId="60E9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524" w:type="dxa"/>
            <w:vMerge w:val="continue"/>
            <w:vAlign w:val="center"/>
          </w:tcPr>
          <w:p w14:paraId="38F7FBA0">
            <w:pPr>
              <w:widowControl/>
              <w:jc w:val="left"/>
              <w:rPr>
                <w:rFonts w:ascii="Times New Roman" w:hAnsi="Times New Roman" w:eastAsia="宋体" w:cs="Times New Roman"/>
                <w:szCs w:val="21"/>
              </w:rPr>
            </w:pPr>
          </w:p>
        </w:tc>
        <w:tc>
          <w:tcPr>
            <w:tcW w:w="1456" w:type="dxa"/>
            <w:vMerge w:val="continue"/>
            <w:vAlign w:val="center"/>
          </w:tcPr>
          <w:p w14:paraId="026906CB">
            <w:pPr>
              <w:widowControl/>
              <w:jc w:val="left"/>
              <w:rPr>
                <w:rFonts w:ascii="Times New Roman" w:hAnsi="Times New Roman" w:eastAsia="宋体" w:cs="Times New Roman"/>
                <w:szCs w:val="21"/>
              </w:rPr>
            </w:pPr>
          </w:p>
        </w:tc>
        <w:tc>
          <w:tcPr>
            <w:tcW w:w="1201" w:type="dxa"/>
            <w:vAlign w:val="center"/>
          </w:tcPr>
          <w:p w14:paraId="576C5CF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柱状样点数</w:t>
            </w:r>
          </w:p>
        </w:tc>
        <w:tc>
          <w:tcPr>
            <w:tcW w:w="1132" w:type="dxa"/>
            <w:vAlign w:val="center"/>
          </w:tcPr>
          <w:p w14:paraId="7A9F6C8C">
            <w:pPr>
              <w:widowControl/>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446" w:type="dxa"/>
            <w:vAlign w:val="center"/>
          </w:tcPr>
          <w:p w14:paraId="418CCBE2">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0</w:t>
            </w:r>
          </w:p>
        </w:tc>
        <w:tc>
          <w:tcPr>
            <w:tcW w:w="1948" w:type="dxa"/>
            <w:gridSpan w:val="2"/>
            <w:vAlign w:val="center"/>
          </w:tcPr>
          <w:p w14:paraId="71A9B61D">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0~0.5m、0.5~1.5m、1.5~3m、3m~6m</w:t>
            </w:r>
          </w:p>
        </w:tc>
        <w:tc>
          <w:tcPr>
            <w:tcW w:w="858" w:type="dxa"/>
            <w:vMerge w:val="continue"/>
            <w:vAlign w:val="center"/>
          </w:tcPr>
          <w:p w14:paraId="4ACB1AFF">
            <w:pPr>
              <w:widowControl/>
              <w:jc w:val="left"/>
              <w:rPr>
                <w:rFonts w:ascii="Times New Roman" w:hAnsi="Times New Roman" w:eastAsia="宋体" w:cs="Times New Roman"/>
                <w:szCs w:val="21"/>
              </w:rPr>
            </w:pPr>
          </w:p>
        </w:tc>
      </w:tr>
      <w:tr w14:paraId="1DB8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524" w:type="dxa"/>
            <w:vMerge w:val="continue"/>
            <w:vAlign w:val="center"/>
          </w:tcPr>
          <w:p w14:paraId="67EF28B7">
            <w:pPr>
              <w:widowControl/>
              <w:jc w:val="left"/>
              <w:rPr>
                <w:rFonts w:ascii="Times New Roman" w:hAnsi="Times New Roman" w:eastAsia="宋体" w:cs="Times New Roman"/>
                <w:szCs w:val="21"/>
              </w:rPr>
            </w:pPr>
          </w:p>
        </w:tc>
        <w:tc>
          <w:tcPr>
            <w:tcW w:w="1456" w:type="dxa"/>
            <w:vAlign w:val="center"/>
          </w:tcPr>
          <w:p w14:paraId="3A7C9EC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现状监测因子</w:t>
            </w:r>
          </w:p>
        </w:tc>
        <w:tc>
          <w:tcPr>
            <w:tcW w:w="5727" w:type="dxa"/>
            <w:gridSpan w:val="5"/>
            <w:vAlign w:val="center"/>
          </w:tcPr>
          <w:p w14:paraId="0E25EC4B">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pH、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等45项、砷、镉、铬（六价）、铜、铅、汞、镍、锡、锌、石油</w:t>
            </w:r>
            <w:r>
              <w:rPr>
                <w:rFonts w:hint="eastAsia" w:ascii="Times New Roman" w:hAnsi="Times New Roman" w:eastAsia="宋体" w:cs="Times New Roman"/>
                <w:szCs w:val="21"/>
              </w:rPr>
              <w:t>烃</w:t>
            </w:r>
            <w:r>
              <w:rPr>
                <w:rFonts w:ascii="Times New Roman" w:hAnsi="Times New Roman" w:eastAsia="宋体" w:cs="Times New Roman"/>
                <w:szCs w:val="21"/>
              </w:rPr>
              <w:t>（C</w:t>
            </w:r>
            <w:r>
              <w:rPr>
                <w:rFonts w:ascii="Times New Roman" w:hAnsi="Times New Roman" w:eastAsia="宋体" w:cs="Times New Roman"/>
                <w:szCs w:val="21"/>
                <w:vertAlign w:val="subscript"/>
              </w:rPr>
              <w:t>10</w:t>
            </w:r>
            <w:r>
              <w:rPr>
                <w:rFonts w:ascii="Times New Roman" w:hAnsi="Times New Roman" w:eastAsia="宋体" w:cs="Times New Roman"/>
                <w:szCs w:val="21"/>
              </w:rPr>
              <w:t>~C</w:t>
            </w:r>
            <w:r>
              <w:rPr>
                <w:rFonts w:ascii="Times New Roman" w:hAnsi="Times New Roman" w:eastAsia="宋体" w:cs="Times New Roman"/>
                <w:szCs w:val="21"/>
                <w:vertAlign w:val="subscript"/>
              </w:rPr>
              <w:t>40</w:t>
            </w:r>
            <w:r>
              <w:rPr>
                <w:rFonts w:ascii="Times New Roman" w:hAnsi="Times New Roman" w:eastAsia="宋体" w:cs="Times New Roman"/>
                <w:szCs w:val="21"/>
              </w:rPr>
              <w:t>）、</w:t>
            </w:r>
            <w:r>
              <w:rPr>
                <w:rFonts w:hint="eastAsia" w:ascii="Times New Roman" w:hAnsi="Times New Roman" w:eastAsia="宋体" w:cs="Times New Roman"/>
                <w:szCs w:val="21"/>
              </w:rPr>
              <w:t>甲苯、二甲苯</w:t>
            </w:r>
          </w:p>
        </w:tc>
        <w:tc>
          <w:tcPr>
            <w:tcW w:w="858" w:type="dxa"/>
            <w:vAlign w:val="center"/>
          </w:tcPr>
          <w:p w14:paraId="297F4C68">
            <w:pPr>
              <w:widowControl/>
              <w:snapToGrid w:val="0"/>
              <w:jc w:val="center"/>
              <w:rPr>
                <w:rFonts w:ascii="Times New Roman" w:hAnsi="Times New Roman" w:eastAsia="宋体" w:cs="Times New Roman"/>
                <w:szCs w:val="21"/>
              </w:rPr>
            </w:pPr>
          </w:p>
        </w:tc>
      </w:tr>
      <w:tr w14:paraId="3BFB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4" w:type="dxa"/>
            <w:vMerge w:val="restart"/>
            <w:vAlign w:val="center"/>
          </w:tcPr>
          <w:p w14:paraId="3A7C0B04">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现状</w:t>
            </w:r>
          </w:p>
          <w:p w14:paraId="531BE770">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评价</w:t>
            </w:r>
          </w:p>
        </w:tc>
        <w:tc>
          <w:tcPr>
            <w:tcW w:w="1456" w:type="dxa"/>
            <w:vAlign w:val="center"/>
          </w:tcPr>
          <w:p w14:paraId="47E41EF4">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评价因子</w:t>
            </w:r>
          </w:p>
        </w:tc>
        <w:tc>
          <w:tcPr>
            <w:tcW w:w="5727" w:type="dxa"/>
            <w:gridSpan w:val="5"/>
            <w:vAlign w:val="center"/>
          </w:tcPr>
          <w:p w14:paraId="23D65F3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同上</w:t>
            </w:r>
          </w:p>
        </w:tc>
        <w:tc>
          <w:tcPr>
            <w:tcW w:w="858" w:type="dxa"/>
            <w:vAlign w:val="center"/>
          </w:tcPr>
          <w:p w14:paraId="50C71494">
            <w:pPr>
              <w:widowControl/>
              <w:snapToGrid w:val="0"/>
              <w:jc w:val="center"/>
              <w:rPr>
                <w:rFonts w:ascii="Times New Roman" w:hAnsi="Times New Roman" w:eastAsia="宋体" w:cs="Times New Roman"/>
                <w:szCs w:val="21"/>
              </w:rPr>
            </w:pPr>
          </w:p>
        </w:tc>
      </w:tr>
      <w:tr w14:paraId="380E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524" w:type="dxa"/>
            <w:vMerge w:val="continue"/>
            <w:vAlign w:val="center"/>
          </w:tcPr>
          <w:p w14:paraId="5DDB73A4">
            <w:pPr>
              <w:widowControl/>
              <w:jc w:val="left"/>
              <w:rPr>
                <w:rFonts w:ascii="Times New Roman" w:hAnsi="Times New Roman" w:eastAsia="宋体" w:cs="Times New Roman"/>
                <w:szCs w:val="21"/>
              </w:rPr>
            </w:pPr>
          </w:p>
        </w:tc>
        <w:tc>
          <w:tcPr>
            <w:tcW w:w="1456" w:type="dxa"/>
            <w:vAlign w:val="center"/>
          </w:tcPr>
          <w:p w14:paraId="49D235F2">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评价标准</w:t>
            </w:r>
          </w:p>
        </w:tc>
        <w:tc>
          <w:tcPr>
            <w:tcW w:w="5727" w:type="dxa"/>
            <w:gridSpan w:val="5"/>
            <w:vAlign w:val="center"/>
          </w:tcPr>
          <w:p w14:paraId="23E57EB7">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GB 15618√；GB 36600√；表D.1□；表 D.2□；其他（）</w:t>
            </w:r>
          </w:p>
        </w:tc>
        <w:tc>
          <w:tcPr>
            <w:tcW w:w="858" w:type="dxa"/>
            <w:vAlign w:val="center"/>
          </w:tcPr>
          <w:p w14:paraId="473F9871">
            <w:pPr>
              <w:widowControl/>
              <w:snapToGrid w:val="0"/>
              <w:jc w:val="center"/>
              <w:rPr>
                <w:rFonts w:ascii="Times New Roman" w:hAnsi="Times New Roman" w:eastAsia="宋体" w:cs="Times New Roman"/>
                <w:szCs w:val="21"/>
              </w:rPr>
            </w:pPr>
          </w:p>
        </w:tc>
      </w:tr>
      <w:tr w14:paraId="0D1E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24" w:type="dxa"/>
            <w:vMerge w:val="continue"/>
            <w:vAlign w:val="center"/>
          </w:tcPr>
          <w:p w14:paraId="46E6777B">
            <w:pPr>
              <w:widowControl/>
              <w:jc w:val="left"/>
              <w:rPr>
                <w:rFonts w:ascii="Times New Roman" w:hAnsi="Times New Roman" w:eastAsia="宋体" w:cs="Times New Roman"/>
                <w:szCs w:val="21"/>
              </w:rPr>
            </w:pPr>
          </w:p>
        </w:tc>
        <w:tc>
          <w:tcPr>
            <w:tcW w:w="1456" w:type="dxa"/>
            <w:vAlign w:val="center"/>
          </w:tcPr>
          <w:p w14:paraId="53BCF0F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现状评价结论</w:t>
            </w:r>
          </w:p>
        </w:tc>
        <w:tc>
          <w:tcPr>
            <w:tcW w:w="5727" w:type="dxa"/>
            <w:gridSpan w:val="5"/>
            <w:vAlign w:val="center"/>
          </w:tcPr>
          <w:p w14:paraId="07C08A76">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从监测结果可知，</w:t>
            </w:r>
            <w:r>
              <w:rPr>
                <w:rFonts w:ascii="Times New Roman" w:hAnsi="Times New Roman" w:eastAsia="宋体" w:cs="Times New Roman"/>
                <w:kern w:val="0"/>
                <w:szCs w:val="21"/>
              </w:rPr>
              <w:t>厂区的柱状样和表层样、厂区外建设用地表层样的各个监测项目均能满足《土壤环境质量  建设用地土壤污染风险管控标准》（GB3600-2018）第二类用地的风险筛选值</w:t>
            </w:r>
          </w:p>
        </w:tc>
        <w:tc>
          <w:tcPr>
            <w:tcW w:w="858" w:type="dxa"/>
            <w:vAlign w:val="center"/>
          </w:tcPr>
          <w:p w14:paraId="567C6202">
            <w:pPr>
              <w:widowControl/>
              <w:snapToGrid w:val="0"/>
              <w:jc w:val="center"/>
              <w:rPr>
                <w:rFonts w:ascii="Times New Roman" w:hAnsi="Times New Roman" w:eastAsia="宋体" w:cs="Times New Roman"/>
                <w:szCs w:val="21"/>
              </w:rPr>
            </w:pPr>
          </w:p>
        </w:tc>
      </w:tr>
      <w:tr w14:paraId="6DA7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524" w:type="dxa"/>
            <w:vMerge w:val="restart"/>
            <w:vAlign w:val="center"/>
          </w:tcPr>
          <w:p w14:paraId="5926289F">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影响</w:t>
            </w:r>
          </w:p>
          <w:p w14:paraId="1997AAC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预测</w:t>
            </w:r>
          </w:p>
        </w:tc>
        <w:tc>
          <w:tcPr>
            <w:tcW w:w="1456" w:type="dxa"/>
            <w:vAlign w:val="center"/>
          </w:tcPr>
          <w:p w14:paraId="0B7E70F0">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预测因子</w:t>
            </w:r>
          </w:p>
        </w:tc>
        <w:tc>
          <w:tcPr>
            <w:tcW w:w="5727" w:type="dxa"/>
            <w:gridSpan w:val="5"/>
            <w:vAlign w:val="center"/>
          </w:tcPr>
          <w:p w14:paraId="21E4C654">
            <w:pPr>
              <w:widowControl/>
              <w:snapToGrid w:val="0"/>
              <w:jc w:val="center"/>
              <w:rPr>
                <w:rFonts w:ascii="Times New Roman" w:hAnsi="Times New Roman" w:eastAsia="宋体" w:cs="Times New Roman"/>
                <w:szCs w:val="21"/>
              </w:rPr>
            </w:pPr>
            <w:r>
              <w:rPr>
                <w:rFonts w:hint="eastAsia" w:ascii="Times New Roman" w:hAnsi="Times New Roman" w:eastAsia="宋体" w:cs="Times New Roman"/>
                <w:color w:val="auto"/>
                <w:szCs w:val="21"/>
              </w:rPr>
              <w:t>甲苯、</w:t>
            </w:r>
            <w:r>
              <w:rPr>
                <w:rFonts w:hint="eastAsia" w:ascii="Times New Roman" w:hAnsi="Times New Roman" w:eastAsia="宋体" w:cs="Times New Roman"/>
                <w:color w:val="auto"/>
                <w:szCs w:val="21"/>
                <w:lang w:val="en-US" w:eastAsia="zh-CN"/>
              </w:rPr>
              <w:t>苯、</w:t>
            </w:r>
            <w:r>
              <w:rPr>
                <w:rFonts w:hint="eastAsia" w:ascii="Times New Roman" w:hAnsi="Times New Roman" w:eastAsia="宋体" w:cs="Times New Roman"/>
                <w:color w:val="auto"/>
                <w:szCs w:val="21"/>
              </w:rPr>
              <w:t>二甲苯</w:t>
            </w:r>
            <w:r>
              <w:rPr>
                <w:rFonts w:ascii="Times New Roman" w:hAnsi="Times New Roman" w:cs="Times New Roman"/>
                <w:bCs/>
                <w:color w:val="auto"/>
                <w:szCs w:val="21"/>
              </w:rPr>
              <w:t>、</w:t>
            </w:r>
            <w:r>
              <w:rPr>
                <w:rFonts w:hint="eastAsia" w:ascii="Times New Roman" w:hAnsi="Times New Roman" w:cs="Times New Roman"/>
                <w:bCs/>
                <w:color w:val="auto"/>
                <w:szCs w:val="21"/>
              </w:rPr>
              <w:t>石油烃（</w:t>
            </w:r>
            <w:r>
              <w:rPr>
                <w:rFonts w:ascii="Times New Roman" w:hAnsi="Times New Roman" w:eastAsia="宋体" w:cs="Times New Roman"/>
                <w:color w:val="auto"/>
                <w:szCs w:val="21"/>
              </w:rPr>
              <w:t>非甲烷总烃</w:t>
            </w:r>
            <w:r>
              <w:rPr>
                <w:rFonts w:hint="eastAsia" w:ascii="Times New Roman" w:hAnsi="Times New Roman" w:cs="Times New Roman"/>
                <w:bCs/>
                <w:color w:val="auto"/>
                <w:szCs w:val="21"/>
              </w:rPr>
              <w:t>）</w:t>
            </w:r>
          </w:p>
        </w:tc>
        <w:tc>
          <w:tcPr>
            <w:tcW w:w="858" w:type="dxa"/>
            <w:vAlign w:val="center"/>
          </w:tcPr>
          <w:p w14:paraId="1C605F72">
            <w:pPr>
              <w:widowControl/>
              <w:snapToGrid w:val="0"/>
              <w:jc w:val="center"/>
              <w:rPr>
                <w:rFonts w:ascii="Times New Roman" w:hAnsi="Times New Roman" w:eastAsia="宋体" w:cs="Times New Roman"/>
                <w:szCs w:val="21"/>
              </w:rPr>
            </w:pPr>
          </w:p>
        </w:tc>
      </w:tr>
      <w:tr w14:paraId="2852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4" w:type="dxa"/>
            <w:vMerge w:val="continue"/>
            <w:vAlign w:val="center"/>
          </w:tcPr>
          <w:p w14:paraId="39300ACC">
            <w:pPr>
              <w:widowControl/>
              <w:jc w:val="left"/>
              <w:rPr>
                <w:rFonts w:ascii="Times New Roman" w:hAnsi="Times New Roman" w:eastAsia="宋体" w:cs="Times New Roman"/>
                <w:szCs w:val="21"/>
              </w:rPr>
            </w:pPr>
          </w:p>
        </w:tc>
        <w:tc>
          <w:tcPr>
            <w:tcW w:w="1456" w:type="dxa"/>
            <w:vAlign w:val="center"/>
          </w:tcPr>
          <w:p w14:paraId="060C2CC9">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预测方法</w:t>
            </w:r>
          </w:p>
        </w:tc>
        <w:tc>
          <w:tcPr>
            <w:tcW w:w="5727" w:type="dxa"/>
            <w:gridSpan w:val="5"/>
            <w:vAlign w:val="center"/>
          </w:tcPr>
          <w:p w14:paraId="7EE7414D">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附录 E√；附录 F□；其他（</w:t>
            </w:r>
            <w:r>
              <w:rPr>
                <w:rFonts w:ascii="Times New Roman" w:hAnsi="Times New Roman" w:eastAsia="宋体" w:cs="Times New Roman"/>
                <w:szCs w:val="21"/>
              </w:rPr>
              <w:tab/>
            </w:r>
            <w:r>
              <w:rPr>
                <w:rFonts w:ascii="Times New Roman" w:hAnsi="Times New Roman" w:eastAsia="宋体" w:cs="Times New Roman"/>
                <w:szCs w:val="21"/>
              </w:rPr>
              <w:t>）</w:t>
            </w:r>
          </w:p>
        </w:tc>
        <w:tc>
          <w:tcPr>
            <w:tcW w:w="858" w:type="dxa"/>
            <w:vAlign w:val="center"/>
          </w:tcPr>
          <w:p w14:paraId="5662193D">
            <w:pPr>
              <w:widowControl/>
              <w:snapToGrid w:val="0"/>
              <w:jc w:val="center"/>
              <w:rPr>
                <w:rFonts w:ascii="Times New Roman" w:hAnsi="Times New Roman" w:eastAsia="宋体" w:cs="Times New Roman"/>
                <w:szCs w:val="21"/>
              </w:rPr>
            </w:pPr>
          </w:p>
        </w:tc>
      </w:tr>
      <w:tr w14:paraId="1BB5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524" w:type="dxa"/>
            <w:vMerge w:val="continue"/>
            <w:vAlign w:val="center"/>
          </w:tcPr>
          <w:p w14:paraId="1A9516DE">
            <w:pPr>
              <w:widowControl/>
              <w:jc w:val="left"/>
              <w:rPr>
                <w:rFonts w:ascii="Times New Roman" w:hAnsi="Times New Roman" w:eastAsia="宋体" w:cs="Times New Roman"/>
                <w:szCs w:val="21"/>
              </w:rPr>
            </w:pPr>
          </w:p>
        </w:tc>
        <w:tc>
          <w:tcPr>
            <w:tcW w:w="1456" w:type="dxa"/>
            <w:vAlign w:val="center"/>
          </w:tcPr>
          <w:p w14:paraId="1CF49850">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预测分析内容</w:t>
            </w:r>
          </w:p>
        </w:tc>
        <w:tc>
          <w:tcPr>
            <w:tcW w:w="5727" w:type="dxa"/>
            <w:gridSpan w:val="5"/>
            <w:vAlign w:val="center"/>
          </w:tcPr>
          <w:p w14:paraId="47AB79BA">
            <w:pPr>
              <w:widowControl/>
              <w:snapToGrid w:val="0"/>
              <w:jc w:val="left"/>
              <w:rPr>
                <w:rFonts w:ascii="Times New Roman" w:hAnsi="Times New Roman" w:eastAsia="宋体" w:cs="Times New Roman"/>
                <w:szCs w:val="21"/>
              </w:rPr>
            </w:pPr>
            <w:r>
              <w:rPr>
                <w:rFonts w:ascii="Times New Roman" w:hAnsi="Times New Roman" w:eastAsia="宋体" w:cs="Times New Roman"/>
                <w:szCs w:val="21"/>
              </w:rPr>
              <w:t>影响范围（垂直下渗影响范围为泄露源以下60cm以内）</w:t>
            </w:r>
          </w:p>
          <w:p w14:paraId="6034A07E">
            <w:pPr>
              <w:widowControl/>
              <w:snapToGrid w:val="0"/>
              <w:jc w:val="left"/>
              <w:rPr>
                <w:rFonts w:ascii="Times New Roman" w:hAnsi="Times New Roman" w:eastAsia="宋体" w:cs="Times New Roman"/>
                <w:szCs w:val="21"/>
              </w:rPr>
            </w:pPr>
            <w:r>
              <w:rPr>
                <w:rFonts w:ascii="Times New Roman" w:hAnsi="Times New Roman" w:eastAsia="宋体" w:cs="Times New Roman"/>
                <w:szCs w:val="21"/>
              </w:rPr>
              <w:t>影响程度（从预测结果看，本项目废气排放对周边</w:t>
            </w:r>
            <w:r>
              <w:rPr>
                <w:rFonts w:hint="eastAsia" w:ascii="Times New Roman" w:hAnsi="Times New Roman" w:eastAsia="宋体" w:cs="Times New Roman"/>
                <w:szCs w:val="21"/>
                <w:lang w:val="en-US" w:eastAsia="zh-CN"/>
              </w:rPr>
              <w:t>苯、</w:t>
            </w:r>
            <w:r>
              <w:rPr>
                <w:rFonts w:hint="eastAsia" w:ascii="Times New Roman" w:hAnsi="Times New Roman" w:eastAsia="宋体" w:cs="Times New Roman"/>
                <w:szCs w:val="21"/>
              </w:rPr>
              <w:t>甲苯、二甲苯、</w:t>
            </w:r>
            <w:r>
              <w:rPr>
                <w:rFonts w:ascii="Times New Roman" w:hAnsi="Times New Roman" w:eastAsia="宋体" w:cs="Times New Roman"/>
                <w:szCs w:val="21"/>
              </w:rPr>
              <w:t>NMHC的贡献浓度很低，运行</w:t>
            </w:r>
            <w:r>
              <w:rPr>
                <w:rFonts w:hint="eastAsia" w:ascii="Times New Roman" w:hAnsi="Times New Roman" w:eastAsia="宋体" w:cs="Times New Roman"/>
                <w:szCs w:val="21"/>
              </w:rPr>
              <w:t>10</w:t>
            </w:r>
            <w:r>
              <w:rPr>
                <w:rFonts w:ascii="Times New Roman" w:hAnsi="Times New Roman" w:eastAsia="宋体" w:cs="Times New Roman"/>
                <w:szCs w:val="21"/>
              </w:rPr>
              <w:t>至30年后，</w:t>
            </w:r>
            <w:r>
              <w:rPr>
                <w:rFonts w:ascii="Times New Roman" w:hAnsi="Times New Roman" w:cs="Times New Roman"/>
                <w:szCs w:val="21"/>
              </w:rPr>
              <w:t>污染物</w:t>
            </w:r>
            <w:r>
              <w:rPr>
                <w:rFonts w:ascii="Times New Roman" w:hAnsi="Times New Roman" w:eastAsia="宋体" w:cs="Times New Roman"/>
                <w:szCs w:val="21"/>
              </w:rPr>
              <w:t>在土壤中的累积较小，因此，本建设项目生产过程中废气的排放不会对周边土壤产生明显影响。）</w:t>
            </w:r>
          </w:p>
        </w:tc>
        <w:tc>
          <w:tcPr>
            <w:tcW w:w="858" w:type="dxa"/>
            <w:vAlign w:val="center"/>
          </w:tcPr>
          <w:p w14:paraId="2F041C74">
            <w:pPr>
              <w:widowControl/>
              <w:snapToGrid w:val="0"/>
              <w:jc w:val="center"/>
              <w:rPr>
                <w:rFonts w:ascii="Times New Roman" w:hAnsi="Times New Roman" w:eastAsia="宋体" w:cs="Times New Roman"/>
                <w:szCs w:val="21"/>
              </w:rPr>
            </w:pPr>
          </w:p>
        </w:tc>
      </w:tr>
      <w:tr w14:paraId="20C2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24" w:type="dxa"/>
            <w:vMerge w:val="continue"/>
            <w:vAlign w:val="center"/>
          </w:tcPr>
          <w:p w14:paraId="2EA25966">
            <w:pPr>
              <w:widowControl/>
              <w:jc w:val="left"/>
              <w:rPr>
                <w:rFonts w:ascii="Times New Roman" w:hAnsi="Times New Roman" w:eastAsia="宋体" w:cs="Times New Roman"/>
                <w:szCs w:val="21"/>
              </w:rPr>
            </w:pPr>
          </w:p>
        </w:tc>
        <w:tc>
          <w:tcPr>
            <w:tcW w:w="1456" w:type="dxa"/>
            <w:vAlign w:val="center"/>
          </w:tcPr>
          <w:p w14:paraId="26ADF4A2">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预测结论</w:t>
            </w:r>
          </w:p>
        </w:tc>
        <w:tc>
          <w:tcPr>
            <w:tcW w:w="5727" w:type="dxa"/>
            <w:gridSpan w:val="5"/>
            <w:vAlign w:val="center"/>
          </w:tcPr>
          <w:p w14:paraId="6A64400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达标结论：a）√；b）□；c）□</w:t>
            </w:r>
          </w:p>
          <w:p w14:paraId="2002BDE4">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不达标结论：a）□；b）□</w:t>
            </w:r>
          </w:p>
        </w:tc>
        <w:tc>
          <w:tcPr>
            <w:tcW w:w="858" w:type="dxa"/>
            <w:vAlign w:val="center"/>
          </w:tcPr>
          <w:p w14:paraId="25B9D52D">
            <w:pPr>
              <w:widowControl/>
              <w:snapToGrid w:val="0"/>
              <w:jc w:val="center"/>
              <w:rPr>
                <w:rFonts w:ascii="Times New Roman" w:hAnsi="Times New Roman" w:eastAsia="宋体" w:cs="Times New Roman"/>
                <w:szCs w:val="21"/>
              </w:rPr>
            </w:pPr>
          </w:p>
        </w:tc>
      </w:tr>
      <w:tr w14:paraId="1A83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4" w:type="dxa"/>
            <w:vMerge w:val="restart"/>
            <w:vAlign w:val="center"/>
          </w:tcPr>
          <w:p w14:paraId="37C2F152">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防治</w:t>
            </w:r>
          </w:p>
          <w:p w14:paraId="41DD44AB">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措施</w:t>
            </w:r>
          </w:p>
        </w:tc>
        <w:tc>
          <w:tcPr>
            <w:tcW w:w="1456" w:type="dxa"/>
            <w:vAlign w:val="center"/>
          </w:tcPr>
          <w:p w14:paraId="73984675">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防控措施</w:t>
            </w:r>
          </w:p>
        </w:tc>
        <w:tc>
          <w:tcPr>
            <w:tcW w:w="5727" w:type="dxa"/>
            <w:gridSpan w:val="5"/>
            <w:vAlign w:val="center"/>
          </w:tcPr>
          <w:p w14:paraId="0425C04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土壤环境质量现状保障√；源头控制√；过程防控√；其他（）</w:t>
            </w:r>
          </w:p>
        </w:tc>
        <w:tc>
          <w:tcPr>
            <w:tcW w:w="858" w:type="dxa"/>
            <w:vAlign w:val="center"/>
          </w:tcPr>
          <w:p w14:paraId="60B34F7E">
            <w:pPr>
              <w:widowControl/>
              <w:snapToGrid w:val="0"/>
              <w:jc w:val="center"/>
              <w:rPr>
                <w:rFonts w:ascii="Times New Roman" w:hAnsi="Times New Roman" w:eastAsia="宋体" w:cs="Times New Roman"/>
                <w:szCs w:val="21"/>
              </w:rPr>
            </w:pPr>
          </w:p>
        </w:tc>
      </w:tr>
      <w:tr w14:paraId="48C0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4" w:type="dxa"/>
            <w:vMerge w:val="continue"/>
            <w:vAlign w:val="center"/>
          </w:tcPr>
          <w:p w14:paraId="269FBEAD">
            <w:pPr>
              <w:widowControl/>
              <w:jc w:val="left"/>
              <w:rPr>
                <w:rFonts w:ascii="Times New Roman" w:hAnsi="Times New Roman" w:eastAsia="宋体" w:cs="Times New Roman"/>
                <w:szCs w:val="21"/>
              </w:rPr>
            </w:pPr>
          </w:p>
        </w:tc>
        <w:tc>
          <w:tcPr>
            <w:tcW w:w="1456" w:type="dxa"/>
            <w:vMerge w:val="restart"/>
            <w:vAlign w:val="center"/>
          </w:tcPr>
          <w:p w14:paraId="5EEE3A72">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跟踪监测</w:t>
            </w:r>
          </w:p>
        </w:tc>
        <w:tc>
          <w:tcPr>
            <w:tcW w:w="2333" w:type="dxa"/>
            <w:gridSpan w:val="2"/>
            <w:vAlign w:val="center"/>
          </w:tcPr>
          <w:p w14:paraId="67D6303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监测点数</w:t>
            </w:r>
          </w:p>
        </w:tc>
        <w:tc>
          <w:tcPr>
            <w:tcW w:w="1763" w:type="dxa"/>
            <w:gridSpan w:val="2"/>
            <w:vAlign w:val="center"/>
          </w:tcPr>
          <w:p w14:paraId="53B94D9D">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监测指标</w:t>
            </w:r>
          </w:p>
        </w:tc>
        <w:tc>
          <w:tcPr>
            <w:tcW w:w="1631" w:type="dxa"/>
            <w:vAlign w:val="center"/>
          </w:tcPr>
          <w:p w14:paraId="2821C691">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监测频次</w:t>
            </w:r>
          </w:p>
        </w:tc>
        <w:tc>
          <w:tcPr>
            <w:tcW w:w="858" w:type="dxa"/>
            <w:vMerge w:val="restart"/>
            <w:vAlign w:val="center"/>
          </w:tcPr>
          <w:p w14:paraId="3B6E1493">
            <w:pPr>
              <w:widowControl/>
              <w:snapToGrid w:val="0"/>
              <w:jc w:val="center"/>
              <w:rPr>
                <w:rFonts w:ascii="Times New Roman" w:hAnsi="Times New Roman" w:eastAsia="宋体" w:cs="Times New Roman"/>
                <w:szCs w:val="21"/>
              </w:rPr>
            </w:pPr>
          </w:p>
        </w:tc>
      </w:tr>
      <w:tr w14:paraId="3EC0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24" w:type="dxa"/>
            <w:vMerge w:val="continue"/>
            <w:vAlign w:val="center"/>
          </w:tcPr>
          <w:p w14:paraId="225D5511">
            <w:pPr>
              <w:widowControl/>
              <w:jc w:val="left"/>
              <w:rPr>
                <w:rFonts w:ascii="Times New Roman" w:hAnsi="Times New Roman" w:eastAsia="宋体" w:cs="Times New Roman"/>
                <w:szCs w:val="21"/>
              </w:rPr>
            </w:pPr>
          </w:p>
        </w:tc>
        <w:tc>
          <w:tcPr>
            <w:tcW w:w="1456" w:type="dxa"/>
            <w:vMerge w:val="continue"/>
            <w:vAlign w:val="center"/>
          </w:tcPr>
          <w:p w14:paraId="68BDFA8F">
            <w:pPr>
              <w:widowControl/>
              <w:jc w:val="left"/>
              <w:rPr>
                <w:rFonts w:ascii="Times New Roman" w:hAnsi="Times New Roman" w:eastAsia="宋体" w:cs="Times New Roman"/>
                <w:szCs w:val="21"/>
              </w:rPr>
            </w:pPr>
          </w:p>
        </w:tc>
        <w:tc>
          <w:tcPr>
            <w:tcW w:w="2333" w:type="dxa"/>
            <w:gridSpan w:val="2"/>
            <w:vAlign w:val="center"/>
          </w:tcPr>
          <w:p w14:paraId="26378DFD">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763" w:type="dxa"/>
            <w:gridSpan w:val="2"/>
            <w:vAlign w:val="center"/>
          </w:tcPr>
          <w:p w14:paraId="0EAE0A58">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《土壤环境质量标准 建设用地土壤污染风险管控标准》（GB 36600-2018）</w:t>
            </w:r>
          </w:p>
        </w:tc>
        <w:tc>
          <w:tcPr>
            <w:tcW w:w="1631" w:type="dxa"/>
            <w:vAlign w:val="center"/>
          </w:tcPr>
          <w:p w14:paraId="76E3D3E3">
            <w:pPr>
              <w:widowControl/>
              <w:snapToGrid w:val="0"/>
              <w:jc w:val="center"/>
              <w:rPr>
                <w:rFonts w:ascii="Times New Roman" w:hAnsi="Times New Roman" w:eastAsia="宋体" w:cs="Times New Roman"/>
                <w:szCs w:val="21"/>
              </w:rPr>
            </w:pPr>
            <w:r>
              <w:rPr>
                <w:rFonts w:hint="eastAsia" w:ascii="Times New Roman" w:hAnsi="Times New Roman" w:cs="Times New Roman"/>
                <w:szCs w:val="21"/>
              </w:rPr>
              <w:t>5</w:t>
            </w:r>
            <w:r>
              <w:rPr>
                <w:rFonts w:ascii="Times New Roman" w:hAnsi="Times New Roman" w:eastAsia="宋体" w:cs="Times New Roman"/>
                <w:szCs w:val="21"/>
              </w:rPr>
              <w:t>次/年</w:t>
            </w:r>
          </w:p>
        </w:tc>
        <w:tc>
          <w:tcPr>
            <w:tcW w:w="858" w:type="dxa"/>
            <w:vMerge w:val="continue"/>
            <w:vAlign w:val="center"/>
          </w:tcPr>
          <w:p w14:paraId="6E876695">
            <w:pPr>
              <w:widowControl/>
              <w:jc w:val="left"/>
              <w:rPr>
                <w:rFonts w:ascii="Times New Roman" w:hAnsi="Times New Roman" w:eastAsia="宋体" w:cs="Times New Roman"/>
                <w:szCs w:val="21"/>
              </w:rPr>
            </w:pPr>
          </w:p>
        </w:tc>
      </w:tr>
      <w:tr w14:paraId="79B0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524" w:type="dxa"/>
            <w:vMerge w:val="continue"/>
            <w:vAlign w:val="center"/>
          </w:tcPr>
          <w:p w14:paraId="566925C0">
            <w:pPr>
              <w:widowControl/>
              <w:jc w:val="left"/>
              <w:rPr>
                <w:rFonts w:ascii="Times New Roman" w:hAnsi="Times New Roman" w:eastAsia="宋体" w:cs="Times New Roman"/>
                <w:szCs w:val="21"/>
              </w:rPr>
            </w:pPr>
          </w:p>
        </w:tc>
        <w:tc>
          <w:tcPr>
            <w:tcW w:w="1456" w:type="dxa"/>
            <w:vAlign w:val="center"/>
          </w:tcPr>
          <w:p w14:paraId="7A0E6F55">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信息公开指标</w:t>
            </w:r>
          </w:p>
        </w:tc>
        <w:tc>
          <w:tcPr>
            <w:tcW w:w="5727" w:type="dxa"/>
            <w:gridSpan w:val="5"/>
            <w:vAlign w:val="center"/>
          </w:tcPr>
          <w:p w14:paraId="10220D03">
            <w:pPr>
              <w:widowControl/>
              <w:snapToGrid w:val="0"/>
              <w:jc w:val="center"/>
              <w:rPr>
                <w:rFonts w:ascii="Times New Roman" w:hAnsi="Times New Roman" w:eastAsia="宋体" w:cs="Times New Roman"/>
                <w:szCs w:val="21"/>
              </w:rPr>
            </w:pPr>
          </w:p>
        </w:tc>
        <w:tc>
          <w:tcPr>
            <w:tcW w:w="858" w:type="dxa"/>
            <w:vMerge w:val="continue"/>
            <w:vAlign w:val="center"/>
          </w:tcPr>
          <w:p w14:paraId="3156312E">
            <w:pPr>
              <w:widowControl/>
              <w:jc w:val="left"/>
              <w:rPr>
                <w:rFonts w:ascii="Times New Roman" w:hAnsi="Times New Roman" w:eastAsia="宋体" w:cs="Times New Roman"/>
                <w:szCs w:val="21"/>
              </w:rPr>
            </w:pPr>
          </w:p>
        </w:tc>
      </w:tr>
      <w:tr w14:paraId="77C2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1980" w:type="dxa"/>
            <w:gridSpan w:val="2"/>
            <w:vAlign w:val="center"/>
          </w:tcPr>
          <w:p w14:paraId="3983820E">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评价结论</w:t>
            </w:r>
          </w:p>
        </w:tc>
        <w:tc>
          <w:tcPr>
            <w:tcW w:w="5727" w:type="dxa"/>
            <w:gridSpan w:val="5"/>
            <w:vAlign w:val="center"/>
          </w:tcPr>
          <w:p w14:paraId="0D94BE91">
            <w:pPr>
              <w:widowControl/>
              <w:snapToGrid w:val="0"/>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根据预测结果，污水处理站、生产车间各建构筑物按要求做好防渗措施，危险废物储存区等均严格按照《危险废物贮存污染控制标准》（GB18597-20</w:t>
            </w:r>
            <w:r>
              <w:rPr>
                <w:rFonts w:hint="eastAsia" w:ascii="Times New Roman" w:hAnsi="Times New Roman" w:eastAsia="宋体" w:cs="Times New Roman"/>
                <w:szCs w:val="21"/>
              </w:rPr>
              <w:t>23</w:t>
            </w:r>
            <w:r>
              <w:rPr>
                <w:rFonts w:ascii="Times New Roman" w:hAnsi="Times New Roman" w:eastAsia="宋体" w:cs="Times New Roman"/>
                <w:szCs w:val="21"/>
              </w:rPr>
              <w:t>）有关规范设计，建设项目对周边土壤的影响较小；本项目废气排放对周边</w:t>
            </w:r>
            <w:r>
              <w:rPr>
                <w:rFonts w:hint="eastAsia" w:ascii="Times New Roman" w:hAnsi="Times New Roman" w:eastAsia="宋体" w:cs="Times New Roman"/>
                <w:szCs w:val="21"/>
                <w:lang w:val="en-US" w:eastAsia="zh-CN"/>
              </w:rPr>
              <w:t>苯、</w:t>
            </w:r>
            <w:r>
              <w:rPr>
                <w:rFonts w:hint="eastAsia" w:ascii="Times New Roman" w:hAnsi="Times New Roman" w:eastAsia="宋体" w:cs="Times New Roman"/>
                <w:szCs w:val="21"/>
              </w:rPr>
              <w:t>甲苯、二甲苯、</w:t>
            </w:r>
            <w:r>
              <w:rPr>
                <w:rFonts w:ascii="Times New Roman" w:hAnsi="Times New Roman" w:eastAsia="宋体" w:cs="Times New Roman"/>
                <w:szCs w:val="21"/>
              </w:rPr>
              <w:t>NMHC贡献浓度很低，运行行</w:t>
            </w:r>
            <w:r>
              <w:rPr>
                <w:rFonts w:hint="eastAsia" w:ascii="Times New Roman" w:hAnsi="Times New Roman" w:eastAsia="宋体" w:cs="Times New Roman"/>
                <w:szCs w:val="21"/>
              </w:rPr>
              <w:t>10</w:t>
            </w:r>
            <w:r>
              <w:rPr>
                <w:rFonts w:ascii="Times New Roman" w:hAnsi="Times New Roman" w:eastAsia="宋体" w:cs="Times New Roman"/>
                <w:szCs w:val="21"/>
              </w:rPr>
              <w:t>至30产过程中废气的排放不会对周边土壤产生明显影响。</w:t>
            </w:r>
          </w:p>
        </w:tc>
        <w:tc>
          <w:tcPr>
            <w:tcW w:w="858" w:type="dxa"/>
            <w:vAlign w:val="center"/>
          </w:tcPr>
          <w:p w14:paraId="2F2694A4">
            <w:pPr>
              <w:widowControl/>
              <w:snapToGrid w:val="0"/>
              <w:jc w:val="center"/>
              <w:rPr>
                <w:rFonts w:ascii="Times New Roman" w:hAnsi="Times New Roman" w:eastAsia="宋体" w:cs="Times New Roman"/>
                <w:szCs w:val="21"/>
              </w:rPr>
            </w:pPr>
          </w:p>
        </w:tc>
      </w:tr>
      <w:tr w14:paraId="5D0C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8565" w:type="dxa"/>
            <w:gridSpan w:val="8"/>
            <w:vAlign w:val="center"/>
          </w:tcPr>
          <w:p w14:paraId="03E34CD2">
            <w:pPr>
              <w:widowControl/>
              <w:snapToGrid w:val="0"/>
              <w:jc w:val="left"/>
              <w:rPr>
                <w:rFonts w:ascii="Times New Roman" w:hAnsi="Times New Roman" w:eastAsia="宋体" w:cs="Times New Roman"/>
                <w:szCs w:val="21"/>
              </w:rPr>
            </w:pPr>
            <w:r>
              <w:rPr>
                <w:rFonts w:ascii="Times New Roman" w:hAnsi="Times New Roman" w:eastAsia="宋体" w:cs="Times New Roman"/>
                <w:szCs w:val="21"/>
              </w:rPr>
              <w:t>注 1：“□”为勾选项，可√；“（ ）”为内容填写项；“备注”为其他补充内容。</w:t>
            </w:r>
          </w:p>
          <w:p w14:paraId="3307B6A1">
            <w:pPr>
              <w:widowControl/>
              <w:snapToGrid w:val="0"/>
              <w:jc w:val="left"/>
              <w:rPr>
                <w:rFonts w:ascii="Times New Roman" w:hAnsi="Times New Roman" w:eastAsia="宋体" w:cs="Times New Roman"/>
                <w:szCs w:val="21"/>
              </w:rPr>
            </w:pPr>
            <w:r>
              <w:rPr>
                <w:rFonts w:ascii="Times New Roman" w:hAnsi="Times New Roman" w:eastAsia="宋体" w:cs="Times New Roman"/>
                <w:szCs w:val="21"/>
              </w:rPr>
              <w:t>注 2：需要分别开展土壤环境影响评级工作的，分别填写自查表。</w:t>
            </w:r>
          </w:p>
        </w:tc>
      </w:tr>
    </w:tbl>
    <w:p w14:paraId="521B819B">
      <w:pPr>
        <w:keepNext/>
        <w:keepLines/>
        <w:numPr>
          <w:ilvl w:val="1"/>
          <w:numId w:val="69"/>
        </w:numPr>
        <w:spacing w:line="360" w:lineRule="auto"/>
        <w:outlineLvl w:val="1"/>
        <w:rPr>
          <w:rFonts w:ascii="Times New Roman" w:hAnsi="Times New Roman" w:eastAsia="宋体" w:cs="Times New Roman"/>
          <w:b/>
          <w:sz w:val="28"/>
          <w:szCs w:val="28"/>
        </w:rPr>
      </w:pPr>
      <w:bookmarkStart w:id="273" w:name="_Toc884"/>
      <w:bookmarkStart w:id="274" w:name="_Toc32501"/>
      <w:bookmarkStart w:id="275" w:name="_Toc31098"/>
      <w:r>
        <w:rPr>
          <w:rFonts w:ascii="Times New Roman" w:hAnsi="Times New Roman" w:eastAsia="宋体" w:cs="Times New Roman"/>
          <w:b/>
          <w:sz w:val="28"/>
          <w:szCs w:val="28"/>
        </w:rPr>
        <w:t>营运期固体废物影响分析</w:t>
      </w:r>
      <w:bookmarkEnd w:id="272"/>
      <w:bookmarkEnd w:id="273"/>
      <w:bookmarkEnd w:id="274"/>
      <w:bookmarkEnd w:id="275"/>
    </w:p>
    <w:p w14:paraId="323F66F5">
      <w:pPr>
        <w:keepNext/>
        <w:keepLines/>
        <w:numPr>
          <w:ilvl w:val="2"/>
          <w:numId w:val="69"/>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固体废物产生及处置情况</w:t>
      </w:r>
    </w:p>
    <w:p w14:paraId="627D15A6">
      <w:pPr>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sz w:val="24"/>
          <w:szCs w:val="21"/>
          <w:lang w:bidi="ar"/>
        </w:rPr>
        <w:t>项目</w:t>
      </w:r>
      <w:r>
        <w:rPr>
          <w:rFonts w:ascii="Times New Roman" w:hAnsi="Times New Roman" w:eastAsia="宋体" w:cs="Times New Roman"/>
          <w:bCs/>
          <w:kern w:val="0"/>
          <w:sz w:val="24"/>
        </w:rPr>
        <w:t>产生固废分为生活垃圾、一般工业固废和危险废物。其中，生活垃圾定期交由环卫部门</w:t>
      </w:r>
      <w:r>
        <w:rPr>
          <w:rFonts w:hint="eastAsia" w:ascii="Times New Roman" w:hAnsi="Times New Roman" w:eastAsia="宋体" w:cs="Times New Roman"/>
          <w:bCs/>
          <w:kern w:val="0"/>
          <w:sz w:val="24"/>
        </w:rPr>
        <w:t>统一处理</w:t>
      </w:r>
      <w:r>
        <w:rPr>
          <w:rFonts w:ascii="Times New Roman" w:hAnsi="Times New Roman" w:eastAsia="宋体" w:cs="Times New Roman"/>
          <w:bCs/>
          <w:kern w:val="0"/>
          <w:sz w:val="24"/>
        </w:rPr>
        <w:t>。</w:t>
      </w:r>
    </w:p>
    <w:p w14:paraId="5C00E52E">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一般工业固废主要为：</w:t>
      </w:r>
      <w:r>
        <w:rPr>
          <w:rFonts w:ascii="Times New Roman" w:hAnsi="Times New Roman" w:eastAsia="宋体" w:cs="Times New Roman"/>
          <w:bCs/>
          <w:kern w:val="0"/>
          <w:sz w:val="24"/>
        </w:rPr>
        <w:t>木材加工过程中产生的木屑、废边角废料、废包装材料、除尘器收集的粉尘。木材加工过程中产生的木屑、废边角废料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废包装材料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除尘器收集的粉尘</w:t>
      </w:r>
      <w:r>
        <w:rPr>
          <w:rFonts w:hint="eastAsia" w:ascii="Times New Roman" w:hAnsi="Times New Roman" w:eastAsia="宋体" w:cs="Times New Roman"/>
          <w:bCs/>
          <w:kern w:val="0"/>
          <w:sz w:val="24"/>
        </w:rPr>
        <w:t>收集后外售。</w:t>
      </w:r>
    </w:p>
    <w:p w14:paraId="67AC246F">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危险废物包括：废破损包装桶（废油漆桶、废胶桶、稀释剂桶）、水帘漆渣、油磨漆渣、污水处理中产生的絮状沉淀物、废活性炭、喷枪清洗废水、废催化剂、废机油、废过滤棉（含漆渣），分别交由相应资质单位处理。</w:t>
      </w:r>
    </w:p>
    <w:p w14:paraId="6F0B86A4">
      <w:pPr>
        <w:keepNext/>
        <w:keepLines/>
        <w:numPr>
          <w:ilvl w:val="2"/>
          <w:numId w:val="69"/>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固体废物环境影响分析</w:t>
      </w:r>
    </w:p>
    <w:p w14:paraId="328C7555">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固体废物中有害物质通过水体、土壤和大气而进入环境中，对环境的影响程度取决于释放过程中污染物的转移量及其浓度。从本项目产生的固体废物的种类及成份来看，若不妥当处置，将有可能对土壤、水体、环境空气质量造成影响。</w:t>
      </w:r>
    </w:p>
    <w:p w14:paraId="18693178">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（1）固体废物对土壤和地下水环境的影响分析</w:t>
      </w:r>
    </w:p>
    <w:p w14:paraId="74CE2A66">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从本项目固体废物中主要有害成份来看，</w:t>
      </w:r>
      <w:r>
        <w:rPr>
          <w:rFonts w:hint="eastAsia" w:ascii="Times New Roman" w:hAnsi="Times New Roman" w:eastAsia="宋体" w:cs="Times New Roman"/>
          <w:kern w:val="0"/>
          <w:sz w:val="24"/>
        </w:rPr>
        <w:t>本项目产生</w:t>
      </w:r>
      <w:r>
        <w:rPr>
          <w:rFonts w:ascii="Times New Roman" w:hAnsi="Times New Roman" w:eastAsia="宋体" w:cs="Times New Roman"/>
          <w:kern w:val="0"/>
          <w:sz w:val="24"/>
        </w:rPr>
        <w:t>废物</w:t>
      </w:r>
      <w:r>
        <w:rPr>
          <w:rFonts w:hint="eastAsia" w:cs="Times New Roman"/>
          <w:kern w:val="0"/>
          <w:sz w:val="24"/>
        </w:rPr>
        <w:t>若</w:t>
      </w:r>
      <w:r>
        <w:rPr>
          <w:rFonts w:ascii="Times New Roman" w:hAnsi="Times New Roman" w:eastAsia="宋体" w:cs="Times New Roman"/>
          <w:kern w:val="0"/>
          <w:sz w:val="24"/>
        </w:rPr>
        <w:t>没有设置合理的暂存场所或者防漏措施不当，其中的有害组分很容易经过雨水淋溶、地表径流的侵蚀进入土壤和地下水，污染土壤和地下水环境。</w:t>
      </w:r>
    </w:p>
    <w:p w14:paraId="008C533F">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（2）固体废物对水体环境的影响分析</w:t>
      </w:r>
    </w:p>
    <w:p w14:paraId="37C0608A">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固体废物一旦与水和地表径流相遇，污染物中有害成份随浸出液体进入地面水体，使地面水体受到污染，随渗水进入土壤则污染地下水，可能对地面水体和地下水体造成二次污染。</w:t>
      </w:r>
    </w:p>
    <w:p w14:paraId="0CF20337">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（3）固体废物对环境空气质量的影响分析</w:t>
      </w:r>
    </w:p>
    <w:p w14:paraId="2FF0C8C3">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本项目产生各类固废如果随意露天堆放，或者在暂存、转移过程中处置不当，会造成废气污染物，会对环境空气造成一定的影响。</w:t>
      </w:r>
    </w:p>
    <w:p w14:paraId="4AF68D8D">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综上所述，本项目产生的固体废物，特别是危险废物，若处理不当，将对水体、环境空气质量、土壤造成二次污染，危害生态环境和人群健康，因此，必须按照国家和地方的有关法律法规的规定，对本项目产生的危险废物进行全过程严格管理和安全处置。</w:t>
      </w:r>
    </w:p>
    <w:p w14:paraId="6595C2B9">
      <w:pPr>
        <w:keepNext/>
        <w:keepLines/>
        <w:numPr>
          <w:ilvl w:val="2"/>
          <w:numId w:val="69"/>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危险废物贮存场所环境影响分析</w:t>
      </w:r>
    </w:p>
    <w:p w14:paraId="7197FF5C">
      <w:pPr>
        <w:widowControl/>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1</w:t>
      </w:r>
      <w:r>
        <w:rPr>
          <w:rFonts w:ascii="Times New Roman" w:hAnsi="Times New Roman" w:eastAsia="宋体" w:cs="Times New Roman"/>
          <w:kern w:val="0"/>
          <w:sz w:val="24"/>
        </w:rPr>
        <w:t>、危险废物暂存场存储能力分析</w:t>
      </w:r>
    </w:p>
    <w:p w14:paraId="7777687E">
      <w:pPr>
        <w:widowControl/>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本项目设置的危废暂存间面积30m</w:t>
      </w:r>
      <w:r>
        <w:rPr>
          <w:rFonts w:hint="eastAsia" w:ascii="Times New Roman" w:hAnsi="Times New Roman" w:eastAsia="宋体" w:cs="Times New Roman"/>
          <w:kern w:val="0"/>
          <w:sz w:val="24"/>
          <w:vertAlign w:val="superscript"/>
        </w:rPr>
        <w:t>2</w:t>
      </w:r>
      <w:r>
        <w:rPr>
          <w:rFonts w:hint="eastAsia" w:ascii="Times New Roman" w:hAnsi="Times New Roman" w:eastAsia="宋体" w:cs="Times New Roman"/>
          <w:kern w:val="0"/>
          <w:sz w:val="24"/>
        </w:rPr>
        <w:t>，可以容纳本项目产生危险废物。本项目产生的各类危险废物统一收集于危险废物暂存库后，委托有资质单位外运处置。产生量大的危废废物转运周期小于1个月，其他委外处置的危废转运周期是半年，详见下表。本项目危险废物暂存场的存储能力满足要求。</w:t>
      </w:r>
    </w:p>
    <w:p w14:paraId="6A853BA4">
      <w:pPr>
        <w:pStyle w:val="62"/>
        <w:jc w:val="both"/>
        <w:rPr>
          <w:rFonts w:ascii="Times New Roman" w:hAnsi="Times New Roman" w:eastAsia="宋体" w:cs="Times New Roman"/>
          <w:color w:val="auto"/>
          <w:kern w:val="0"/>
          <w:sz w:val="24"/>
          <w:szCs w:val="24"/>
        </w:rPr>
      </w:pPr>
    </w:p>
    <w:p w14:paraId="2F87164B">
      <w:pPr>
        <w:pStyle w:val="62"/>
        <w:jc w:val="both"/>
        <w:rPr>
          <w:rFonts w:ascii="Times New Roman" w:hAnsi="Times New Roman" w:eastAsia="宋体" w:cs="Times New Roman"/>
          <w:color w:val="auto"/>
          <w:kern w:val="0"/>
          <w:sz w:val="24"/>
          <w:szCs w:val="24"/>
        </w:rPr>
        <w:sectPr>
          <w:pgSz w:w="11906" w:h="16838"/>
          <w:pgMar w:top="1440" w:right="1800" w:bottom="1440" w:left="1800" w:header="851" w:footer="992" w:gutter="0"/>
          <w:pgNumType w:fmt="decimal"/>
          <w:cols w:space="425" w:num="1"/>
          <w:docGrid w:type="lines" w:linePitch="312" w:charSpace="0"/>
        </w:sectPr>
      </w:pPr>
    </w:p>
    <w:p w14:paraId="3E188FD1">
      <w:pPr>
        <w:autoSpaceDE w:val="0"/>
        <w:autoSpaceDN w:val="0"/>
        <w:adjustRightInd w:val="0"/>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5.</w:t>
      </w:r>
      <w:r>
        <w:rPr>
          <w:rFonts w:hint="eastAsia" w:ascii="Times New Roman" w:hAnsi="Times New Roman" w:eastAsia="宋体" w:cs="Times New Roman"/>
          <w:b/>
          <w:bCs/>
          <w:kern w:val="0"/>
          <w:szCs w:val="21"/>
        </w:rPr>
        <w:t>7</w:t>
      </w:r>
      <w:r>
        <w:rPr>
          <w:rFonts w:ascii="Times New Roman" w:hAnsi="Times New Roman" w:eastAsia="宋体" w:cs="Times New Roman"/>
          <w:b/>
          <w:bCs/>
          <w:kern w:val="0"/>
          <w:szCs w:val="21"/>
        </w:rPr>
        <w:t>-</w:t>
      </w:r>
      <w:r>
        <w:rPr>
          <w:rFonts w:hint="eastAsia" w:ascii="Times New Roman" w:hAnsi="Times New Roman" w:eastAsia="宋体" w:cs="Times New Roman"/>
          <w:b/>
          <w:bCs/>
          <w:kern w:val="0"/>
          <w:szCs w:val="21"/>
        </w:rPr>
        <w:t xml:space="preserve">1  </w:t>
      </w:r>
      <w:r>
        <w:rPr>
          <w:rFonts w:ascii="Times New Roman" w:hAnsi="Times New Roman" w:eastAsia="宋体" w:cs="Times New Roman"/>
          <w:b/>
          <w:bCs/>
          <w:kern w:val="0"/>
          <w:szCs w:val="21"/>
        </w:rPr>
        <w:t>危险废物仓库贮存能力分析一览表</w:t>
      </w:r>
    </w:p>
    <w:tbl>
      <w:tblPr>
        <w:tblStyle w:val="30"/>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1067"/>
        <w:gridCol w:w="1268"/>
        <w:gridCol w:w="1339"/>
        <w:gridCol w:w="1101"/>
        <w:gridCol w:w="760"/>
        <w:gridCol w:w="848"/>
        <w:gridCol w:w="1983"/>
        <w:gridCol w:w="792"/>
        <w:gridCol w:w="1314"/>
        <w:gridCol w:w="1495"/>
      </w:tblGrid>
      <w:tr w14:paraId="74B0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4886A4D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废物名称</w:t>
            </w:r>
          </w:p>
        </w:tc>
        <w:tc>
          <w:tcPr>
            <w:tcW w:w="1067" w:type="dxa"/>
            <w:vAlign w:val="center"/>
          </w:tcPr>
          <w:p w14:paraId="57DE03E2">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危险废物类别</w:t>
            </w:r>
          </w:p>
        </w:tc>
        <w:tc>
          <w:tcPr>
            <w:tcW w:w="1268" w:type="dxa"/>
            <w:vAlign w:val="center"/>
          </w:tcPr>
          <w:p w14:paraId="4CD4A54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废物代码</w:t>
            </w:r>
          </w:p>
        </w:tc>
        <w:tc>
          <w:tcPr>
            <w:tcW w:w="1339" w:type="dxa"/>
            <w:vAlign w:val="center"/>
          </w:tcPr>
          <w:p w14:paraId="31B6376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产生量（t/a）</w:t>
            </w:r>
          </w:p>
        </w:tc>
        <w:tc>
          <w:tcPr>
            <w:tcW w:w="1101" w:type="dxa"/>
            <w:vAlign w:val="center"/>
          </w:tcPr>
          <w:p w14:paraId="68FBE73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产废周期</w:t>
            </w:r>
          </w:p>
        </w:tc>
        <w:tc>
          <w:tcPr>
            <w:tcW w:w="760" w:type="dxa"/>
            <w:vAlign w:val="center"/>
          </w:tcPr>
          <w:p w14:paraId="0457CAB7">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贮存位置</w:t>
            </w:r>
          </w:p>
        </w:tc>
        <w:tc>
          <w:tcPr>
            <w:tcW w:w="848" w:type="dxa"/>
            <w:vAlign w:val="center"/>
          </w:tcPr>
          <w:p w14:paraId="03BFE1DE">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建筑面积</w:t>
            </w:r>
          </w:p>
        </w:tc>
        <w:tc>
          <w:tcPr>
            <w:tcW w:w="1983" w:type="dxa"/>
            <w:vAlign w:val="center"/>
          </w:tcPr>
          <w:p w14:paraId="34200D6D">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贮存方式</w:t>
            </w:r>
          </w:p>
        </w:tc>
        <w:tc>
          <w:tcPr>
            <w:tcW w:w="792" w:type="dxa"/>
            <w:vAlign w:val="center"/>
          </w:tcPr>
          <w:p w14:paraId="3323AF3C">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贮存能力</w:t>
            </w:r>
          </w:p>
        </w:tc>
        <w:tc>
          <w:tcPr>
            <w:tcW w:w="1314" w:type="dxa"/>
            <w:vAlign w:val="center"/>
          </w:tcPr>
          <w:p w14:paraId="5EC9F0A6">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贮存周期</w:t>
            </w:r>
          </w:p>
        </w:tc>
        <w:tc>
          <w:tcPr>
            <w:tcW w:w="1495" w:type="dxa"/>
            <w:vAlign w:val="center"/>
          </w:tcPr>
          <w:p w14:paraId="616E05E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是否满足要求</w:t>
            </w:r>
          </w:p>
        </w:tc>
      </w:tr>
      <w:tr w14:paraId="78A3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342CA895">
            <w:pPr>
              <w:jc w:val="center"/>
              <w:rPr>
                <w:rFonts w:ascii="Times New Roman" w:hAnsi="Times New Roman" w:eastAsia="宋体" w:cs="Times New Roman"/>
                <w:szCs w:val="21"/>
              </w:rPr>
            </w:pPr>
            <w:r>
              <w:rPr>
                <w:rFonts w:hint="eastAsia" w:ascii="Times New Roman" w:hAnsi="Times New Roman" w:eastAsia="宋体" w:cs="Times New Roman"/>
                <w:szCs w:val="21"/>
              </w:rPr>
              <w:t>废破损包装桶</w:t>
            </w:r>
          </w:p>
        </w:tc>
        <w:tc>
          <w:tcPr>
            <w:tcW w:w="1067" w:type="dxa"/>
            <w:vAlign w:val="center"/>
          </w:tcPr>
          <w:p w14:paraId="287A14FE">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68" w:type="dxa"/>
            <w:vAlign w:val="center"/>
          </w:tcPr>
          <w:p w14:paraId="3BB5860F">
            <w:pPr>
              <w:jc w:val="center"/>
              <w:rPr>
                <w:rFonts w:ascii="Times New Roman" w:hAnsi="Times New Roman" w:eastAsia="宋体" w:cs="Times New Roman"/>
                <w:szCs w:val="21"/>
              </w:rPr>
            </w:pPr>
            <w:r>
              <w:rPr>
                <w:rFonts w:ascii="Times New Roman" w:hAnsi="Times New Roman" w:eastAsia="宋体" w:cs="Times New Roman"/>
                <w:szCs w:val="21"/>
              </w:rPr>
              <w:t>900-041-49</w:t>
            </w:r>
          </w:p>
        </w:tc>
        <w:tc>
          <w:tcPr>
            <w:tcW w:w="1339" w:type="dxa"/>
            <w:vAlign w:val="center"/>
          </w:tcPr>
          <w:p w14:paraId="2CF052C2">
            <w:pPr>
              <w:jc w:val="center"/>
              <w:rPr>
                <w:rFonts w:ascii="Times New Roman" w:hAnsi="Times New Roman" w:eastAsia="宋体" w:cs="Times New Roman"/>
                <w:szCs w:val="21"/>
              </w:rPr>
            </w:pPr>
            <w:r>
              <w:rPr>
                <w:rFonts w:hint="eastAsia" w:ascii="Times New Roman" w:hAnsi="Times New Roman" w:cs="Times New Roman"/>
                <w:szCs w:val="21"/>
              </w:rPr>
              <w:t>1.0</w:t>
            </w:r>
          </w:p>
        </w:tc>
        <w:tc>
          <w:tcPr>
            <w:tcW w:w="1101" w:type="dxa"/>
            <w:vAlign w:val="center"/>
          </w:tcPr>
          <w:p w14:paraId="3DAB6880">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1d</w:t>
            </w:r>
          </w:p>
        </w:tc>
        <w:tc>
          <w:tcPr>
            <w:tcW w:w="760" w:type="dxa"/>
            <w:vMerge w:val="restart"/>
            <w:vAlign w:val="center"/>
          </w:tcPr>
          <w:p w14:paraId="41D44C1E">
            <w:pPr>
              <w:jc w:val="center"/>
              <w:rPr>
                <w:rFonts w:ascii="Times New Roman" w:hAnsi="Times New Roman" w:eastAsia="宋体" w:cs="Times New Roman"/>
                <w:szCs w:val="21"/>
              </w:rPr>
            </w:pPr>
            <w:r>
              <w:rPr>
                <w:rFonts w:hint="eastAsia" w:cs="Times New Roman"/>
                <w:szCs w:val="21"/>
              </w:rPr>
              <w:t>危废暂存间</w:t>
            </w:r>
          </w:p>
        </w:tc>
        <w:tc>
          <w:tcPr>
            <w:tcW w:w="848" w:type="dxa"/>
            <w:vMerge w:val="restart"/>
            <w:vAlign w:val="center"/>
          </w:tcPr>
          <w:p w14:paraId="45D70AEB">
            <w:pPr>
              <w:jc w:val="center"/>
              <w:rPr>
                <w:rFonts w:ascii="Times New Roman" w:hAnsi="Times New Roman" w:eastAsia="宋体" w:cs="Times New Roman"/>
                <w:szCs w:val="21"/>
              </w:rPr>
            </w:pPr>
            <w:r>
              <w:rPr>
                <w:rFonts w:ascii="Times New Roman" w:hAnsi="Times New Roman" w:cs="Times New Roman"/>
                <w:szCs w:val="21"/>
              </w:rPr>
              <w:t>3</w:t>
            </w:r>
            <w:r>
              <w:rPr>
                <w:rFonts w:ascii="Times New Roman" w:hAnsi="Times New Roman" w:eastAsia="宋体" w:cs="Times New Roman"/>
                <w:szCs w:val="21"/>
              </w:rPr>
              <w:t>0m</w:t>
            </w:r>
            <w:r>
              <w:rPr>
                <w:rFonts w:ascii="Times New Roman" w:hAnsi="Times New Roman" w:eastAsia="宋体" w:cs="Times New Roman"/>
                <w:szCs w:val="21"/>
                <w:vertAlign w:val="superscript"/>
              </w:rPr>
              <w:t>2</w:t>
            </w:r>
          </w:p>
        </w:tc>
        <w:tc>
          <w:tcPr>
            <w:tcW w:w="1983" w:type="dxa"/>
            <w:vAlign w:val="center"/>
          </w:tcPr>
          <w:p w14:paraId="08FD18DD">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792" w:type="dxa"/>
            <w:vAlign w:val="center"/>
          </w:tcPr>
          <w:p w14:paraId="1110C0B1">
            <w:pPr>
              <w:jc w:val="center"/>
              <w:rPr>
                <w:rFonts w:ascii="Times New Roman" w:hAnsi="Times New Roman" w:eastAsia="宋体" w:cs="Times New Roman"/>
                <w:kern w:val="0"/>
                <w:szCs w:val="21"/>
              </w:rPr>
            </w:pPr>
            <w:r>
              <w:rPr>
                <w:rFonts w:ascii="Times New Roman" w:hAnsi="Times New Roman" w:cs="Times New Roman"/>
                <w:kern w:val="0"/>
                <w:szCs w:val="21"/>
              </w:rPr>
              <w:t>0.5t</w:t>
            </w:r>
          </w:p>
        </w:tc>
        <w:tc>
          <w:tcPr>
            <w:tcW w:w="1314" w:type="dxa"/>
            <w:vAlign w:val="center"/>
          </w:tcPr>
          <w:p w14:paraId="2DE15F53">
            <w:pPr>
              <w:jc w:val="center"/>
              <w:rPr>
                <w:rFonts w:ascii="Times New Roman" w:hAnsi="Times New Roman" w:eastAsia="宋体" w:cs="Times New Roman"/>
                <w:kern w:val="0"/>
                <w:szCs w:val="21"/>
              </w:rPr>
            </w:pPr>
            <w:r>
              <w:rPr>
                <w:rFonts w:ascii="Times New Roman" w:hAnsi="Times New Roman" w:cs="Times New Roman"/>
                <w:kern w:val="0"/>
                <w:szCs w:val="21"/>
              </w:rPr>
              <w:t>1月</w:t>
            </w:r>
          </w:p>
        </w:tc>
        <w:tc>
          <w:tcPr>
            <w:tcW w:w="1495" w:type="dxa"/>
            <w:vAlign w:val="center"/>
          </w:tcPr>
          <w:p w14:paraId="5E49D9BF">
            <w:pPr>
              <w:autoSpaceDE w:val="0"/>
              <w:autoSpaceDN w:val="0"/>
              <w:adjustRightInd w:val="0"/>
              <w:jc w:val="center"/>
              <w:rPr>
                <w:rFonts w:ascii="Times New Roman" w:hAnsi="Times New Roman" w:eastAsia="宋体" w:cs="Times New Roman"/>
                <w:kern w:val="0"/>
                <w:szCs w:val="21"/>
              </w:rPr>
            </w:pPr>
            <w:r>
              <w:rPr>
                <w:rFonts w:hint="eastAsia" w:cs="Times New Roman"/>
                <w:kern w:val="0"/>
                <w:szCs w:val="21"/>
              </w:rPr>
              <w:t>/</w:t>
            </w:r>
          </w:p>
        </w:tc>
      </w:tr>
      <w:tr w14:paraId="03A6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0E0AFCD7">
            <w:pPr>
              <w:jc w:val="center"/>
              <w:rPr>
                <w:rFonts w:ascii="Times New Roman" w:hAnsi="Times New Roman" w:eastAsia="宋体" w:cs="Times New Roman"/>
                <w:szCs w:val="21"/>
              </w:rPr>
            </w:pPr>
            <w:r>
              <w:rPr>
                <w:rFonts w:hint="eastAsia" w:ascii="Times New Roman" w:hAnsi="Times New Roman" w:eastAsia="宋体" w:cs="Times New Roman"/>
                <w:szCs w:val="21"/>
              </w:rPr>
              <w:t>水帘漆渣</w:t>
            </w:r>
          </w:p>
        </w:tc>
        <w:tc>
          <w:tcPr>
            <w:tcW w:w="1067" w:type="dxa"/>
            <w:vAlign w:val="center"/>
          </w:tcPr>
          <w:p w14:paraId="73F5ABFB">
            <w:pPr>
              <w:jc w:val="center"/>
              <w:rPr>
                <w:rFonts w:ascii="Times New Roman" w:hAnsi="Times New Roman" w:eastAsia="宋体" w:cs="Times New Roman"/>
                <w:szCs w:val="21"/>
              </w:rPr>
            </w:pPr>
            <w:r>
              <w:rPr>
                <w:rFonts w:hint="eastAsia" w:ascii="Times New Roman" w:hAnsi="Times New Roman" w:eastAsia="宋体" w:cs="Times New Roman"/>
                <w:szCs w:val="21"/>
              </w:rPr>
              <w:t>HW12</w:t>
            </w:r>
          </w:p>
        </w:tc>
        <w:tc>
          <w:tcPr>
            <w:tcW w:w="1268" w:type="dxa"/>
            <w:vAlign w:val="center"/>
          </w:tcPr>
          <w:p w14:paraId="76F51830">
            <w:pPr>
              <w:jc w:val="center"/>
              <w:rPr>
                <w:rFonts w:ascii="Times New Roman" w:hAnsi="Times New Roman" w:eastAsia="宋体" w:cs="Times New Roman"/>
                <w:szCs w:val="21"/>
              </w:rPr>
            </w:pPr>
            <w:r>
              <w:rPr>
                <w:rFonts w:hint="eastAsia" w:ascii="Times New Roman" w:hAnsi="Times New Roman" w:eastAsia="宋体" w:cs="Times New Roman"/>
                <w:szCs w:val="21"/>
              </w:rPr>
              <w:t>900-252-12</w:t>
            </w:r>
          </w:p>
        </w:tc>
        <w:tc>
          <w:tcPr>
            <w:tcW w:w="1339" w:type="dxa"/>
            <w:vAlign w:val="center"/>
          </w:tcPr>
          <w:p w14:paraId="58668EDD">
            <w:pPr>
              <w:jc w:val="center"/>
              <w:rPr>
                <w:rFonts w:ascii="Times New Roman" w:hAnsi="Times New Roman" w:eastAsia="宋体" w:cs="Times New Roman"/>
                <w:szCs w:val="21"/>
              </w:rPr>
            </w:pPr>
            <w:r>
              <w:rPr>
                <w:rFonts w:hint="eastAsia" w:ascii="Times New Roman" w:hAnsi="Times New Roman" w:cs="Times New Roman"/>
                <w:szCs w:val="21"/>
              </w:rPr>
              <w:t>3.15</w:t>
            </w:r>
          </w:p>
        </w:tc>
        <w:tc>
          <w:tcPr>
            <w:tcW w:w="1101" w:type="dxa"/>
            <w:vAlign w:val="center"/>
          </w:tcPr>
          <w:p w14:paraId="4CA873CA">
            <w:pPr>
              <w:jc w:val="center"/>
              <w:rPr>
                <w:rFonts w:ascii="Times New Roman" w:hAnsi="Times New Roman" w:eastAsia="宋体" w:cs="Times New Roman"/>
                <w:szCs w:val="21"/>
              </w:rPr>
            </w:pPr>
            <w:r>
              <w:rPr>
                <w:rFonts w:hint="eastAsia" w:ascii="Times New Roman" w:hAnsi="Times New Roman" w:eastAsia="宋体" w:cs="Times New Roman"/>
                <w:bCs/>
                <w:kern w:val="0"/>
                <w:szCs w:val="21"/>
              </w:rPr>
              <w:t>1月</w:t>
            </w:r>
          </w:p>
        </w:tc>
        <w:tc>
          <w:tcPr>
            <w:tcW w:w="760" w:type="dxa"/>
            <w:vMerge w:val="continue"/>
            <w:vAlign w:val="center"/>
          </w:tcPr>
          <w:p w14:paraId="5A5F6B0A">
            <w:pPr>
              <w:jc w:val="center"/>
              <w:rPr>
                <w:rFonts w:ascii="Times New Roman" w:hAnsi="Times New Roman" w:eastAsia="宋体" w:cs="Times New Roman"/>
                <w:szCs w:val="21"/>
              </w:rPr>
            </w:pPr>
          </w:p>
        </w:tc>
        <w:tc>
          <w:tcPr>
            <w:tcW w:w="848" w:type="dxa"/>
            <w:vMerge w:val="continue"/>
            <w:vAlign w:val="center"/>
          </w:tcPr>
          <w:p w14:paraId="5536376D">
            <w:pPr>
              <w:jc w:val="center"/>
              <w:rPr>
                <w:rFonts w:ascii="Times New Roman" w:hAnsi="Times New Roman" w:eastAsia="宋体" w:cs="Times New Roman"/>
                <w:szCs w:val="21"/>
              </w:rPr>
            </w:pPr>
          </w:p>
        </w:tc>
        <w:tc>
          <w:tcPr>
            <w:tcW w:w="1983" w:type="dxa"/>
            <w:vAlign w:val="center"/>
          </w:tcPr>
          <w:p w14:paraId="7A106F4E">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袋装贮存</w:t>
            </w:r>
          </w:p>
        </w:tc>
        <w:tc>
          <w:tcPr>
            <w:tcW w:w="792" w:type="dxa"/>
            <w:vAlign w:val="center"/>
          </w:tcPr>
          <w:p w14:paraId="3399FD92">
            <w:pPr>
              <w:jc w:val="center"/>
              <w:rPr>
                <w:rFonts w:ascii="Times New Roman" w:hAnsi="Times New Roman" w:eastAsia="宋体" w:cs="Times New Roman"/>
                <w:kern w:val="0"/>
                <w:szCs w:val="21"/>
              </w:rPr>
            </w:pPr>
            <w:r>
              <w:rPr>
                <w:rFonts w:ascii="Times New Roman" w:hAnsi="Times New Roman" w:cs="Times New Roman"/>
                <w:kern w:val="0"/>
                <w:szCs w:val="21"/>
              </w:rPr>
              <w:t>1.0</w:t>
            </w:r>
            <w:r>
              <w:rPr>
                <w:rFonts w:ascii="Times New Roman" w:hAnsi="Times New Roman" w:eastAsia="宋体" w:cs="Times New Roman"/>
                <w:kern w:val="0"/>
                <w:szCs w:val="21"/>
              </w:rPr>
              <w:t>t</w:t>
            </w:r>
          </w:p>
        </w:tc>
        <w:tc>
          <w:tcPr>
            <w:tcW w:w="1314" w:type="dxa"/>
            <w:vAlign w:val="center"/>
          </w:tcPr>
          <w:p w14:paraId="2AF4BBC0">
            <w:pPr>
              <w:jc w:val="center"/>
              <w:rPr>
                <w:rFonts w:ascii="Times New Roman" w:hAnsi="Times New Roman" w:eastAsia="宋体" w:cs="Times New Roman"/>
                <w:kern w:val="0"/>
                <w:szCs w:val="21"/>
              </w:rPr>
            </w:pPr>
            <w:r>
              <w:rPr>
                <w:rFonts w:ascii="Times New Roman" w:hAnsi="Times New Roman" w:cs="Times New Roman"/>
                <w:kern w:val="0"/>
                <w:szCs w:val="21"/>
              </w:rPr>
              <w:t>1月</w:t>
            </w:r>
          </w:p>
        </w:tc>
        <w:tc>
          <w:tcPr>
            <w:tcW w:w="1495" w:type="dxa"/>
            <w:vAlign w:val="center"/>
          </w:tcPr>
          <w:p w14:paraId="2FF2108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14:paraId="2CEF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6AF1184B">
            <w:pPr>
              <w:jc w:val="center"/>
              <w:rPr>
                <w:rFonts w:ascii="Times New Roman" w:hAnsi="Times New Roman" w:eastAsia="宋体" w:cs="Times New Roman"/>
                <w:szCs w:val="21"/>
              </w:rPr>
            </w:pPr>
            <w:r>
              <w:rPr>
                <w:rFonts w:hint="eastAsia" w:ascii="Times New Roman" w:hAnsi="Times New Roman" w:eastAsia="宋体" w:cs="Times New Roman"/>
                <w:szCs w:val="21"/>
              </w:rPr>
              <w:t>油磨漆渣</w:t>
            </w:r>
          </w:p>
        </w:tc>
        <w:tc>
          <w:tcPr>
            <w:tcW w:w="1067" w:type="dxa"/>
            <w:vAlign w:val="center"/>
          </w:tcPr>
          <w:p w14:paraId="08EEB764">
            <w:pPr>
              <w:jc w:val="center"/>
              <w:rPr>
                <w:rFonts w:ascii="Times New Roman" w:hAnsi="Times New Roman" w:eastAsia="宋体" w:cs="Times New Roman"/>
                <w:szCs w:val="21"/>
              </w:rPr>
            </w:pPr>
            <w:r>
              <w:rPr>
                <w:rFonts w:hint="eastAsia" w:ascii="Times New Roman" w:hAnsi="Times New Roman" w:eastAsia="宋体" w:cs="Times New Roman"/>
                <w:szCs w:val="21"/>
              </w:rPr>
              <w:t>HW12</w:t>
            </w:r>
          </w:p>
        </w:tc>
        <w:tc>
          <w:tcPr>
            <w:tcW w:w="1268" w:type="dxa"/>
            <w:vAlign w:val="center"/>
          </w:tcPr>
          <w:p w14:paraId="6C99F735">
            <w:pPr>
              <w:jc w:val="center"/>
              <w:rPr>
                <w:rFonts w:ascii="Times New Roman" w:hAnsi="Times New Roman" w:eastAsia="宋体" w:cs="Times New Roman"/>
                <w:szCs w:val="21"/>
              </w:rPr>
            </w:pPr>
            <w:r>
              <w:rPr>
                <w:rFonts w:ascii="Times New Roman" w:hAnsi="Times New Roman" w:eastAsia="宋体" w:cs="Times New Roman"/>
                <w:szCs w:val="21"/>
              </w:rPr>
              <w:t>900-252-12</w:t>
            </w:r>
          </w:p>
        </w:tc>
        <w:tc>
          <w:tcPr>
            <w:tcW w:w="1339" w:type="dxa"/>
            <w:vAlign w:val="center"/>
          </w:tcPr>
          <w:p w14:paraId="4CC04720">
            <w:pPr>
              <w:jc w:val="center"/>
              <w:rPr>
                <w:rFonts w:ascii="Times New Roman" w:hAnsi="Times New Roman" w:eastAsia="宋体" w:cs="Times New Roman"/>
                <w:szCs w:val="21"/>
              </w:rPr>
            </w:pPr>
            <w:r>
              <w:rPr>
                <w:rFonts w:hint="eastAsia" w:ascii="Times New Roman" w:hAnsi="Times New Roman" w:cs="Times New Roman"/>
                <w:szCs w:val="21"/>
              </w:rPr>
              <w:t>1.519</w:t>
            </w:r>
          </w:p>
        </w:tc>
        <w:tc>
          <w:tcPr>
            <w:tcW w:w="1101" w:type="dxa"/>
            <w:vAlign w:val="center"/>
          </w:tcPr>
          <w:p w14:paraId="78C7FF86">
            <w:pPr>
              <w:jc w:val="center"/>
              <w:rPr>
                <w:rFonts w:ascii="Times New Roman" w:hAnsi="Times New Roman" w:eastAsia="宋体" w:cs="Times New Roman"/>
                <w:szCs w:val="21"/>
              </w:rPr>
            </w:pPr>
            <w:r>
              <w:rPr>
                <w:rFonts w:hint="eastAsia" w:ascii="Times New Roman" w:hAnsi="Times New Roman" w:eastAsia="宋体" w:cs="Times New Roman"/>
                <w:bCs/>
                <w:kern w:val="0"/>
                <w:szCs w:val="21"/>
              </w:rPr>
              <w:t>1d</w:t>
            </w:r>
          </w:p>
        </w:tc>
        <w:tc>
          <w:tcPr>
            <w:tcW w:w="760" w:type="dxa"/>
            <w:vMerge w:val="continue"/>
            <w:vAlign w:val="center"/>
          </w:tcPr>
          <w:p w14:paraId="4CD4E895">
            <w:pPr>
              <w:jc w:val="center"/>
              <w:rPr>
                <w:rFonts w:ascii="Times New Roman" w:hAnsi="Times New Roman" w:eastAsia="宋体" w:cs="Times New Roman"/>
                <w:szCs w:val="21"/>
              </w:rPr>
            </w:pPr>
          </w:p>
        </w:tc>
        <w:tc>
          <w:tcPr>
            <w:tcW w:w="848" w:type="dxa"/>
            <w:vMerge w:val="continue"/>
            <w:vAlign w:val="center"/>
          </w:tcPr>
          <w:p w14:paraId="27EE7D4E">
            <w:pPr>
              <w:jc w:val="center"/>
              <w:rPr>
                <w:rFonts w:ascii="Times New Roman" w:hAnsi="Times New Roman" w:eastAsia="宋体" w:cs="Times New Roman"/>
                <w:szCs w:val="21"/>
              </w:rPr>
            </w:pPr>
          </w:p>
        </w:tc>
        <w:tc>
          <w:tcPr>
            <w:tcW w:w="1983" w:type="dxa"/>
            <w:vAlign w:val="center"/>
          </w:tcPr>
          <w:p w14:paraId="06C362BB">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袋装贮存</w:t>
            </w:r>
          </w:p>
        </w:tc>
        <w:tc>
          <w:tcPr>
            <w:tcW w:w="792" w:type="dxa"/>
            <w:vAlign w:val="center"/>
          </w:tcPr>
          <w:p w14:paraId="71BF7C1C">
            <w:pPr>
              <w:jc w:val="center"/>
              <w:rPr>
                <w:rFonts w:ascii="Times New Roman" w:hAnsi="Times New Roman" w:eastAsia="宋体" w:cs="Times New Roman"/>
                <w:kern w:val="0"/>
                <w:szCs w:val="21"/>
              </w:rPr>
            </w:pPr>
            <w:r>
              <w:rPr>
                <w:rFonts w:ascii="Times New Roman" w:hAnsi="Times New Roman" w:cs="Times New Roman"/>
                <w:kern w:val="0"/>
                <w:szCs w:val="21"/>
              </w:rPr>
              <w:t>0.1</w:t>
            </w:r>
            <w:r>
              <w:rPr>
                <w:rFonts w:ascii="Times New Roman" w:hAnsi="Times New Roman" w:eastAsia="宋体" w:cs="Times New Roman"/>
                <w:kern w:val="0"/>
                <w:szCs w:val="21"/>
              </w:rPr>
              <w:t>t</w:t>
            </w:r>
          </w:p>
        </w:tc>
        <w:tc>
          <w:tcPr>
            <w:tcW w:w="1314" w:type="dxa"/>
            <w:vAlign w:val="center"/>
          </w:tcPr>
          <w:p w14:paraId="44F9145C">
            <w:pPr>
              <w:jc w:val="center"/>
              <w:rPr>
                <w:rFonts w:ascii="Times New Roman" w:hAnsi="Times New Roman" w:eastAsia="宋体" w:cs="Times New Roman"/>
                <w:kern w:val="0"/>
                <w:szCs w:val="21"/>
              </w:rPr>
            </w:pPr>
            <w:r>
              <w:rPr>
                <w:rFonts w:ascii="Times New Roman" w:hAnsi="Times New Roman" w:cs="Times New Roman"/>
                <w:kern w:val="0"/>
                <w:szCs w:val="21"/>
              </w:rPr>
              <w:t>1月</w:t>
            </w:r>
          </w:p>
        </w:tc>
        <w:tc>
          <w:tcPr>
            <w:tcW w:w="1495" w:type="dxa"/>
            <w:vAlign w:val="center"/>
          </w:tcPr>
          <w:p w14:paraId="6F5315E6">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4B29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5A13BDF1">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污水处理站絮状沉淀物</w:t>
            </w:r>
          </w:p>
        </w:tc>
        <w:tc>
          <w:tcPr>
            <w:tcW w:w="1067" w:type="dxa"/>
            <w:vAlign w:val="center"/>
          </w:tcPr>
          <w:p w14:paraId="256739BA">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HW49</w:t>
            </w:r>
          </w:p>
        </w:tc>
        <w:tc>
          <w:tcPr>
            <w:tcW w:w="1268" w:type="dxa"/>
            <w:vAlign w:val="center"/>
          </w:tcPr>
          <w:p w14:paraId="7B18F9F5">
            <w:pPr>
              <w:jc w:val="center"/>
              <w:rPr>
                <w:rFonts w:ascii="Times New Roman" w:hAnsi="Times New Roman" w:eastAsia="宋体" w:cs="Times New Roman"/>
                <w:color w:val="0000FF"/>
                <w:szCs w:val="21"/>
              </w:rPr>
            </w:pPr>
            <w:r>
              <w:rPr>
                <w:rFonts w:ascii="Times New Roman" w:hAnsi="Times New Roman" w:eastAsia="宋体" w:cs="Times New Roman"/>
                <w:szCs w:val="21"/>
              </w:rPr>
              <w:t>772-006-49</w:t>
            </w:r>
          </w:p>
        </w:tc>
        <w:tc>
          <w:tcPr>
            <w:tcW w:w="1339" w:type="dxa"/>
            <w:vAlign w:val="center"/>
          </w:tcPr>
          <w:p w14:paraId="6AC30DC4">
            <w:pPr>
              <w:jc w:val="center"/>
              <w:rPr>
                <w:rFonts w:ascii="Times New Roman" w:hAnsi="Times New Roman" w:eastAsia="宋体" w:cs="Times New Roman"/>
                <w:color w:val="0000FF"/>
                <w:szCs w:val="21"/>
              </w:rPr>
            </w:pPr>
            <w:r>
              <w:rPr>
                <w:rFonts w:hint="eastAsia" w:ascii="Times New Roman" w:hAnsi="Times New Roman" w:cs="Times New Roman"/>
                <w:szCs w:val="21"/>
              </w:rPr>
              <w:t>0.1</w:t>
            </w:r>
          </w:p>
        </w:tc>
        <w:tc>
          <w:tcPr>
            <w:tcW w:w="1101" w:type="dxa"/>
            <w:vAlign w:val="center"/>
          </w:tcPr>
          <w:p w14:paraId="13FD66EE">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1月</w:t>
            </w:r>
          </w:p>
        </w:tc>
        <w:tc>
          <w:tcPr>
            <w:tcW w:w="760" w:type="dxa"/>
            <w:vMerge w:val="continue"/>
            <w:vAlign w:val="center"/>
          </w:tcPr>
          <w:p w14:paraId="324A8057">
            <w:pPr>
              <w:jc w:val="center"/>
              <w:rPr>
                <w:rFonts w:ascii="Times New Roman" w:hAnsi="Times New Roman" w:eastAsia="宋体" w:cs="Times New Roman"/>
                <w:color w:val="0000FF"/>
                <w:szCs w:val="21"/>
              </w:rPr>
            </w:pPr>
          </w:p>
        </w:tc>
        <w:tc>
          <w:tcPr>
            <w:tcW w:w="848" w:type="dxa"/>
            <w:vMerge w:val="continue"/>
            <w:vAlign w:val="center"/>
          </w:tcPr>
          <w:p w14:paraId="78235715">
            <w:pPr>
              <w:jc w:val="center"/>
              <w:rPr>
                <w:rFonts w:ascii="Times New Roman" w:hAnsi="Times New Roman" w:eastAsia="宋体" w:cs="Times New Roman"/>
                <w:color w:val="0000FF"/>
                <w:szCs w:val="21"/>
              </w:rPr>
            </w:pPr>
          </w:p>
        </w:tc>
        <w:tc>
          <w:tcPr>
            <w:tcW w:w="1983" w:type="dxa"/>
            <w:vAlign w:val="center"/>
          </w:tcPr>
          <w:p w14:paraId="10DB2AA1">
            <w:pPr>
              <w:jc w:val="center"/>
              <w:rPr>
                <w:rFonts w:ascii="Times New Roman" w:hAnsi="Times New Roman" w:eastAsia="宋体" w:cs="Times New Roman"/>
                <w:kern w:val="0"/>
                <w:szCs w:val="21"/>
              </w:rPr>
            </w:pPr>
            <w:r>
              <w:rPr>
                <w:rFonts w:ascii="Times New Roman" w:hAnsi="Times New Roman" w:eastAsia="宋体" w:cs="Times New Roman"/>
                <w:kern w:val="0"/>
                <w:szCs w:val="21"/>
              </w:rPr>
              <w:t>桶装贮存</w:t>
            </w:r>
          </w:p>
        </w:tc>
        <w:tc>
          <w:tcPr>
            <w:tcW w:w="792" w:type="dxa"/>
            <w:vAlign w:val="center"/>
          </w:tcPr>
          <w:p w14:paraId="3BCC6492">
            <w:pPr>
              <w:jc w:val="center"/>
              <w:rPr>
                <w:rFonts w:ascii="Times New Roman" w:hAnsi="Times New Roman" w:cs="Times New Roman"/>
                <w:kern w:val="0"/>
                <w:szCs w:val="21"/>
              </w:rPr>
            </w:pPr>
            <w:r>
              <w:rPr>
                <w:rFonts w:ascii="Times New Roman" w:hAnsi="Times New Roman" w:cs="Times New Roman"/>
                <w:kern w:val="0"/>
                <w:szCs w:val="21"/>
              </w:rPr>
              <w:t>0.5</w:t>
            </w:r>
            <w:r>
              <w:rPr>
                <w:rFonts w:ascii="Times New Roman" w:hAnsi="Times New Roman" w:eastAsia="宋体" w:cs="Times New Roman"/>
                <w:kern w:val="0"/>
                <w:szCs w:val="21"/>
              </w:rPr>
              <w:t>t</w:t>
            </w:r>
          </w:p>
        </w:tc>
        <w:tc>
          <w:tcPr>
            <w:tcW w:w="1314" w:type="dxa"/>
            <w:vAlign w:val="center"/>
          </w:tcPr>
          <w:p w14:paraId="0AFD59F8">
            <w:pPr>
              <w:jc w:val="center"/>
              <w:rPr>
                <w:rFonts w:ascii="Times New Roman" w:hAnsi="Times New Roman" w:cs="Times New Roman"/>
                <w:kern w:val="0"/>
                <w:szCs w:val="21"/>
              </w:rPr>
            </w:pPr>
            <w:r>
              <w:rPr>
                <w:rFonts w:ascii="Times New Roman" w:hAnsi="Times New Roman" w:eastAsia="宋体" w:cs="Times New Roman"/>
                <w:kern w:val="0"/>
                <w:szCs w:val="21"/>
              </w:rPr>
              <w:t>半年</w:t>
            </w:r>
          </w:p>
        </w:tc>
        <w:tc>
          <w:tcPr>
            <w:tcW w:w="1495" w:type="dxa"/>
            <w:vAlign w:val="center"/>
          </w:tcPr>
          <w:p w14:paraId="45F5BBFF">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4CA8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27BE58C1">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废活性炭</w:t>
            </w:r>
          </w:p>
        </w:tc>
        <w:tc>
          <w:tcPr>
            <w:tcW w:w="1067" w:type="dxa"/>
            <w:vAlign w:val="center"/>
          </w:tcPr>
          <w:p w14:paraId="2D009B94">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HW49</w:t>
            </w:r>
          </w:p>
        </w:tc>
        <w:tc>
          <w:tcPr>
            <w:tcW w:w="1268" w:type="dxa"/>
            <w:vAlign w:val="center"/>
          </w:tcPr>
          <w:p w14:paraId="2D25B2A1">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900-039-49</w:t>
            </w:r>
          </w:p>
        </w:tc>
        <w:tc>
          <w:tcPr>
            <w:tcW w:w="1339" w:type="dxa"/>
            <w:vAlign w:val="center"/>
          </w:tcPr>
          <w:p w14:paraId="371B1981">
            <w:pPr>
              <w:jc w:val="center"/>
              <w:rPr>
                <w:rFonts w:ascii="Times New Roman" w:hAnsi="Times New Roman" w:eastAsia="宋体" w:cs="Times New Roman"/>
                <w:color w:val="0000FF"/>
                <w:szCs w:val="21"/>
              </w:rPr>
            </w:pPr>
            <w:r>
              <w:rPr>
                <w:rFonts w:hint="eastAsia" w:ascii="Times New Roman" w:hAnsi="Times New Roman" w:cs="Times New Roman"/>
                <w:szCs w:val="21"/>
              </w:rPr>
              <w:t>2</w:t>
            </w:r>
          </w:p>
        </w:tc>
        <w:tc>
          <w:tcPr>
            <w:tcW w:w="1101" w:type="dxa"/>
            <w:vAlign w:val="center"/>
          </w:tcPr>
          <w:p w14:paraId="4B7AE234">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3年</w:t>
            </w:r>
          </w:p>
        </w:tc>
        <w:tc>
          <w:tcPr>
            <w:tcW w:w="760" w:type="dxa"/>
            <w:vMerge w:val="continue"/>
            <w:vAlign w:val="center"/>
          </w:tcPr>
          <w:p w14:paraId="3972087E">
            <w:pPr>
              <w:jc w:val="center"/>
              <w:rPr>
                <w:rFonts w:ascii="Times New Roman" w:hAnsi="Times New Roman" w:eastAsia="宋体" w:cs="Times New Roman"/>
                <w:color w:val="0000FF"/>
                <w:szCs w:val="21"/>
              </w:rPr>
            </w:pPr>
          </w:p>
        </w:tc>
        <w:tc>
          <w:tcPr>
            <w:tcW w:w="848" w:type="dxa"/>
            <w:vMerge w:val="continue"/>
            <w:vAlign w:val="center"/>
          </w:tcPr>
          <w:p w14:paraId="10F680EA">
            <w:pPr>
              <w:jc w:val="center"/>
              <w:rPr>
                <w:rFonts w:ascii="Times New Roman" w:hAnsi="Times New Roman" w:eastAsia="宋体" w:cs="Times New Roman"/>
                <w:color w:val="0000FF"/>
                <w:szCs w:val="21"/>
              </w:rPr>
            </w:pPr>
          </w:p>
        </w:tc>
        <w:tc>
          <w:tcPr>
            <w:tcW w:w="1983" w:type="dxa"/>
            <w:vAlign w:val="center"/>
          </w:tcPr>
          <w:p w14:paraId="14AF662C">
            <w:pPr>
              <w:jc w:val="center"/>
              <w:rPr>
                <w:rFonts w:ascii="Times New Roman" w:hAnsi="Times New Roman" w:eastAsia="宋体" w:cs="Times New Roman"/>
                <w:kern w:val="0"/>
                <w:szCs w:val="21"/>
              </w:rPr>
            </w:pPr>
            <w:r>
              <w:rPr>
                <w:rFonts w:ascii="Times New Roman" w:hAnsi="Times New Roman" w:eastAsia="宋体" w:cs="Times New Roman"/>
                <w:kern w:val="0"/>
                <w:szCs w:val="21"/>
              </w:rPr>
              <w:t>桶装贮存</w:t>
            </w:r>
          </w:p>
        </w:tc>
        <w:tc>
          <w:tcPr>
            <w:tcW w:w="792" w:type="dxa"/>
            <w:vAlign w:val="center"/>
          </w:tcPr>
          <w:p w14:paraId="7D7971F2">
            <w:pPr>
              <w:jc w:val="center"/>
              <w:rPr>
                <w:rFonts w:ascii="Times New Roman" w:hAnsi="Times New Roman" w:cs="Times New Roman"/>
                <w:kern w:val="0"/>
                <w:szCs w:val="21"/>
              </w:rPr>
            </w:pPr>
            <w:r>
              <w:rPr>
                <w:rFonts w:ascii="Times New Roman" w:hAnsi="Times New Roman" w:cs="Times New Roman"/>
                <w:kern w:val="0"/>
                <w:szCs w:val="21"/>
              </w:rPr>
              <w:t>2t</w:t>
            </w:r>
          </w:p>
        </w:tc>
        <w:tc>
          <w:tcPr>
            <w:tcW w:w="1314" w:type="dxa"/>
            <w:vAlign w:val="center"/>
          </w:tcPr>
          <w:p w14:paraId="784992A7">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半年</w:t>
            </w:r>
          </w:p>
        </w:tc>
        <w:tc>
          <w:tcPr>
            <w:tcW w:w="1495" w:type="dxa"/>
            <w:vAlign w:val="center"/>
          </w:tcPr>
          <w:p w14:paraId="489D4D12">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3BD4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6F8E3F89">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喷枪清洗废水</w:t>
            </w:r>
          </w:p>
        </w:tc>
        <w:tc>
          <w:tcPr>
            <w:tcW w:w="1067" w:type="dxa"/>
            <w:vAlign w:val="center"/>
          </w:tcPr>
          <w:p w14:paraId="26158C2B">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HW09</w:t>
            </w:r>
          </w:p>
        </w:tc>
        <w:tc>
          <w:tcPr>
            <w:tcW w:w="1268" w:type="dxa"/>
            <w:vAlign w:val="center"/>
          </w:tcPr>
          <w:p w14:paraId="0E18D5CB">
            <w:pPr>
              <w:jc w:val="center"/>
              <w:rPr>
                <w:rFonts w:ascii="Times New Roman" w:hAnsi="Times New Roman" w:eastAsia="宋体" w:cs="Times New Roman"/>
                <w:color w:val="0000FF"/>
                <w:szCs w:val="21"/>
              </w:rPr>
            </w:pPr>
            <w:r>
              <w:rPr>
                <w:rFonts w:ascii="Times New Roman" w:hAnsi="Times New Roman" w:eastAsia="宋体" w:cs="Times New Roman"/>
                <w:szCs w:val="21"/>
              </w:rPr>
              <w:t>900-007-09</w:t>
            </w:r>
          </w:p>
        </w:tc>
        <w:tc>
          <w:tcPr>
            <w:tcW w:w="1339" w:type="dxa"/>
            <w:vAlign w:val="center"/>
          </w:tcPr>
          <w:p w14:paraId="3D16DF67">
            <w:pPr>
              <w:jc w:val="center"/>
              <w:rPr>
                <w:rFonts w:ascii="Times New Roman" w:hAnsi="Times New Roman" w:eastAsia="宋体" w:cs="Times New Roman"/>
                <w:color w:val="0000FF"/>
                <w:szCs w:val="21"/>
              </w:rPr>
            </w:pPr>
            <w:r>
              <w:rPr>
                <w:rFonts w:hint="eastAsia" w:ascii="Times New Roman" w:hAnsi="Times New Roman" w:cs="Times New Roman"/>
                <w:szCs w:val="21"/>
              </w:rPr>
              <w:t>0.2</w:t>
            </w:r>
          </w:p>
        </w:tc>
        <w:tc>
          <w:tcPr>
            <w:tcW w:w="1101" w:type="dxa"/>
            <w:vAlign w:val="center"/>
          </w:tcPr>
          <w:p w14:paraId="296CF9B2">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1周</w:t>
            </w:r>
          </w:p>
        </w:tc>
        <w:tc>
          <w:tcPr>
            <w:tcW w:w="760" w:type="dxa"/>
            <w:vMerge w:val="continue"/>
            <w:vAlign w:val="center"/>
          </w:tcPr>
          <w:p w14:paraId="369B9F9F">
            <w:pPr>
              <w:jc w:val="center"/>
              <w:rPr>
                <w:rFonts w:ascii="Times New Roman" w:hAnsi="Times New Roman" w:eastAsia="宋体" w:cs="Times New Roman"/>
                <w:color w:val="0000FF"/>
                <w:szCs w:val="21"/>
              </w:rPr>
            </w:pPr>
          </w:p>
        </w:tc>
        <w:tc>
          <w:tcPr>
            <w:tcW w:w="848" w:type="dxa"/>
            <w:vMerge w:val="continue"/>
            <w:vAlign w:val="center"/>
          </w:tcPr>
          <w:p w14:paraId="57389FD5">
            <w:pPr>
              <w:jc w:val="center"/>
              <w:rPr>
                <w:rFonts w:ascii="Times New Roman" w:hAnsi="Times New Roman" w:eastAsia="宋体" w:cs="Times New Roman"/>
                <w:color w:val="0000FF"/>
                <w:szCs w:val="21"/>
              </w:rPr>
            </w:pPr>
          </w:p>
        </w:tc>
        <w:tc>
          <w:tcPr>
            <w:tcW w:w="1983" w:type="dxa"/>
            <w:vAlign w:val="center"/>
          </w:tcPr>
          <w:p w14:paraId="386C69CD">
            <w:pPr>
              <w:jc w:val="center"/>
              <w:rPr>
                <w:rFonts w:ascii="Times New Roman" w:hAnsi="Times New Roman" w:eastAsia="宋体" w:cs="Times New Roman"/>
                <w:kern w:val="0"/>
                <w:szCs w:val="21"/>
              </w:rPr>
            </w:pPr>
            <w:r>
              <w:rPr>
                <w:rFonts w:ascii="Times New Roman" w:hAnsi="Times New Roman" w:eastAsia="宋体" w:cs="Times New Roman"/>
                <w:kern w:val="0"/>
                <w:szCs w:val="21"/>
              </w:rPr>
              <w:t>桶装贮存</w:t>
            </w:r>
          </w:p>
        </w:tc>
        <w:tc>
          <w:tcPr>
            <w:tcW w:w="792" w:type="dxa"/>
            <w:vAlign w:val="center"/>
          </w:tcPr>
          <w:p w14:paraId="4D24F923">
            <w:pPr>
              <w:jc w:val="center"/>
              <w:rPr>
                <w:rFonts w:ascii="Times New Roman" w:hAnsi="Times New Roman" w:cs="Times New Roman"/>
                <w:kern w:val="0"/>
                <w:szCs w:val="21"/>
              </w:rPr>
            </w:pPr>
            <w:r>
              <w:rPr>
                <w:rFonts w:ascii="Times New Roman" w:hAnsi="Times New Roman" w:cs="Times New Roman"/>
                <w:kern w:val="0"/>
                <w:szCs w:val="21"/>
              </w:rPr>
              <w:t>1t</w:t>
            </w:r>
          </w:p>
        </w:tc>
        <w:tc>
          <w:tcPr>
            <w:tcW w:w="1314" w:type="dxa"/>
            <w:vAlign w:val="center"/>
          </w:tcPr>
          <w:p w14:paraId="581829BF">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半年</w:t>
            </w:r>
          </w:p>
        </w:tc>
        <w:tc>
          <w:tcPr>
            <w:tcW w:w="1495" w:type="dxa"/>
            <w:vAlign w:val="center"/>
          </w:tcPr>
          <w:p w14:paraId="0C197C68">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5BC4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3E2F0B90">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废催化剂</w:t>
            </w:r>
          </w:p>
        </w:tc>
        <w:tc>
          <w:tcPr>
            <w:tcW w:w="1067" w:type="dxa"/>
            <w:vAlign w:val="center"/>
          </w:tcPr>
          <w:p w14:paraId="1CEF34F5">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HW49</w:t>
            </w:r>
          </w:p>
        </w:tc>
        <w:tc>
          <w:tcPr>
            <w:tcW w:w="1268" w:type="dxa"/>
            <w:vAlign w:val="center"/>
          </w:tcPr>
          <w:p w14:paraId="2405DC59">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900-041-49</w:t>
            </w:r>
          </w:p>
        </w:tc>
        <w:tc>
          <w:tcPr>
            <w:tcW w:w="1339" w:type="dxa"/>
            <w:vAlign w:val="center"/>
          </w:tcPr>
          <w:p w14:paraId="6455FBB6">
            <w:pPr>
              <w:jc w:val="center"/>
              <w:rPr>
                <w:rFonts w:ascii="Times New Roman" w:hAnsi="Times New Roman" w:eastAsia="宋体" w:cs="Times New Roman"/>
                <w:color w:val="0000FF"/>
                <w:szCs w:val="21"/>
              </w:rPr>
            </w:pPr>
            <w:r>
              <w:rPr>
                <w:rFonts w:hint="eastAsia" w:ascii="Times New Roman" w:hAnsi="Times New Roman" w:cs="Times New Roman"/>
                <w:szCs w:val="21"/>
              </w:rPr>
              <w:t>0.33</w:t>
            </w:r>
          </w:p>
        </w:tc>
        <w:tc>
          <w:tcPr>
            <w:tcW w:w="1101" w:type="dxa"/>
            <w:vAlign w:val="center"/>
          </w:tcPr>
          <w:p w14:paraId="533E722B">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5年</w:t>
            </w:r>
          </w:p>
        </w:tc>
        <w:tc>
          <w:tcPr>
            <w:tcW w:w="760" w:type="dxa"/>
            <w:vMerge w:val="continue"/>
            <w:vAlign w:val="center"/>
          </w:tcPr>
          <w:p w14:paraId="2425D38A">
            <w:pPr>
              <w:jc w:val="center"/>
              <w:rPr>
                <w:rFonts w:ascii="Times New Roman" w:hAnsi="Times New Roman" w:eastAsia="宋体" w:cs="Times New Roman"/>
                <w:color w:val="0000FF"/>
                <w:szCs w:val="21"/>
              </w:rPr>
            </w:pPr>
          </w:p>
        </w:tc>
        <w:tc>
          <w:tcPr>
            <w:tcW w:w="848" w:type="dxa"/>
            <w:vMerge w:val="continue"/>
            <w:vAlign w:val="center"/>
          </w:tcPr>
          <w:p w14:paraId="54E3871D">
            <w:pPr>
              <w:jc w:val="center"/>
              <w:rPr>
                <w:rFonts w:ascii="Times New Roman" w:hAnsi="Times New Roman" w:eastAsia="宋体" w:cs="Times New Roman"/>
                <w:color w:val="0000FF"/>
                <w:szCs w:val="21"/>
              </w:rPr>
            </w:pPr>
          </w:p>
        </w:tc>
        <w:tc>
          <w:tcPr>
            <w:tcW w:w="1983" w:type="dxa"/>
            <w:vAlign w:val="center"/>
          </w:tcPr>
          <w:p w14:paraId="00B1F3E4">
            <w:pPr>
              <w:jc w:val="center"/>
              <w:rPr>
                <w:rFonts w:ascii="Times New Roman" w:hAnsi="Times New Roman" w:eastAsia="宋体" w:cs="Times New Roman"/>
                <w:kern w:val="0"/>
                <w:szCs w:val="21"/>
              </w:rPr>
            </w:pPr>
            <w:r>
              <w:rPr>
                <w:rFonts w:ascii="Times New Roman" w:hAnsi="Times New Roman" w:eastAsia="宋体" w:cs="Times New Roman"/>
                <w:kern w:val="0"/>
                <w:szCs w:val="21"/>
              </w:rPr>
              <w:t>袋装贮存</w:t>
            </w:r>
          </w:p>
        </w:tc>
        <w:tc>
          <w:tcPr>
            <w:tcW w:w="792" w:type="dxa"/>
            <w:vAlign w:val="center"/>
          </w:tcPr>
          <w:p w14:paraId="145ABD01">
            <w:pPr>
              <w:jc w:val="center"/>
              <w:rPr>
                <w:rFonts w:ascii="Times New Roman" w:hAnsi="Times New Roman" w:cs="Times New Roman"/>
                <w:kern w:val="0"/>
                <w:szCs w:val="21"/>
              </w:rPr>
            </w:pPr>
            <w:r>
              <w:rPr>
                <w:rFonts w:ascii="Times New Roman" w:hAnsi="Times New Roman" w:cs="Times New Roman"/>
                <w:kern w:val="0"/>
                <w:szCs w:val="21"/>
              </w:rPr>
              <w:t>0.5t</w:t>
            </w:r>
          </w:p>
        </w:tc>
        <w:tc>
          <w:tcPr>
            <w:tcW w:w="1314" w:type="dxa"/>
            <w:vAlign w:val="center"/>
          </w:tcPr>
          <w:p w14:paraId="311DA97D">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半年</w:t>
            </w:r>
          </w:p>
        </w:tc>
        <w:tc>
          <w:tcPr>
            <w:tcW w:w="1495" w:type="dxa"/>
            <w:vAlign w:val="center"/>
          </w:tcPr>
          <w:p w14:paraId="3B7C9863">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1883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510E68E1">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废机油</w:t>
            </w:r>
          </w:p>
        </w:tc>
        <w:tc>
          <w:tcPr>
            <w:tcW w:w="1067" w:type="dxa"/>
            <w:vAlign w:val="center"/>
          </w:tcPr>
          <w:p w14:paraId="1467C021">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HW08</w:t>
            </w:r>
          </w:p>
        </w:tc>
        <w:tc>
          <w:tcPr>
            <w:tcW w:w="1268" w:type="dxa"/>
            <w:vAlign w:val="center"/>
          </w:tcPr>
          <w:p w14:paraId="441132FF">
            <w:pPr>
              <w:jc w:val="center"/>
              <w:rPr>
                <w:rFonts w:ascii="Times New Roman" w:hAnsi="Times New Roman" w:eastAsia="宋体" w:cs="Times New Roman"/>
                <w:color w:val="0000FF"/>
                <w:szCs w:val="21"/>
              </w:rPr>
            </w:pPr>
            <w:r>
              <w:rPr>
                <w:rFonts w:ascii="Times New Roman" w:hAnsi="Times New Roman" w:eastAsia="宋体" w:cs="Times New Roman"/>
                <w:szCs w:val="21"/>
              </w:rPr>
              <w:t>900-217-08</w:t>
            </w:r>
          </w:p>
        </w:tc>
        <w:tc>
          <w:tcPr>
            <w:tcW w:w="1339" w:type="dxa"/>
            <w:vAlign w:val="center"/>
          </w:tcPr>
          <w:p w14:paraId="66219B6A">
            <w:pPr>
              <w:jc w:val="center"/>
              <w:rPr>
                <w:rFonts w:ascii="Times New Roman" w:hAnsi="Times New Roman" w:eastAsia="宋体" w:cs="Times New Roman"/>
                <w:color w:val="0000FF"/>
                <w:szCs w:val="21"/>
              </w:rPr>
            </w:pPr>
            <w:r>
              <w:rPr>
                <w:rFonts w:hint="eastAsia" w:ascii="Times New Roman" w:hAnsi="Times New Roman" w:cs="Times New Roman"/>
                <w:szCs w:val="21"/>
              </w:rPr>
              <w:t>0.1</w:t>
            </w:r>
          </w:p>
        </w:tc>
        <w:tc>
          <w:tcPr>
            <w:tcW w:w="1101" w:type="dxa"/>
            <w:vAlign w:val="center"/>
          </w:tcPr>
          <w:p w14:paraId="1E64D6D0">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半年</w:t>
            </w:r>
          </w:p>
        </w:tc>
        <w:tc>
          <w:tcPr>
            <w:tcW w:w="760" w:type="dxa"/>
            <w:vMerge w:val="continue"/>
            <w:vAlign w:val="center"/>
          </w:tcPr>
          <w:p w14:paraId="0AB2D91B">
            <w:pPr>
              <w:jc w:val="center"/>
              <w:rPr>
                <w:rFonts w:ascii="Times New Roman" w:hAnsi="Times New Roman" w:eastAsia="宋体" w:cs="Times New Roman"/>
                <w:color w:val="0000FF"/>
                <w:szCs w:val="21"/>
              </w:rPr>
            </w:pPr>
          </w:p>
        </w:tc>
        <w:tc>
          <w:tcPr>
            <w:tcW w:w="848" w:type="dxa"/>
            <w:vMerge w:val="continue"/>
            <w:vAlign w:val="center"/>
          </w:tcPr>
          <w:p w14:paraId="1C2832EE">
            <w:pPr>
              <w:jc w:val="center"/>
              <w:rPr>
                <w:rFonts w:ascii="Times New Roman" w:hAnsi="Times New Roman" w:eastAsia="宋体" w:cs="Times New Roman"/>
                <w:color w:val="0000FF"/>
                <w:szCs w:val="21"/>
              </w:rPr>
            </w:pPr>
          </w:p>
        </w:tc>
        <w:tc>
          <w:tcPr>
            <w:tcW w:w="1983" w:type="dxa"/>
            <w:vAlign w:val="center"/>
          </w:tcPr>
          <w:p w14:paraId="04F5F5BD">
            <w:pPr>
              <w:jc w:val="center"/>
              <w:rPr>
                <w:rFonts w:ascii="Times New Roman" w:hAnsi="Times New Roman" w:eastAsia="宋体" w:cs="Times New Roman"/>
                <w:kern w:val="0"/>
                <w:szCs w:val="21"/>
              </w:rPr>
            </w:pPr>
            <w:r>
              <w:rPr>
                <w:rFonts w:ascii="Times New Roman" w:hAnsi="Times New Roman" w:eastAsia="宋体" w:cs="Times New Roman"/>
                <w:kern w:val="0"/>
                <w:szCs w:val="21"/>
              </w:rPr>
              <w:t>桶装贮存</w:t>
            </w:r>
          </w:p>
        </w:tc>
        <w:tc>
          <w:tcPr>
            <w:tcW w:w="792" w:type="dxa"/>
            <w:vAlign w:val="center"/>
          </w:tcPr>
          <w:p w14:paraId="01A3DD8F">
            <w:pPr>
              <w:jc w:val="center"/>
              <w:rPr>
                <w:rFonts w:ascii="Times New Roman" w:hAnsi="Times New Roman" w:eastAsia="宋体" w:cs="Times New Roman"/>
                <w:kern w:val="0"/>
                <w:szCs w:val="21"/>
              </w:rPr>
            </w:pPr>
            <w:r>
              <w:rPr>
                <w:rFonts w:ascii="Times New Roman" w:hAnsi="Times New Roman" w:eastAsia="宋体" w:cs="Times New Roman"/>
                <w:kern w:val="0"/>
                <w:szCs w:val="21"/>
              </w:rPr>
              <w:t>0.5t</w:t>
            </w:r>
          </w:p>
        </w:tc>
        <w:tc>
          <w:tcPr>
            <w:tcW w:w="1314" w:type="dxa"/>
            <w:vAlign w:val="center"/>
          </w:tcPr>
          <w:p w14:paraId="26767E6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半年</w:t>
            </w:r>
          </w:p>
        </w:tc>
        <w:tc>
          <w:tcPr>
            <w:tcW w:w="1495" w:type="dxa"/>
            <w:vAlign w:val="center"/>
          </w:tcPr>
          <w:p w14:paraId="3CA49982">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70D9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4" w:type="dxa"/>
            <w:vAlign w:val="center"/>
          </w:tcPr>
          <w:p w14:paraId="1E90FB1D">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废过滤棉（含漆渣）</w:t>
            </w:r>
          </w:p>
        </w:tc>
        <w:tc>
          <w:tcPr>
            <w:tcW w:w="1067" w:type="dxa"/>
            <w:vAlign w:val="center"/>
          </w:tcPr>
          <w:p w14:paraId="2849E58B">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HW49</w:t>
            </w:r>
          </w:p>
        </w:tc>
        <w:tc>
          <w:tcPr>
            <w:tcW w:w="1268" w:type="dxa"/>
            <w:vAlign w:val="center"/>
          </w:tcPr>
          <w:p w14:paraId="18C62B42">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900-041-49</w:t>
            </w:r>
          </w:p>
        </w:tc>
        <w:tc>
          <w:tcPr>
            <w:tcW w:w="1339" w:type="dxa"/>
            <w:vAlign w:val="center"/>
          </w:tcPr>
          <w:p w14:paraId="5E71FDCA">
            <w:pPr>
              <w:jc w:val="center"/>
              <w:rPr>
                <w:rFonts w:ascii="Times New Roman" w:hAnsi="Times New Roman" w:eastAsia="宋体" w:cs="Times New Roman"/>
                <w:color w:val="0000FF"/>
                <w:szCs w:val="21"/>
              </w:rPr>
            </w:pPr>
            <w:r>
              <w:rPr>
                <w:rFonts w:hint="eastAsia" w:ascii="Times New Roman" w:hAnsi="Times New Roman" w:cs="Times New Roman"/>
                <w:szCs w:val="21"/>
              </w:rPr>
              <w:t>0.5</w:t>
            </w:r>
          </w:p>
        </w:tc>
        <w:tc>
          <w:tcPr>
            <w:tcW w:w="1101" w:type="dxa"/>
            <w:vAlign w:val="center"/>
          </w:tcPr>
          <w:p w14:paraId="06DD0E2E">
            <w:pPr>
              <w:jc w:val="center"/>
              <w:rPr>
                <w:rFonts w:ascii="Times New Roman" w:hAnsi="Times New Roman" w:eastAsia="宋体" w:cs="Times New Roman"/>
                <w:color w:val="0000FF"/>
                <w:szCs w:val="21"/>
              </w:rPr>
            </w:pPr>
            <w:r>
              <w:rPr>
                <w:rFonts w:hint="eastAsia" w:ascii="Times New Roman" w:hAnsi="Times New Roman" w:eastAsia="宋体" w:cs="Times New Roman"/>
                <w:bCs/>
                <w:kern w:val="0"/>
                <w:szCs w:val="21"/>
              </w:rPr>
              <w:t>1月</w:t>
            </w:r>
          </w:p>
        </w:tc>
        <w:tc>
          <w:tcPr>
            <w:tcW w:w="760" w:type="dxa"/>
            <w:vMerge w:val="continue"/>
            <w:vAlign w:val="center"/>
          </w:tcPr>
          <w:p w14:paraId="534B16B9">
            <w:pPr>
              <w:jc w:val="center"/>
              <w:rPr>
                <w:rFonts w:ascii="Times New Roman" w:hAnsi="Times New Roman" w:eastAsia="宋体" w:cs="Times New Roman"/>
                <w:color w:val="0000FF"/>
                <w:szCs w:val="21"/>
              </w:rPr>
            </w:pPr>
          </w:p>
        </w:tc>
        <w:tc>
          <w:tcPr>
            <w:tcW w:w="848" w:type="dxa"/>
            <w:vMerge w:val="continue"/>
            <w:vAlign w:val="center"/>
          </w:tcPr>
          <w:p w14:paraId="271A0919">
            <w:pPr>
              <w:jc w:val="center"/>
              <w:rPr>
                <w:rFonts w:ascii="Times New Roman" w:hAnsi="Times New Roman" w:eastAsia="宋体" w:cs="Times New Roman"/>
                <w:color w:val="0000FF"/>
                <w:szCs w:val="21"/>
              </w:rPr>
            </w:pPr>
          </w:p>
        </w:tc>
        <w:tc>
          <w:tcPr>
            <w:tcW w:w="1983" w:type="dxa"/>
            <w:vAlign w:val="center"/>
          </w:tcPr>
          <w:p w14:paraId="71A2F1A2">
            <w:pPr>
              <w:jc w:val="center"/>
              <w:rPr>
                <w:rFonts w:ascii="Times New Roman" w:hAnsi="Times New Roman" w:eastAsia="宋体" w:cs="Times New Roman"/>
                <w:kern w:val="0"/>
                <w:szCs w:val="21"/>
              </w:rPr>
            </w:pPr>
            <w:r>
              <w:rPr>
                <w:rFonts w:ascii="Times New Roman" w:hAnsi="Times New Roman" w:eastAsia="宋体" w:cs="Times New Roman"/>
                <w:kern w:val="0"/>
                <w:szCs w:val="21"/>
              </w:rPr>
              <w:t>袋装贮存</w:t>
            </w:r>
          </w:p>
        </w:tc>
        <w:tc>
          <w:tcPr>
            <w:tcW w:w="792" w:type="dxa"/>
            <w:vAlign w:val="center"/>
          </w:tcPr>
          <w:p w14:paraId="5B9C56E7">
            <w:pPr>
              <w:jc w:val="center"/>
              <w:rPr>
                <w:rFonts w:ascii="Times New Roman" w:hAnsi="Times New Roman" w:cs="Times New Roman"/>
                <w:kern w:val="0"/>
                <w:szCs w:val="21"/>
              </w:rPr>
            </w:pPr>
            <w:r>
              <w:rPr>
                <w:rFonts w:ascii="Times New Roman" w:hAnsi="Times New Roman" w:cs="Times New Roman"/>
                <w:kern w:val="0"/>
                <w:szCs w:val="21"/>
              </w:rPr>
              <w:t>1t</w:t>
            </w:r>
          </w:p>
        </w:tc>
        <w:tc>
          <w:tcPr>
            <w:tcW w:w="1314" w:type="dxa"/>
            <w:vAlign w:val="center"/>
          </w:tcPr>
          <w:p w14:paraId="373A7536">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半年</w:t>
            </w:r>
          </w:p>
        </w:tc>
        <w:tc>
          <w:tcPr>
            <w:tcW w:w="1495" w:type="dxa"/>
            <w:vAlign w:val="center"/>
          </w:tcPr>
          <w:p w14:paraId="51494E98">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bl>
    <w:p w14:paraId="564B32C0">
      <w:pPr>
        <w:pStyle w:val="62"/>
        <w:jc w:val="left"/>
      </w:pPr>
    </w:p>
    <w:p w14:paraId="15631E78">
      <w:pPr>
        <w:pStyle w:val="62"/>
        <w:jc w:val="left"/>
      </w:pPr>
    </w:p>
    <w:p w14:paraId="2AB97E56">
      <w:pPr>
        <w:pStyle w:val="62"/>
        <w:jc w:val="left"/>
        <w:sectPr>
          <w:headerReference r:id="rId21" w:type="default"/>
          <w:pgSz w:w="16838" w:h="11906" w:orient="landscape"/>
          <w:pgMar w:top="1800" w:right="1440" w:bottom="1800" w:left="1440" w:header="851" w:footer="992" w:gutter="0"/>
          <w:pgNumType w:fmt="decimal"/>
          <w:cols w:space="425" w:num="1"/>
          <w:docGrid w:type="lines" w:linePitch="312" w:charSpace="0"/>
        </w:sectPr>
      </w:pPr>
    </w:p>
    <w:p w14:paraId="7328C356">
      <w:pPr>
        <w:widowControl/>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2</w:t>
      </w:r>
      <w:r>
        <w:rPr>
          <w:rFonts w:ascii="Times New Roman" w:hAnsi="Times New Roman" w:eastAsia="宋体" w:cs="Times New Roman"/>
          <w:kern w:val="0"/>
          <w:sz w:val="24"/>
        </w:rPr>
        <w:t>、危险废物贮存过程中对环境空气、地表水、地下水、土壤以及环境敏感保护目标可能造成的影响分析</w:t>
      </w:r>
    </w:p>
    <w:p w14:paraId="7649F2C4">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本项目危险废物暂存在</w:t>
      </w:r>
      <w:r>
        <w:rPr>
          <w:rFonts w:hint="eastAsia" w:ascii="Times New Roman" w:hAnsi="Times New Roman" w:eastAsia="宋体" w:cs="Times New Roman"/>
          <w:kern w:val="0"/>
          <w:sz w:val="24"/>
        </w:rPr>
        <w:t>危废暂存间，危废暂存间</w:t>
      </w:r>
      <w:r>
        <w:rPr>
          <w:rFonts w:ascii="Times New Roman" w:hAnsi="Times New Roman" w:eastAsia="宋体" w:cs="Times New Roman"/>
          <w:kern w:val="0"/>
          <w:sz w:val="24"/>
        </w:rPr>
        <w:t>按防雨、防晒、防风、防渗设计建设，正常情况下不会对环境空气、地表水、地下水、土壤以及环境敏感保护目标造成影响。非正常情况下，如屋顶（防雨顶棚）破漏等造成雨水进入等情况，会产生淋滤水，对地表水、地下水、土壤造成一定的影响。</w:t>
      </w:r>
    </w:p>
    <w:p w14:paraId="5DD5FD76">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根据地下水影响分析，在非正常工况下，污染物对地下水的影响范围和影响程度较大，从预测结果看，非正常情况下污染泄漏的发生可能对周围地下水环境产生影响，经调查下游</w:t>
      </w:r>
      <w:r>
        <w:rPr>
          <w:rFonts w:hint="eastAsia" w:ascii="Times New Roman" w:hAnsi="Times New Roman" w:eastAsia="宋体" w:cs="Times New Roman"/>
          <w:kern w:val="0"/>
          <w:sz w:val="24"/>
        </w:rPr>
        <w:t>项目周边存在</w:t>
      </w:r>
      <w:r>
        <w:rPr>
          <w:rFonts w:ascii="Times New Roman" w:hAnsi="Times New Roman" w:eastAsia="宋体" w:cs="Times New Roman"/>
          <w:kern w:val="0"/>
          <w:sz w:val="24"/>
        </w:rPr>
        <w:t>采用地下水作为饮用水源的村庄，</w:t>
      </w:r>
      <w:r>
        <w:rPr>
          <w:rFonts w:hint="eastAsia" w:ascii="Times New Roman" w:hAnsi="Times New Roman" w:eastAsia="宋体" w:cs="Times New Roman"/>
          <w:kern w:val="0"/>
          <w:sz w:val="24"/>
        </w:rPr>
        <w:t>因此企业应严格落实防渗措施，并对厂区内地下水监测井定期监测，一旦发现异常应立即采取应急措施，并告知周边村庄的居民。</w:t>
      </w:r>
    </w:p>
    <w:p w14:paraId="30F9B9F5">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根据环境风险评价，为防止事故废水泄漏出厂界对厂外水体造成影响。厂区的雨水排口设置切换阀，一旦产生消防废水或事故废水，应立即切换阀，使消防废水或事故废水进入厂区内的事故应急池，事故应急池有效容积</w:t>
      </w:r>
      <w:r>
        <w:rPr>
          <w:rFonts w:hint="eastAsia" w:ascii="Times New Roman" w:hAnsi="Times New Roman" w:eastAsia="宋体" w:cs="Times New Roman"/>
          <w:kern w:val="0"/>
          <w:sz w:val="24"/>
        </w:rPr>
        <w:t>30</w:t>
      </w:r>
      <w:r>
        <w:rPr>
          <w:rFonts w:ascii="Times New Roman" w:hAnsi="Times New Roman" w:eastAsia="宋体" w:cs="Times New Roman"/>
          <w:kern w:val="0"/>
          <w:sz w:val="24"/>
        </w:rPr>
        <w:t>m</w:t>
      </w:r>
      <w:r>
        <w:rPr>
          <w:rFonts w:ascii="Times New Roman" w:hAnsi="Times New Roman" w:eastAsia="宋体" w:cs="Times New Roman"/>
          <w:kern w:val="0"/>
          <w:sz w:val="24"/>
          <w:vertAlign w:val="superscript"/>
        </w:rPr>
        <w:t>3</w:t>
      </w:r>
      <w:r>
        <w:rPr>
          <w:rFonts w:ascii="Times New Roman" w:hAnsi="Times New Roman" w:eastAsia="宋体" w:cs="Times New Roman"/>
          <w:kern w:val="0"/>
          <w:sz w:val="24"/>
        </w:rPr>
        <w:t>；各个车间和仓库出入口设置0.2m高的漫坡；利用车间围墙、事故应急池、厂区围墙和漫坡等构成足够大的厂区事故应急容积，从而有效控制厂区内事故废水不会外泄。同时，建设单位应在厂区配置沙袋等应急物资，以备在发生事故时，用于防止事故废水外流。</w:t>
      </w:r>
    </w:p>
    <w:p w14:paraId="1163D736">
      <w:pPr>
        <w:keepNext/>
        <w:keepLines/>
        <w:numPr>
          <w:ilvl w:val="2"/>
          <w:numId w:val="69"/>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危险废物运输过程的环境影响</w:t>
      </w:r>
    </w:p>
    <w:p w14:paraId="3F5A30E4">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本项目产生的</w:t>
      </w:r>
      <w:r>
        <w:rPr>
          <w:rFonts w:hint="eastAsia" w:ascii="Times New Roman" w:hAnsi="Times New Roman" w:eastAsia="宋体" w:cs="Times New Roman"/>
          <w:bCs/>
          <w:kern w:val="0"/>
          <w:sz w:val="24"/>
        </w:rPr>
        <w:t>危险废物</w:t>
      </w:r>
      <w:r>
        <w:rPr>
          <w:rFonts w:ascii="Times New Roman" w:hAnsi="Times New Roman" w:eastAsia="宋体" w:cs="Times New Roman"/>
          <w:kern w:val="0"/>
          <w:sz w:val="24"/>
        </w:rPr>
        <w:t>收集后交由有资质单位处理，有资质单位采用危废专用运输车辆运输，一般情况下不会对运输沿线环境敏感点造成影响。</w:t>
      </w:r>
    </w:p>
    <w:p w14:paraId="0B293ED3">
      <w:pPr>
        <w:keepNext/>
        <w:keepLines/>
        <w:numPr>
          <w:ilvl w:val="2"/>
          <w:numId w:val="69"/>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厂区内固体废物处理措施</w:t>
      </w:r>
    </w:p>
    <w:p w14:paraId="19574390">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企业拟对各种固体废物进行分类堆放，分类管理。厂区生活垃圾设临时堆放点，危险废物设置</w:t>
      </w:r>
      <w:r>
        <w:rPr>
          <w:rFonts w:hint="eastAsia" w:ascii="Times New Roman" w:hAnsi="Times New Roman" w:eastAsia="宋体" w:cs="Times New Roman"/>
          <w:kern w:val="0"/>
          <w:sz w:val="24"/>
        </w:rPr>
        <w:t>危废暂存间</w:t>
      </w:r>
      <w:r>
        <w:rPr>
          <w:rFonts w:ascii="Times New Roman" w:hAnsi="Times New Roman" w:eastAsia="宋体" w:cs="Times New Roman"/>
          <w:kern w:val="0"/>
          <w:sz w:val="24"/>
        </w:rPr>
        <w:t>。其采取的处理措施如下：</w:t>
      </w:r>
    </w:p>
    <w:p w14:paraId="210B83F2">
      <w:pPr>
        <w:numPr>
          <w:ilvl w:val="0"/>
          <w:numId w:val="72"/>
        </w:numPr>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危险固体废物：</w:t>
      </w:r>
      <w:r>
        <w:rPr>
          <w:rFonts w:hint="eastAsia" w:ascii="Times New Roman" w:hAnsi="Times New Roman" w:eastAsia="宋体" w:cs="Times New Roman"/>
          <w:bCs/>
          <w:kern w:val="0"/>
          <w:sz w:val="24"/>
        </w:rPr>
        <w:t>废破损包装桶（废油漆桶、废胶桶、稀释剂桶）、水帘漆渣采用袋装储存；油磨漆渣采用袋装储存；污水处理中产生的絮状沉淀物采用桶装储存；废活性炭采用袋装储存；喷枪清洗废水采用</w:t>
      </w:r>
      <w:r>
        <w:rPr>
          <w:rFonts w:hint="eastAsia" w:ascii="Times New Roman" w:hAnsi="Times New Roman" w:eastAsia="宋体" w:cs="Times New Roman"/>
          <w:bCs/>
          <w:kern w:val="0"/>
          <w:sz w:val="24"/>
          <w:lang w:val="en-US" w:eastAsia="zh-CN"/>
        </w:rPr>
        <w:t>桶装</w:t>
      </w:r>
      <w:r>
        <w:rPr>
          <w:rFonts w:hint="eastAsia" w:ascii="Times New Roman" w:hAnsi="Times New Roman" w:eastAsia="宋体" w:cs="Times New Roman"/>
          <w:bCs/>
          <w:kern w:val="0"/>
          <w:sz w:val="24"/>
        </w:rPr>
        <w:t>储存；废催化剂采用袋装储存；废机油采用桶储存；废过滤棉（含漆渣）采用袋装储存；分别交由相应资质单位处理</w:t>
      </w:r>
      <w:r>
        <w:rPr>
          <w:rFonts w:ascii="Times New Roman" w:hAnsi="Times New Roman" w:eastAsia="宋体" w:cs="Times New Roman"/>
          <w:kern w:val="0"/>
          <w:sz w:val="24"/>
        </w:rPr>
        <w:t>，有资质单位采用危废专用运输车辆运输，一般情况下不会对运输沿线环境敏感点造成影响。</w:t>
      </w:r>
    </w:p>
    <w:p w14:paraId="7120167C">
      <w:pPr>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kern w:val="0"/>
          <w:sz w:val="24"/>
        </w:rPr>
        <w:t>（2）</w:t>
      </w:r>
      <w:r>
        <w:rPr>
          <w:rFonts w:hint="eastAsia" w:ascii="Times New Roman" w:hAnsi="Times New Roman" w:eastAsia="宋体" w:cs="Times New Roman"/>
          <w:kern w:val="0"/>
          <w:sz w:val="24"/>
        </w:rPr>
        <w:t>一般固体废物：</w:t>
      </w:r>
      <w:r>
        <w:rPr>
          <w:rFonts w:ascii="Times New Roman" w:hAnsi="Times New Roman" w:eastAsia="宋体" w:cs="Times New Roman"/>
          <w:bCs/>
          <w:kern w:val="0"/>
          <w:sz w:val="24"/>
        </w:rPr>
        <w:t>木材加工过程中产生的木屑、废边角废料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废包装材料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除尘器收集的粉尘</w:t>
      </w:r>
      <w:r>
        <w:rPr>
          <w:rFonts w:hint="eastAsia" w:ascii="Times New Roman" w:hAnsi="Times New Roman" w:eastAsia="宋体" w:cs="Times New Roman"/>
          <w:bCs/>
          <w:kern w:val="0"/>
          <w:sz w:val="24"/>
        </w:rPr>
        <w:t>收集后外售。</w:t>
      </w:r>
    </w:p>
    <w:p w14:paraId="7C36DC81">
      <w:pPr>
        <w:widowControl/>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（3）</w:t>
      </w:r>
      <w:r>
        <w:rPr>
          <w:rFonts w:ascii="Times New Roman" w:hAnsi="Times New Roman" w:eastAsia="宋体" w:cs="Times New Roman"/>
          <w:kern w:val="0"/>
          <w:sz w:val="24"/>
        </w:rPr>
        <w:t>生活垃圾：统一堆放在指定堆放点，由环卫部门清理运走，并定时在垃圾堆放点消毒、杀灭害虫，使其不对工作人员造成影响。</w:t>
      </w:r>
    </w:p>
    <w:p w14:paraId="4A41E6FE">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本项目固体废物经上述处理后，对周围环境不会造成影响。建设单位须按照有关规定对固体废物进行严格管理和安全处置。</w:t>
      </w:r>
    </w:p>
    <w:p w14:paraId="5D7C1F83">
      <w:pPr>
        <w:keepNext/>
        <w:keepLines/>
        <w:numPr>
          <w:ilvl w:val="2"/>
          <w:numId w:val="69"/>
        </w:numPr>
        <w:spacing w:line="360" w:lineRule="auto"/>
        <w:outlineLvl w:val="2"/>
        <w:rPr>
          <w:rFonts w:ascii="Times New Roman" w:hAnsi="Times New Roman" w:eastAsia="宋体" w:cs="Times New Roman"/>
          <w:b/>
          <w:sz w:val="24"/>
        </w:rPr>
      </w:pPr>
      <w:r>
        <w:rPr>
          <w:rFonts w:ascii="Times New Roman" w:hAnsi="Times New Roman" w:eastAsia="宋体" w:cs="Times New Roman"/>
          <w:b/>
          <w:sz w:val="24"/>
        </w:rPr>
        <w:t>固废临时储存设施位置及管理的具体要求</w:t>
      </w:r>
    </w:p>
    <w:p w14:paraId="0C3DD3D5">
      <w:pPr>
        <w:widowControl/>
        <w:spacing w:line="360" w:lineRule="auto"/>
        <w:ind w:firstLine="482" w:firstLineChars="200"/>
        <w:jc w:val="left"/>
        <w:rPr>
          <w:rFonts w:ascii="Times New Roman" w:hAnsi="Times New Roman" w:eastAsia="宋体" w:cs="Times New Roman"/>
          <w:b/>
          <w:bCs/>
          <w:kern w:val="0"/>
          <w:sz w:val="24"/>
        </w:rPr>
      </w:pPr>
      <w:r>
        <w:rPr>
          <w:rFonts w:ascii="Times New Roman" w:hAnsi="Times New Roman" w:eastAsia="宋体" w:cs="Times New Roman"/>
          <w:b/>
          <w:bCs/>
          <w:kern w:val="0"/>
          <w:sz w:val="24"/>
        </w:rPr>
        <w:t>1、固废临时储存设施位置</w:t>
      </w:r>
    </w:p>
    <w:p w14:paraId="438CFF9C">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w:t>
      </w:r>
      <w:r>
        <w:rPr>
          <w:rFonts w:hint="eastAsia" w:ascii="Times New Roman" w:hAnsi="Times New Roman" w:eastAsia="宋体" w:cs="Times New Roman"/>
          <w:kern w:val="0"/>
          <w:sz w:val="24"/>
        </w:rPr>
        <w:t>设置一般固废间位于厂区西侧，危废暂存间位于厂区西侧</w:t>
      </w:r>
      <w:r>
        <w:rPr>
          <w:rFonts w:ascii="Times New Roman" w:hAnsi="Times New Roman" w:eastAsia="宋体" w:cs="Times New Roman"/>
          <w:kern w:val="0"/>
          <w:sz w:val="24"/>
        </w:rPr>
        <w:t>暂存场所防雨防风并且地面有可靠防渗措施。生活垃圾置于垃圾桶（箱）中，由环卫部门清运。</w:t>
      </w:r>
    </w:p>
    <w:p w14:paraId="35A43AB0">
      <w:pPr>
        <w:widowControl/>
        <w:spacing w:line="360" w:lineRule="auto"/>
        <w:ind w:firstLine="482" w:firstLineChars="200"/>
        <w:jc w:val="left"/>
        <w:rPr>
          <w:rFonts w:ascii="Times New Roman" w:hAnsi="Times New Roman" w:eastAsia="宋体" w:cs="Times New Roman"/>
          <w:b/>
          <w:bCs/>
          <w:kern w:val="0"/>
          <w:sz w:val="24"/>
        </w:rPr>
      </w:pPr>
      <w:r>
        <w:rPr>
          <w:rFonts w:ascii="Times New Roman" w:hAnsi="Times New Roman" w:eastAsia="宋体" w:cs="Times New Roman"/>
          <w:b/>
          <w:bCs/>
          <w:kern w:val="0"/>
          <w:sz w:val="24"/>
        </w:rPr>
        <w:t>2、固废临时储存设施管理的具体要求</w:t>
      </w:r>
    </w:p>
    <w:p w14:paraId="5F3501B4">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（1）固废储存设施应按其类别设立危险废物储存区，储存分区并设有明显的标记；</w:t>
      </w:r>
    </w:p>
    <w:p w14:paraId="66F4184C">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（2）危险废物暂存区应根据不同性质的危废进行分区堆放储存，并做好防渗、消防等防范措施，存储区必须严格按照《危险废物贮存污染控制标准》（GB18597-20</w:t>
      </w:r>
      <w:r>
        <w:rPr>
          <w:rFonts w:hint="eastAsia" w:ascii="Times New Roman" w:hAnsi="Times New Roman" w:eastAsia="宋体" w:cs="Times New Roman"/>
          <w:kern w:val="0"/>
          <w:sz w:val="24"/>
        </w:rPr>
        <w:t>23</w:t>
      </w:r>
      <w:r>
        <w:rPr>
          <w:rFonts w:ascii="Times New Roman" w:hAnsi="Times New Roman" w:eastAsia="宋体" w:cs="Times New Roman"/>
          <w:kern w:val="0"/>
          <w:sz w:val="24"/>
        </w:rPr>
        <w:t>）</w:t>
      </w:r>
      <w:r>
        <w:rPr>
          <w:rFonts w:hint="eastAsia" w:ascii="Times New Roman" w:hAnsi="Times New Roman" w:eastAsia="宋体" w:cs="Times New Roman"/>
          <w:kern w:val="0"/>
          <w:sz w:val="24"/>
        </w:rPr>
        <w:t>的</w:t>
      </w:r>
      <w:r>
        <w:rPr>
          <w:rFonts w:ascii="Times New Roman" w:hAnsi="Times New Roman" w:eastAsia="宋体" w:cs="Times New Roman"/>
          <w:kern w:val="0"/>
          <w:sz w:val="24"/>
        </w:rPr>
        <w:t>要求建设和维护使用，具体如下：</w:t>
      </w:r>
    </w:p>
    <w:p w14:paraId="4D1F1269">
      <w:pPr>
        <w:widowControl/>
        <w:spacing w:line="360" w:lineRule="auto"/>
        <w:ind w:firstLine="480" w:firstLineChars="200"/>
        <w:jc w:val="left"/>
        <w:rPr>
          <w:rFonts w:ascii="Times New Roman" w:hAnsi="Times New Roman" w:eastAsia="宋体" w:cs="Times New Roman"/>
          <w:kern w:val="0"/>
          <w:sz w:val="24"/>
        </w:rPr>
      </w:pPr>
      <w:r>
        <w:rPr>
          <w:rFonts w:hint="eastAsia" w:ascii="宋体" w:hAnsi="宋体" w:eastAsia="宋体" w:cs="宋体"/>
          <w:kern w:val="0"/>
          <w:sz w:val="24"/>
        </w:rPr>
        <w:t>①</w:t>
      </w:r>
      <w:r>
        <w:rPr>
          <w:rFonts w:ascii="Times New Roman" w:hAnsi="Times New Roman" w:eastAsia="宋体" w:cs="Times New Roman"/>
          <w:kern w:val="0"/>
          <w:sz w:val="24"/>
        </w:rPr>
        <w:t>将危险废物装入容器内，无法装入常用容器的危险废物可用防漏胶袋等盛装；</w:t>
      </w:r>
    </w:p>
    <w:p w14:paraId="3DF0F47A">
      <w:pPr>
        <w:widowControl/>
        <w:spacing w:line="360" w:lineRule="auto"/>
        <w:ind w:firstLine="480" w:firstLineChars="200"/>
        <w:jc w:val="left"/>
        <w:rPr>
          <w:rFonts w:ascii="Times New Roman" w:hAnsi="Times New Roman" w:eastAsia="宋体" w:cs="Times New Roman"/>
          <w:kern w:val="0"/>
          <w:sz w:val="24"/>
        </w:rPr>
      </w:pPr>
      <w:r>
        <w:rPr>
          <w:rFonts w:hint="eastAsia" w:ascii="宋体" w:hAnsi="宋体" w:eastAsia="宋体" w:cs="宋体"/>
          <w:kern w:val="0"/>
          <w:sz w:val="24"/>
        </w:rPr>
        <w:t>②</w:t>
      </w:r>
      <w:r>
        <w:rPr>
          <w:rFonts w:ascii="Times New Roman" w:hAnsi="Times New Roman" w:eastAsia="宋体" w:cs="Times New Roman"/>
          <w:kern w:val="0"/>
          <w:sz w:val="24"/>
        </w:rPr>
        <w:t>装载危险废物的容器及材质要满足相应的强度要求，同时必须完好无损，盛容器材质和衬里要与危险废物兼容（不相互反应）；</w:t>
      </w:r>
    </w:p>
    <w:p w14:paraId="3BD6C452">
      <w:pPr>
        <w:widowControl/>
        <w:spacing w:line="360" w:lineRule="auto"/>
        <w:ind w:firstLine="480" w:firstLineChars="200"/>
        <w:jc w:val="left"/>
        <w:rPr>
          <w:rFonts w:ascii="Times New Roman" w:hAnsi="Times New Roman" w:eastAsia="宋体" w:cs="Times New Roman"/>
          <w:kern w:val="0"/>
          <w:sz w:val="24"/>
        </w:rPr>
      </w:pPr>
      <w:r>
        <w:rPr>
          <w:rFonts w:hint="eastAsia" w:ascii="宋体" w:hAnsi="宋体" w:eastAsia="宋体" w:cs="宋体"/>
          <w:kern w:val="0"/>
          <w:sz w:val="24"/>
        </w:rPr>
        <w:t>③</w:t>
      </w:r>
      <w:r>
        <w:rPr>
          <w:rFonts w:ascii="Times New Roman" w:hAnsi="Times New Roman" w:eastAsia="宋体" w:cs="Times New Roman"/>
          <w:kern w:val="0"/>
          <w:sz w:val="24"/>
        </w:rPr>
        <w:t>必须定期对所贮存的危险废物包装容器及贮存设施进行检查，发现破损，应及时采取措施清理更换；</w:t>
      </w:r>
    </w:p>
    <w:p w14:paraId="6569406B">
      <w:pPr>
        <w:widowControl/>
        <w:spacing w:line="360" w:lineRule="auto"/>
        <w:ind w:firstLine="480" w:firstLineChars="200"/>
        <w:jc w:val="left"/>
        <w:rPr>
          <w:rFonts w:ascii="Times New Roman" w:hAnsi="Times New Roman" w:eastAsia="宋体" w:cs="Times New Roman"/>
          <w:kern w:val="0"/>
          <w:sz w:val="24"/>
        </w:rPr>
      </w:pPr>
      <w:r>
        <w:rPr>
          <w:rFonts w:hint="eastAsia" w:ascii="宋体" w:hAnsi="宋体" w:eastAsia="宋体" w:cs="宋体"/>
          <w:kern w:val="0"/>
          <w:sz w:val="24"/>
        </w:rPr>
        <w:t>④</w:t>
      </w:r>
      <w:r>
        <w:rPr>
          <w:rFonts w:ascii="Times New Roman" w:hAnsi="Times New Roman" w:eastAsia="宋体" w:cs="Times New Roman"/>
          <w:kern w:val="0"/>
          <w:sz w:val="24"/>
        </w:rPr>
        <w:t>建设单位应做好危险废物情况的记录，记录上须注明危险废物的名称、来源、数量、特性和包装容器的类别、入库日期、存放库位、废物出库日期及接收单位名称。危险废物的记录和货单在危险废物回取后应继续保留。</w:t>
      </w:r>
    </w:p>
    <w:p w14:paraId="54A8986E">
      <w:pPr>
        <w:numPr>
          <w:ilvl w:val="0"/>
          <w:numId w:val="70"/>
        </w:numPr>
        <w:autoSpaceDE w:val="0"/>
        <w:autoSpaceDN w:val="0"/>
        <w:adjustRightIn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Times New Roman" w:cs="Times New Roman"/>
          <w:kern w:val="0"/>
          <w:sz w:val="24"/>
        </w:rPr>
        <w:t>项目设置的危险固体废物储存设施应执行“三同时”验收制度，储存设施必须通过环保部门的验收后，建设项目方可投产运行</w:t>
      </w:r>
      <w:r>
        <w:rPr>
          <w:rFonts w:hint="eastAsia" w:ascii="Times New Roman" w:hAnsi="Times New Roman" w:eastAsia="宋体" w:cs="Times New Roman"/>
          <w:kern w:val="0"/>
          <w:sz w:val="24"/>
        </w:rPr>
        <w:t>。</w:t>
      </w:r>
    </w:p>
    <w:p w14:paraId="4864F64F">
      <w:pPr>
        <w:autoSpaceDE w:val="0"/>
        <w:autoSpaceDN w:val="0"/>
        <w:adjustRightIn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Times New Roman" w:cs="Times New Roman"/>
          <w:kern w:val="0"/>
          <w:sz w:val="24"/>
        </w:rPr>
        <w:t>本项目的固体废物包括办公生活垃圾</w:t>
      </w:r>
      <w:r>
        <w:rPr>
          <w:rFonts w:hint="eastAsia" w:ascii="Times New Roman" w:hAnsi="Times New Roman" w:eastAsia="宋体" w:cs="Times New Roman"/>
          <w:kern w:val="0"/>
          <w:sz w:val="24"/>
        </w:rPr>
        <w:t>、一般工业固废</w:t>
      </w:r>
      <w:r>
        <w:rPr>
          <w:rFonts w:hint="eastAsia" w:ascii="Times New Roman" w:hAnsi="Times New Roman" w:eastAsia="Times New Roman" w:cs="Times New Roman"/>
          <w:kern w:val="0"/>
          <w:sz w:val="24"/>
        </w:rPr>
        <w:t>和危险废物。项目在厂区内设有危废暂存</w:t>
      </w:r>
      <w:r>
        <w:rPr>
          <w:rFonts w:hint="eastAsia" w:ascii="Times New Roman" w:hAnsi="Times New Roman" w:eastAsia="宋体" w:cs="Times New Roman"/>
          <w:kern w:val="0"/>
          <w:sz w:val="24"/>
        </w:rPr>
        <w:t>间和一般固废暂存间</w:t>
      </w:r>
      <w:r>
        <w:rPr>
          <w:rFonts w:hint="eastAsia" w:ascii="Times New Roman" w:hAnsi="Times New Roman" w:eastAsia="Times New Roman" w:cs="Times New Roman"/>
          <w:kern w:val="0"/>
          <w:sz w:val="24"/>
        </w:rPr>
        <w:t>，危险废物分类存放在危险废物暂存</w:t>
      </w:r>
      <w:r>
        <w:rPr>
          <w:rFonts w:hint="eastAsia" w:ascii="Times New Roman" w:hAnsi="Times New Roman" w:eastAsia="宋体" w:cs="Times New Roman"/>
          <w:kern w:val="0"/>
          <w:sz w:val="24"/>
        </w:rPr>
        <w:t>间</w:t>
      </w:r>
      <w:r>
        <w:rPr>
          <w:rFonts w:hint="eastAsia" w:ascii="Times New Roman" w:hAnsi="Times New Roman" w:eastAsia="Times New Roman" w:cs="Times New Roman"/>
          <w:kern w:val="0"/>
          <w:sz w:val="24"/>
        </w:rPr>
        <w:t>，定期交由具有相应危险废物处理资质的单位处置。不会对周围环境产生较大影响。</w:t>
      </w:r>
    </w:p>
    <w:p w14:paraId="3A6FFEDE">
      <w:pPr>
        <w:pStyle w:val="62"/>
        <w:jc w:val="left"/>
      </w:pPr>
    </w:p>
    <w:p w14:paraId="6DD0B8FE">
      <w:pPr>
        <w:jc w:val="left"/>
        <w:sectPr>
          <w:headerReference r:id="rId22" w:type="default"/>
          <w:pgSz w:w="11906" w:h="16838"/>
          <w:pgMar w:top="1440" w:right="1800" w:bottom="1440" w:left="1800" w:header="851" w:footer="992" w:gutter="0"/>
          <w:pgNumType w:fmt="decimal"/>
          <w:cols w:space="425" w:num="1"/>
          <w:docGrid w:type="lines" w:linePitch="312" w:charSpace="0"/>
        </w:sectPr>
      </w:pPr>
    </w:p>
    <w:p w14:paraId="084CADC5">
      <w:pPr>
        <w:spacing w:line="360" w:lineRule="auto"/>
        <w:rPr>
          <w:sz w:val="24"/>
        </w:rPr>
      </w:pPr>
    </w:p>
    <w:p w14:paraId="37D5F86B">
      <w:pPr>
        <w:pStyle w:val="2"/>
        <w:numPr>
          <w:ilvl w:val="0"/>
          <w:numId w:val="73"/>
        </w:numPr>
        <w:tabs>
          <w:tab w:val="clear" w:pos="0"/>
        </w:tabs>
      </w:pPr>
      <w:bookmarkStart w:id="276" w:name="_Toc25513"/>
      <w:r>
        <w:rPr>
          <w:rFonts w:hint="eastAsia"/>
        </w:rPr>
        <w:t>环境影响保护措施及可行性论证</w:t>
      </w:r>
      <w:bookmarkEnd w:id="276"/>
    </w:p>
    <w:p w14:paraId="5D4B23E2">
      <w:pPr>
        <w:spacing w:line="360" w:lineRule="auto"/>
        <w:rPr>
          <w:rFonts w:ascii="Times New Roman" w:hAnsi="Times New Roman" w:eastAsia="宋体" w:cs="Times New Roman"/>
          <w:sz w:val="24"/>
        </w:rPr>
      </w:pPr>
    </w:p>
    <w:p w14:paraId="7559CE5A">
      <w:pPr>
        <w:pStyle w:val="3"/>
        <w:numPr>
          <w:ilvl w:val="1"/>
          <w:numId w:val="74"/>
        </w:numPr>
        <w:tabs>
          <w:tab w:val="clear" w:pos="0"/>
        </w:tabs>
        <w:adjustRightInd w:val="0"/>
        <w:snapToGrid w:val="0"/>
      </w:pPr>
      <w:bookmarkStart w:id="277" w:name="_Toc20515"/>
      <w:bookmarkStart w:id="278" w:name="_Toc29664"/>
      <w:bookmarkStart w:id="279" w:name="_Toc22204"/>
      <w:r>
        <w:t>施工期环境保护措施及其可行性论证</w:t>
      </w:r>
      <w:bookmarkEnd w:id="277"/>
      <w:bookmarkEnd w:id="278"/>
      <w:bookmarkEnd w:id="279"/>
    </w:p>
    <w:p w14:paraId="35151F1A">
      <w:pPr>
        <w:pStyle w:val="41"/>
        <w:adjustRightInd w:val="0"/>
        <w:snapToGrid w:val="0"/>
        <w:ind w:firstLine="520" w:firstLineChars="217"/>
      </w:pPr>
      <w:r>
        <w:rPr>
          <w:rFonts w:hint="eastAsia"/>
        </w:rPr>
        <w:t>本项目租赁伯艺精木（清丰）家居有限公司已建成空厂房，工程内容主要为购置生产设备、安装、调试。施工期较短，且主要在厂房内施工，不会对周围环境产生影响。因此本次评价施工期不再进行分析。</w:t>
      </w:r>
    </w:p>
    <w:p w14:paraId="047001FB">
      <w:pPr>
        <w:pStyle w:val="3"/>
        <w:numPr>
          <w:ilvl w:val="1"/>
          <w:numId w:val="74"/>
        </w:numPr>
        <w:tabs>
          <w:tab w:val="clear" w:pos="0"/>
        </w:tabs>
        <w:adjustRightInd w:val="0"/>
        <w:snapToGrid w:val="0"/>
      </w:pPr>
      <w:bookmarkStart w:id="280" w:name="_Toc28259"/>
      <w:r>
        <w:rPr>
          <w:rFonts w:hint="eastAsia"/>
        </w:rPr>
        <w:t>废气污染防治措施及可行性分析</w:t>
      </w:r>
      <w:bookmarkEnd w:id="280"/>
    </w:p>
    <w:p w14:paraId="64A64327">
      <w:pPr>
        <w:pStyle w:val="4"/>
        <w:numPr>
          <w:ilvl w:val="2"/>
          <w:numId w:val="75"/>
        </w:numPr>
        <w:tabs>
          <w:tab w:val="clear" w:pos="0"/>
        </w:tabs>
        <w:adjustRightInd w:val="0"/>
        <w:snapToGrid w:val="0"/>
      </w:pPr>
      <w:r>
        <w:rPr>
          <w:rFonts w:hint="eastAsia"/>
        </w:rPr>
        <w:t>废气污染防治措施</w:t>
      </w:r>
    </w:p>
    <w:p w14:paraId="51D88C50">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根</w:t>
      </w:r>
      <w:r>
        <w:rPr>
          <w:rFonts w:hint="eastAsia" w:ascii="Times New Roman" w:hAnsi="Times New Roman" w:eastAsia="宋体" w:cs="Times New Roman"/>
          <w:bCs/>
          <w:color w:val="auto"/>
          <w:kern w:val="0"/>
          <w:sz w:val="24"/>
        </w:rPr>
        <w:t>据《排污许可申请与核发技术规范 家具制造工业》（HJ102</w:t>
      </w:r>
      <w:r>
        <w:rPr>
          <w:rFonts w:hint="eastAsia" w:ascii="Times New Roman" w:hAnsi="Times New Roman" w:eastAsia="宋体" w:cs="Times New Roman"/>
          <w:bCs/>
          <w:kern w:val="0"/>
          <w:sz w:val="24"/>
        </w:rPr>
        <w:t>7-2019）中“家具行业废气污染防治可行推荐技术”，本项目废气处理措施与之对照分析见下表。</w:t>
      </w:r>
    </w:p>
    <w:p w14:paraId="07AE5928">
      <w:pPr>
        <w:numPr>
          <w:ilvl w:val="0"/>
          <w:numId w:val="76"/>
        </w:numPr>
        <w:autoSpaceDE w:val="0"/>
        <w:autoSpaceDN w:val="0"/>
        <w:adjustRightInd w:val="0"/>
        <w:spacing w:line="360" w:lineRule="auto"/>
        <w:jc w:val="center"/>
        <w:textAlignment w:val="baseline"/>
        <w:rPr>
          <w:rFonts w:ascii="Times New Roman" w:hAnsi="Times New Roman" w:eastAsia="宋体" w:cs="Times New Roman"/>
          <w:b/>
          <w:kern w:val="0"/>
          <w:szCs w:val="21"/>
        </w:rPr>
      </w:pPr>
      <w:r>
        <w:rPr>
          <w:rFonts w:hint="eastAsia" w:ascii="Times New Roman" w:hAnsi="Times New Roman" w:eastAsia="宋体" w:cs="Times New Roman"/>
          <w:b/>
          <w:kern w:val="0"/>
          <w:szCs w:val="21"/>
        </w:rPr>
        <w:t xml:space="preserve"> 本项目废气处理措施与家具行业废气污染防治可行推荐技术分析表</w:t>
      </w:r>
    </w:p>
    <w:tbl>
      <w:tblPr>
        <w:tblStyle w:val="73"/>
        <w:tblW w:w="83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1141"/>
        <w:gridCol w:w="1218"/>
        <w:gridCol w:w="2434"/>
        <w:gridCol w:w="1869"/>
        <w:gridCol w:w="964"/>
      </w:tblGrid>
      <w:tr w14:paraId="2A549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24" w:type="dxa"/>
            <w:vMerge w:val="restart"/>
            <w:tcBorders>
              <w:tl2br w:val="nil"/>
              <w:tr2bl w:val="nil"/>
            </w:tcBorders>
            <w:vAlign w:val="center"/>
          </w:tcPr>
          <w:p w14:paraId="6DF72E12">
            <w:pPr>
              <w:jc w:val="center"/>
              <w:rPr>
                <w:rFonts w:ascii="Times New Roman" w:hAnsi="Times New Roman" w:eastAsia="宋体" w:cs="Times New Roman"/>
                <w:szCs w:val="21"/>
              </w:rPr>
            </w:pPr>
            <w:r>
              <w:rPr>
                <w:rFonts w:ascii="Times New Roman" w:hAnsi="Times New Roman" w:eastAsia="宋体" w:cs="Times New Roman"/>
                <w:szCs w:val="21"/>
              </w:rPr>
              <w:t>行业类别</w:t>
            </w:r>
          </w:p>
        </w:tc>
        <w:tc>
          <w:tcPr>
            <w:tcW w:w="1141" w:type="dxa"/>
            <w:vMerge w:val="restart"/>
            <w:tcBorders>
              <w:tl2br w:val="nil"/>
              <w:tr2bl w:val="nil"/>
            </w:tcBorders>
            <w:vAlign w:val="center"/>
          </w:tcPr>
          <w:p w14:paraId="6B5D53F6">
            <w:pPr>
              <w:jc w:val="center"/>
              <w:rPr>
                <w:rFonts w:ascii="Times New Roman" w:hAnsi="Times New Roman" w:eastAsia="宋体" w:cs="Times New Roman"/>
                <w:szCs w:val="21"/>
              </w:rPr>
            </w:pPr>
            <w:r>
              <w:rPr>
                <w:rFonts w:ascii="Times New Roman" w:hAnsi="Times New Roman" w:eastAsia="宋体" w:cs="Times New Roman"/>
                <w:szCs w:val="21"/>
              </w:rPr>
              <w:t>废气产污环节</w:t>
            </w:r>
          </w:p>
        </w:tc>
        <w:tc>
          <w:tcPr>
            <w:tcW w:w="1218" w:type="dxa"/>
            <w:vMerge w:val="restart"/>
            <w:tcBorders>
              <w:tl2br w:val="nil"/>
              <w:tr2bl w:val="nil"/>
            </w:tcBorders>
            <w:vAlign w:val="center"/>
          </w:tcPr>
          <w:p w14:paraId="133AFE70">
            <w:pPr>
              <w:jc w:val="center"/>
              <w:rPr>
                <w:rFonts w:ascii="Times New Roman" w:hAnsi="Times New Roman" w:eastAsia="宋体" w:cs="Times New Roman"/>
                <w:szCs w:val="21"/>
              </w:rPr>
            </w:pPr>
            <w:r>
              <w:rPr>
                <w:rFonts w:ascii="Times New Roman" w:hAnsi="Times New Roman" w:eastAsia="宋体" w:cs="Times New Roman"/>
                <w:szCs w:val="21"/>
              </w:rPr>
              <w:t>污染物种类</w:t>
            </w:r>
          </w:p>
        </w:tc>
        <w:tc>
          <w:tcPr>
            <w:tcW w:w="5267" w:type="dxa"/>
            <w:gridSpan w:val="3"/>
            <w:tcBorders>
              <w:tl2br w:val="nil"/>
              <w:tr2bl w:val="nil"/>
            </w:tcBorders>
            <w:vAlign w:val="center"/>
          </w:tcPr>
          <w:p w14:paraId="7DD344E2">
            <w:pPr>
              <w:jc w:val="center"/>
              <w:rPr>
                <w:rFonts w:ascii="Times New Roman" w:hAnsi="Times New Roman" w:eastAsia="宋体" w:cs="Times New Roman"/>
                <w:szCs w:val="21"/>
              </w:rPr>
            </w:pPr>
            <w:r>
              <w:rPr>
                <w:rFonts w:ascii="Times New Roman" w:hAnsi="Times New Roman" w:eastAsia="宋体" w:cs="Times New Roman"/>
                <w:szCs w:val="21"/>
              </w:rPr>
              <w:t>污染防治设施</w:t>
            </w:r>
          </w:p>
        </w:tc>
      </w:tr>
      <w:tr w14:paraId="66E4F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724" w:type="dxa"/>
            <w:vMerge w:val="continue"/>
            <w:tcBorders>
              <w:tl2br w:val="nil"/>
              <w:tr2bl w:val="nil"/>
            </w:tcBorders>
            <w:vAlign w:val="center"/>
          </w:tcPr>
          <w:p w14:paraId="2E12CD80">
            <w:pPr>
              <w:jc w:val="center"/>
              <w:rPr>
                <w:rFonts w:ascii="Times New Roman" w:hAnsi="Times New Roman" w:eastAsia="宋体" w:cs="Times New Roman"/>
                <w:szCs w:val="21"/>
              </w:rPr>
            </w:pPr>
          </w:p>
        </w:tc>
        <w:tc>
          <w:tcPr>
            <w:tcW w:w="1141" w:type="dxa"/>
            <w:vMerge w:val="continue"/>
            <w:tcBorders>
              <w:tl2br w:val="nil"/>
              <w:tr2bl w:val="nil"/>
            </w:tcBorders>
            <w:vAlign w:val="center"/>
          </w:tcPr>
          <w:p w14:paraId="2BFC0F4C">
            <w:pPr>
              <w:jc w:val="center"/>
              <w:rPr>
                <w:rFonts w:ascii="Times New Roman" w:hAnsi="Times New Roman" w:eastAsia="宋体" w:cs="Times New Roman"/>
                <w:szCs w:val="21"/>
              </w:rPr>
            </w:pPr>
          </w:p>
        </w:tc>
        <w:tc>
          <w:tcPr>
            <w:tcW w:w="1218" w:type="dxa"/>
            <w:vMerge w:val="continue"/>
            <w:tcBorders>
              <w:tl2br w:val="nil"/>
              <w:tr2bl w:val="nil"/>
            </w:tcBorders>
            <w:vAlign w:val="center"/>
          </w:tcPr>
          <w:p w14:paraId="36143A38">
            <w:pPr>
              <w:jc w:val="center"/>
              <w:rPr>
                <w:rFonts w:ascii="Times New Roman" w:hAnsi="Times New Roman" w:eastAsia="宋体" w:cs="Times New Roman"/>
                <w:szCs w:val="21"/>
              </w:rPr>
            </w:pPr>
          </w:p>
        </w:tc>
        <w:tc>
          <w:tcPr>
            <w:tcW w:w="2434" w:type="dxa"/>
            <w:tcBorders>
              <w:tl2br w:val="nil"/>
              <w:tr2bl w:val="nil"/>
            </w:tcBorders>
            <w:vAlign w:val="center"/>
          </w:tcPr>
          <w:p w14:paraId="3583D0AE">
            <w:pPr>
              <w:jc w:val="center"/>
              <w:rPr>
                <w:rFonts w:ascii="Times New Roman" w:hAnsi="Times New Roman" w:eastAsia="宋体" w:cs="Times New Roman"/>
                <w:szCs w:val="21"/>
              </w:rPr>
            </w:pPr>
            <w:r>
              <w:rPr>
                <w:rFonts w:ascii="Times New Roman" w:hAnsi="Times New Roman" w:eastAsia="宋体" w:cs="Times New Roman"/>
                <w:szCs w:val="21"/>
              </w:rPr>
              <w:t>污染防治设施名称及工艺</w:t>
            </w:r>
          </w:p>
        </w:tc>
        <w:tc>
          <w:tcPr>
            <w:tcW w:w="1869" w:type="dxa"/>
            <w:tcBorders>
              <w:tl2br w:val="nil"/>
              <w:tr2bl w:val="nil"/>
            </w:tcBorders>
            <w:vAlign w:val="center"/>
          </w:tcPr>
          <w:p w14:paraId="0CB2D43E">
            <w:pPr>
              <w:jc w:val="center"/>
              <w:rPr>
                <w:rFonts w:ascii="Times New Roman" w:hAnsi="Times New Roman" w:eastAsia="宋体" w:cs="Times New Roman"/>
                <w:szCs w:val="21"/>
              </w:rPr>
            </w:pPr>
            <w:r>
              <w:rPr>
                <w:rFonts w:ascii="Times New Roman" w:hAnsi="Times New Roman" w:eastAsia="宋体" w:cs="Times New Roman"/>
                <w:szCs w:val="21"/>
              </w:rPr>
              <w:t>本项目废气处理措施</w:t>
            </w:r>
          </w:p>
        </w:tc>
        <w:tc>
          <w:tcPr>
            <w:tcW w:w="964" w:type="dxa"/>
            <w:tcBorders>
              <w:tl2br w:val="nil"/>
              <w:tr2bl w:val="nil"/>
            </w:tcBorders>
            <w:vAlign w:val="center"/>
          </w:tcPr>
          <w:p w14:paraId="65C8A77D">
            <w:pPr>
              <w:jc w:val="center"/>
              <w:rPr>
                <w:rFonts w:ascii="Times New Roman" w:hAnsi="Times New Roman" w:eastAsia="宋体" w:cs="Times New Roman"/>
                <w:szCs w:val="21"/>
              </w:rPr>
            </w:pPr>
            <w:r>
              <w:rPr>
                <w:rFonts w:ascii="Times New Roman" w:hAnsi="Times New Roman" w:eastAsia="宋体" w:cs="Times New Roman"/>
                <w:szCs w:val="21"/>
              </w:rPr>
              <w:t>是否为可行技术</w:t>
            </w:r>
          </w:p>
        </w:tc>
      </w:tr>
      <w:tr w14:paraId="5BA20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724" w:type="dxa"/>
            <w:vMerge w:val="restart"/>
            <w:tcBorders>
              <w:tl2br w:val="nil"/>
              <w:tr2bl w:val="nil"/>
            </w:tcBorders>
            <w:vAlign w:val="center"/>
          </w:tcPr>
          <w:p w14:paraId="356C9571">
            <w:pPr>
              <w:jc w:val="left"/>
              <w:rPr>
                <w:rFonts w:ascii="Times New Roman" w:hAnsi="Times New Roman" w:eastAsia="宋体" w:cs="Times New Roman"/>
                <w:szCs w:val="21"/>
              </w:rPr>
            </w:pPr>
            <w:r>
              <w:rPr>
                <w:rFonts w:ascii="Times New Roman" w:hAnsi="Times New Roman" w:eastAsia="宋体" w:cs="Times New Roman"/>
                <w:szCs w:val="21"/>
              </w:rPr>
              <w:t>木质家具、竹藤家具、其他家具、木门窗、定制家具、木玩具及有喷漆工艺的木质、竹质工艺品制造排污单位</w:t>
            </w:r>
          </w:p>
        </w:tc>
        <w:tc>
          <w:tcPr>
            <w:tcW w:w="1141" w:type="dxa"/>
            <w:tcBorders>
              <w:tl2br w:val="nil"/>
              <w:tr2bl w:val="nil"/>
            </w:tcBorders>
            <w:vAlign w:val="center"/>
          </w:tcPr>
          <w:p w14:paraId="66B42D2D">
            <w:pPr>
              <w:jc w:val="center"/>
              <w:rPr>
                <w:rFonts w:ascii="Times New Roman" w:hAnsi="Times New Roman" w:eastAsia="宋体" w:cs="Times New Roman"/>
                <w:szCs w:val="21"/>
              </w:rPr>
            </w:pPr>
            <w:r>
              <w:rPr>
                <w:rFonts w:ascii="Times New Roman" w:hAnsi="Times New Roman" w:eastAsia="宋体" w:cs="Times New Roman"/>
                <w:szCs w:val="21"/>
              </w:rPr>
              <w:t>木加工废气</w:t>
            </w:r>
          </w:p>
        </w:tc>
        <w:tc>
          <w:tcPr>
            <w:tcW w:w="1218" w:type="dxa"/>
            <w:tcBorders>
              <w:tl2br w:val="nil"/>
              <w:tr2bl w:val="nil"/>
            </w:tcBorders>
            <w:vAlign w:val="center"/>
          </w:tcPr>
          <w:p w14:paraId="0CD07DDB">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434" w:type="dxa"/>
            <w:tcBorders>
              <w:tl2br w:val="nil"/>
              <w:tr2bl w:val="nil"/>
            </w:tcBorders>
            <w:vAlign w:val="center"/>
          </w:tcPr>
          <w:p w14:paraId="30BDBAE9">
            <w:pPr>
              <w:jc w:val="left"/>
              <w:rPr>
                <w:rFonts w:ascii="Times New Roman" w:hAnsi="Times New Roman" w:eastAsia="宋体" w:cs="Times New Roman"/>
                <w:szCs w:val="21"/>
              </w:rPr>
            </w:pPr>
            <w:r>
              <w:rPr>
                <w:rFonts w:ascii="Times New Roman" w:hAnsi="Times New Roman" w:eastAsia="宋体" w:cs="Times New Roman"/>
                <w:szCs w:val="21"/>
              </w:rPr>
              <w:t>袋式除尘</w:t>
            </w:r>
          </w:p>
          <w:p w14:paraId="04499132">
            <w:pPr>
              <w:jc w:val="left"/>
              <w:rPr>
                <w:rFonts w:ascii="Times New Roman" w:hAnsi="Times New Roman" w:eastAsia="宋体" w:cs="Times New Roman"/>
                <w:szCs w:val="21"/>
              </w:rPr>
            </w:pPr>
            <w:r>
              <w:rPr>
                <w:rFonts w:ascii="Times New Roman" w:hAnsi="Times New Roman" w:eastAsia="宋体" w:cs="Times New Roman"/>
                <w:szCs w:val="21"/>
              </w:rPr>
              <w:t>中央除尘系统</w:t>
            </w:r>
          </w:p>
          <w:p w14:paraId="3EB2DF94">
            <w:pPr>
              <w:jc w:val="left"/>
              <w:rPr>
                <w:rFonts w:ascii="Times New Roman" w:hAnsi="Times New Roman" w:eastAsia="宋体" w:cs="Times New Roman"/>
                <w:szCs w:val="21"/>
              </w:rPr>
            </w:pPr>
            <w:r>
              <w:rPr>
                <w:rFonts w:ascii="Times New Roman" w:hAnsi="Times New Roman" w:eastAsia="宋体" w:cs="Times New Roman"/>
                <w:szCs w:val="21"/>
              </w:rPr>
              <w:t>负压舱</w:t>
            </w:r>
          </w:p>
          <w:p w14:paraId="37C65414">
            <w:pPr>
              <w:jc w:val="left"/>
              <w:rPr>
                <w:rFonts w:ascii="Times New Roman" w:hAnsi="Times New Roman" w:eastAsia="宋体" w:cs="Times New Roman"/>
                <w:szCs w:val="21"/>
              </w:rPr>
            </w:pPr>
            <w:r>
              <w:rPr>
                <w:rFonts w:ascii="Times New Roman" w:hAnsi="Times New Roman" w:eastAsia="宋体" w:cs="Times New Roman"/>
                <w:szCs w:val="21"/>
              </w:rPr>
              <w:t>其他</w:t>
            </w:r>
          </w:p>
        </w:tc>
        <w:tc>
          <w:tcPr>
            <w:tcW w:w="1869" w:type="dxa"/>
            <w:tcBorders>
              <w:tl2br w:val="nil"/>
              <w:tr2bl w:val="nil"/>
            </w:tcBorders>
            <w:vAlign w:val="center"/>
          </w:tcPr>
          <w:p w14:paraId="07ED6676">
            <w:pPr>
              <w:jc w:val="center"/>
              <w:rPr>
                <w:rFonts w:ascii="Times New Roman" w:hAnsi="Times New Roman" w:eastAsia="宋体" w:cs="Times New Roman"/>
                <w:szCs w:val="21"/>
              </w:rPr>
            </w:pPr>
            <w:r>
              <w:rPr>
                <w:rFonts w:ascii="Times New Roman" w:hAnsi="Times New Roman" w:eastAsia="宋体" w:cs="Times New Roman"/>
                <w:szCs w:val="21"/>
              </w:rPr>
              <w:t>中央除尘系统</w:t>
            </w:r>
          </w:p>
        </w:tc>
        <w:tc>
          <w:tcPr>
            <w:tcW w:w="964" w:type="dxa"/>
            <w:tcBorders>
              <w:tl2br w:val="nil"/>
              <w:tr2bl w:val="nil"/>
            </w:tcBorders>
            <w:vAlign w:val="center"/>
          </w:tcPr>
          <w:p w14:paraId="20803EE7">
            <w:pPr>
              <w:jc w:val="center"/>
              <w:rPr>
                <w:rFonts w:ascii="Times New Roman" w:hAnsi="Times New Roman" w:eastAsia="宋体" w:cs="Times New Roman"/>
                <w:szCs w:val="21"/>
              </w:rPr>
            </w:pPr>
            <w:r>
              <w:rPr>
                <w:rFonts w:ascii="Times New Roman" w:hAnsi="Times New Roman" w:eastAsia="宋体" w:cs="Times New Roman"/>
                <w:szCs w:val="21"/>
              </w:rPr>
              <w:t>是</w:t>
            </w:r>
          </w:p>
        </w:tc>
      </w:tr>
      <w:tr w14:paraId="2C76C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724" w:type="dxa"/>
            <w:vMerge w:val="continue"/>
            <w:tcBorders>
              <w:tl2br w:val="nil"/>
              <w:tr2bl w:val="nil"/>
            </w:tcBorders>
            <w:vAlign w:val="center"/>
          </w:tcPr>
          <w:p w14:paraId="48C36839">
            <w:pPr>
              <w:jc w:val="left"/>
              <w:rPr>
                <w:rFonts w:ascii="Times New Roman" w:hAnsi="Times New Roman" w:eastAsia="宋体" w:cs="Times New Roman"/>
                <w:szCs w:val="21"/>
              </w:rPr>
            </w:pPr>
          </w:p>
        </w:tc>
        <w:tc>
          <w:tcPr>
            <w:tcW w:w="1141" w:type="dxa"/>
            <w:tcBorders>
              <w:tl2br w:val="nil"/>
              <w:tr2bl w:val="nil"/>
            </w:tcBorders>
            <w:vAlign w:val="center"/>
          </w:tcPr>
          <w:p w14:paraId="2D7B04CF">
            <w:pPr>
              <w:jc w:val="center"/>
              <w:rPr>
                <w:rFonts w:ascii="Times New Roman" w:hAnsi="Times New Roman" w:eastAsia="宋体" w:cs="Times New Roman"/>
                <w:szCs w:val="21"/>
              </w:rPr>
            </w:pPr>
            <w:r>
              <w:rPr>
                <w:rFonts w:ascii="Times New Roman" w:hAnsi="Times New Roman" w:eastAsia="宋体" w:cs="Times New Roman"/>
                <w:szCs w:val="21"/>
              </w:rPr>
              <w:t>热压、涂胶拼板废气</w:t>
            </w:r>
          </w:p>
        </w:tc>
        <w:tc>
          <w:tcPr>
            <w:tcW w:w="1218" w:type="dxa"/>
            <w:tcBorders>
              <w:tl2br w:val="nil"/>
              <w:tr2bl w:val="nil"/>
            </w:tcBorders>
            <w:vAlign w:val="center"/>
          </w:tcPr>
          <w:p w14:paraId="3C7B4710">
            <w:pPr>
              <w:jc w:val="center"/>
              <w:rPr>
                <w:rFonts w:ascii="Times New Roman" w:hAnsi="Times New Roman" w:eastAsia="宋体" w:cs="Times New Roman"/>
                <w:szCs w:val="21"/>
              </w:rPr>
            </w:pPr>
            <w:r>
              <w:rPr>
                <w:rFonts w:ascii="Times New Roman" w:hAnsi="Times New Roman" w:eastAsia="宋体" w:cs="Times New Roman"/>
                <w:szCs w:val="21"/>
              </w:rPr>
              <w:t>挥发性有机物、甲苯、二甲苯</w:t>
            </w:r>
          </w:p>
        </w:tc>
        <w:tc>
          <w:tcPr>
            <w:tcW w:w="2434" w:type="dxa"/>
            <w:tcBorders>
              <w:tl2br w:val="nil"/>
              <w:tr2bl w:val="nil"/>
            </w:tcBorders>
            <w:vAlign w:val="center"/>
          </w:tcPr>
          <w:p w14:paraId="72E0A156">
            <w:pPr>
              <w:jc w:val="left"/>
              <w:rPr>
                <w:rFonts w:ascii="Times New Roman" w:hAnsi="Times New Roman" w:eastAsia="宋体" w:cs="Times New Roman"/>
                <w:szCs w:val="21"/>
              </w:rPr>
            </w:pPr>
            <w:r>
              <w:rPr>
                <w:rFonts w:ascii="Times New Roman" w:hAnsi="Times New Roman" w:eastAsia="宋体" w:cs="Times New Roman"/>
                <w:szCs w:val="21"/>
              </w:rPr>
              <w:t>集气设施或密闭车间</w:t>
            </w:r>
          </w:p>
          <w:p w14:paraId="26D88861">
            <w:pPr>
              <w:jc w:val="left"/>
              <w:rPr>
                <w:rFonts w:ascii="Times New Roman" w:hAnsi="Times New Roman" w:eastAsia="宋体" w:cs="Times New Roman"/>
                <w:szCs w:val="21"/>
              </w:rPr>
            </w:pPr>
            <w:r>
              <w:rPr>
                <w:rFonts w:ascii="Times New Roman" w:hAnsi="Times New Roman" w:eastAsia="宋体" w:cs="Times New Roman"/>
                <w:szCs w:val="21"/>
              </w:rPr>
              <w:t>干式过滤棉/过滤箱</w:t>
            </w:r>
          </w:p>
          <w:p w14:paraId="596F405E">
            <w:pPr>
              <w:jc w:val="left"/>
              <w:rPr>
                <w:rFonts w:ascii="Times New Roman" w:hAnsi="Times New Roman" w:eastAsia="宋体" w:cs="Times New Roman"/>
                <w:szCs w:val="21"/>
              </w:rPr>
            </w:pPr>
            <w:r>
              <w:rPr>
                <w:rFonts w:ascii="Times New Roman" w:hAnsi="Times New Roman" w:eastAsia="宋体" w:cs="Times New Roman"/>
                <w:szCs w:val="21"/>
              </w:rPr>
              <w:t>活性炭吸附浓缩+燃烧/催化氧化</w:t>
            </w:r>
          </w:p>
          <w:p w14:paraId="12E549E7">
            <w:pPr>
              <w:jc w:val="left"/>
              <w:rPr>
                <w:rFonts w:ascii="Times New Roman" w:hAnsi="Times New Roman" w:eastAsia="宋体" w:cs="Times New Roman"/>
                <w:szCs w:val="21"/>
              </w:rPr>
            </w:pPr>
            <w:r>
              <w:rPr>
                <w:rFonts w:ascii="Times New Roman" w:hAnsi="Times New Roman" w:eastAsia="宋体" w:cs="Times New Roman"/>
                <w:szCs w:val="21"/>
              </w:rPr>
              <w:t>其他</w:t>
            </w:r>
          </w:p>
        </w:tc>
        <w:tc>
          <w:tcPr>
            <w:tcW w:w="1869" w:type="dxa"/>
            <w:tcBorders>
              <w:tl2br w:val="nil"/>
              <w:tr2bl w:val="nil"/>
            </w:tcBorders>
            <w:vAlign w:val="center"/>
          </w:tcPr>
          <w:p w14:paraId="0132E532">
            <w:pPr>
              <w:jc w:val="center"/>
              <w:rPr>
                <w:rFonts w:ascii="Times New Roman" w:hAnsi="Times New Roman" w:eastAsia="宋体" w:cs="Times New Roman"/>
                <w:szCs w:val="21"/>
              </w:rPr>
            </w:pPr>
            <w:r>
              <w:rPr>
                <w:rFonts w:ascii="Times New Roman" w:hAnsi="Times New Roman" w:eastAsia="宋体" w:cs="Times New Roman"/>
                <w:szCs w:val="21"/>
              </w:rPr>
              <w:t>活性炭吸附—脱附催化燃烧</w:t>
            </w:r>
          </w:p>
        </w:tc>
        <w:tc>
          <w:tcPr>
            <w:tcW w:w="964" w:type="dxa"/>
            <w:tcBorders>
              <w:tl2br w:val="nil"/>
              <w:tr2bl w:val="nil"/>
            </w:tcBorders>
            <w:vAlign w:val="center"/>
          </w:tcPr>
          <w:p w14:paraId="0DF2E400">
            <w:pPr>
              <w:jc w:val="center"/>
              <w:rPr>
                <w:rFonts w:ascii="Times New Roman" w:hAnsi="Times New Roman" w:eastAsia="宋体" w:cs="Times New Roman"/>
                <w:szCs w:val="21"/>
              </w:rPr>
            </w:pPr>
            <w:r>
              <w:rPr>
                <w:rFonts w:ascii="Times New Roman" w:hAnsi="Times New Roman" w:eastAsia="宋体" w:cs="Times New Roman"/>
                <w:szCs w:val="21"/>
              </w:rPr>
              <w:t>是</w:t>
            </w:r>
          </w:p>
        </w:tc>
      </w:tr>
      <w:tr w14:paraId="03343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24" w:type="dxa"/>
            <w:vMerge w:val="continue"/>
            <w:tcBorders>
              <w:tl2br w:val="nil"/>
              <w:tr2bl w:val="nil"/>
            </w:tcBorders>
            <w:vAlign w:val="center"/>
          </w:tcPr>
          <w:p w14:paraId="3D7317E6">
            <w:pPr>
              <w:jc w:val="left"/>
              <w:rPr>
                <w:rFonts w:ascii="Times New Roman" w:hAnsi="Times New Roman" w:eastAsia="宋体" w:cs="Times New Roman"/>
                <w:szCs w:val="21"/>
              </w:rPr>
            </w:pPr>
          </w:p>
        </w:tc>
        <w:tc>
          <w:tcPr>
            <w:tcW w:w="1141" w:type="dxa"/>
            <w:tcBorders>
              <w:tl2br w:val="nil"/>
              <w:tr2bl w:val="nil"/>
            </w:tcBorders>
            <w:vAlign w:val="center"/>
          </w:tcPr>
          <w:p w14:paraId="14741A08">
            <w:pPr>
              <w:jc w:val="center"/>
              <w:rPr>
                <w:rFonts w:ascii="Times New Roman" w:hAnsi="Times New Roman" w:eastAsia="宋体" w:cs="Times New Roman"/>
                <w:szCs w:val="21"/>
              </w:rPr>
            </w:pPr>
            <w:r>
              <w:rPr>
                <w:rFonts w:ascii="Times New Roman" w:hAnsi="Times New Roman" w:eastAsia="宋体" w:cs="Times New Roman"/>
                <w:szCs w:val="21"/>
              </w:rPr>
              <w:t>调漆、供漆废气</w:t>
            </w:r>
          </w:p>
        </w:tc>
        <w:tc>
          <w:tcPr>
            <w:tcW w:w="1218" w:type="dxa"/>
            <w:tcBorders>
              <w:tl2br w:val="nil"/>
              <w:tr2bl w:val="nil"/>
            </w:tcBorders>
            <w:vAlign w:val="center"/>
          </w:tcPr>
          <w:p w14:paraId="0E708FF4">
            <w:pPr>
              <w:jc w:val="center"/>
              <w:rPr>
                <w:rFonts w:ascii="Times New Roman" w:hAnsi="Times New Roman" w:eastAsia="宋体" w:cs="Times New Roman"/>
                <w:szCs w:val="21"/>
              </w:rPr>
            </w:pPr>
            <w:r>
              <w:rPr>
                <w:rFonts w:ascii="Times New Roman" w:hAnsi="Times New Roman" w:eastAsia="宋体" w:cs="Times New Roman"/>
                <w:szCs w:val="21"/>
              </w:rPr>
              <w:t>挥发性有机物、甲苯、二甲苯</w:t>
            </w:r>
          </w:p>
        </w:tc>
        <w:tc>
          <w:tcPr>
            <w:tcW w:w="2434" w:type="dxa"/>
            <w:tcBorders>
              <w:tl2br w:val="nil"/>
              <w:tr2bl w:val="nil"/>
            </w:tcBorders>
            <w:vAlign w:val="center"/>
          </w:tcPr>
          <w:p w14:paraId="72AA0080">
            <w:pPr>
              <w:jc w:val="left"/>
              <w:rPr>
                <w:rFonts w:ascii="Times New Roman" w:hAnsi="Times New Roman" w:eastAsia="宋体" w:cs="Times New Roman"/>
                <w:szCs w:val="21"/>
              </w:rPr>
            </w:pPr>
            <w:r>
              <w:rPr>
                <w:rFonts w:ascii="Times New Roman" w:hAnsi="Times New Roman" w:eastAsia="宋体" w:cs="Times New Roman"/>
                <w:szCs w:val="21"/>
              </w:rPr>
              <w:t>集气设施或密闭车间</w:t>
            </w:r>
          </w:p>
          <w:p w14:paraId="2C731734">
            <w:pPr>
              <w:jc w:val="left"/>
              <w:rPr>
                <w:rFonts w:ascii="Times New Roman" w:hAnsi="Times New Roman" w:eastAsia="宋体" w:cs="Times New Roman"/>
                <w:szCs w:val="21"/>
              </w:rPr>
            </w:pPr>
            <w:r>
              <w:rPr>
                <w:rFonts w:ascii="Times New Roman" w:hAnsi="Times New Roman" w:eastAsia="宋体" w:cs="Times New Roman"/>
                <w:szCs w:val="21"/>
              </w:rPr>
              <w:t>活性炭吸附</w:t>
            </w:r>
          </w:p>
          <w:p w14:paraId="58337BDA">
            <w:pPr>
              <w:jc w:val="left"/>
              <w:rPr>
                <w:rFonts w:ascii="Times New Roman" w:hAnsi="Times New Roman" w:eastAsia="宋体" w:cs="Times New Roman"/>
                <w:szCs w:val="21"/>
              </w:rPr>
            </w:pPr>
            <w:r>
              <w:rPr>
                <w:rFonts w:ascii="Times New Roman" w:hAnsi="Times New Roman" w:eastAsia="宋体" w:cs="Times New Roman"/>
                <w:szCs w:val="21"/>
              </w:rPr>
              <w:t>其他</w:t>
            </w:r>
          </w:p>
        </w:tc>
        <w:tc>
          <w:tcPr>
            <w:tcW w:w="1869" w:type="dxa"/>
            <w:tcBorders>
              <w:tl2br w:val="nil"/>
              <w:tr2bl w:val="nil"/>
            </w:tcBorders>
            <w:vAlign w:val="center"/>
          </w:tcPr>
          <w:p w14:paraId="072DBBC4">
            <w:pPr>
              <w:jc w:val="center"/>
              <w:rPr>
                <w:rFonts w:ascii="Times New Roman" w:hAnsi="Times New Roman" w:eastAsia="宋体" w:cs="Times New Roman"/>
                <w:szCs w:val="21"/>
              </w:rPr>
            </w:pPr>
            <w:r>
              <w:rPr>
                <w:rFonts w:ascii="Times New Roman" w:hAnsi="Times New Roman" w:eastAsia="宋体" w:cs="Times New Roman"/>
                <w:color w:val="000000"/>
                <w:kern w:val="0"/>
                <w:szCs w:val="21"/>
              </w:rPr>
              <w:t>活性炭吸附—脱附催化燃烧</w:t>
            </w:r>
          </w:p>
        </w:tc>
        <w:tc>
          <w:tcPr>
            <w:tcW w:w="964" w:type="dxa"/>
            <w:tcBorders>
              <w:tl2br w:val="nil"/>
              <w:tr2bl w:val="nil"/>
            </w:tcBorders>
            <w:vAlign w:val="center"/>
          </w:tcPr>
          <w:p w14:paraId="66D47A1B">
            <w:pPr>
              <w:jc w:val="center"/>
              <w:rPr>
                <w:rFonts w:ascii="Times New Roman" w:hAnsi="Times New Roman" w:eastAsia="宋体" w:cs="Times New Roman"/>
                <w:szCs w:val="21"/>
              </w:rPr>
            </w:pPr>
            <w:r>
              <w:rPr>
                <w:rFonts w:ascii="Times New Roman" w:hAnsi="Times New Roman" w:eastAsia="宋体" w:cs="Times New Roman"/>
                <w:szCs w:val="21"/>
              </w:rPr>
              <w:t>是</w:t>
            </w:r>
          </w:p>
        </w:tc>
      </w:tr>
      <w:tr w14:paraId="05948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724" w:type="dxa"/>
            <w:vMerge w:val="continue"/>
            <w:tcBorders>
              <w:tl2br w:val="nil"/>
              <w:tr2bl w:val="nil"/>
            </w:tcBorders>
            <w:vAlign w:val="center"/>
          </w:tcPr>
          <w:p w14:paraId="2A345BA8">
            <w:pPr>
              <w:jc w:val="left"/>
              <w:rPr>
                <w:rFonts w:ascii="Times New Roman" w:hAnsi="Times New Roman" w:eastAsia="宋体" w:cs="Times New Roman"/>
                <w:szCs w:val="21"/>
              </w:rPr>
            </w:pPr>
          </w:p>
        </w:tc>
        <w:tc>
          <w:tcPr>
            <w:tcW w:w="1141" w:type="dxa"/>
            <w:tcBorders>
              <w:tl2br w:val="nil"/>
              <w:tr2bl w:val="nil"/>
            </w:tcBorders>
            <w:vAlign w:val="center"/>
          </w:tcPr>
          <w:p w14:paraId="5732329F">
            <w:pPr>
              <w:jc w:val="center"/>
              <w:rPr>
                <w:rFonts w:ascii="Times New Roman" w:hAnsi="Times New Roman" w:eastAsia="宋体" w:cs="Times New Roman"/>
                <w:szCs w:val="21"/>
              </w:rPr>
            </w:pPr>
            <w:r>
              <w:rPr>
                <w:rFonts w:ascii="Times New Roman" w:hAnsi="Times New Roman" w:eastAsia="宋体" w:cs="Times New Roman"/>
                <w:szCs w:val="21"/>
              </w:rPr>
              <w:t>擦色废气</w:t>
            </w:r>
          </w:p>
        </w:tc>
        <w:tc>
          <w:tcPr>
            <w:tcW w:w="1218" w:type="dxa"/>
            <w:tcBorders>
              <w:tl2br w:val="nil"/>
              <w:tr2bl w:val="nil"/>
            </w:tcBorders>
            <w:vAlign w:val="center"/>
          </w:tcPr>
          <w:p w14:paraId="151F56BF">
            <w:pPr>
              <w:jc w:val="center"/>
              <w:rPr>
                <w:rFonts w:ascii="Times New Roman" w:hAnsi="Times New Roman" w:eastAsia="宋体" w:cs="Times New Roman"/>
                <w:szCs w:val="21"/>
              </w:rPr>
            </w:pPr>
            <w:r>
              <w:rPr>
                <w:rFonts w:ascii="Times New Roman" w:hAnsi="Times New Roman" w:eastAsia="宋体" w:cs="Times New Roman"/>
                <w:szCs w:val="21"/>
              </w:rPr>
              <w:t>挥发性有机物、甲苯、二甲苯</w:t>
            </w:r>
          </w:p>
        </w:tc>
        <w:tc>
          <w:tcPr>
            <w:tcW w:w="2434" w:type="dxa"/>
            <w:tcBorders>
              <w:tl2br w:val="nil"/>
              <w:tr2bl w:val="nil"/>
            </w:tcBorders>
            <w:vAlign w:val="center"/>
          </w:tcPr>
          <w:p w14:paraId="181520BE">
            <w:pPr>
              <w:jc w:val="left"/>
              <w:rPr>
                <w:rFonts w:ascii="Times New Roman" w:hAnsi="Times New Roman" w:eastAsia="宋体" w:cs="Times New Roman"/>
                <w:szCs w:val="21"/>
              </w:rPr>
            </w:pPr>
            <w:r>
              <w:rPr>
                <w:rFonts w:ascii="Times New Roman" w:hAnsi="Times New Roman" w:eastAsia="宋体" w:cs="Times New Roman"/>
                <w:szCs w:val="21"/>
              </w:rPr>
              <w:t>集气设施或密闭车间</w:t>
            </w:r>
          </w:p>
          <w:p w14:paraId="1BA61199">
            <w:pPr>
              <w:jc w:val="left"/>
              <w:rPr>
                <w:rFonts w:ascii="Times New Roman" w:hAnsi="Times New Roman" w:eastAsia="宋体" w:cs="Times New Roman"/>
                <w:szCs w:val="21"/>
              </w:rPr>
            </w:pPr>
            <w:r>
              <w:rPr>
                <w:rFonts w:ascii="Times New Roman" w:hAnsi="Times New Roman" w:eastAsia="宋体" w:cs="Times New Roman"/>
                <w:szCs w:val="21"/>
              </w:rPr>
              <w:t>活性炭吸附浓缩+燃烧/催化氧化</w:t>
            </w:r>
          </w:p>
          <w:p w14:paraId="1FFF2B82">
            <w:pPr>
              <w:jc w:val="left"/>
              <w:rPr>
                <w:rFonts w:ascii="Times New Roman" w:hAnsi="Times New Roman" w:eastAsia="宋体" w:cs="Times New Roman"/>
                <w:szCs w:val="21"/>
              </w:rPr>
            </w:pPr>
            <w:r>
              <w:rPr>
                <w:rFonts w:ascii="Times New Roman" w:hAnsi="Times New Roman" w:eastAsia="宋体" w:cs="Times New Roman"/>
                <w:szCs w:val="21"/>
              </w:rPr>
              <w:t>其他</w:t>
            </w:r>
          </w:p>
        </w:tc>
        <w:tc>
          <w:tcPr>
            <w:tcW w:w="1869" w:type="dxa"/>
            <w:tcBorders>
              <w:tl2br w:val="nil"/>
              <w:tr2bl w:val="nil"/>
            </w:tcBorders>
            <w:vAlign w:val="center"/>
          </w:tcPr>
          <w:p w14:paraId="1F817659">
            <w:pPr>
              <w:jc w:val="center"/>
              <w:rPr>
                <w:rFonts w:ascii="Times New Roman" w:hAnsi="Times New Roman" w:eastAsia="宋体" w:cs="Times New Roman"/>
                <w:szCs w:val="21"/>
              </w:rPr>
            </w:pPr>
            <w:r>
              <w:rPr>
                <w:rFonts w:ascii="Times New Roman" w:hAnsi="Times New Roman" w:eastAsia="宋体" w:cs="Times New Roman"/>
                <w:szCs w:val="21"/>
              </w:rPr>
              <w:t>活性炭吸附—脱附催化燃烧</w:t>
            </w:r>
          </w:p>
        </w:tc>
        <w:tc>
          <w:tcPr>
            <w:tcW w:w="964" w:type="dxa"/>
            <w:tcBorders>
              <w:tl2br w:val="nil"/>
              <w:tr2bl w:val="nil"/>
            </w:tcBorders>
            <w:vAlign w:val="center"/>
          </w:tcPr>
          <w:p w14:paraId="11DC437E">
            <w:pPr>
              <w:jc w:val="center"/>
              <w:rPr>
                <w:rFonts w:ascii="Times New Roman" w:hAnsi="Times New Roman" w:eastAsia="宋体" w:cs="Times New Roman"/>
                <w:szCs w:val="21"/>
              </w:rPr>
            </w:pPr>
            <w:r>
              <w:rPr>
                <w:rFonts w:ascii="Times New Roman" w:hAnsi="Times New Roman" w:eastAsia="宋体" w:cs="Times New Roman"/>
                <w:szCs w:val="21"/>
              </w:rPr>
              <w:t>是</w:t>
            </w:r>
          </w:p>
        </w:tc>
      </w:tr>
      <w:tr w14:paraId="5A28C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724" w:type="dxa"/>
            <w:vMerge w:val="continue"/>
            <w:tcBorders>
              <w:tl2br w:val="nil"/>
              <w:tr2bl w:val="nil"/>
            </w:tcBorders>
            <w:vAlign w:val="center"/>
          </w:tcPr>
          <w:p w14:paraId="75A93074">
            <w:pPr>
              <w:jc w:val="left"/>
              <w:rPr>
                <w:rFonts w:ascii="Times New Roman" w:hAnsi="Times New Roman" w:eastAsia="宋体" w:cs="Times New Roman"/>
                <w:szCs w:val="21"/>
              </w:rPr>
            </w:pPr>
          </w:p>
        </w:tc>
        <w:tc>
          <w:tcPr>
            <w:tcW w:w="1141" w:type="dxa"/>
            <w:tcBorders>
              <w:tl2br w:val="nil"/>
              <w:tr2bl w:val="nil"/>
            </w:tcBorders>
            <w:vAlign w:val="center"/>
          </w:tcPr>
          <w:p w14:paraId="32EBFAD1">
            <w:pPr>
              <w:jc w:val="center"/>
              <w:rPr>
                <w:rFonts w:ascii="Times New Roman" w:hAnsi="Times New Roman" w:eastAsia="宋体" w:cs="Times New Roman"/>
                <w:szCs w:val="21"/>
              </w:rPr>
            </w:pPr>
            <w:r>
              <w:rPr>
                <w:rFonts w:ascii="Times New Roman" w:hAnsi="Times New Roman" w:eastAsia="宋体" w:cs="Times New Roman"/>
                <w:szCs w:val="21"/>
              </w:rPr>
              <w:t>打磨废气</w:t>
            </w:r>
          </w:p>
        </w:tc>
        <w:tc>
          <w:tcPr>
            <w:tcW w:w="1218" w:type="dxa"/>
            <w:tcBorders>
              <w:tl2br w:val="nil"/>
              <w:tr2bl w:val="nil"/>
            </w:tcBorders>
            <w:vAlign w:val="center"/>
          </w:tcPr>
          <w:p w14:paraId="0460D6FE">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434" w:type="dxa"/>
            <w:tcBorders>
              <w:tl2br w:val="nil"/>
              <w:tr2bl w:val="nil"/>
            </w:tcBorders>
            <w:vAlign w:val="center"/>
          </w:tcPr>
          <w:p w14:paraId="3D60291E">
            <w:pPr>
              <w:jc w:val="left"/>
              <w:rPr>
                <w:rFonts w:ascii="Times New Roman" w:hAnsi="Times New Roman" w:eastAsia="宋体" w:cs="Times New Roman"/>
                <w:szCs w:val="21"/>
              </w:rPr>
            </w:pPr>
            <w:r>
              <w:rPr>
                <w:rFonts w:ascii="Times New Roman" w:hAnsi="Times New Roman" w:eastAsia="宋体" w:cs="Times New Roman"/>
                <w:szCs w:val="21"/>
              </w:rPr>
              <w:t>袋式除尘</w:t>
            </w:r>
          </w:p>
          <w:p w14:paraId="1C3B9746">
            <w:pPr>
              <w:jc w:val="left"/>
              <w:rPr>
                <w:rFonts w:ascii="Times New Roman" w:hAnsi="Times New Roman" w:eastAsia="宋体" w:cs="Times New Roman"/>
                <w:szCs w:val="21"/>
              </w:rPr>
            </w:pPr>
            <w:r>
              <w:rPr>
                <w:rFonts w:ascii="Times New Roman" w:hAnsi="Times New Roman" w:eastAsia="宋体" w:cs="Times New Roman"/>
                <w:szCs w:val="21"/>
              </w:rPr>
              <w:t>中央除尘系统</w:t>
            </w:r>
          </w:p>
          <w:p w14:paraId="135F07B0">
            <w:pPr>
              <w:jc w:val="left"/>
              <w:rPr>
                <w:rFonts w:ascii="Times New Roman" w:hAnsi="Times New Roman" w:eastAsia="宋体" w:cs="Times New Roman"/>
                <w:szCs w:val="21"/>
              </w:rPr>
            </w:pPr>
            <w:r>
              <w:rPr>
                <w:rFonts w:ascii="Times New Roman" w:hAnsi="Times New Roman" w:eastAsia="宋体" w:cs="Times New Roman"/>
                <w:szCs w:val="21"/>
              </w:rPr>
              <w:t>负压舱</w:t>
            </w:r>
          </w:p>
          <w:p w14:paraId="7F1F5F8F">
            <w:pPr>
              <w:jc w:val="left"/>
              <w:rPr>
                <w:rFonts w:ascii="Times New Roman" w:hAnsi="Times New Roman" w:eastAsia="宋体" w:cs="Times New Roman"/>
                <w:szCs w:val="21"/>
              </w:rPr>
            </w:pPr>
            <w:r>
              <w:rPr>
                <w:rFonts w:ascii="Times New Roman" w:hAnsi="Times New Roman" w:eastAsia="宋体" w:cs="Times New Roman"/>
                <w:szCs w:val="21"/>
              </w:rPr>
              <w:t>其他</w:t>
            </w:r>
          </w:p>
        </w:tc>
        <w:tc>
          <w:tcPr>
            <w:tcW w:w="1869" w:type="dxa"/>
            <w:tcBorders>
              <w:tl2br w:val="nil"/>
              <w:tr2bl w:val="nil"/>
            </w:tcBorders>
            <w:vAlign w:val="center"/>
          </w:tcPr>
          <w:p w14:paraId="3CF7241E">
            <w:pPr>
              <w:jc w:val="center"/>
              <w:rPr>
                <w:rFonts w:ascii="Times New Roman" w:hAnsi="Times New Roman" w:eastAsia="宋体" w:cs="Times New Roman"/>
                <w:szCs w:val="21"/>
              </w:rPr>
            </w:pPr>
            <w:r>
              <w:rPr>
                <w:rFonts w:ascii="Times New Roman" w:hAnsi="Times New Roman" w:eastAsia="宋体" w:cs="Times New Roman"/>
                <w:szCs w:val="21"/>
              </w:rPr>
              <w:t>脉冲袋式除尘系统</w:t>
            </w:r>
          </w:p>
        </w:tc>
        <w:tc>
          <w:tcPr>
            <w:tcW w:w="964" w:type="dxa"/>
            <w:tcBorders>
              <w:tl2br w:val="nil"/>
              <w:tr2bl w:val="nil"/>
            </w:tcBorders>
            <w:vAlign w:val="center"/>
          </w:tcPr>
          <w:p w14:paraId="60D000C7">
            <w:pPr>
              <w:jc w:val="center"/>
              <w:rPr>
                <w:rFonts w:ascii="Times New Roman" w:hAnsi="Times New Roman" w:eastAsia="宋体" w:cs="Times New Roman"/>
                <w:szCs w:val="21"/>
              </w:rPr>
            </w:pPr>
            <w:r>
              <w:rPr>
                <w:rFonts w:ascii="Times New Roman" w:hAnsi="Times New Roman" w:eastAsia="宋体" w:cs="Times New Roman"/>
                <w:szCs w:val="21"/>
              </w:rPr>
              <w:t>是</w:t>
            </w:r>
          </w:p>
        </w:tc>
      </w:tr>
      <w:tr w14:paraId="3B13B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724" w:type="dxa"/>
            <w:tcBorders>
              <w:tl2br w:val="nil"/>
              <w:tr2bl w:val="nil"/>
            </w:tcBorders>
            <w:vAlign w:val="center"/>
          </w:tcPr>
          <w:p w14:paraId="7718FEC9">
            <w:pPr>
              <w:jc w:val="left"/>
              <w:rPr>
                <w:rFonts w:ascii="Times New Roman" w:hAnsi="Times New Roman" w:eastAsia="宋体" w:cs="Times New Roman"/>
                <w:szCs w:val="21"/>
              </w:rPr>
            </w:pPr>
          </w:p>
        </w:tc>
        <w:tc>
          <w:tcPr>
            <w:tcW w:w="1141" w:type="dxa"/>
            <w:tcBorders>
              <w:tl2br w:val="nil"/>
              <w:tr2bl w:val="nil"/>
            </w:tcBorders>
            <w:vAlign w:val="center"/>
          </w:tcPr>
          <w:p w14:paraId="7A9FDD0E">
            <w:pPr>
              <w:jc w:val="center"/>
              <w:rPr>
                <w:rFonts w:ascii="Times New Roman" w:hAnsi="Times New Roman" w:eastAsia="宋体" w:cs="Times New Roman"/>
                <w:szCs w:val="21"/>
              </w:rPr>
            </w:pPr>
            <w:r>
              <w:rPr>
                <w:rFonts w:ascii="Times New Roman" w:hAnsi="Times New Roman" w:eastAsia="宋体" w:cs="Times New Roman"/>
                <w:szCs w:val="21"/>
              </w:rPr>
              <w:t>喷漆废气、浸涂废气、干燥废气</w:t>
            </w:r>
          </w:p>
        </w:tc>
        <w:tc>
          <w:tcPr>
            <w:tcW w:w="1218" w:type="dxa"/>
            <w:tcBorders>
              <w:tl2br w:val="nil"/>
              <w:tr2bl w:val="nil"/>
            </w:tcBorders>
            <w:vAlign w:val="center"/>
          </w:tcPr>
          <w:p w14:paraId="1AF0D1D3">
            <w:pPr>
              <w:jc w:val="center"/>
              <w:rPr>
                <w:rFonts w:ascii="Times New Roman" w:hAnsi="Times New Roman" w:eastAsia="宋体" w:cs="Times New Roman"/>
                <w:szCs w:val="21"/>
              </w:rPr>
            </w:pPr>
            <w:r>
              <w:rPr>
                <w:rFonts w:ascii="Times New Roman" w:hAnsi="Times New Roman" w:eastAsia="宋体" w:cs="Times New Roman"/>
                <w:szCs w:val="21"/>
              </w:rPr>
              <w:t>挥发性有机物、甲苯、二甲苯、颗粒物</w:t>
            </w:r>
          </w:p>
        </w:tc>
        <w:tc>
          <w:tcPr>
            <w:tcW w:w="2434" w:type="dxa"/>
            <w:tcBorders>
              <w:tl2br w:val="nil"/>
              <w:tr2bl w:val="nil"/>
            </w:tcBorders>
            <w:vAlign w:val="center"/>
          </w:tcPr>
          <w:p w14:paraId="63764349">
            <w:pPr>
              <w:jc w:val="left"/>
              <w:rPr>
                <w:rFonts w:ascii="Times New Roman" w:hAnsi="Times New Roman" w:eastAsia="宋体" w:cs="Times New Roman"/>
                <w:color w:val="auto"/>
                <w:szCs w:val="21"/>
              </w:rPr>
            </w:pPr>
            <w:r>
              <w:rPr>
                <w:rFonts w:ascii="Times New Roman" w:hAnsi="Times New Roman" w:eastAsia="宋体" w:cs="Times New Roman"/>
                <w:color w:val="auto"/>
                <w:szCs w:val="21"/>
              </w:rPr>
              <w:t>集气设施或密闭车间</w:t>
            </w:r>
          </w:p>
          <w:p w14:paraId="22113B0C">
            <w:pPr>
              <w:jc w:val="left"/>
              <w:rPr>
                <w:rFonts w:ascii="Times New Roman" w:hAnsi="Times New Roman" w:eastAsia="宋体" w:cs="Times New Roman"/>
                <w:color w:val="auto"/>
                <w:szCs w:val="21"/>
              </w:rPr>
            </w:pPr>
            <w:r>
              <w:rPr>
                <w:rFonts w:ascii="Times New Roman" w:hAnsi="Times New Roman" w:eastAsia="宋体" w:cs="Times New Roman"/>
                <w:color w:val="auto"/>
                <w:szCs w:val="21"/>
              </w:rPr>
              <w:t>干式过滤棉/过滤箱</w:t>
            </w:r>
          </w:p>
          <w:p w14:paraId="41579AEA">
            <w:pPr>
              <w:jc w:val="left"/>
              <w:rPr>
                <w:rFonts w:ascii="Times New Roman" w:hAnsi="Times New Roman" w:eastAsia="宋体" w:cs="Times New Roman"/>
                <w:color w:val="auto"/>
                <w:szCs w:val="21"/>
              </w:rPr>
            </w:pPr>
            <w:r>
              <w:rPr>
                <w:rFonts w:ascii="Times New Roman" w:hAnsi="Times New Roman" w:eastAsia="宋体" w:cs="Times New Roman"/>
                <w:color w:val="auto"/>
                <w:szCs w:val="21"/>
              </w:rPr>
              <w:t>旋风除尘</w:t>
            </w:r>
          </w:p>
          <w:p w14:paraId="49A40486">
            <w:pPr>
              <w:jc w:val="left"/>
              <w:rPr>
                <w:rFonts w:ascii="Times New Roman" w:hAnsi="Times New Roman" w:eastAsia="宋体" w:cs="Times New Roman"/>
                <w:color w:val="auto"/>
                <w:szCs w:val="21"/>
              </w:rPr>
            </w:pPr>
            <w:r>
              <w:rPr>
                <w:rFonts w:ascii="Times New Roman" w:hAnsi="Times New Roman" w:eastAsia="宋体" w:cs="Times New Roman"/>
                <w:color w:val="auto"/>
                <w:szCs w:val="21"/>
              </w:rPr>
              <w:t>活性炭吸附浓缩+燃烧/催化氧化</w:t>
            </w:r>
          </w:p>
          <w:p w14:paraId="2F04CA0B">
            <w:pPr>
              <w:jc w:val="left"/>
              <w:rPr>
                <w:rFonts w:ascii="Times New Roman" w:hAnsi="Times New Roman" w:eastAsia="宋体" w:cs="Times New Roman"/>
                <w:color w:val="auto"/>
                <w:szCs w:val="21"/>
              </w:rPr>
            </w:pPr>
            <w:r>
              <w:rPr>
                <w:rFonts w:ascii="Times New Roman" w:hAnsi="Times New Roman" w:eastAsia="宋体" w:cs="Times New Roman"/>
                <w:color w:val="auto"/>
                <w:szCs w:val="21"/>
              </w:rPr>
              <w:t>其他</w:t>
            </w:r>
          </w:p>
        </w:tc>
        <w:tc>
          <w:tcPr>
            <w:tcW w:w="1869" w:type="dxa"/>
            <w:tcBorders>
              <w:tl2br w:val="nil"/>
              <w:tr2bl w:val="nil"/>
            </w:tcBorders>
            <w:vAlign w:val="center"/>
          </w:tcPr>
          <w:p w14:paraId="6AA9D8F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 w:val="24"/>
              </w:rPr>
              <w:t>水帘+漆雾过滤器</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活性炭吸附—脱附催化燃烧</w:t>
            </w:r>
          </w:p>
        </w:tc>
        <w:tc>
          <w:tcPr>
            <w:tcW w:w="964" w:type="dxa"/>
            <w:tcBorders>
              <w:tl2br w:val="nil"/>
              <w:tr2bl w:val="nil"/>
            </w:tcBorders>
            <w:vAlign w:val="center"/>
          </w:tcPr>
          <w:p w14:paraId="678773F9">
            <w:pPr>
              <w:jc w:val="center"/>
              <w:rPr>
                <w:rFonts w:ascii="Times New Roman" w:hAnsi="Times New Roman" w:eastAsia="宋体" w:cs="Times New Roman"/>
                <w:szCs w:val="21"/>
              </w:rPr>
            </w:pPr>
            <w:r>
              <w:rPr>
                <w:rFonts w:ascii="Times New Roman" w:hAnsi="Times New Roman" w:eastAsia="宋体" w:cs="Times New Roman"/>
                <w:szCs w:val="21"/>
              </w:rPr>
              <w:t>是</w:t>
            </w:r>
          </w:p>
        </w:tc>
      </w:tr>
    </w:tbl>
    <w:p w14:paraId="12C983AB">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由上表可知，本项目废气处理措施为《排污许可申请与核发技术规范 家具制造工业》（HJ1027-2019））中推荐的木质家具废气污染防治可行技术。</w:t>
      </w:r>
    </w:p>
    <w:p w14:paraId="39A81DC9">
      <w:pPr>
        <w:pStyle w:val="4"/>
        <w:numPr>
          <w:ilvl w:val="2"/>
          <w:numId w:val="75"/>
        </w:numPr>
        <w:tabs>
          <w:tab w:val="clear" w:pos="0"/>
        </w:tabs>
      </w:pPr>
      <w:r>
        <w:rPr>
          <w:rFonts w:hint="eastAsia"/>
        </w:rPr>
        <w:t>废气处理工艺的技术可行性</w:t>
      </w:r>
    </w:p>
    <w:p w14:paraId="4A8A7150">
      <w:pPr>
        <w:pStyle w:val="37"/>
        <w:spacing w:line="360" w:lineRule="auto"/>
        <w:ind w:firstLine="480" w:firstLineChars="200"/>
        <w:rPr>
          <w:color w:val="auto"/>
        </w:rPr>
      </w:pPr>
      <w:r>
        <w:rPr>
          <w:rFonts w:hint="eastAsia" w:ascii="Times New Roman" w:hAnsi="Times New Roman" w:eastAsia="宋体" w:cs="Times New Roman"/>
          <w:sz w:val="24"/>
        </w:rPr>
        <w:t>本项目废气的主要污染物是粉尘（颗粒物</w:t>
      </w:r>
      <w:r>
        <w:rPr>
          <w:rFonts w:hint="eastAsia" w:ascii="Times New Roman" w:hAnsi="Times New Roman" w:eastAsia="宋体" w:cs="Times New Roman"/>
          <w:color w:val="auto"/>
          <w:sz w:val="24"/>
        </w:rPr>
        <w:t>）、漆雾、甲苯、二甲苯及非甲烷总烃；采用布袋除尘器处理木加工工序产生的粉尘；采用“活性炭吸附—脱附催化燃烧”处理有机废气（甲苯、二甲苯、非甲烷总烃）；采用水帘+漆雾过滤器去除漆雾。</w:t>
      </w:r>
    </w:p>
    <w:p w14:paraId="51EC752F">
      <w:pPr>
        <w:pStyle w:val="5"/>
        <w:numPr>
          <w:ilvl w:val="3"/>
          <w:numId w:val="75"/>
        </w:numPr>
        <w:tabs>
          <w:tab w:val="clear" w:pos="0"/>
        </w:tabs>
      </w:pPr>
      <w:r>
        <w:rPr>
          <w:rFonts w:hint="eastAsia"/>
        </w:rPr>
        <w:t>颗粒物（粉尘）治理的技术可行性分析</w:t>
      </w:r>
    </w:p>
    <w:p w14:paraId="3C801BA1">
      <w:pPr>
        <w:numPr>
          <w:ilvl w:val="0"/>
          <w:numId w:val="77"/>
        </w:num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常用除尘方法介绍</w:t>
      </w:r>
    </w:p>
    <w:p w14:paraId="3802FDEB">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去除废气中颗粒物和烟尘目前最常用的处理工艺为重力沉降、旋风除尘、静电除尘、湿式除尘和布袋除尘等。</w:t>
      </w:r>
    </w:p>
    <w:p w14:paraId="7ED94871">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（1）重力除尘器</w:t>
      </w:r>
    </w:p>
    <w:p w14:paraId="01BF6803">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重力除尘器是借助于粉尘的重力</w:t>
      </w:r>
      <w:r>
        <w:rPr>
          <w:rFonts w:hint="eastAsia" w:ascii="Times New Roman" w:hAnsi="Times New Roman" w:eastAsia="宋体" w:cs="Times New Roman"/>
          <w:sz w:val="24"/>
        </w:rPr>
        <w:t>进行</w:t>
      </w:r>
      <w:r>
        <w:rPr>
          <w:rFonts w:ascii="Times New Roman" w:hAnsi="Times New Roman" w:eastAsia="宋体" w:cs="Times New Roman"/>
          <w:sz w:val="24"/>
        </w:rPr>
        <w:t>沉降，将粉尘从气体中分离出来的设备。粉尘靠重力沉降的过程是烟气从水平方向进入重力沉降设备，在重力的作用下，粉尘粒子逐渐沉降下来，而气体沿水平方向继续前进，从而达到除尘的目的。重力沉降适用粒径较大的颗粒物或分子质量较大的金属颗粒物等。除尘效率相对较低，有时作为布袋除尘器的预处理设施。</w:t>
      </w:r>
    </w:p>
    <w:p w14:paraId="0F53E49C">
      <w:pPr>
        <w:spacing w:line="360" w:lineRule="auto"/>
        <w:ind w:left="420" w:leftChars="200"/>
        <w:rPr>
          <w:rFonts w:ascii="Times New Roman" w:hAnsi="Times New Roman" w:eastAsia="宋体" w:cs="Times New Roman"/>
          <w:sz w:val="24"/>
        </w:rPr>
      </w:pPr>
      <w:r>
        <w:rPr>
          <w:rFonts w:hint="eastAsia" w:ascii="Times New Roman" w:hAnsi="Times New Roman" w:eastAsia="宋体" w:cs="Times New Roman"/>
          <w:sz w:val="24"/>
        </w:rPr>
        <w:t>（2）旋风除尘器</w:t>
      </w:r>
    </w:p>
    <w:p w14:paraId="75D37E70">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旋风除尘是利用离心力来除尘的，当含尘气流由进气管进入旋风除尘器时，气流将由直线运动变为圆周运动。密度较大气体的尘粒与器壁接触便失去惯性力而沿壁面下落，进入排灰管。旋转下降的外旋气流在到达锥体时，因圆锥形的收缩而向除尘器中心靠拢。当气流到达锥体下端某一位置时，即以同样的旋转方向从旋风除尘器中部，由下而上继续做螺旋形流动。最后净化气经排气管排出器外。旋风除尘器由进气管、排气管、圆筒体、圆锥体和灰斗组成。旋风除尘器结构简单，易于制造、安装和维护管理，设备投资和操作费用都较低，已广泛用于从气流中分离固体和液体粒子，或从液体中分离固体粒子。在机械式除尘器中，旋风式除尘器是效率更高的一种。它适用于非黏性及非纤维性粉尘的去除，大多用来去除5μm以上的粒子，并联的多管旋风除尘器装置对3μm的粒子也具有80～85%的除尘效率。从技术、经济诸方面考虑旋风除尘器压力损失控制范围一般为500~2000Pa。因此，它属于中效除尘器，且可用于温度高的烟气的净化，是应用广泛的一种除尘器，多应用于锅炉烟气除尘、多级除尘及预除尘。它的主要缺点是对细小尘粒（&lt;5μm）的去除效率较低。</w:t>
      </w:r>
    </w:p>
    <w:p w14:paraId="25758613">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（3）静电除尘器</w:t>
      </w:r>
    </w:p>
    <w:p w14:paraId="0DB0E516">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静电</w:t>
      </w:r>
      <w:r>
        <w:fldChar w:fldCharType="begin"/>
      </w:r>
      <w:r>
        <w:instrText xml:space="preserve"> HYPERLINK "https://baike.baidu.com/item/%E9%99%A4%E5%B0%98%E5%99%A8" \t "https://baike.baidu.com/item/%E9%9D%99%E7%94%B5%E9%99%A4%E5%B0%98%E5%99%A8/_blank" </w:instrText>
      </w:r>
      <w:r>
        <w:fldChar w:fldCharType="separate"/>
      </w:r>
      <w:r>
        <w:rPr>
          <w:rFonts w:ascii="Times New Roman" w:hAnsi="Times New Roman" w:eastAsia="宋体" w:cs="Times New Roman"/>
          <w:sz w:val="24"/>
        </w:rPr>
        <w:t>除尘器</w:t>
      </w:r>
      <w:r>
        <w:rPr>
          <w:rFonts w:ascii="Times New Roman" w:hAnsi="Times New Roman" w:eastAsia="宋体" w:cs="Times New Roman"/>
          <w:sz w:val="24"/>
        </w:rPr>
        <w:fldChar w:fldCharType="end"/>
      </w:r>
      <w:r>
        <w:rPr>
          <w:rFonts w:ascii="Times New Roman" w:hAnsi="Times New Roman" w:eastAsia="宋体" w:cs="Times New Roman"/>
          <w:sz w:val="24"/>
        </w:rPr>
        <w:t>是利用高压电场使烟气发生电离，气流中的粉尘荷电在电场作用下与气流分离。负极由不同断面形状的金属导线制成，叫放电电极，正极由不同几何形状的金属板制成，叫集尘电极。主要包括以下四个相互有关的物理过程：气体的电离、粉尘的荷电、荷电粉尘向电极移动和荷电粉尘的捕集。荷电粉尘的捕集过程：在两个曲率半径相差较大的金属阳极和阴极上，通过高压直流电，维持一个足以使气体电离的电场，气体电离后所产生的电子：阴离子和阳离子，吸附在通过电场的粉尘上，使粉尘获得电荷。荷电极性不同的粉尘在电场力的作用下，分别向不同极性的电极运动，沉积在电极上，而达到粉尘和气体分离的目的。静电除尘器的性能受</w:t>
      </w:r>
      <w:r>
        <w:fldChar w:fldCharType="begin"/>
      </w:r>
      <w:r>
        <w:instrText xml:space="preserve"> HYPERLINK "https://baike.baidu.com/item/%E7%B2%89%E5%B0%98/1022587" \t "https://baike.baidu.com/item/%E9%9D%99%E7%94%B5%E9%99%A4%E5%B0%98%E5%99%A8/_blank" </w:instrText>
      </w:r>
      <w:r>
        <w:fldChar w:fldCharType="separate"/>
      </w:r>
      <w:r>
        <w:rPr>
          <w:rFonts w:ascii="Times New Roman" w:hAnsi="Times New Roman" w:eastAsia="宋体" w:cs="Times New Roman"/>
          <w:sz w:val="24"/>
        </w:rPr>
        <w:t>粉尘</w:t>
      </w:r>
      <w:r>
        <w:rPr>
          <w:rFonts w:ascii="Times New Roman" w:hAnsi="Times New Roman" w:eastAsia="宋体" w:cs="Times New Roman"/>
          <w:sz w:val="24"/>
        </w:rPr>
        <w:fldChar w:fldCharType="end"/>
      </w:r>
      <w:r>
        <w:rPr>
          <w:rFonts w:ascii="Times New Roman" w:hAnsi="Times New Roman" w:eastAsia="宋体" w:cs="Times New Roman"/>
          <w:sz w:val="24"/>
        </w:rPr>
        <w:t>性质、设备构造和烟气流速等三个因素的影响。除尘器的除尘效果与许多因素有关，如烟气的温度、流速，以及除尘器的密封状态、收尘板间距等。静电除尘器与其他除尘设备相比，除尘效率高，适用于除去烟气中0.01~50μm的粉尘，而且可用于烟气</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"https://baike.baidu.com/item/%E6%B8%A9%E5%BA%A6/221599" \t "https://baike.baidu.com/item/%E9%9D%99%E7%94%B5%E9%99%A4%E5%B0%98%E5%99%A8/_blank" </w:instrText>
      </w:r>
      <w:r>
        <w:rPr>
          <w:rFonts w:ascii="Times New Roman" w:hAnsi="Times New Roman" w:eastAsia="宋体" w:cs="Times New Roman"/>
          <w:sz w:val="24"/>
        </w:rPr>
        <w:fldChar w:fldCharType="separate"/>
      </w:r>
      <w:r>
        <w:rPr>
          <w:rFonts w:ascii="Times New Roman" w:hAnsi="Times New Roman" w:eastAsia="宋体" w:cs="Times New Roman"/>
          <w:sz w:val="24"/>
        </w:rPr>
        <w:t>温度</w:t>
      </w:r>
      <w:r>
        <w:rPr>
          <w:rFonts w:ascii="Times New Roman" w:hAnsi="Times New Roman" w:eastAsia="宋体" w:cs="Times New Roman"/>
          <w:sz w:val="24"/>
        </w:rPr>
        <w:fldChar w:fldCharType="end"/>
      </w:r>
      <w:r>
        <w:rPr>
          <w:rFonts w:ascii="Times New Roman" w:hAnsi="Times New Roman" w:eastAsia="宋体" w:cs="Times New Roman"/>
          <w:sz w:val="24"/>
        </w:rPr>
        <w:t>高、压力大的场合。实践表明，处理的烟气量越大，使用静电除尘器的投资和运行费用越经济。</w:t>
      </w:r>
    </w:p>
    <w:p w14:paraId="7F4FFE9B">
      <w:pPr>
        <w:spacing w:line="360" w:lineRule="auto"/>
        <w:ind w:left="420" w:leftChars="200"/>
        <w:rPr>
          <w:rFonts w:ascii="Times New Roman" w:hAnsi="Times New Roman" w:eastAsia="宋体" w:cs="Times New Roman"/>
          <w:sz w:val="24"/>
        </w:rPr>
      </w:pPr>
      <w:r>
        <w:rPr>
          <w:rFonts w:hint="eastAsia" w:ascii="Times New Roman" w:hAnsi="Times New Roman" w:eastAsia="宋体" w:cs="Times New Roman"/>
          <w:sz w:val="24"/>
        </w:rPr>
        <w:t>（4）湿式除尘器</w:t>
      </w:r>
    </w:p>
    <w:p w14:paraId="4F9A66B2">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湿式除尘器俗称“水除尘器”，它是使含尘气体与液体（一般为水）密切接触，利用水滴和颗粒的惯性碰撞及其他作用捕集颗粒或使颗粒增大的装置，湿式除尘器是把水浴和喷淋两种形式合二为一。先是利用高压离心风机的吸力，把含尘气体压到装有一定高度水的水槽中，水浴会把一部分灰尘吸附在水中。经均布分流后，气体从下往上流动，而高压喷头则由上向下喷洒水雾，捕集剩余部分的尘粒。其过滤效率可达85%以上。湿式除尘器可以有效地将直径为0.1~20微米的液态或固态粒子从气流中除去，同时，也能脱除部分气态污染物。它具有结构简单、占地面积小、操作及维修方便和净化效率高等优点，能够处理高温、高湿的气流，将着火、爆炸的可能减至最低。但采用湿式除尘器时要特别注意设备和管道腐蚀及污水和污泥的处理等问题。湿式除尘过程也不利于副产品的回收。如果设备安装在室内，还必须考虑设备在冬天可能冻结的问题。</w:t>
      </w:r>
    </w:p>
    <w:p w14:paraId="362B84D5">
      <w:pPr>
        <w:spacing w:line="360" w:lineRule="auto"/>
        <w:ind w:firstLine="480" w:firstLineChars="200"/>
        <w:rPr>
          <w:rFonts w:ascii="Times New Roman" w:hAnsi="Times New Roman" w:eastAsia="宋体" w:cs="Times New Roman"/>
          <w:sz w:val="24"/>
          <w:shd w:val="clear" w:color="auto" w:fill="FFFFFF"/>
        </w:rPr>
      </w:pPr>
      <w:r>
        <w:rPr>
          <w:rFonts w:hint="eastAsia" w:ascii="Times New Roman" w:hAnsi="Times New Roman" w:eastAsia="宋体" w:cs="Times New Roman"/>
          <w:sz w:val="24"/>
          <w:shd w:val="clear" w:color="auto" w:fill="FFFFFF"/>
        </w:rPr>
        <w:t>（5）袋式除尘器</w:t>
      </w:r>
    </w:p>
    <w:p w14:paraId="059E8960">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shd w:val="clear" w:color="auto" w:fill="FFFFFF"/>
        </w:rPr>
        <w:t>袋式</w:t>
      </w:r>
      <w:r>
        <w:rPr>
          <w:rFonts w:ascii="Times New Roman" w:hAnsi="Times New Roman" w:eastAsia="宋体" w:cs="Times New Roman"/>
          <w:sz w:val="24"/>
          <w:shd w:val="clear" w:color="auto" w:fill="FFFFFF"/>
        </w:rPr>
        <w:t>除尘器主要由上箱、中箱、灰斗、进气均压管、支撑滤袋及喷射装置、卸灰装置等组成，含尘气体从除尘器进气均压管进入各仓灰斗。在灰斗导向装置的引导下，大颗粒粉尘分离后直接落入灰斗，细颗粒粉尘均匀进入中间箱体，吸附在滤袋外表面，洁净气体渗透滤袋进入上箱体。并通过各离线阀和排气管排入大气。随着过滤条件的改善，滤袋上的粉尘会越来越多地积聚起来。当设备电阻达到极限电阻值（一般设定为1500pa）时，除尘控制装置根据压差整定值或除尘时间整定值自动关闭房间的离线阀，然后按下整定值。定期打开电控脉冲阀，停止空气喷射，用压缩空气瞬间喷射，使滤袋内压力增大，将滤袋上的粉尘（即使是细粉尘也能彻底清除）甩至灰斗，通过排灰机构排出。</w:t>
      </w:r>
    </w:p>
    <w:p w14:paraId="4228D4D6">
      <w:pPr>
        <w:spacing w:line="360" w:lineRule="auto"/>
        <w:ind w:firstLine="480" w:firstLineChars="200"/>
        <w:rPr>
          <w:sz w:val="24"/>
        </w:rPr>
      </w:pPr>
      <w:r>
        <w:rPr>
          <w:sz w:val="24"/>
        </w:rPr>
        <w:t>木料</w:t>
      </w:r>
      <w:r>
        <w:rPr>
          <w:rFonts w:hint="eastAsia"/>
          <w:sz w:val="24"/>
        </w:rPr>
        <w:t>加工</w:t>
      </w:r>
      <w:r>
        <w:rPr>
          <w:sz w:val="24"/>
        </w:rPr>
        <w:t>工序产生的粉尘，采用的处理措施为在产尘工序上方安装</w:t>
      </w:r>
      <w:r>
        <w:rPr>
          <w:rFonts w:hint="eastAsia"/>
          <w:sz w:val="24"/>
        </w:rPr>
        <w:t>集气罩或负压收集</w:t>
      </w:r>
      <w:r>
        <w:rPr>
          <w:sz w:val="24"/>
        </w:rPr>
        <w:t>，将粉尘引至</w:t>
      </w:r>
      <w:r>
        <w:rPr>
          <w:rFonts w:hint="eastAsia"/>
          <w:sz w:val="24"/>
        </w:rPr>
        <w:t>中央除尘系统</w:t>
      </w:r>
      <w:r>
        <w:rPr>
          <w:sz w:val="24"/>
        </w:rPr>
        <w:t>。其主要利用风机产生的风压特性，将产生的粉尘吸入</w:t>
      </w:r>
      <w:r>
        <w:rPr>
          <w:rFonts w:hint="eastAsia"/>
          <w:sz w:val="24"/>
        </w:rPr>
        <w:t>中央除尘系统</w:t>
      </w:r>
      <w:r>
        <w:rPr>
          <w:sz w:val="24"/>
        </w:rPr>
        <w:t>。</w:t>
      </w:r>
    </w:p>
    <w:p w14:paraId="14BE4C73">
      <w:pPr>
        <w:spacing w:line="360" w:lineRule="auto"/>
        <w:ind w:firstLine="480" w:firstLineChars="200"/>
        <w:rPr>
          <w:sz w:val="24"/>
        </w:rPr>
      </w:pPr>
      <w:r>
        <w:rPr>
          <w:rFonts w:hint="eastAsia"/>
          <w:sz w:val="24"/>
        </w:rPr>
        <w:t>本项目中央除尘</w:t>
      </w:r>
      <w:r>
        <w:rPr>
          <w:sz w:val="24"/>
        </w:rPr>
        <w:t>器的工作原理</w:t>
      </w:r>
      <w:r>
        <w:rPr>
          <w:rFonts w:hint="eastAsia"/>
          <w:sz w:val="24"/>
        </w:rPr>
        <w:t>：吸尘风机采用负压，当风机启动带粉尘的空气进入管道，由于惯性作用直接落下，起到预收尘的作用。进入灰斗的气流折转向上涌入箱体，当通过内部装有金属骨架的布袋时，粉尘被阻留在滤袋的外部，引风机将布袋内洁净的空气排到室外，而经除尘器过滤分离出来的粉尘则被沉降到下箱体，除尘效率高。</w:t>
      </w:r>
    </w:p>
    <w:p w14:paraId="70A3B0F9">
      <w:pPr>
        <w:ind w:firstLine="480" w:firstLineChars="200"/>
        <w:rPr>
          <w:rFonts w:ascii="Times New Roman" w:hAnsi="Times New Roman" w:cs="Times New Roman"/>
          <w:sz w:val="24"/>
        </w:rPr>
      </w:pPr>
      <w:r>
        <w:rPr>
          <w:rFonts w:hint="eastAsia" w:ascii="Times New Roman" w:hAnsi="Times New Roman" w:cs="Times New Roman"/>
          <w:sz w:val="24"/>
        </w:rPr>
        <w:t>中央</w:t>
      </w:r>
      <w:r>
        <w:rPr>
          <w:rFonts w:ascii="Times New Roman" w:hAnsi="Times New Roman" w:cs="Times New Roman"/>
          <w:sz w:val="24"/>
        </w:rPr>
        <w:t>除尘器工作</w:t>
      </w:r>
      <w:r>
        <w:rPr>
          <w:rFonts w:hint="eastAsia" w:ascii="Times New Roman" w:hAnsi="Times New Roman" w:cs="Times New Roman"/>
          <w:sz w:val="24"/>
        </w:rPr>
        <w:t>原理</w:t>
      </w:r>
      <w:r>
        <w:rPr>
          <w:rFonts w:ascii="Times New Roman" w:hAnsi="Times New Roman" w:cs="Times New Roman"/>
          <w:sz w:val="24"/>
        </w:rPr>
        <w:t>示意图见</w:t>
      </w:r>
      <w:r>
        <w:rPr>
          <w:rFonts w:hint="eastAsia" w:ascii="Times New Roman" w:hAnsi="Times New Roman" w:cs="Times New Roman"/>
          <w:sz w:val="24"/>
        </w:rPr>
        <w:t>下</w:t>
      </w:r>
      <w:r>
        <w:rPr>
          <w:rFonts w:ascii="Times New Roman" w:hAnsi="Times New Roman" w:cs="Times New Roman"/>
          <w:sz w:val="24"/>
        </w:rPr>
        <w:t>图。</w:t>
      </w:r>
    </w:p>
    <w:p w14:paraId="6E96D73A"/>
    <w:p w14:paraId="205C2EB9"/>
    <w:p w14:paraId="777CE48F">
      <w:pPr>
        <w:rPr>
          <w:rFonts w:ascii="Times New Roman" w:hAnsi="Times New Roman" w:cs="Times New Roman"/>
          <w:sz w:val="24"/>
        </w:rPr>
      </w:pPr>
      <w:r>
        <w:drawing>
          <wp:inline distT="0" distB="0" distL="114300" distR="114300">
            <wp:extent cx="5281295" cy="1791335"/>
            <wp:effectExtent l="0" t="0" r="14605" b="18415"/>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7"/>
                    <pic:cNvPicPr>
                      <a:picLocks noChangeAspect="1"/>
                    </pic:cNvPicPr>
                  </pic:nvPicPr>
                  <pic:blipFill>
                    <a:blip r:embed="rId80"/>
                    <a:srcRect b="16072"/>
                    <a:stretch>
                      <a:fillRect/>
                    </a:stretch>
                  </pic:blipFill>
                  <pic:spPr>
                    <a:xfrm>
                      <a:off x="0" y="0"/>
                      <a:ext cx="5281295" cy="1791335"/>
                    </a:xfrm>
                    <a:prstGeom prst="rect">
                      <a:avLst/>
                    </a:prstGeom>
                    <a:noFill/>
                    <a:ln>
                      <a:noFill/>
                    </a:ln>
                  </pic:spPr>
                </pic:pic>
              </a:graphicData>
            </a:graphic>
          </wp:inline>
        </w:drawing>
      </w:r>
    </w:p>
    <w:p w14:paraId="189E679D">
      <w:pPr>
        <w:pStyle w:val="83"/>
        <w:ind w:firstLine="48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图6.2-</w:t>
      </w: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本项目用中央除尘器除尘原理示意图</w:t>
      </w:r>
    </w:p>
    <w:p w14:paraId="65943EB9">
      <w:pPr>
        <w:pStyle w:val="83"/>
        <w:spacing w:line="360" w:lineRule="auto"/>
        <w:ind w:firstLine="480" w:firstLineChars="200"/>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经预测分析，采取以上措施处理后粉尘有组织和无组织均可达标排放，措施可行。</w:t>
      </w:r>
    </w:p>
    <w:p w14:paraId="602F3CBD">
      <w:pPr>
        <w:pStyle w:val="5"/>
        <w:numPr>
          <w:ilvl w:val="3"/>
          <w:numId w:val="75"/>
        </w:numPr>
        <w:tabs>
          <w:tab w:val="clear" w:pos="0"/>
        </w:tabs>
      </w:pPr>
      <w:r>
        <w:rPr>
          <w:rFonts w:hint="eastAsia"/>
        </w:rPr>
        <w:t>有机废气污染物治理技术可行性分析</w:t>
      </w:r>
    </w:p>
    <w:p w14:paraId="53688BD9">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w:t>
      </w:r>
      <w:r>
        <w:rPr>
          <w:rFonts w:ascii="Times New Roman" w:hAnsi="Times New Roman" w:cs="Times New Roman"/>
          <w:sz w:val="24"/>
        </w:rPr>
        <w:t>《挥发性有机物治理实用手册》（生态环境部大气环境司/著）归纳了主要控制技术的优缺点，常见</w:t>
      </w:r>
      <w:r>
        <w:rPr>
          <w:rFonts w:hint="eastAsia" w:ascii="Times New Roman" w:hAnsi="Times New Roman" w:cs="Times New Roman"/>
          <w:sz w:val="24"/>
        </w:rPr>
        <w:t>下</w:t>
      </w:r>
      <w:r>
        <w:rPr>
          <w:rFonts w:ascii="Times New Roman" w:hAnsi="Times New Roman" w:cs="Times New Roman"/>
          <w:sz w:val="24"/>
        </w:rPr>
        <w:t>表</w:t>
      </w:r>
      <w:r>
        <w:rPr>
          <w:rFonts w:hint="eastAsia" w:ascii="Times New Roman" w:hAnsi="Times New Roman" w:cs="Times New Roman"/>
          <w:sz w:val="24"/>
        </w:rPr>
        <w:t>。</w:t>
      </w:r>
    </w:p>
    <w:p w14:paraId="5D97332B">
      <w:pPr>
        <w:numPr>
          <w:ilvl w:val="0"/>
          <w:numId w:val="76"/>
        </w:numPr>
        <w:autoSpaceDE w:val="0"/>
        <w:autoSpaceDN w:val="0"/>
        <w:adjustRightInd w:val="0"/>
        <w:spacing w:line="360" w:lineRule="auto"/>
        <w:jc w:val="center"/>
        <w:textAlignment w:val="baseline"/>
        <w:rPr>
          <w:rFonts w:ascii="Times New Roman" w:hAnsi="Times New Roman" w:eastAsia="Times New Roman" w:cs="Times New Roman"/>
          <w:b/>
          <w:kern w:val="0"/>
          <w:szCs w:val="21"/>
        </w:rPr>
      </w:pPr>
      <w:r>
        <w:rPr>
          <w:rFonts w:hint="eastAsia" w:ascii="Times New Roman" w:hAnsi="Times New Roman" w:eastAsia="宋体" w:cs="Times New Roman"/>
          <w:b/>
          <w:kern w:val="0"/>
          <w:szCs w:val="21"/>
        </w:rPr>
        <w:t xml:space="preserve"> </w:t>
      </w:r>
      <w:r>
        <w:rPr>
          <w:rFonts w:ascii="Times New Roman" w:hAnsi="Times New Roman" w:eastAsia="Times New Roman" w:cs="Times New Roman"/>
          <w:b/>
          <w:kern w:val="0"/>
          <w:szCs w:val="21"/>
        </w:rPr>
        <w:t>常见VOCs控制技术之优缺点比较</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460"/>
        <w:gridCol w:w="2689"/>
        <w:gridCol w:w="3770"/>
      </w:tblGrid>
      <w:tr w14:paraId="1855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63" w:type="dxa"/>
            <w:gridSpan w:val="2"/>
            <w:vAlign w:val="center"/>
          </w:tcPr>
          <w:p w14:paraId="75A4BFC1">
            <w:pPr>
              <w:pStyle w:val="48"/>
              <w:rPr>
                <w:rFonts w:cs="Times New Roman"/>
              </w:rPr>
            </w:pPr>
            <w:r>
              <w:rPr>
                <w:rFonts w:cs="Times New Roman"/>
              </w:rPr>
              <w:t>控制技术装备</w:t>
            </w:r>
          </w:p>
        </w:tc>
        <w:tc>
          <w:tcPr>
            <w:tcW w:w="2689" w:type="dxa"/>
            <w:vAlign w:val="center"/>
          </w:tcPr>
          <w:p w14:paraId="4F7CEEB6">
            <w:pPr>
              <w:pStyle w:val="48"/>
              <w:rPr>
                <w:rFonts w:cs="Times New Roman"/>
              </w:rPr>
            </w:pPr>
            <w:r>
              <w:rPr>
                <w:rFonts w:cs="Times New Roman"/>
              </w:rPr>
              <w:t>优点</w:t>
            </w:r>
          </w:p>
        </w:tc>
        <w:tc>
          <w:tcPr>
            <w:tcW w:w="3770" w:type="dxa"/>
            <w:vAlign w:val="center"/>
          </w:tcPr>
          <w:p w14:paraId="66EE4399">
            <w:pPr>
              <w:pStyle w:val="48"/>
              <w:rPr>
                <w:rFonts w:cs="Times New Roman"/>
              </w:rPr>
            </w:pPr>
            <w:r>
              <w:rPr>
                <w:rFonts w:cs="Times New Roman"/>
              </w:rPr>
              <w:t>缺点</w:t>
            </w:r>
          </w:p>
        </w:tc>
      </w:tr>
      <w:tr w14:paraId="5294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Merge w:val="restart"/>
            <w:vAlign w:val="center"/>
          </w:tcPr>
          <w:p w14:paraId="36D5ED82">
            <w:pPr>
              <w:pStyle w:val="48"/>
              <w:rPr>
                <w:rFonts w:cs="Times New Roman"/>
              </w:rPr>
            </w:pPr>
            <w:r>
              <w:rPr>
                <w:rFonts w:cs="Times New Roman"/>
              </w:rPr>
              <w:t>吸附</w:t>
            </w:r>
          </w:p>
          <w:p w14:paraId="74E89CC3">
            <w:pPr>
              <w:pStyle w:val="48"/>
              <w:rPr>
                <w:rFonts w:cs="Times New Roman"/>
              </w:rPr>
            </w:pPr>
            <w:r>
              <w:rPr>
                <w:rFonts w:cs="Times New Roman"/>
              </w:rPr>
              <w:t>技术</w:t>
            </w:r>
          </w:p>
        </w:tc>
        <w:tc>
          <w:tcPr>
            <w:tcW w:w="1460" w:type="dxa"/>
            <w:vAlign w:val="center"/>
          </w:tcPr>
          <w:p w14:paraId="4A3AAEC0">
            <w:pPr>
              <w:pStyle w:val="48"/>
              <w:rPr>
                <w:rFonts w:cs="Times New Roman"/>
              </w:rPr>
            </w:pPr>
            <w:r>
              <w:rPr>
                <w:rFonts w:cs="Times New Roman"/>
              </w:rPr>
              <w:t>固定床</w:t>
            </w:r>
          </w:p>
          <w:p w14:paraId="590D02B6">
            <w:pPr>
              <w:pStyle w:val="48"/>
              <w:rPr>
                <w:rFonts w:cs="Times New Roman"/>
              </w:rPr>
            </w:pPr>
            <w:r>
              <w:rPr>
                <w:rFonts w:cs="Times New Roman"/>
              </w:rPr>
              <w:t>吸附系统</w:t>
            </w:r>
          </w:p>
        </w:tc>
        <w:tc>
          <w:tcPr>
            <w:tcW w:w="2689" w:type="dxa"/>
            <w:vAlign w:val="center"/>
          </w:tcPr>
          <w:p w14:paraId="429A7104">
            <w:pPr>
              <w:pStyle w:val="48"/>
              <w:jc w:val="both"/>
              <w:rPr>
                <w:rFonts w:cs="Times New Roman"/>
              </w:rPr>
            </w:pPr>
            <w:r>
              <w:rPr>
                <w:rFonts w:cs="Times New Roman"/>
              </w:rPr>
              <w:t>1.初设成本低；</w:t>
            </w:r>
          </w:p>
          <w:p w14:paraId="57F95ABD">
            <w:pPr>
              <w:pStyle w:val="48"/>
              <w:jc w:val="both"/>
              <w:rPr>
                <w:rFonts w:cs="Times New Roman"/>
              </w:rPr>
            </w:pPr>
            <w:r>
              <w:rPr>
                <w:rFonts w:cs="Times New Roman"/>
              </w:rPr>
              <w:t>2.能源需求低；</w:t>
            </w:r>
          </w:p>
          <w:p w14:paraId="132F5534">
            <w:pPr>
              <w:pStyle w:val="48"/>
              <w:jc w:val="both"/>
              <w:rPr>
                <w:rFonts w:cs="Times New Roman"/>
              </w:rPr>
            </w:pPr>
            <w:r>
              <w:rPr>
                <w:rFonts w:cs="Times New Roman"/>
              </w:rPr>
              <w:t>3.适合多种污染物；</w:t>
            </w:r>
          </w:p>
          <w:p w14:paraId="2DF1B07A">
            <w:pPr>
              <w:pStyle w:val="48"/>
              <w:jc w:val="both"/>
              <w:rPr>
                <w:rFonts w:cs="Times New Roman"/>
              </w:rPr>
            </w:pPr>
            <w:r>
              <w:rPr>
                <w:rFonts w:cs="Times New Roman"/>
              </w:rPr>
              <w:t>4.臭味去除有很高的效率</w:t>
            </w:r>
          </w:p>
        </w:tc>
        <w:tc>
          <w:tcPr>
            <w:tcW w:w="3770" w:type="dxa"/>
            <w:vAlign w:val="center"/>
          </w:tcPr>
          <w:p w14:paraId="179BFAAE">
            <w:pPr>
              <w:pStyle w:val="48"/>
              <w:jc w:val="both"/>
              <w:rPr>
                <w:rFonts w:cs="Times New Roman"/>
              </w:rPr>
            </w:pPr>
            <w:r>
              <w:rPr>
                <w:rFonts w:cs="Times New Roman"/>
              </w:rPr>
              <w:t>1.无再生系统时吸附剂更换频繁；</w:t>
            </w:r>
          </w:p>
          <w:p w14:paraId="765FB9A0">
            <w:pPr>
              <w:pStyle w:val="48"/>
              <w:jc w:val="both"/>
              <w:rPr>
                <w:rFonts w:cs="Times New Roman"/>
              </w:rPr>
            </w:pPr>
            <w:r>
              <w:rPr>
                <w:rFonts w:cs="Times New Roman"/>
              </w:rPr>
              <w:t>2.不适合高浓度废气；</w:t>
            </w:r>
          </w:p>
          <w:p w14:paraId="10CC7410">
            <w:pPr>
              <w:pStyle w:val="48"/>
              <w:jc w:val="both"/>
              <w:rPr>
                <w:rFonts w:cs="Times New Roman"/>
              </w:rPr>
            </w:pPr>
            <w:r>
              <w:rPr>
                <w:rFonts w:cs="Times New Roman"/>
              </w:rPr>
              <w:t>3.废气湿度大时吸附效率低；</w:t>
            </w:r>
          </w:p>
          <w:p w14:paraId="2313AEB4">
            <w:pPr>
              <w:pStyle w:val="48"/>
              <w:jc w:val="both"/>
              <w:rPr>
                <w:rFonts w:cs="Times New Roman"/>
              </w:rPr>
            </w:pPr>
            <w:r>
              <w:rPr>
                <w:rFonts w:cs="Times New Roman"/>
              </w:rPr>
              <w:t>4.不适合含颗粒物状废气，对废气预处理要求高；</w:t>
            </w:r>
          </w:p>
          <w:p w14:paraId="09B18044">
            <w:pPr>
              <w:pStyle w:val="48"/>
              <w:jc w:val="both"/>
              <w:rPr>
                <w:rFonts w:cs="Times New Roman"/>
              </w:rPr>
            </w:pPr>
            <w:r>
              <w:rPr>
                <w:rFonts w:cs="Times New Roman"/>
              </w:rPr>
              <w:t>5.热空气再生时有火灾危险；</w:t>
            </w:r>
          </w:p>
          <w:p w14:paraId="1FE30FCD">
            <w:pPr>
              <w:pStyle w:val="48"/>
              <w:jc w:val="both"/>
              <w:rPr>
                <w:rFonts w:cs="Times New Roman"/>
              </w:rPr>
            </w:pPr>
            <w:r>
              <w:rPr>
                <w:rFonts w:cs="Times New Roman"/>
              </w:rPr>
              <w:t>6.对某些化合物（如酮类、苯乙烯）吸附时受限</w:t>
            </w:r>
          </w:p>
        </w:tc>
      </w:tr>
      <w:tr w14:paraId="4FB8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Merge w:val="continue"/>
            <w:vAlign w:val="center"/>
          </w:tcPr>
          <w:p w14:paraId="320DDCD4">
            <w:pPr>
              <w:pStyle w:val="48"/>
              <w:rPr>
                <w:rFonts w:cs="Times New Roman"/>
              </w:rPr>
            </w:pPr>
          </w:p>
        </w:tc>
        <w:tc>
          <w:tcPr>
            <w:tcW w:w="1460" w:type="dxa"/>
            <w:vAlign w:val="center"/>
          </w:tcPr>
          <w:p w14:paraId="42C4E387">
            <w:pPr>
              <w:pStyle w:val="48"/>
              <w:rPr>
                <w:rFonts w:cs="Times New Roman"/>
              </w:rPr>
            </w:pPr>
            <w:r>
              <w:rPr>
                <w:rFonts w:cs="Times New Roman"/>
              </w:rPr>
              <w:t>旋转式</w:t>
            </w:r>
          </w:p>
          <w:p w14:paraId="5CEB8A29">
            <w:pPr>
              <w:pStyle w:val="48"/>
              <w:rPr>
                <w:rFonts w:cs="Times New Roman"/>
              </w:rPr>
            </w:pPr>
            <w:r>
              <w:rPr>
                <w:rFonts w:cs="Times New Roman"/>
              </w:rPr>
              <w:t>吸附系统</w:t>
            </w:r>
          </w:p>
        </w:tc>
        <w:tc>
          <w:tcPr>
            <w:tcW w:w="2689" w:type="dxa"/>
            <w:vAlign w:val="center"/>
          </w:tcPr>
          <w:p w14:paraId="0246B992">
            <w:pPr>
              <w:pStyle w:val="48"/>
              <w:jc w:val="both"/>
              <w:rPr>
                <w:rFonts w:cs="Times New Roman"/>
              </w:rPr>
            </w:pPr>
            <w:r>
              <w:rPr>
                <w:rFonts w:cs="Times New Roman"/>
              </w:rPr>
              <w:t>1.结构紧凑，占地面积小；</w:t>
            </w:r>
          </w:p>
          <w:p w14:paraId="75875EB1">
            <w:pPr>
              <w:pStyle w:val="48"/>
              <w:jc w:val="both"/>
              <w:rPr>
                <w:rFonts w:cs="Times New Roman"/>
              </w:rPr>
            </w:pPr>
            <w:r>
              <w:rPr>
                <w:rFonts w:cs="Times New Roman"/>
              </w:rPr>
              <w:t>2.连续操作、运行稳定；</w:t>
            </w:r>
          </w:p>
          <w:p w14:paraId="57BB0F8C">
            <w:pPr>
              <w:pStyle w:val="48"/>
              <w:jc w:val="both"/>
              <w:rPr>
                <w:rFonts w:cs="Times New Roman"/>
              </w:rPr>
            </w:pPr>
            <w:r>
              <w:rPr>
                <w:rFonts w:cs="Times New Roman"/>
              </w:rPr>
              <w:t>3.床层阻力小；</w:t>
            </w:r>
          </w:p>
          <w:p w14:paraId="79A00CA0">
            <w:pPr>
              <w:pStyle w:val="48"/>
              <w:jc w:val="both"/>
              <w:rPr>
                <w:rFonts w:cs="Times New Roman"/>
              </w:rPr>
            </w:pPr>
            <w:r>
              <w:rPr>
                <w:rFonts w:cs="Times New Roman"/>
              </w:rPr>
              <w:t>4.适用于低浓度、大风量的废气处理；</w:t>
            </w:r>
          </w:p>
          <w:p w14:paraId="0AD27730">
            <w:pPr>
              <w:pStyle w:val="48"/>
              <w:jc w:val="both"/>
              <w:rPr>
                <w:rFonts w:cs="Times New Roman"/>
              </w:rPr>
            </w:pPr>
            <w:r>
              <w:rPr>
                <w:rFonts w:cs="Times New Roman"/>
              </w:rPr>
              <w:t>5.脱附后废气浓度浮动范围小</w:t>
            </w:r>
          </w:p>
        </w:tc>
        <w:tc>
          <w:tcPr>
            <w:tcW w:w="3770" w:type="dxa"/>
            <w:vAlign w:val="center"/>
          </w:tcPr>
          <w:p w14:paraId="30209018">
            <w:pPr>
              <w:pStyle w:val="48"/>
              <w:jc w:val="both"/>
              <w:rPr>
                <w:rFonts w:cs="Times New Roman"/>
              </w:rPr>
            </w:pPr>
            <w:r>
              <w:rPr>
                <w:rFonts w:cs="Times New Roman"/>
              </w:rPr>
              <w:t>1.对密封件要求高，设备制造难度大、成本高；</w:t>
            </w:r>
          </w:p>
          <w:p w14:paraId="3F9AA92E">
            <w:pPr>
              <w:pStyle w:val="48"/>
              <w:jc w:val="both"/>
              <w:rPr>
                <w:rFonts w:cs="Times New Roman"/>
              </w:rPr>
            </w:pPr>
            <w:r>
              <w:rPr>
                <w:rFonts w:cs="Times New Roman"/>
              </w:rPr>
              <w:t>2.无法独立完全处理废气，需要与其他废气处理装置组合使用；</w:t>
            </w:r>
          </w:p>
          <w:p w14:paraId="6D067522">
            <w:pPr>
              <w:pStyle w:val="48"/>
              <w:jc w:val="both"/>
              <w:rPr>
                <w:rFonts w:cs="Times New Roman"/>
              </w:rPr>
            </w:pPr>
            <w:r>
              <w:rPr>
                <w:rFonts w:cs="Times New Roman"/>
              </w:rPr>
              <w:t>3.不适合含颗粒物状废气，对废气预处理要求高</w:t>
            </w:r>
          </w:p>
        </w:tc>
      </w:tr>
      <w:tr w14:paraId="0D25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Align w:val="center"/>
          </w:tcPr>
          <w:p w14:paraId="087A080C">
            <w:pPr>
              <w:pStyle w:val="48"/>
              <w:rPr>
                <w:rFonts w:cs="Times New Roman"/>
              </w:rPr>
            </w:pPr>
            <w:r>
              <w:rPr>
                <w:rFonts w:cs="Times New Roman"/>
              </w:rPr>
              <w:t>吸收技术</w:t>
            </w:r>
          </w:p>
        </w:tc>
        <w:tc>
          <w:tcPr>
            <w:tcW w:w="1460" w:type="dxa"/>
            <w:vAlign w:val="center"/>
          </w:tcPr>
          <w:p w14:paraId="719DB1D6">
            <w:pPr>
              <w:pStyle w:val="48"/>
              <w:rPr>
                <w:rFonts w:cs="Times New Roman"/>
              </w:rPr>
            </w:pPr>
            <w:r>
              <w:rPr>
                <w:rFonts w:cs="Times New Roman"/>
              </w:rPr>
              <w:t>吸收塔</w:t>
            </w:r>
          </w:p>
        </w:tc>
        <w:tc>
          <w:tcPr>
            <w:tcW w:w="2689" w:type="dxa"/>
            <w:vAlign w:val="center"/>
          </w:tcPr>
          <w:p w14:paraId="6817C098">
            <w:pPr>
              <w:pStyle w:val="48"/>
              <w:jc w:val="both"/>
              <w:rPr>
                <w:rFonts w:cs="Times New Roman"/>
              </w:rPr>
            </w:pPr>
            <w:r>
              <w:rPr>
                <w:rFonts w:cs="Times New Roman"/>
              </w:rPr>
              <w:t>1.工艺简单，设备费低；</w:t>
            </w:r>
          </w:p>
          <w:p w14:paraId="50EB93BC">
            <w:pPr>
              <w:pStyle w:val="48"/>
              <w:jc w:val="both"/>
              <w:rPr>
                <w:rFonts w:cs="Times New Roman"/>
              </w:rPr>
            </w:pPr>
            <w:r>
              <w:rPr>
                <w:rFonts w:cs="Times New Roman"/>
              </w:rPr>
              <w:t>2.对水溶性有机废气处理效果佳；</w:t>
            </w:r>
          </w:p>
          <w:p w14:paraId="1084447C">
            <w:pPr>
              <w:pStyle w:val="48"/>
              <w:jc w:val="both"/>
              <w:rPr>
                <w:rFonts w:cs="Times New Roman"/>
              </w:rPr>
            </w:pPr>
            <w:r>
              <w:rPr>
                <w:rFonts w:cs="Times New Roman"/>
              </w:rPr>
              <w:t>3.不受高沸点物质影响；</w:t>
            </w:r>
          </w:p>
          <w:p w14:paraId="6F8A7D89">
            <w:pPr>
              <w:pStyle w:val="48"/>
              <w:jc w:val="both"/>
              <w:rPr>
                <w:rFonts w:cs="Times New Roman"/>
              </w:rPr>
            </w:pPr>
            <w:r>
              <w:rPr>
                <w:rFonts w:cs="Times New Roman"/>
              </w:rPr>
              <w:t>4.无耗材处理问题</w:t>
            </w:r>
          </w:p>
        </w:tc>
        <w:tc>
          <w:tcPr>
            <w:tcW w:w="3770" w:type="dxa"/>
            <w:vAlign w:val="center"/>
          </w:tcPr>
          <w:p w14:paraId="1A9710D2">
            <w:pPr>
              <w:pStyle w:val="48"/>
              <w:jc w:val="both"/>
              <w:rPr>
                <w:rFonts w:cs="Times New Roman"/>
              </w:rPr>
            </w:pPr>
            <w:r>
              <w:rPr>
                <w:rFonts w:cs="Times New Roman"/>
              </w:rPr>
              <w:t>1.净化效率较低；</w:t>
            </w:r>
          </w:p>
          <w:p w14:paraId="58B62020">
            <w:pPr>
              <w:pStyle w:val="48"/>
              <w:jc w:val="both"/>
              <w:rPr>
                <w:rFonts w:cs="Times New Roman"/>
              </w:rPr>
            </w:pPr>
            <w:r>
              <w:rPr>
                <w:rFonts w:cs="Times New Roman"/>
              </w:rPr>
              <w:t>2.耗水量较大，排放大量废水，造成污染转移；</w:t>
            </w:r>
          </w:p>
          <w:p w14:paraId="5CAE84B6">
            <w:pPr>
              <w:pStyle w:val="48"/>
              <w:jc w:val="both"/>
              <w:rPr>
                <w:rFonts w:cs="Times New Roman"/>
              </w:rPr>
            </w:pPr>
            <w:r>
              <w:rPr>
                <w:rFonts w:cs="Times New Roman"/>
              </w:rPr>
              <w:t>3.填料吸收塔易阻塞；</w:t>
            </w:r>
          </w:p>
          <w:p w14:paraId="084108C8">
            <w:pPr>
              <w:pStyle w:val="48"/>
              <w:jc w:val="both"/>
              <w:rPr>
                <w:rFonts w:cs="Times New Roman"/>
              </w:rPr>
            </w:pPr>
            <w:r>
              <w:rPr>
                <w:rFonts w:cs="Times New Roman"/>
              </w:rPr>
              <w:t>4.存在设备腐蚀问题</w:t>
            </w:r>
          </w:p>
        </w:tc>
      </w:tr>
      <w:tr w14:paraId="2568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Merge w:val="restart"/>
            <w:vAlign w:val="center"/>
          </w:tcPr>
          <w:p w14:paraId="3E29385F">
            <w:pPr>
              <w:pStyle w:val="48"/>
              <w:rPr>
                <w:rFonts w:cs="Times New Roman"/>
              </w:rPr>
            </w:pPr>
            <w:r>
              <w:rPr>
                <w:rFonts w:cs="Times New Roman"/>
              </w:rPr>
              <w:t>燃烧技术</w:t>
            </w:r>
          </w:p>
        </w:tc>
        <w:tc>
          <w:tcPr>
            <w:tcW w:w="1460" w:type="dxa"/>
            <w:vAlign w:val="center"/>
          </w:tcPr>
          <w:p w14:paraId="4D88CF8E">
            <w:pPr>
              <w:pStyle w:val="48"/>
              <w:rPr>
                <w:rFonts w:cs="Times New Roman"/>
              </w:rPr>
            </w:pPr>
            <w:r>
              <w:rPr>
                <w:rFonts w:cs="Times New Roman"/>
              </w:rPr>
              <w:t>TO/TNV</w:t>
            </w:r>
          </w:p>
        </w:tc>
        <w:tc>
          <w:tcPr>
            <w:tcW w:w="2689" w:type="dxa"/>
            <w:vAlign w:val="center"/>
          </w:tcPr>
          <w:p w14:paraId="6D2A3885">
            <w:pPr>
              <w:pStyle w:val="48"/>
              <w:jc w:val="both"/>
              <w:rPr>
                <w:rFonts w:cs="Times New Roman"/>
              </w:rPr>
            </w:pPr>
            <w:r>
              <w:rPr>
                <w:rFonts w:cs="Times New Roman"/>
              </w:rPr>
              <w:t>1.污染物适用范围广；</w:t>
            </w:r>
          </w:p>
          <w:p w14:paraId="168E7A37">
            <w:pPr>
              <w:pStyle w:val="48"/>
              <w:jc w:val="both"/>
              <w:rPr>
                <w:rFonts w:cs="Times New Roman"/>
              </w:rPr>
            </w:pPr>
            <w:r>
              <w:rPr>
                <w:rFonts w:cs="Times New Roman"/>
              </w:rPr>
              <w:t>2.处理效率高(可达95%以上)；</w:t>
            </w:r>
          </w:p>
          <w:p w14:paraId="4BEB6720">
            <w:pPr>
              <w:pStyle w:val="48"/>
              <w:jc w:val="both"/>
              <w:rPr>
                <w:rFonts w:cs="Times New Roman"/>
              </w:rPr>
            </w:pPr>
            <w:r>
              <w:rPr>
                <w:rFonts w:cs="Times New Roman"/>
              </w:rPr>
              <w:t>3.设备简单</w:t>
            </w:r>
          </w:p>
        </w:tc>
        <w:tc>
          <w:tcPr>
            <w:tcW w:w="3770" w:type="dxa"/>
            <w:vAlign w:val="center"/>
          </w:tcPr>
          <w:p w14:paraId="37CC4730">
            <w:pPr>
              <w:pStyle w:val="48"/>
              <w:jc w:val="both"/>
              <w:rPr>
                <w:rFonts w:cs="Times New Roman"/>
              </w:rPr>
            </w:pPr>
            <w:r>
              <w:rPr>
                <w:rFonts w:cs="Times New Roman"/>
              </w:rPr>
              <w:t>1.操作温度高，处理低浓度废气时运行成本高；</w:t>
            </w:r>
          </w:p>
          <w:p w14:paraId="725DBAB2">
            <w:pPr>
              <w:pStyle w:val="48"/>
              <w:jc w:val="both"/>
              <w:rPr>
                <w:rFonts w:cs="Times New Roman"/>
              </w:rPr>
            </w:pPr>
            <w:r>
              <w:rPr>
                <w:rFonts w:cs="Times New Roman"/>
              </w:rPr>
              <w:t>2.处理含氮化合物时可能造成烟气中NOx超标；</w:t>
            </w:r>
          </w:p>
          <w:p w14:paraId="4D7C8755">
            <w:pPr>
              <w:pStyle w:val="48"/>
              <w:jc w:val="both"/>
              <w:rPr>
                <w:rFonts w:cs="Times New Roman"/>
              </w:rPr>
            </w:pPr>
            <w:r>
              <w:rPr>
                <w:rFonts w:cs="Times New Roman"/>
              </w:rPr>
              <w:t>3.不适合含硫、卤素等化合物的治理；</w:t>
            </w:r>
          </w:p>
          <w:p w14:paraId="475A4C90">
            <w:pPr>
              <w:pStyle w:val="48"/>
              <w:jc w:val="both"/>
              <w:rPr>
                <w:rFonts w:cs="Times New Roman"/>
              </w:rPr>
            </w:pPr>
            <w:r>
              <w:rPr>
                <w:rFonts w:cs="Times New Roman"/>
              </w:rPr>
              <w:t>4.处理低浓度VOCs时燃料费用高</w:t>
            </w:r>
          </w:p>
        </w:tc>
      </w:tr>
      <w:tr w14:paraId="467B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Merge w:val="continue"/>
            <w:vAlign w:val="center"/>
          </w:tcPr>
          <w:p w14:paraId="3AFDF961">
            <w:pPr>
              <w:pStyle w:val="48"/>
              <w:rPr>
                <w:rFonts w:cs="Times New Roman"/>
              </w:rPr>
            </w:pPr>
          </w:p>
        </w:tc>
        <w:tc>
          <w:tcPr>
            <w:tcW w:w="1460" w:type="dxa"/>
            <w:vAlign w:val="center"/>
          </w:tcPr>
          <w:p w14:paraId="1974E526">
            <w:pPr>
              <w:pStyle w:val="48"/>
              <w:rPr>
                <w:rFonts w:cs="Times New Roman"/>
              </w:rPr>
            </w:pPr>
            <w:r>
              <w:rPr>
                <w:rFonts w:cs="Times New Roman"/>
              </w:rPr>
              <w:t>CO</w:t>
            </w:r>
          </w:p>
        </w:tc>
        <w:tc>
          <w:tcPr>
            <w:tcW w:w="2689" w:type="dxa"/>
            <w:vAlign w:val="center"/>
          </w:tcPr>
          <w:p w14:paraId="4EC4A0AC">
            <w:pPr>
              <w:pStyle w:val="48"/>
              <w:jc w:val="both"/>
              <w:rPr>
                <w:rFonts w:cs="Times New Roman"/>
              </w:rPr>
            </w:pPr>
            <w:r>
              <w:rPr>
                <w:rFonts w:cs="Times New Roman"/>
              </w:rPr>
              <w:t>1.操作温度较直接燃烧低，运行费用低；</w:t>
            </w:r>
          </w:p>
          <w:p w14:paraId="2F254D89">
            <w:pPr>
              <w:pStyle w:val="48"/>
              <w:jc w:val="both"/>
              <w:rPr>
                <w:rFonts w:cs="Times New Roman"/>
              </w:rPr>
            </w:pPr>
            <w:r>
              <w:rPr>
                <w:rFonts w:cs="Times New Roman"/>
              </w:rPr>
              <w:t>2.相较于TO，燃料消耗量少；</w:t>
            </w:r>
          </w:p>
          <w:p w14:paraId="43B9BE3A">
            <w:pPr>
              <w:pStyle w:val="48"/>
              <w:jc w:val="both"/>
              <w:rPr>
                <w:rFonts w:cs="Times New Roman"/>
              </w:rPr>
            </w:pPr>
            <w:r>
              <w:rPr>
                <w:rFonts w:cs="Times New Roman"/>
              </w:rPr>
              <w:t>3.处理效率高（可达95%以上)</w:t>
            </w:r>
          </w:p>
        </w:tc>
        <w:tc>
          <w:tcPr>
            <w:tcW w:w="3770" w:type="dxa"/>
            <w:vAlign w:val="center"/>
          </w:tcPr>
          <w:p w14:paraId="650D2AD7">
            <w:pPr>
              <w:pStyle w:val="48"/>
              <w:jc w:val="both"/>
              <w:rPr>
                <w:rFonts w:cs="Times New Roman"/>
              </w:rPr>
            </w:pPr>
            <w:r>
              <w:rPr>
                <w:rFonts w:cs="Times New Roman"/>
              </w:rPr>
              <w:t>1.催化剂易失活（烧结、中毒、结焦），不适合含有S、卤素等化合物的净化；</w:t>
            </w:r>
          </w:p>
          <w:p w14:paraId="0CC33335">
            <w:pPr>
              <w:pStyle w:val="48"/>
              <w:jc w:val="both"/>
              <w:rPr>
                <w:rFonts w:cs="Times New Roman"/>
              </w:rPr>
            </w:pPr>
            <w:r>
              <w:rPr>
                <w:rFonts w:cs="Times New Roman"/>
              </w:rPr>
              <w:t>2.常用贵金属催化剂价格高；</w:t>
            </w:r>
          </w:p>
          <w:p w14:paraId="26FC3D33">
            <w:pPr>
              <w:pStyle w:val="48"/>
              <w:jc w:val="both"/>
              <w:rPr>
                <w:rFonts w:cs="Times New Roman"/>
              </w:rPr>
            </w:pPr>
            <w:r>
              <w:rPr>
                <w:rFonts w:cs="Times New Roman"/>
              </w:rPr>
              <w:t>3.有废弃催化剂处理问题；</w:t>
            </w:r>
          </w:p>
          <w:p w14:paraId="69984EC2">
            <w:pPr>
              <w:pStyle w:val="48"/>
              <w:jc w:val="both"/>
              <w:rPr>
                <w:rFonts w:cs="Times New Roman"/>
              </w:rPr>
            </w:pPr>
            <w:r>
              <w:rPr>
                <w:rFonts w:cs="Times New Roman"/>
              </w:rPr>
              <w:t>4.处理低浓度VOCs时燃料费用高</w:t>
            </w:r>
          </w:p>
        </w:tc>
      </w:tr>
      <w:tr w14:paraId="1193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Merge w:val="continue"/>
            <w:vAlign w:val="center"/>
          </w:tcPr>
          <w:p w14:paraId="66A8A6C5">
            <w:pPr>
              <w:pStyle w:val="48"/>
              <w:rPr>
                <w:rFonts w:cs="Times New Roman"/>
              </w:rPr>
            </w:pPr>
          </w:p>
        </w:tc>
        <w:tc>
          <w:tcPr>
            <w:tcW w:w="1460" w:type="dxa"/>
            <w:vAlign w:val="center"/>
          </w:tcPr>
          <w:p w14:paraId="7ADA8B4F">
            <w:pPr>
              <w:pStyle w:val="48"/>
              <w:rPr>
                <w:rFonts w:cs="Times New Roman"/>
              </w:rPr>
            </w:pPr>
            <w:r>
              <w:rPr>
                <w:rFonts w:cs="Times New Roman"/>
              </w:rPr>
              <w:t>RTO</w:t>
            </w:r>
          </w:p>
        </w:tc>
        <w:tc>
          <w:tcPr>
            <w:tcW w:w="2689" w:type="dxa"/>
            <w:vAlign w:val="center"/>
          </w:tcPr>
          <w:p w14:paraId="1320FBF9">
            <w:pPr>
              <w:pStyle w:val="48"/>
              <w:jc w:val="both"/>
              <w:rPr>
                <w:rFonts w:cs="Times New Roman"/>
              </w:rPr>
            </w:pPr>
            <w:r>
              <w:rPr>
                <w:rFonts w:cs="Times New Roman"/>
              </w:rPr>
              <w:t>1.热回收效率高(＞90%)，运行费用低；</w:t>
            </w:r>
          </w:p>
          <w:p w14:paraId="3EC523AB">
            <w:pPr>
              <w:pStyle w:val="48"/>
              <w:jc w:val="both"/>
              <w:rPr>
                <w:rFonts w:cs="Times New Roman"/>
              </w:rPr>
            </w:pPr>
            <w:r>
              <w:rPr>
                <w:rFonts w:cs="Times New Roman"/>
              </w:rPr>
              <w:t>2.净化效率高（95%～99%）；</w:t>
            </w:r>
          </w:p>
          <w:p w14:paraId="1338E780">
            <w:pPr>
              <w:pStyle w:val="48"/>
              <w:jc w:val="both"/>
              <w:rPr>
                <w:rFonts w:cs="Times New Roman"/>
              </w:rPr>
            </w:pPr>
            <w:r>
              <w:rPr>
                <w:rFonts w:cs="Times New Roman"/>
              </w:rPr>
              <w:t>3.适用于高温气体</w:t>
            </w:r>
          </w:p>
        </w:tc>
        <w:tc>
          <w:tcPr>
            <w:tcW w:w="3770" w:type="dxa"/>
            <w:vAlign w:val="center"/>
          </w:tcPr>
          <w:p w14:paraId="672CD756">
            <w:pPr>
              <w:pStyle w:val="48"/>
              <w:jc w:val="both"/>
              <w:rPr>
                <w:rFonts w:cs="Times New Roman"/>
              </w:rPr>
            </w:pPr>
            <w:r>
              <w:rPr>
                <w:rFonts w:cs="Times New Roman"/>
              </w:rPr>
              <w:t>1.陶瓷蓄热体床层压损大且易阻塞；</w:t>
            </w:r>
          </w:p>
          <w:p w14:paraId="3C050D01">
            <w:pPr>
              <w:pStyle w:val="48"/>
              <w:jc w:val="both"/>
              <w:rPr>
                <w:rFonts w:cs="Times New Roman"/>
              </w:rPr>
            </w:pPr>
            <w:r>
              <w:rPr>
                <w:rFonts w:cs="Times New Roman"/>
              </w:rPr>
              <w:t>2.低VOCs浓度时燃料费用高；</w:t>
            </w:r>
          </w:p>
          <w:p w14:paraId="29E05ECD">
            <w:pPr>
              <w:pStyle w:val="48"/>
              <w:jc w:val="both"/>
              <w:rPr>
                <w:rFonts w:cs="Times New Roman"/>
              </w:rPr>
            </w:pPr>
            <w:r>
              <w:rPr>
                <w:rFonts w:cs="Times New Roman"/>
              </w:rPr>
              <w:t>3.处理含氮化合物时可能造成烟气中NOx超标；</w:t>
            </w:r>
          </w:p>
          <w:p w14:paraId="0ED1AC23">
            <w:pPr>
              <w:pStyle w:val="48"/>
              <w:jc w:val="both"/>
              <w:rPr>
                <w:rFonts w:cs="Times New Roman"/>
              </w:rPr>
            </w:pPr>
            <w:r>
              <w:rPr>
                <w:rFonts w:cs="Times New Roman"/>
              </w:rPr>
              <w:t>4不适合处理易自聚化合物（苯乙烯等），其会发生自聚现象，产生高沸点交联物质，造成蓄热体堵塞；</w:t>
            </w:r>
          </w:p>
          <w:p w14:paraId="211E9202">
            <w:pPr>
              <w:pStyle w:val="48"/>
              <w:jc w:val="both"/>
              <w:rPr>
                <w:rFonts w:cs="Times New Roman"/>
              </w:rPr>
            </w:pPr>
            <w:r>
              <w:rPr>
                <w:rFonts w:cs="Times New Roman"/>
              </w:rPr>
              <w:t>5.不适合处理硅烷类物质，燃烧生成固体尘灰会堵塞蓄热陶瓷或切换阀密封面</w:t>
            </w:r>
          </w:p>
        </w:tc>
      </w:tr>
      <w:tr w14:paraId="2C25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Merge w:val="continue"/>
            <w:vAlign w:val="center"/>
          </w:tcPr>
          <w:p w14:paraId="400D107C">
            <w:pPr>
              <w:pStyle w:val="48"/>
              <w:rPr>
                <w:rFonts w:cs="Times New Roman"/>
              </w:rPr>
            </w:pPr>
          </w:p>
        </w:tc>
        <w:tc>
          <w:tcPr>
            <w:tcW w:w="1460" w:type="dxa"/>
            <w:vAlign w:val="center"/>
          </w:tcPr>
          <w:p w14:paraId="4F7B0990">
            <w:pPr>
              <w:pStyle w:val="48"/>
              <w:rPr>
                <w:rFonts w:cs="Times New Roman"/>
              </w:rPr>
            </w:pPr>
            <w:r>
              <w:rPr>
                <w:rFonts w:cs="Times New Roman"/>
              </w:rPr>
              <w:t>RCO</w:t>
            </w:r>
          </w:p>
        </w:tc>
        <w:tc>
          <w:tcPr>
            <w:tcW w:w="2689" w:type="dxa"/>
            <w:vAlign w:val="center"/>
          </w:tcPr>
          <w:p w14:paraId="50E38BFB">
            <w:pPr>
              <w:pStyle w:val="48"/>
              <w:jc w:val="both"/>
              <w:rPr>
                <w:rFonts w:cs="Times New Roman"/>
              </w:rPr>
            </w:pPr>
            <w:r>
              <w:rPr>
                <w:rFonts w:cs="Times New Roman"/>
              </w:rPr>
              <w:t>1.操作温度低，热回收效率高(＞90%)，运行成本较RTO低；</w:t>
            </w:r>
          </w:p>
          <w:p w14:paraId="76B1EFBF">
            <w:pPr>
              <w:pStyle w:val="48"/>
              <w:jc w:val="both"/>
              <w:rPr>
                <w:rFonts w:cs="Times New Roman"/>
              </w:rPr>
            </w:pPr>
            <w:r>
              <w:rPr>
                <w:rFonts w:cs="Times New Roman"/>
              </w:rPr>
              <w:t>2.高去除率(95～99%)</w:t>
            </w:r>
          </w:p>
        </w:tc>
        <w:tc>
          <w:tcPr>
            <w:tcW w:w="3770" w:type="dxa"/>
            <w:vAlign w:val="center"/>
          </w:tcPr>
          <w:p w14:paraId="106BCC4C">
            <w:pPr>
              <w:pStyle w:val="48"/>
              <w:jc w:val="both"/>
              <w:rPr>
                <w:rFonts w:cs="Times New Roman"/>
              </w:rPr>
            </w:pPr>
            <w:r>
              <w:rPr>
                <w:rFonts w:cs="Times New Roman"/>
              </w:rPr>
              <w:t>1.催化剂易失活（烧结、中毒、结焦），不适合含有S、卤素等化合物的净化；</w:t>
            </w:r>
          </w:p>
          <w:p w14:paraId="77ABE421">
            <w:pPr>
              <w:pStyle w:val="48"/>
              <w:jc w:val="both"/>
              <w:rPr>
                <w:rFonts w:cs="Times New Roman"/>
              </w:rPr>
            </w:pPr>
            <w:r>
              <w:rPr>
                <w:rFonts w:cs="Times New Roman"/>
              </w:rPr>
              <w:t>2.陶瓷蓄热体床层压损大且易阻塞；</w:t>
            </w:r>
          </w:p>
          <w:p w14:paraId="44AB4BC1">
            <w:pPr>
              <w:pStyle w:val="48"/>
              <w:jc w:val="both"/>
              <w:rPr>
                <w:rFonts w:cs="Times New Roman"/>
              </w:rPr>
            </w:pPr>
            <w:r>
              <w:rPr>
                <w:rFonts w:cs="Times New Roman"/>
              </w:rPr>
              <w:t>3.处理含氮化合物时可能造成烟气中NOx超标；</w:t>
            </w:r>
          </w:p>
          <w:p w14:paraId="6ADAF36C">
            <w:pPr>
              <w:pStyle w:val="48"/>
              <w:jc w:val="both"/>
              <w:rPr>
                <w:rFonts w:cs="Times New Roman"/>
              </w:rPr>
            </w:pPr>
            <w:r>
              <w:rPr>
                <w:rFonts w:cs="Times New Roman"/>
              </w:rPr>
              <w:t>4.常用贵金属催化剂成本高；</w:t>
            </w:r>
          </w:p>
          <w:p w14:paraId="633F19F5">
            <w:pPr>
              <w:pStyle w:val="48"/>
              <w:jc w:val="both"/>
              <w:rPr>
                <w:rFonts w:cs="Times New Roman"/>
              </w:rPr>
            </w:pPr>
            <w:r>
              <w:rPr>
                <w:rFonts w:cs="Times New Roman"/>
              </w:rPr>
              <w:t>5.有废弃催化剂处理问题；</w:t>
            </w:r>
          </w:p>
          <w:p w14:paraId="72F2F978">
            <w:pPr>
              <w:pStyle w:val="48"/>
              <w:jc w:val="both"/>
              <w:rPr>
                <w:rFonts w:cs="Times New Roman"/>
              </w:rPr>
            </w:pPr>
            <w:r>
              <w:rPr>
                <w:rFonts w:cs="Times New Roman"/>
              </w:rPr>
              <w:t>6.不适合处理易自聚、易反应等物质（苯乙烯），其会发生自聚现象，产生高沸点交联物质，造成蓄热体堵塞；</w:t>
            </w:r>
          </w:p>
          <w:p w14:paraId="36212B8A">
            <w:pPr>
              <w:pStyle w:val="48"/>
              <w:jc w:val="both"/>
              <w:rPr>
                <w:rFonts w:cs="Times New Roman"/>
              </w:rPr>
            </w:pPr>
            <w:r>
              <w:rPr>
                <w:rFonts w:cs="Times New Roman"/>
              </w:rPr>
              <w:t>7.不适合处理硅烷类物质，燃烧生成固体尘灰会堵塞蓄热陶瓷或切换阀密封面</w:t>
            </w:r>
          </w:p>
        </w:tc>
      </w:tr>
      <w:tr w14:paraId="5519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Align w:val="center"/>
          </w:tcPr>
          <w:p w14:paraId="517DDB3F">
            <w:pPr>
              <w:pStyle w:val="48"/>
              <w:rPr>
                <w:rFonts w:cs="Times New Roman"/>
              </w:rPr>
            </w:pPr>
            <w:r>
              <w:rPr>
                <w:rFonts w:cs="Times New Roman"/>
              </w:rPr>
              <w:t>生物技术</w:t>
            </w:r>
          </w:p>
        </w:tc>
        <w:tc>
          <w:tcPr>
            <w:tcW w:w="1460" w:type="dxa"/>
            <w:vAlign w:val="center"/>
          </w:tcPr>
          <w:p w14:paraId="27CB677F">
            <w:pPr>
              <w:pStyle w:val="48"/>
              <w:rPr>
                <w:rFonts w:cs="Times New Roman"/>
              </w:rPr>
            </w:pPr>
            <w:r>
              <w:rPr>
                <w:rFonts w:cs="Times New Roman"/>
              </w:rPr>
              <w:t>生物处理系统（生物滤床、生物滴滤塔、生物洗涤塔等）</w:t>
            </w:r>
          </w:p>
        </w:tc>
        <w:tc>
          <w:tcPr>
            <w:tcW w:w="2689" w:type="dxa"/>
            <w:vAlign w:val="center"/>
          </w:tcPr>
          <w:p w14:paraId="0C378F33">
            <w:pPr>
              <w:pStyle w:val="48"/>
              <w:jc w:val="both"/>
              <w:rPr>
                <w:rFonts w:cs="Times New Roman"/>
              </w:rPr>
            </w:pPr>
            <w:r>
              <w:rPr>
                <w:rFonts w:cs="Times New Roman"/>
              </w:rPr>
              <w:t>1.设备及操作成本低，操作简单；</w:t>
            </w:r>
          </w:p>
          <w:p w14:paraId="75561EE9">
            <w:pPr>
              <w:pStyle w:val="48"/>
              <w:jc w:val="both"/>
              <w:rPr>
                <w:rFonts w:cs="Times New Roman"/>
              </w:rPr>
            </w:pPr>
            <w:r>
              <w:rPr>
                <w:rFonts w:cs="Times New Roman"/>
              </w:rPr>
              <w:t>2.除更换填料外不产生二次污染；</w:t>
            </w:r>
          </w:p>
          <w:p w14:paraId="5692B73E">
            <w:pPr>
              <w:pStyle w:val="48"/>
              <w:jc w:val="both"/>
              <w:rPr>
                <w:rFonts w:cs="Times New Roman"/>
              </w:rPr>
            </w:pPr>
            <w:r>
              <w:rPr>
                <w:rFonts w:cs="Times New Roman"/>
              </w:rPr>
              <w:t>3.对低浓度恶臭异味去除率高</w:t>
            </w:r>
          </w:p>
        </w:tc>
        <w:tc>
          <w:tcPr>
            <w:tcW w:w="3770" w:type="dxa"/>
            <w:vAlign w:val="center"/>
          </w:tcPr>
          <w:p w14:paraId="45DAECBE">
            <w:pPr>
              <w:pStyle w:val="48"/>
              <w:jc w:val="both"/>
              <w:rPr>
                <w:rFonts w:cs="Times New Roman"/>
              </w:rPr>
            </w:pPr>
            <w:r>
              <w:rPr>
                <w:rFonts w:cs="Times New Roman"/>
              </w:rPr>
              <w:t>1.不适合处理高浓度废气；</w:t>
            </w:r>
          </w:p>
          <w:p w14:paraId="09C72BDD">
            <w:pPr>
              <w:pStyle w:val="48"/>
              <w:jc w:val="both"/>
              <w:rPr>
                <w:rFonts w:cs="Times New Roman"/>
              </w:rPr>
            </w:pPr>
            <w:r>
              <w:rPr>
                <w:rFonts w:cs="Times New Roman"/>
              </w:rPr>
              <w:t>2.普适性差，处理混合废气时菌种不宜选择或驯化；</w:t>
            </w:r>
          </w:p>
          <w:p w14:paraId="797932FF">
            <w:pPr>
              <w:pStyle w:val="48"/>
              <w:jc w:val="both"/>
              <w:rPr>
                <w:rFonts w:cs="Times New Roman"/>
              </w:rPr>
            </w:pPr>
            <w:r>
              <w:rPr>
                <w:rFonts w:cs="Times New Roman"/>
              </w:rPr>
              <w:t>3.对pH控制要求高；</w:t>
            </w:r>
          </w:p>
          <w:p w14:paraId="7A5C683D">
            <w:pPr>
              <w:pStyle w:val="48"/>
              <w:jc w:val="both"/>
              <w:rPr>
                <w:rFonts w:cs="Times New Roman"/>
              </w:rPr>
            </w:pPr>
            <w:r>
              <w:rPr>
                <w:rFonts w:cs="Times New Roman"/>
              </w:rPr>
              <w:t>4.占地广大、滞留时间长、处理负荷低</w:t>
            </w:r>
          </w:p>
        </w:tc>
      </w:tr>
      <w:tr w14:paraId="37C2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Merge w:val="restart"/>
            <w:vAlign w:val="center"/>
          </w:tcPr>
          <w:p w14:paraId="530F1B9B">
            <w:pPr>
              <w:pStyle w:val="48"/>
              <w:rPr>
                <w:rFonts w:cs="Times New Roman"/>
              </w:rPr>
            </w:pPr>
            <w:r>
              <w:rPr>
                <w:rFonts w:cs="Times New Roman"/>
              </w:rPr>
              <w:t>其它</w:t>
            </w:r>
          </w:p>
          <w:p w14:paraId="2254F96C">
            <w:pPr>
              <w:pStyle w:val="48"/>
              <w:rPr>
                <w:rFonts w:cs="Times New Roman"/>
              </w:rPr>
            </w:pPr>
            <w:r>
              <w:rPr>
                <w:rFonts w:cs="Times New Roman"/>
              </w:rPr>
              <w:t>组合</w:t>
            </w:r>
          </w:p>
          <w:p w14:paraId="551FB378">
            <w:pPr>
              <w:pStyle w:val="48"/>
              <w:rPr>
                <w:rFonts w:cs="Times New Roman"/>
              </w:rPr>
            </w:pPr>
            <w:r>
              <w:rPr>
                <w:rFonts w:cs="Times New Roman"/>
              </w:rPr>
              <w:t>技术</w:t>
            </w:r>
          </w:p>
        </w:tc>
        <w:tc>
          <w:tcPr>
            <w:tcW w:w="1460" w:type="dxa"/>
            <w:vAlign w:val="center"/>
          </w:tcPr>
          <w:p w14:paraId="004CE4DD">
            <w:pPr>
              <w:pStyle w:val="48"/>
              <w:rPr>
                <w:rFonts w:cs="Times New Roman"/>
              </w:rPr>
            </w:pPr>
            <w:r>
              <w:rPr>
                <w:rFonts w:cs="Times New Roman"/>
              </w:rPr>
              <w:t>沸石浓缩转轮＋RTO/CO/RCO</w:t>
            </w:r>
          </w:p>
        </w:tc>
        <w:tc>
          <w:tcPr>
            <w:tcW w:w="2689" w:type="dxa"/>
            <w:vAlign w:val="center"/>
          </w:tcPr>
          <w:p w14:paraId="732F012E">
            <w:pPr>
              <w:pStyle w:val="48"/>
              <w:jc w:val="both"/>
              <w:rPr>
                <w:rFonts w:cs="Times New Roman"/>
              </w:rPr>
            </w:pPr>
            <w:r>
              <w:rPr>
                <w:rFonts w:cs="Times New Roman"/>
              </w:rPr>
              <w:t>1.去除效率高；</w:t>
            </w:r>
          </w:p>
          <w:p w14:paraId="2CB5EAD9">
            <w:pPr>
              <w:pStyle w:val="48"/>
              <w:jc w:val="both"/>
              <w:rPr>
                <w:rFonts w:cs="Times New Roman"/>
              </w:rPr>
            </w:pPr>
            <w:r>
              <w:rPr>
                <w:rFonts w:cs="Times New Roman"/>
              </w:rPr>
              <w:t>2.适用于大风量低浓度废气；</w:t>
            </w:r>
          </w:p>
          <w:p w14:paraId="491FA410">
            <w:pPr>
              <w:pStyle w:val="48"/>
              <w:jc w:val="both"/>
              <w:rPr>
                <w:rFonts w:cs="Times New Roman"/>
              </w:rPr>
            </w:pPr>
            <w:r>
              <w:rPr>
                <w:rFonts w:cs="Times New Roman"/>
              </w:rPr>
              <w:t>3.燃料费较省；</w:t>
            </w:r>
          </w:p>
          <w:p w14:paraId="1C2E8A44">
            <w:pPr>
              <w:pStyle w:val="48"/>
              <w:jc w:val="both"/>
              <w:rPr>
                <w:rFonts w:cs="Times New Roman"/>
              </w:rPr>
            </w:pPr>
            <w:r>
              <w:rPr>
                <w:rFonts w:cs="Times New Roman"/>
              </w:rPr>
              <w:t>4.运行费用较低</w:t>
            </w:r>
          </w:p>
        </w:tc>
        <w:tc>
          <w:tcPr>
            <w:tcW w:w="3770" w:type="dxa"/>
            <w:vAlign w:val="center"/>
          </w:tcPr>
          <w:p w14:paraId="6ECEB190">
            <w:pPr>
              <w:pStyle w:val="48"/>
              <w:jc w:val="both"/>
              <w:rPr>
                <w:rFonts w:cs="Times New Roman"/>
              </w:rPr>
            </w:pPr>
            <w:r>
              <w:rPr>
                <w:rFonts w:cs="Times New Roman"/>
              </w:rPr>
              <w:t>1.处理含高沸点或易聚合化合物时，转轮需定期处理和维护；</w:t>
            </w:r>
          </w:p>
          <w:p w14:paraId="74920122">
            <w:pPr>
              <w:pStyle w:val="48"/>
              <w:jc w:val="both"/>
              <w:rPr>
                <w:rFonts w:cs="Times New Roman"/>
              </w:rPr>
            </w:pPr>
            <w:r>
              <w:rPr>
                <w:rFonts w:cs="Times New Roman"/>
              </w:rPr>
              <w:t>2.处理含高沸点或易聚合化合物时，转轮寿命短；</w:t>
            </w:r>
          </w:p>
          <w:p w14:paraId="7B40E174">
            <w:pPr>
              <w:pStyle w:val="48"/>
              <w:jc w:val="both"/>
              <w:rPr>
                <w:rFonts w:cs="Times New Roman"/>
              </w:rPr>
            </w:pPr>
            <w:r>
              <w:rPr>
                <w:rFonts w:cs="Times New Roman"/>
              </w:rPr>
              <w:t>3.对于极低浓度的恶臭异味废气处理，运行费用较高</w:t>
            </w:r>
          </w:p>
        </w:tc>
      </w:tr>
      <w:tr w14:paraId="312E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Merge w:val="continue"/>
            <w:vAlign w:val="center"/>
          </w:tcPr>
          <w:p w14:paraId="0EC963A7">
            <w:pPr>
              <w:pStyle w:val="48"/>
              <w:rPr>
                <w:rFonts w:cs="Times New Roman"/>
              </w:rPr>
            </w:pPr>
          </w:p>
        </w:tc>
        <w:tc>
          <w:tcPr>
            <w:tcW w:w="1460" w:type="dxa"/>
            <w:vAlign w:val="center"/>
          </w:tcPr>
          <w:p w14:paraId="7297E294">
            <w:pPr>
              <w:pStyle w:val="48"/>
              <w:rPr>
                <w:rFonts w:cs="Times New Roman"/>
              </w:rPr>
            </w:pPr>
            <w:r>
              <w:rPr>
                <w:rFonts w:cs="Times New Roman"/>
              </w:rPr>
              <w:t>活性炭+CO</w:t>
            </w:r>
          </w:p>
        </w:tc>
        <w:tc>
          <w:tcPr>
            <w:tcW w:w="2689" w:type="dxa"/>
            <w:vAlign w:val="center"/>
          </w:tcPr>
          <w:p w14:paraId="7FD8872F">
            <w:pPr>
              <w:pStyle w:val="48"/>
              <w:jc w:val="both"/>
              <w:rPr>
                <w:rFonts w:cs="Times New Roman"/>
              </w:rPr>
            </w:pPr>
            <w:r>
              <w:rPr>
                <w:rFonts w:cs="Times New Roman"/>
              </w:rPr>
              <w:t>1.适用于低浓度废气处理；</w:t>
            </w:r>
          </w:p>
          <w:p w14:paraId="5DA492B5">
            <w:pPr>
              <w:pStyle w:val="48"/>
              <w:jc w:val="both"/>
              <w:rPr>
                <w:rFonts w:cs="Times New Roman"/>
              </w:rPr>
            </w:pPr>
            <w:r>
              <w:rPr>
                <w:rFonts w:cs="Times New Roman"/>
              </w:rPr>
              <w:t>2.一次性投资费用低；</w:t>
            </w:r>
          </w:p>
          <w:p w14:paraId="69C1E283">
            <w:pPr>
              <w:pStyle w:val="48"/>
              <w:jc w:val="both"/>
              <w:rPr>
                <w:rFonts w:cs="Times New Roman"/>
              </w:rPr>
            </w:pPr>
            <w:r>
              <w:rPr>
                <w:rFonts w:cs="Times New Roman"/>
              </w:rPr>
              <w:t>3.运行费用较低；</w:t>
            </w:r>
          </w:p>
          <w:p w14:paraId="713BC8CC">
            <w:pPr>
              <w:pStyle w:val="48"/>
              <w:jc w:val="both"/>
              <w:rPr>
                <w:rFonts w:cs="Times New Roman"/>
              </w:rPr>
            </w:pPr>
            <w:r>
              <w:rPr>
                <w:rFonts w:cs="Times New Roman"/>
              </w:rPr>
              <w:t>4.净化效率较高（≥90%）</w:t>
            </w:r>
          </w:p>
        </w:tc>
        <w:tc>
          <w:tcPr>
            <w:tcW w:w="3770" w:type="dxa"/>
            <w:vAlign w:val="center"/>
          </w:tcPr>
          <w:p w14:paraId="55F18FB7">
            <w:pPr>
              <w:pStyle w:val="48"/>
              <w:jc w:val="both"/>
              <w:rPr>
                <w:rFonts w:cs="Times New Roman"/>
              </w:rPr>
            </w:pPr>
            <w:r>
              <w:rPr>
                <w:rFonts w:cs="Times New Roman"/>
              </w:rPr>
              <w:t>1.活性炭和催化剂需定期更换；</w:t>
            </w:r>
          </w:p>
          <w:p w14:paraId="4D0273EF">
            <w:pPr>
              <w:pStyle w:val="48"/>
              <w:jc w:val="both"/>
              <w:rPr>
                <w:rFonts w:cs="Times New Roman"/>
              </w:rPr>
            </w:pPr>
            <w:r>
              <w:rPr>
                <w:rFonts w:cs="Times New Roman"/>
              </w:rPr>
              <w:t>2.不适合含颗粒物状废气；</w:t>
            </w:r>
          </w:p>
          <w:p w14:paraId="1A360844">
            <w:pPr>
              <w:pStyle w:val="48"/>
              <w:jc w:val="both"/>
              <w:rPr>
                <w:rFonts w:cs="Times New Roman"/>
              </w:rPr>
            </w:pPr>
            <w:r>
              <w:rPr>
                <w:rFonts w:cs="Times New Roman"/>
              </w:rPr>
              <w:t>3.不适合处理含硫、卤素、重金属、油雾、以及高沸点、易聚合化合物的废气；</w:t>
            </w:r>
          </w:p>
          <w:p w14:paraId="53233FD4">
            <w:pPr>
              <w:pStyle w:val="48"/>
              <w:jc w:val="both"/>
              <w:rPr>
                <w:rFonts w:cs="Times New Roman"/>
              </w:rPr>
            </w:pPr>
            <w:r>
              <w:rPr>
                <w:rFonts w:cs="Times New Roman"/>
              </w:rPr>
              <w:t>4.若采用热空气再生，不适合环己酮等酮类化合物的处理</w:t>
            </w:r>
          </w:p>
        </w:tc>
      </w:tr>
      <w:tr w14:paraId="7DE7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Merge w:val="continue"/>
            <w:vAlign w:val="center"/>
          </w:tcPr>
          <w:p w14:paraId="24921FA7">
            <w:pPr>
              <w:pStyle w:val="48"/>
              <w:rPr>
                <w:rFonts w:cs="Times New Roman"/>
              </w:rPr>
            </w:pPr>
          </w:p>
        </w:tc>
        <w:tc>
          <w:tcPr>
            <w:tcW w:w="1460" w:type="dxa"/>
            <w:vAlign w:val="center"/>
          </w:tcPr>
          <w:p w14:paraId="47D05FDE">
            <w:pPr>
              <w:pStyle w:val="47"/>
              <w:rPr>
                <w:color w:val="auto"/>
              </w:rPr>
            </w:pPr>
            <w:r>
              <w:rPr>
                <w:color w:val="auto"/>
              </w:rPr>
              <w:t>冷凝+吸附回收</w:t>
            </w:r>
          </w:p>
        </w:tc>
        <w:tc>
          <w:tcPr>
            <w:tcW w:w="2689" w:type="dxa"/>
            <w:vAlign w:val="center"/>
          </w:tcPr>
          <w:p w14:paraId="1F9D0BEA">
            <w:pPr>
              <w:pStyle w:val="47"/>
              <w:jc w:val="both"/>
              <w:rPr>
                <w:color w:val="auto"/>
              </w:rPr>
            </w:pPr>
            <w:r>
              <w:rPr>
                <w:color w:val="auto"/>
              </w:rPr>
              <w:t>1.回收率高，有经济效益；</w:t>
            </w:r>
          </w:p>
          <w:p w14:paraId="1DBEB9D8">
            <w:pPr>
              <w:pStyle w:val="47"/>
              <w:jc w:val="both"/>
              <w:rPr>
                <w:color w:val="auto"/>
              </w:rPr>
            </w:pPr>
            <w:r>
              <w:rPr>
                <w:color w:val="auto"/>
              </w:rPr>
              <w:t>2.适用于高沸点、高浓度废气处理；</w:t>
            </w:r>
          </w:p>
          <w:p w14:paraId="6BBBB00D">
            <w:pPr>
              <w:pStyle w:val="47"/>
              <w:jc w:val="both"/>
              <w:rPr>
                <w:color w:val="auto"/>
              </w:rPr>
            </w:pPr>
            <w:r>
              <w:rPr>
                <w:color w:val="auto"/>
              </w:rPr>
              <w:t>3.低温下吸附处理VOCs气体，安全性高</w:t>
            </w:r>
          </w:p>
        </w:tc>
        <w:tc>
          <w:tcPr>
            <w:tcW w:w="3770" w:type="dxa"/>
            <w:vAlign w:val="center"/>
          </w:tcPr>
          <w:p w14:paraId="40F15ECA">
            <w:pPr>
              <w:pStyle w:val="47"/>
              <w:jc w:val="both"/>
              <w:rPr>
                <w:color w:val="auto"/>
              </w:rPr>
            </w:pPr>
            <w:r>
              <w:rPr>
                <w:color w:val="auto"/>
              </w:rPr>
              <w:t>1.单一冷凝要达标需要到很低的温度，能耗高；</w:t>
            </w:r>
          </w:p>
          <w:p w14:paraId="1A5E0EAD">
            <w:pPr>
              <w:pStyle w:val="47"/>
              <w:jc w:val="both"/>
              <w:rPr>
                <w:color w:val="auto"/>
              </w:rPr>
            </w:pPr>
            <w:r>
              <w:rPr>
                <w:color w:val="auto"/>
              </w:rPr>
              <w:t>2.净化程度受冷凝温度限制、运行成本高；</w:t>
            </w:r>
          </w:p>
          <w:p w14:paraId="1A607E83">
            <w:pPr>
              <w:pStyle w:val="47"/>
              <w:jc w:val="both"/>
              <w:rPr>
                <w:color w:val="auto"/>
              </w:rPr>
            </w:pPr>
            <w:r>
              <w:rPr>
                <w:color w:val="auto"/>
              </w:rPr>
              <w:t>3.需要有附设的冷冻设备，投资大、能耗高、运行费用大</w:t>
            </w:r>
          </w:p>
        </w:tc>
      </w:tr>
    </w:tbl>
    <w:p w14:paraId="17AA6BC0">
      <w:pPr>
        <w:spacing w:before="1" w:line="360" w:lineRule="auto"/>
        <w:ind w:firstLine="480" w:firstLineChars="200"/>
        <w:rPr>
          <w:rFonts w:ascii="Times New Roman" w:hAnsi="Times New Roman" w:cs="Times New Roman"/>
          <w:sz w:val="24"/>
        </w:rPr>
      </w:pPr>
      <w:r>
        <w:rPr>
          <w:rFonts w:hint="eastAsia" w:ascii="Times New Roman" w:hAnsi="Times New Roman" w:cs="Times New Roman"/>
          <w:sz w:val="24"/>
        </w:rPr>
        <w:t>本</w:t>
      </w:r>
      <w:r>
        <w:rPr>
          <w:rFonts w:ascii="Times New Roman" w:hAnsi="Times New Roman" w:cs="Times New Roman"/>
          <w:sz w:val="24"/>
        </w:rPr>
        <w:t>项目</w:t>
      </w:r>
      <w:r>
        <w:rPr>
          <w:rFonts w:hint="eastAsia" w:ascii="Times New Roman" w:hAnsi="Times New Roman" w:cs="Times New Roman"/>
          <w:sz w:val="24"/>
        </w:rPr>
        <w:t>调漆、</w:t>
      </w:r>
      <w:r>
        <w:rPr>
          <w:rFonts w:ascii="Times New Roman" w:hAnsi="Times New Roman" w:cs="Times New Roman"/>
          <w:sz w:val="24"/>
        </w:rPr>
        <w:t>喷漆、晾干有机废气特点是风量大、浓度低，故采用活性炭吸附处理，因活性炭吸附后可能会产生二次污染，因此，再经浓缩吸附催化燃烧净化装置（活性炭吸附+浓缩脱附+催化燃烧）+15m高排气筒进行处理。既减少了废活性炭的产生量，又将有机废气彻底催化分解，防止二次污染。</w:t>
      </w:r>
      <w:r>
        <w:rPr>
          <w:rFonts w:hint="eastAsia" w:ascii="Times New Roman" w:hAnsi="Times New Roman" w:cs="Times New Roman"/>
          <w:sz w:val="24"/>
        </w:rPr>
        <w:t>根据《工业涂装工序挥发性有机物污染防治 技术规范》（DB41/T 1946-2020），本项目采取的有机废气治理措施属于典型处理技术路线。</w:t>
      </w:r>
    </w:p>
    <w:p w14:paraId="45FDF28F">
      <w:pPr>
        <w:spacing w:before="1" w:line="360" w:lineRule="auto"/>
        <w:ind w:firstLine="480" w:firstLineChars="200"/>
        <w:rPr>
          <w:rFonts w:ascii="Times New Roman" w:hAnsi="Times New Roman" w:cs="Times New Roman"/>
          <w:sz w:val="24"/>
        </w:rPr>
      </w:pPr>
      <w:r>
        <w:rPr>
          <w:rFonts w:hint="eastAsia" w:ascii="Times New Roman" w:hAnsi="Times New Roman" w:cs="Times New Roman"/>
          <w:sz w:val="24"/>
        </w:rPr>
        <w:t>根据建设单位提供的由山东顺弘越华环保设备科技有限公司编制的《清丰汉玉伟木家具有限公司活性炭吸附脱附催化燃烧系统方案》，本项目有机废气采用“</w:t>
      </w:r>
      <w:r>
        <w:rPr>
          <w:rFonts w:hint="eastAsia" w:ascii="Times New Roman" w:hAnsi="Times New Roman" w:cs="Times New Roman"/>
          <w:sz w:val="24"/>
          <w:lang w:val="en-US" w:eastAsia="zh-CN"/>
        </w:rPr>
        <w:t>过滤+</w:t>
      </w:r>
      <w:r>
        <w:rPr>
          <w:rFonts w:hint="eastAsia" w:ascii="Times New Roman" w:hAnsi="Times New Roman" w:cs="Times New Roman"/>
          <w:sz w:val="24"/>
        </w:rPr>
        <w:t>活性炭吸附浓缩脱附+催化燃烧装置”工艺进行处理。</w:t>
      </w:r>
    </w:p>
    <w:p w14:paraId="1BAA3BFB">
      <w:pPr>
        <w:spacing w:before="1" w:line="360" w:lineRule="auto"/>
        <w:ind w:firstLine="482" w:firstLineChars="200"/>
        <w:rPr>
          <w:rFonts w:ascii="Times New Roman" w:hAnsi="Times New Roman" w:cs="Times New Roman"/>
          <w:b/>
          <w:bCs/>
          <w:sz w:val="24"/>
          <w:u w:val="single"/>
        </w:rPr>
      </w:pPr>
      <w:r>
        <w:rPr>
          <w:rFonts w:hint="eastAsia" w:ascii="Times New Roman" w:hAnsi="Times New Roman" w:cs="Times New Roman"/>
          <w:b/>
          <w:bCs/>
          <w:sz w:val="24"/>
          <w:u w:val="single"/>
          <w:lang w:eastAsia="zh-CN"/>
        </w:rPr>
        <w:t>由喷漆房烘干房及烘干房产生的未经处理的VOCs 废气，在末端风机的作用下经管道进入高压水旋装置，高压水旋喷淋过滤装置水喷淋层去除喷漆房水帘未能处理的油漆颗粒物，去除后废气经过管道再次进入干式过滤装置，干式过滤装置设计两道袋式过滤器，袋式过滤器通过物理过滤形式去除粒径＞1</w:t>
      </w:r>
      <w:r>
        <w:rPr>
          <w:rFonts w:hint="eastAsia" w:ascii="Times New Roman" w:hAnsi="Times New Roman" w:cs="Times New Roman"/>
          <w:b/>
          <w:bCs/>
          <w:sz w:val="24"/>
          <w:u w:val="single"/>
        </w:rPr>
        <w:t>μ</w:t>
      </w:r>
      <w:r>
        <w:rPr>
          <w:rFonts w:hint="eastAsia" w:ascii="Times New Roman" w:hAnsi="Times New Roman" w:cs="Times New Roman"/>
          <w:b/>
          <w:bCs/>
          <w:sz w:val="24"/>
          <w:u w:val="single"/>
          <w:lang w:eastAsia="zh-CN"/>
        </w:rPr>
        <w:t>m 的颗粒物，这时废气中的颗粒物基本被拦截，在末端风机的左右下进入活性炭吸附模组。</w:t>
      </w:r>
    </w:p>
    <w:p w14:paraId="5943AF77">
      <w:pPr>
        <w:spacing w:before="1" w:line="360" w:lineRule="auto"/>
        <w:ind w:firstLine="480" w:firstLineChars="200"/>
        <w:rPr>
          <w:rFonts w:ascii="Times New Roman" w:hAnsi="Times New Roman" w:cs="Times New Roman"/>
          <w:sz w:val="24"/>
        </w:rPr>
      </w:pPr>
      <w:r>
        <w:rPr>
          <w:rFonts w:ascii="Times New Roman" w:hAnsi="Times New Roman" w:cs="Times New Roman"/>
          <w:sz w:val="24"/>
        </w:rPr>
        <w:t>（1）原理特点及工艺说明</w:t>
      </w:r>
    </w:p>
    <w:p w14:paraId="7A60E49A">
      <w:pPr>
        <w:spacing w:line="360" w:lineRule="auto"/>
        <w:ind w:firstLine="480" w:firstLineChars="200"/>
        <w:jc w:val="left"/>
        <w:rPr>
          <w:rFonts w:ascii="宋体" w:hAnsi="宋体" w:eastAsia="宋体"/>
          <w:sz w:val="24"/>
        </w:rPr>
      </w:pPr>
      <w:r>
        <w:rPr>
          <w:rFonts w:hint="eastAsia" w:ascii="宋体" w:hAnsi="宋体" w:eastAsia="宋体"/>
          <w:sz w:val="24"/>
        </w:rPr>
        <w:t>蜂窝活性炭吸附床：经过过滤后的废气进入蜂窝活性炭吸附床进行吸附净化，吸附净化的洁净气体排放烟囱。而吸附在蜂窝活性炭上的有机物，按照设定时间，利用高温气体（约</w:t>
      </w:r>
      <w:r>
        <w:rPr>
          <w:rFonts w:hint="eastAsia" w:ascii="TimesNewRomanPSMT" w:hAnsi="TimesNewRomanPSMT" w:eastAsia="TimesNewRomanPSMT"/>
          <w:sz w:val="24"/>
        </w:rPr>
        <w:t>120</w:t>
      </w:r>
      <w:r>
        <w:rPr>
          <w:rFonts w:hint="eastAsia" w:ascii="宋体" w:hAnsi="宋体" w:eastAsia="宋体"/>
          <w:sz w:val="24"/>
        </w:rPr>
        <w:t>℃）对其脱附，脱附热量由催化氧化设备放出的热量提供，可大大节省设备的运行成本。脱附结束后，为保证吸附床恢复吸附性能，需要对床层冷却降温。</w:t>
      </w:r>
    </w:p>
    <w:tbl>
      <w:tblPr>
        <w:tblStyle w:val="30"/>
        <w:tblpPr w:leftFromText="180" w:rightFromText="180" w:vertAnchor="text" w:horzAnchor="page" w:tblpXSpec="center" w:tblpY="175"/>
        <w:tblOverlap w:val="never"/>
        <w:tblW w:w="8322" w:type="dxa"/>
        <w:jc w:val="center"/>
        <w:tblLayout w:type="fixed"/>
        <w:tblCellMar>
          <w:top w:w="0" w:type="dxa"/>
          <w:left w:w="0" w:type="dxa"/>
          <w:bottom w:w="0" w:type="dxa"/>
          <w:right w:w="0" w:type="dxa"/>
        </w:tblCellMar>
      </w:tblPr>
      <w:tblGrid>
        <w:gridCol w:w="5143"/>
        <w:gridCol w:w="3179"/>
      </w:tblGrid>
      <w:tr w14:paraId="0EA3DF5E">
        <w:tblPrEx>
          <w:tblCellMar>
            <w:top w:w="0" w:type="dxa"/>
            <w:left w:w="0" w:type="dxa"/>
            <w:bottom w:w="0" w:type="dxa"/>
            <w:right w:w="0" w:type="dxa"/>
          </w:tblCellMar>
        </w:tblPrEx>
        <w:trPr>
          <w:trHeight w:val="345" w:hRule="atLeast"/>
          <w:jc w:val="center"/>
        </w:trPr>
        <w:tc>
          <w:tcPr>
            <w:tcW w:w="832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14:paraId="42360AE4">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蜂窝式活性炭参数表</w:t>
            </w:r>
          </w:p>
        </w:tc>
      </w:tr>
      <w:tr w14:paraId="35759ECF">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220DAB55">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项 目 </w:t>
            </w:r>
            <w:r>
              <w:rPr>
                <w:rStyle w:val="57"/>
                <w:rFonts w:eastAsia="宋体"/>
                <w:sz w:val="21"/>
                <w:szCs w:val="21"/>
                <w:lang w:bidi="ar"/>
              </w:rPr>
              <w:t>Subject</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57564C23">
            <w:pPr>
              <w:widowControl/>
              <w:jc w:val="center"/>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指 标 </w:t>
            </w:r>
          </w:p>
        </w:tc>
      </w:tr>
      <w:tr w14:paraId="1F271B78">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07CB9860">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规 格 </w:t>
            </w:r>
            <w:r>
              <w:rPr>
                <w:rStyle w:val="57"/>
                <w:rFonts w:eastAsia="宋体"/>
                <w:sz w:val="21"/>
                <w:szCs w:val="21"/>
                <w:lang w:bidi="ar"/>
              </w:rPr>
              <w:t xml:space="preserve">Specification </w:t>
            </w:r>
            <w:r>
              <w:rPr>
                <w:rStyle w:val="56"/>
                <w:rFonts w:eastAsia="宋体"/>
                <w:sz w:val="21"/>
                <w:szCs w:val="21"/>
                <w:lang w:bidi="ar"/>
              </w:rPr>
              <w:t>（</w:t>
            </w:r>
            <w:r>
              <w:rPr>
                <w:rStyle w:val="57"/>
                <w:rFonts w:eastAsia="宋体"/>
                <w:sz w:val="21"/>
                <w:szCs w:val="21"/>
                <w:lang w:bidi="ar"/>
              </w:rPr>
              <w:t>mm</w:t>
            </w:r>
            <w:r>
              <w:rPr>
                <w:rStyle w:val="56"/>
                <w:rFonts w:eastAsia="宋体"/>
                <w:sz w:val="21"/>
                <w:szCs w:val="21"/>
                <w:lang w:bidi="ar"/>
              </w:rPr>
              <w:t>）</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7A88FF40">
            <w:pPr>
              <w:widowControl/>
              <w:jc w:val="center"/>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100*100*100</w:t>
            </w:r>
          </w:p>
        </w:tc>
      </w:tr>
      <w:tr w14:paraId="36AB3258">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109013AC">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比表面积 </w:t>
            </w:r>
            <w:r>
              <w:rPr>
                <w:rStyle w:val="57"/>
                <w:rFonts w:eastAsia="宋体"/>
                <w:sz w:val="21"/>
                <w:szCs w:val="21"/>
                <w:lang w:bidi="ar"/>
              </w:rPr>
              <w:t>Specific Surface Area (</w:t>
            </w:r>
            <w:r>
              <w:rPr>
                <w:rStyle w:val="56"/>
                <w:rFonts w:eastAsia="宋体"/>
                <w:sz w:val="21"/>
                <w:szCs w:val="21"/>
                <w:lang w:bidi="ar"/>
              </w:rPr>
              <w:t>㎡</w:t>
            </w:r>
            <w:r>
              <w:rPr>
                <w:rStyle w:val="57"/>
                <w:rFonts w:eastAsia="宋体"/>
                <w:sz w:val="21"/>
                <w:szCs w:val="21"/>
                <w:lang w:bidi="ar"/>
              </w:rPr>
              <w:t>/g)</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44EACFE0">
            <w:pPr>
              <w:widowControl/>
              <w:jc w:val="center"/>
              <w:textAlignment w:val="top"/>
              <w:rPr>
                <w:rFonts w:ascii="Times New Roman" w:hAnsi="Times New Roman" w:eastAsia="宋体" w:cs="Times New Roman"/>
                <w:color w:val="333333"/>
                <w:szCs w:val="21"/>
                <w:lang w:bidi="ar"/>
              </w:rPr>
            </w:pPr>
            <w:r>
              <w:rPr>
                <w:rFonts w:ascii="Times New Roman" w:hAnsi="Times New Roman" w:eastAsia="宋体" w:cs="Times New Roman"/>
                <w:color w:val="333333"/>
                <w:szCs w:val="21"/>
                <w:lang w:bidi="ar"/>
              </w:rPr>
              <w:t>≥850</w:t>
            </w:r>
          </w:p>
        </w:tc>
      </w:tr>
      <w:tr w14:paraId="22B80E09">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73CF9CAF">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四氯化碳 </w:t>
            </w:r>
            <w:r>
              <w:rPr>
                <w:rStyle w:val="57"/>
                <w:rFonts w:eastAsia="宋体"/>
                <w:sz w:val="21"/>
                <w:szCs w:val="21"/>
                <w:lang w:bidi="ar"/>
              </w:rPr>
              <w:t>CTC (%)</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71951E66">
            <w:pPr>
              <w:widowControl/>
              <w:jc w:val="center"/>
              <w:textAlignment w:val="top"/>
              <w:rPr>
                <w:rFonts w:ascii="Times New Roman" w:hAnsi="Times New Roman" w:eastAsia="宋体" w:cs="Times New Roman"/>
                <w:color w:val="333333"/>
                <w:szCs w:val="21"/>
                <w:lang w:bidi="ar"/>
              </w:rPr>
            </w:pPr>
            <w:r>
              <w:rPr>
                <w:rFonts w:ascii="Times New Roman" w:hAnsi="Times New Roman" w:eastAsia="宋体" w:cs="Times New Roman"/>
                <w:color w:val="333333"/>
                <w:szCs w:val="21"/>
                <w:lang w:bidi="ar"/>
              </w:rPr>
              <w:t>≥45</w:t>
            </w:r>
          </w:p>
        </w:tc>
      </w:tr>
      <w:tr w14:paraId="64BC2B69">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256FD659">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抗压强度 </w:t>
            </w:r>
            <w:r>
              <w:rPr>
                <w:rStyle w:val="57"/>
                <w:rFonts w:eastAsia="宋体"/>
                <w:sz w:val="21"/>
                <w:szCs w:val="21"/>
                <w:lang w:bidi="ar"/>
              </w:rPr>
              <w:t>Compressive strength(mpa)</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28649ABE">
            <w:pPr>
              <w:widowControl/>
              <w:jc w:val="center"/>
              <w:textAlignment w:val="top"/>
              <w:rPr>
                <w:rFonts w:ascii="Times New Roman" w:hAnsi="Times New Roman" w:eastAsia="宋体" w:cs="Times New Roman"/>
                <w:color w:val="333333"/>
                <w:szCs w:val="21"/>
                <w:lang w:bidi="ar"/>
              </w:rPr>
            </w:pPr>
            <w:r>
              <w:rPr>
                <w:rFonts w:ascii="Times New Roman" w:hAnsi="Times New Roman" w:eastAsia="宋体" w:cs="Times New Roman"/>
                <w:color w:val="333333"/>
                <w:szCs w:val="21"/>
                <w:lang w:bidi="ar"/>
              </w:rPr>
              <w:t>0.9</w:t>
            </w:r>
          </w:p>
        </w:tc>
      </w:tr>
      <w:tr w14:paraId="2BE7B844">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00462116">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水份 </w:t>
            </w:r>
            <w:r>
              <w:rPr>
                <w:rStyle w:val="57"/>
                <w:rFonts w:eastAsia="宋体"/>
                <w:sz w:val="21"/>
                <w:szCs w:val="21"/>
                <w:lang w:bidi="ar"/>
              </w:rPr>
              <w:t>Moisture (%)</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4DBD93BC">
            <w:pPr>
              <w:widowControl/>
              <w:jc w:val="center"/>
              <w:textAlignment w:val="top"/>
              <w:rPr>
                <w:rFonts w:ascii="Times New Roman" w:hAnsi="Times New Roman" w:eastAsia="宋体" w:cs="Times New Roman"/>
                <w:color w:val="333333"/>
                <w:szCs w:val="21"/>
                <w:lang w:bidi="ar"/>
              </w:rPr>
            </w:pPr>
            <w:r>
              <w:rPr>
                <w:rFonts w:ascii="Times New Roman" w:hAnsi="Times New Roman" w:eastAsia="宋体" w:cs="Times New Roman"/>
                <w:color w:val="333333"/>
                <w:szCs w:val="21"/>
                <w:lang w:bidi="ar"/>
              </w:rPr>
              <w:t>≤5</w:t>
            </w:r>
          </w:p>
        </w:tc>
      </w:tr>
      <w:tr w14:paraId="3A5EF008">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1A7B10E5">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方孔 </w:t>
            </w:r>
            <w:r>
              <w:rPr>
                <w:rStyle w:val="57"/>
                <w:rFonts w:eastAsia="宋体"/>
                <w:sz w:val="21"/>
                <w:szCs w:val="21"/>
                <w:lang w:bidi="ar"/>
              </w:rPr>
              <w:t>Square hole (in)2</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2D410E3F">
            <w:pPr>
              <w:widowControl/>
              <w:jc w:val="center"/>
              <w:textAlignment w:val="top"/>
              <w:rPr>
                <w:rFonts w:ascii="Times New Roman" w:hAnsi="Times New Roman" w:eastAsia="宋体" w:cs="Times New Roman"/>
                <w:color w:val="333333"/>
                <w:szCs w:val="21"/>
                <w:lang w:bidi="ar"/>
              </w:rPr>
            </w:pPr>
            <w:r>
              <w:rPr>
                <w:rFonts w:ascii="Times New Roman" w:hAnsi="Times New Roman" w:eastAsia="宋体" w:cs="Times New Roman"/>
                <w:color w:val="333333"/>
                <w:szCs w:val="21"/>
                <w:lang w:bidi="ar"/>
              </w:rPr>
              <w:t>100</w:t>
            </w:r>
          </w:p>
        </w:tc>
      </w:tr>
      <w:tr w14:paraId="043DD58F">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793AA693">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壁 厚 </w:t>
            </w:r>
            <w:r>
              <w:rPr>
                <w:rStyle w:val="57"/>
                <w:rFonts w:eastAsia="宋体"/>
                <w:sz w:val="21"/>
                <w:szCs w:val="21"/>
                <w:lang w:bidi="ar"/>
              </w:rPr>
              <w:t>Wall thickness (mm)</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5039AD38">
            <w:pPr>
              <w:widowControl/>
              <w:jc w:val="center"/>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1</w:t>
            </w:r>
          </w:p>
        </w:tc>
      </w:tr>
      <w:tr w14:paraId="7C50090E">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7DA43928">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使用温度 </w:t>
            </w:r>
            <w:r>
              <w:rPr>
                <w:rStyle w:val="57"/>
                <w:rFonts w:eastAsia="宋体"/>
                <w:sz w:val="21"/>
                <w:szCs w:val="21"/>
                <w:lang w:bidi="ar"/>
              </w:rPr>
              <w:t>Temperature (</w:t>
            </w:r>
            <w:r>
              <w:rPr>
                <w:rStyle w:val="55"/>
                <w:rFonts w:eastAsia="宋体"/>
                <w:sz w:val="21"/>
                <w:szCs w:val="21"/>
                <w:lang w:bidi="ar"/>
              </w:rPr>
              <w:t>℃</w:t>
            </w:r>
            <w:r>
              <w:rPr>
                <w:rStyle w:val="57"/>
                <w:rFonts w:eastAsia="宋体"/>
                <w:sz w:val="21"/>
                <w:szCs w:val="21"/>
                <w:lang w:bidi="ar"/>
              </w:rPr>
              <w:t>)</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77852454">
            <w:pPr>
              <w:widowControl/>
              <w:jc w:val="center"/>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≤400</w:t>
            </w:r>
          </w:p>
        </w:tc>
      </w:tr>
      <w:tr w14:paraId="1B0B9998">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5D8511D3">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 xml:space="preserve">体积密度 </w:t>
            </w:r>
            <w:r>
              <w:rPr>
                <w:rStyle w:val="57"/>
                <w:rFonts w:eastAsia="宋体"/>
                <w:sz w:val="21"/>
                <w:szCs w:val="21"/>
                <w:lang w:bidi="ar"/>
              </w:rPr>
              <w:t>Bulk Density g/cm3</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02784168">
            <w:pPr>
              <w:widowControl/>
              <w:jc w:val="center"/>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0.42-0.60</w:t>
            </w:r>
          </w:p>
        </w:tc>
      </w:tr>
      <w:tr w14:paraId="6F6FE23A">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77632CB0">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空塔风速</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10290707">
            <w:pPr>
              <w:widowControl/>
              <w:jc w:val="center"/>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0.8米/秒</w:t>
            </w:r>
          </w:p>
        </w:tc>
      </w:tr>
      <w:tr w14:paraId="7C4362BB">
        <w:tblPrEx>
          <w:tblCellMar>
            <w:top w:w="0" w:type="dxa"/>
            <w:left w:w="0" w:type="dxa"/>
            <w:bottom w:w="0" w:type="dxa"/>
            <w:right w:w="0" w:type="dxa"/>
          </w:tblCellMar>
        </w:tblPrEx>
        <w:trPr>
          <w:trHeight w:val="340" w:hRule="atLeast"/>
          <w:jc w:val="center"/>
        </w:trPr>
        <w:tc>
          <w:tcPr>
            <w:tcW w:w="514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05305FBB">
            <w:pPr>
              <w:widowControl/>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脱附温度</w:t>
            </w:r>
            <w:r>
              <w:rPr>
                <w:rStyle w:val="57"/>
                <w:rFonts w:eastAsia="宋体"/>
                <w:sz w:val="21"/>
                <w:szCs w:val="21"/>
                <w:lang w:bidi="ar"/>
              </w:rPr>
              <w:t xml:space="preserve"> Temperature (</w:t>
            </w:r>
            <w:r>
              <w:rPr>
                <w:rStyle w:val="55"/>
                <w:rFonts w:eastAsia="宋体"/>
                <w:sz w:val="21"/>
                <w:szCs w:val="21"/>
                <w:lang w:bidi="ar"/>
              </w:rPr>
              <w:t>℃</w:t>
            </w:r>
            <w:r>
              <w:rPr>
                <w:rStyle w:val="57"/>
                <w:rFonts w:eastAsia="宋体"/>
                <w:sz w:val="21"/>
                <w:szCs w:val="21"/>
                <w:lang w:bidi="ar"/>
              </w:rPr>
              <w:t>)</w:t>
            </w:r>
          </w:p>
        </w:tc>
        <w:tc>
          <w:tcPr>
            <w:tcW w:w="31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14:paraId="0FA4E360">
            <w:pPr>
              <w:widowControl/>
              <w:jc w:val="center"/>
              <w:textAlignment w:val="top"/>
              <w:rPr>
                <w:rFonts w:ascii="Times New Roman" w:hAnsi="Times New Roman" w:eastAsia="宋体" w:cs="Times New Roman"/>
                <w:color w:val="333333"/>
                <w:szCs w:val="21"/>
              </w:rPr>
            </w:pPr>
            <w:r>
              <w:rPr>
                <w:rFonts w:ascii="Times New Roman" w:hAnsi="Times New Roman" w:eastAsia="宋体" w:cs="Times New Roman"/>
                <w:color w:val="333333"/>
                <w:szCs w:val="21"/>
                <w:lang w:bidi="ar"/>
              </w:rPr>
              <w:t>≤120</w:t>
            </w:r>
          </w:p>
        </w:tc>
      </w:tr>
    </w:tbl>
    <w:p w14:paraId="601F49F6">
      <w:pPr>
        <w:spacing w:before="1" w:line="360" w:lineRule="auto"/>
        <w:rPr>
          <w:rFonts w:ascii="宋体" w:hAnsi="宋体" w:eastAsia="宋体" w:cs="宋体"/>
          <w:sz w:val="24"/>
        </w:rPr>
      </w:pPr>
      <w:r>
        <w:rPr>
          <w:rFonts w:hint="eastAsia" w:ascii="宋体" w:hAnsi="宋体" w:eastAsia="宋体" w:cs="宋体"/>
          <w:b/>
          <w:bCs/>
          <w:sz w:val="24"/>
        </w:rPr>
        <w:t>催化氧化单元：</w:t>
      </w:r>
      <w:r>
        <w:rPr>
          <w:rFonts w:hint="eastAsia" w:ascii="宋体" w:hAnsi="宋体" w:eastAsia="宋体" w:cs="宋体"/>
          <w:sz w:val="24"/>
        </w:rPr>
        <w:t>它是利用催化剂做中间体，使有机气体在较低的温度下，变成无害的水和二氧化碳气体。将有机气体源通过引风机作用送入净化装置，首先通过除尘阻火器系统，然后进入换热器，再送入到加热室，通过加热装置，使气体达到燃烧反应温度，再通过催化床的作用，使有机气体分解成二氧化碳和水，再进入换热器与低温气体进行热交换，使进入的气体温度升高达到反应温度。如达不到反应温度，这样加热系统就可以通过自控系统实现补偿加热，使它完全燃烧。</w:t>
      </w:r>
    </w:p>
    <w:p w14:paraId="0709EE5B">
      <w:pPr>
        <w:pStyle w:val="15"/>
        <w:spacing w:line="360" w:lineRule="auto"/>
        <w:ind w:right="596" w:firstLine="480" w:firstLineChars="200"/>
        <w:rPr>
          <w:rFonts w:ascii="宋体" w:hAnsi="宋体" w:eastAsia="宋体" w:cs="宋体"/>
          <w:sz w:val="24"/>
        </w:rPr>
      </w:pPr>
      <w:r>
        <w:rPr>
          <w:rFonts w:hint="eastAsia" w:ascii="宋体" w:hAnsi="宋体" w:eastAsia="宋体" w:cs="宋体"/>
          <w:sz w:val="24"/>
        </w:rPr>
        <w:t>催化剂技术参数表：</w:t>
      </w:r>
    </w:p>
    <w:tbl>
      <w:tblPr>
        <w:tblStyle w:val="30"/>
        <w:tblW w:w="8487" w:type="dxa"/>
        <w:jc w:val="center"/>
        <w:tblLayout w:type="fixed"/>
        <w:tblCellMar>
          <w:top w:w="0" w:type="dxa"/>
          <w:left w:w="108" w:type="dxa"/>
          <w:bottom w:w="0" w:type="dxa"/>
          <w:right w:w="108" w:type="dxa"/>
        </w:tblCellMar>
      </w:tblPr>
      <w:tblGrid>
        <w:gridCol w:w="679"/>
        <w:gridCol w:w="2985"/>
        <w:gridCol w:w="4823"/>
      </w:tblGrid>
      <w:tr w14:paraId="0EF844BF">
        <w:tblPrEx>
          <w:tblCellMar>
            <w:top w:w="0" w:type="dxa"/>
            <w:left w:w="108" w:type="dxa"/>
            <w:bottom w:w="0" w:type="dxa"/>
            <w:right w:w="108" w:type="dxa"/>
          </w:tblCellMar>
        </w:tblPrEx>
        <w:trPr>
          <w:trHeight w:val="292" w:hRule="atLeast"/>
          <w:jc w:val="center"/>
        </w:trPr>
        <w:tc>
          <w:tcPr>
            <w:tcW w:w="8487" w:type="dxa"/>
            <w:gridSpan w:val="3"/>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92C33A">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VOCs净化催化剂技术指标：</w:t>
            </w:r>
          </w:p>
        </w:tc>
      </w:tr>
      <w:tr w14:paraId="614408B4">
        <w:tblPrEx>
          <w:tblCellMar>
            <w:top w:w="0" w:type="dxa"/>
            <w:left w:w="108" w:type="dxa"/>
            <w:bottom w:w="0" w:type="dxa"/>
            <w:right w:w="108" w:type="dxa"/>
          </w:tblCellMar>
        </w:tblPrEx>
        <w:trPr>
          <w:trHeight w:val="270" w:hRule="atLeast"/>
          <w:jc w:val="center"/>
        </w:trPr>
        <w:tc>
          <w:tcPr>
            <w:tcW w:w="679" w:type="dxa"/>
            <w:tcBorders>
              <w:top w:val="nil"/>
              <w:left w:val="single" w:color="000000" w:sz="8" w:space="0"/>
              <w:bottom w:val="single" w:color="000000" w:sz="8" w:space="0"/>
              <w:right w:val="single" w:color="000000" w:sz="8" w:space="0"/>
            </w:tcBorders>
            <w:shd w:val="clear" w:color="auto" w:fill="auto"/>
            <w:vAlign w:val="center"/>
          </w:tcPr>
          <w:p w14:paraId="5B4D952B">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1</w:t>
            </w:r>
          </w:p>
        </w:tc>
        <w:tc>
          <w:tcPr>
            <w:tcW w:w="2985" w:type="dxa"/>
            <w:tcBorders>
              <w:top w:val="nil"/>
              <w:left w:val="single" w:color="000000" w:sz="8" w:space="0"/>
              <w:bottom w:val="single" w:color="000000" w:sz="8" w:space="0"/>
              <w:right w:val="single" w:color="000000" w:sz="8" w:space="0"/>
            </w:tcBorders>
            <w:shd w:val="clear" w:color="auto" w:fill="auto"/>
            <w:vAlign w:val="center"/>
          </w:tcPr>
          <w:p w14:paraId="12602D9C">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载体型号尺寸</w:t>
            </w:r>
          </w:p>
        </w:tc>
        <w:tc>
          <w:tcPr>
            <w:tcW w:w="4823" w:type="dxa"/>
            <w:tcBorders>
              <w:top w:val="single" w:color="000000" w:sz="8" w:space="0"/>
              <w:left w:val="nil"/>
              <w:bottom w:val="single" w:color="000000" w:sz="8" w:space="0"/>
              <w:right w:val="single" w:color="000000" w:sz="8" w:space="0"/>
            </w:tcBorders>
            <w:shd w:val="clear" w:color="auto" w:fill="auto"/>
            <w:vAlign w:val="center"/>
          </w:tcPr>
          <w:p w14:paraId="2C6B67FD">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100mm*100mm*50mm</w:t>
            </w:r>
          </w:p>
        </w:tc>
      </w:tr>
      <w:tr w14:paraId="6F8192C6">
        <w:tblPrEx>
          <w:tblCellMar>
            <w:top w:w="0" w:type="dxa"/>
            <w:left w:w="108" w:type="dxa"/>
            <w:bottom w:w="0" w:type="dxa"/>
            <w:right w:w="108" w:type="dxa"/>
          </w:tblCellMar>
        </w:tblPrEx>
        <w:trPr>
          <w:trHeight w:val="270" w:hRule="atLeast"/>
          <w:jc w:val="center"/>
        </w:trPr>
        <w:tc>
          <w:tcPr>
            <w:tcW w:w="679" w:type="dxa"/>
            <w:tcBorders>
              <w:top w:val="nil"/>
              <w:left w:val="single" w:color="000000" w:sz="8" w:space="0"/>
              <w:bottom w:val="single" w:color="000000" w:sz="8" w:space="0"/>
              <w:right w:val="single" w:color="000000" w:sz="8" w:space="0"/>
            </w:tcBorders>
            <w:shd w:val="clear" w:color="auto" w:fill="auto"/>
            <w:vAlign w:val="center"/>
          </w:tcPr>
          <w:p w14:paraId="5EB1B63C">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2</w:t>
            </w:r>
          </w:p>
        </w:tc>
        <w:tc>
          <w:tcPr>
            <w:tcW w:w="2985" w:type="dxa"/>
            <w:tcBorders>
              <w:top w:val="nil"/>
              <w:left w:val="single" w:color="000000" w:sz="8" w:space="0"/>
              <w:bottom w:val="single" w:color="000000" w:sz="8" w:space="0"/>
              <w:right w:val="single" w:color="000000" w:sz="8" w:space="0"/>
            </w:tcBorders>
            <w:shd w:val="clear" w:color="auto" w:fill="auto"/>
            <w:vAlign w:val="center"/>
          </w:tcPr>
          <w:p w14:paraId="0752A04A">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催化剂载体</w:t>
            </w:r>
          </w:p>
        </w:tc>
        <w:tc>
          <w:tcPr>
            <w:tcW w:w="4823" w:type="dxa"/>
            <w:tcBorders>
              <w:top w:val="nil"/>
              <w:left w:val="nil"/>
              <w:bottom w:val="single" w:color="000000" w:sz="8" w:space="0"/>
              <w:right w:val="single" w:color="000000" w:sz="8" w:space="0"/>
            </w:tcBorders>
            <w:shd w:val="clear" w:color="auto" w:fill="auto"/>
            <w:vAlign w:val="center"/>
          </w:tcPr>
          <w:p w14:paraId="035587F5">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γ-Al</w:t>
            </w:r>
            <w:r>
              <w:rPr>
                <w:rFonts w:ascii="Times New Roman" w:hAnsi="Times New Roman" w:eastAsia="宋体" w:cs="Times New Roman"/>
                <w:color w:val="000000"/>
                <w:szCs w:val="21"/>
                <w:vertAlign w:val="subscript"/>
                <w:lang w:bidi="ar"/>
              </w:rPr>
              <w:t>2</w:t>
            </w:r>
            <w:r>
              <w:rPr>
                <w:rFonts w:ascii="Times New Roman" w:hAnsi="Times New Roman" w:eastAsia="宋体" w:cs="Times New Roman"/>
                <w:color w:val="000000"/>
                <w:szCs w:val="21"/>
                <w:lang w:bidi="ar"/>
              </w:rPr>
              <w:t>O</w:t>
            </w:r>
            <w:r>
              <w:rPr>
                <w:rFonts w:ascii="Times New Roman" w:hAnsi="Times New Roman" w:eastAsia="宋体" w:cs="Times New Roman"/>
                <w:color w:val="000000"/>
                <w:szCs w:val="21"/>
                <w:vertAlign w:val="subscript"/>
                <w:lang w:bidi="ar"/>
              </w:rPr>
              <w:t>3</w:t>
            </w:r>
            <w:r>
              <w:rPr>
                <w:rFonts w:ascii="Times New Roman" w:hAnsi="Times New Roman" w:eastAsia="宋体" w:cs="Times New Roman"/>
                <w:color w:val="000000"/>
                <w:szCs w:val="21"/>
                <w:lang w:bidi="ar"/>
              </w:rPr>
              <w:t>、Zr、Ce、La</w:t>
            </w:r>
          </w:p>
        </w:tc>
      </w:tr>
      <w:tr w14:paraId="384B658F">
        <w:tblPrEx>
          <w:tblCellMar>
            <w:top w:w="0" w:type="dxa"/>
            <w:left w:w="108" w:type="dxa"/>
            <w:bottom w:w="0" w:type="dxa"/>
            <w:right w:w="108" w:type="dxa"/>
          </w:tblCellMar>
        </w:tblPrEx>
        <w:trPr>
          <w:trHeight w:val="270" w:hRule="atLeast"/>
          <w:jc w:val="center"/>
        </w:trPr>
        <w:tc>
          <w:tcPr>
            <w:tcW w:w="679" w:type="dxa"/>
            <w:tcBorders>
              <w:top w:val="nil"/>
              <w:left w:val="single" w:color="000000" w:sz="8" w:space="0"/>
              <w:bottom w:val="single" w:color="000000" w:sz="8" w:space="0"/>
              <w:right w:val="single" w:color="000000" w:sz="8" w:space="0"/>
            </w:tcBorders>
            <w:shd w:val="clear" w:color="auto" w:fill="auto"/>
            <w:vAlign w:val="center"/>
          </w:tcPr>
          <w:p w14:paraId="1A393EFF">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3</w:t>
            </w:r>
          </w:p>
        </w:tc>
        <w:tc>
          <w:tcPr>
            <w:tcW w:w="2985" w:type="dxa"/>
            <w:tcBorders>
              <w:top w:val="nil"/>
              <w:left w:val="single" w:color="000000" w:sz="8" w:space="0"/>
              <w:bottom w:val="single" w:color="000000" w:sz="8" w:space="0"/>
              <w:right w:val="single" w:color="000000" w:sz="8" w:space="0"/>
            </w:tcBorders>
            <w:shd w:val="clear" w:color="auto" w:fill="auto"/>
            <w:vAlign w:val="center"/>
          </w:tcPr>
          <w:p w14:paraId="0BBC89DC">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载体孔型及密度</w:t>
            </w:r>
          </w:p>
        </w:tc>
        <w:tc>
          <w:tcPr>
            <w:tcW w:w="4823" w:type="dxa"/>
            <w:tcBorders>
              <w:top w:val="nil"/>
              <w:left w:val="nil"/>
              <w:bottom w:val="single" w:color="000000" w:sz="8" w:space="0"/>
              <w:right w:val="single" w:color="000000" w:sz="8" w:space="0"/>
            </w:tcBorders>
            <w:shd w:val="clear" w:color="auto" w:fill="auto"/>
            <w:vAlign w:val="center"/>
          </w:tcPr>
          <w:p w14:paraId="1CF3A338">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方形，210个/ inch2（200目）</w:t>
            </w:r>
          </w:p>
        </w:tc>
      </w:tr>
      <w:tr w14:paraId="75E88F21">
        <w:tblPrEx>
          <w:tblCellMar>
            <w:top w:w="0" w:type="dxa"/>
            <w:left w:w="108" w:type="dxa"/>
            <w:bottom w:w="0" w:type="dxa"/>
            <w:right w:w="108" w:type="dxa"/>
          </w:tblCellMar>
        </w:tblPrEx>
        <w:trPr>
          <w:trHeight w:val="270" w:hRule="atLeast"/>
          <w:jc w:val="center"/>
        </w:trPr>
        <w:tc>
          <w:tcPr>
            <w:tcW w:w="679" w:type="dxa"/>
            <w:tcBorders>
              <w:top w:val="nil"/>
              <w:left w:val="single" w:color="000000" w:sz="8" w:space="0"/>
              <w:bottom w:val="single" w:color="000000" w:sz="8" w:space="0"/>
              <w:right w:val="single" w:color="000000" w:sz="8" w:space="0"/>
            </w:tcBorders>
            <w:shd w:val="clear" w:color="auto" w:fill="auto"/>
            <w:vAlign w:val="center"/>
          </w:tcPr>
          <w:p w14:paraId="4B8FA2C8">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4</w:t>
            </w:r>
          </w:p>
        </w:tc>
        <w:tc>
          <w:tcPr>
            <w:tcW w:w="2985" w:type="dxa"/>
            <w:tcBorders>
              <w:top w:val="nil"/>
              <w:left w:val="single" w:color="000000" w:sz="8" w:space="0"/>
              <w:bottom w:val="single" w:color="000000" w:sz="8" w:space="0"/>
              <w:right w:val="single" w:color="000000" w:sz="8" w:space="0"/>
            </w:tcBorders>
            <w:shd w:val="clear" w:color="auto" w:fill="auto"/>
            <w:vAlign w:val="center"/>
          </w:tcPr>
          <w:p w14:paraId="006D0D45">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壁厚</w:t>
            </w:r>
          </w:p>
        </w:tc>
        <w:tc>
          <w:tcPr>
            <w:tcW w:w="4823" w:type="dxa"/>
            <w:tcBorders>
              <w:top w:val="nil"/>
              <w:left w:val="nil"/>
              <w:bottom w:val="single" w:color="000000" w:sz="8" w:space="0"/>
              <w:right w:val="single" w:color="000000" w:sz="8" w:space="0"/>
            </w:tcBorders>
            <w:shd w:val="clear" w:color="auto" w:fill="auto"/>
            <w:vAlign w:val="center"/>
          </w:tcPr>
          <w:p w14:paraId="454B666B">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0.33~0.39mm</w:t>
            </w:r>
          </w:p>
        </w:tc>
      </w:tr>
      <w:tr w14:paraId="18F94B13">
        <w:tblPrEx>
          <w:tblCellMar>
            <w:top w:w="0" w:type="dxa"/>
            <w:left w:w="108" w:type="dxa"/>
            <w:bottom w:w="0" w:type="dxa"/>
            <w:right w:w="108" w:type="dxa"/>
          </w:tblCellMar>
        </w:tblPrEx>
        <w:trPr>
          <w:trHeight w:val="270" w:hRule="atLeast"/>
          <w:jc w:val="center"/>
        </w:trPr>
        <w:tc>
          <w:tcPr>
            <w:tcW w:w="679" w:type="dxa"/>
            <w:tcBorders>
              <w:top w:val="nil"/>
              <w:left w:val="single" w:color="000000" w:sz="8" w:space="0"/>
              <w:bottom w:val="single" w:color="000000" w:sz="8" w:space="0"/>
              <w:right w:val="single" w:color="000000" w:sz="8" w:space="0"/>
            </w:tcBorders>
            <w:shd w:val="clear" w:color="auto" w:fill="auto"/>
            <w:vAlign w:val="center"/>
          </w:tcPr>
          <w:p w14:paraId="071445B1">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5</w:t>
            </w:r>
          </w:p>
        </w:tc>
        <w:tc>
          <w:tcPr>
            <w:tcW w:w="2985" w:type="dxa"/>
            <w:tcBorders>
              <w:top w:val="nil"/>
              <w:left w:val="single" w:color="000000" w:sz="8" w:space="0"/>
              <w:bottom w:val="single" w:color="000000" w:sz="8" w:space="0"/>
              <w:right w:val="single" w:color="000000" w:sz="8" w:space="0"/>
            </w:tcBorders>
            <w:shd w:val="clear" w:color="auto" w:fill="auto"/>
            <w:vAlign w:val="center"/>
          </w:tcPr>
          <w:p w14:paraId="65950A31">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堆积密度</w:t>
            </w:r>
          </w:p>
        </w:tc>
        <w:tc>
          <w:tcPr>
            <w:tcW w:w="4823" w:type="dxa"/>
            <w:tcBorders>
              <w:top w:val="nil"/>
              <w:left w:val="nil"/>
              <w:bottom w:val="single" w:color="000000" w:sz="8" w:space="0"/>
              <w:right w:val="single" w:color="000000" w:sz="8" w:space="0"/>
            </w:tcBorders>
            <w:shd w:val="clear" w:color="auto" w:fill="auto"/>
            <w:vAlign w:val="center"/>
          </w:tcPr>
          <w:p w14:paraId="0374BC33">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620±30 g/L</w:t>
            </w:r>
          </w:p>
        </w:tc>
      </w:tr>
      <w:tr w14:paraId="621C9665">
        <w:tblPrEx>
          <w:tblCellMar>
            <w:top w:w="0" w:type="dxa"/>
            <w:left w:w="108" w:type="dxa"/>
            <w:bottom w:w="0" w:type="dxa"/>
            <w:right w:w="108" w:type="dxa"/>
          </w:tblCellMar>
        </w:tblPrEx>
        <w:trPr>
          <w:trHeight w:val="270" w:hRule="atLeast"/>
          <w:jc w:val="center"/>
        </w:trPr>
        <w:tc>
          <w:tcPr>
            <w:tcW w:w="679" w:type="dxa"/>
            <w:tcBorders>
              <w:top w:val="nil"/>
              <w:left w:val="single" w:color="000000" w:sz="8" w:space="0"/>
              <w:bottom w:val="single" w:color="000000" w:sz="8" w:space="0"/>
              <w:right w:val="single" w:color="000000" w:sz="8" w:space="0"/>
            </w:tcBorders>
            <w:shd w:val="clear" w:color="auto" w:fill="auto"/>
            <w:vAlign w:val="center"/>
          </w:tcPr>
          <w:p w14:paraId="2E62AF83">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6</w:t>
            </w:r>
          </w:p>
        </w:tc>
        <w:tc>
          <w:tcPr>
            <w:tcW w:w="2985" w:type="dxa"/>
            <w:tcBorders>
              <w:top w:val="nil"/>
              <w:left w:val="single" w:color="000000" w:sz="8" w:space="0"/>
              <w:bottom w:val="single" w:color="000000" w:sz="8" w:space="0"/>
              <w:right w:val="single" w:color="000000" w:sz="8" w:space="0"/>
            </w:tcBorders>
            <w:shd w:val="clear" w:color="auto" w:fill="auto"/>
            <w:vAlign w:val="center"/>
          </w:tcPr>
          <w:p w14:paraId="07A30E02">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比表面积</w:t>
            </w:r>
          </w:p>
        </w:tc>
        <w:tc>
          <w:tcPr>
            <w:tcW w:w="4823" w:type="dxa"/>
            <w:tcBorders>
              <w:top w:val="nil"/>
              <w:left w:val="nil"/>
              <w:bottom w:val="single" w:color="000000" w:sz="8" w:space="0"/>
              <w:right w:val="single" w:color="000000" w:sz="8" w:space="0"/>
            </w:tcBorders>
            <w:shd w:val="clear" w:color="auto" w:fill="auto"/>
            <w:vAlign w:val="center"/>
          </w:tcPr>
          <w:p w14:paraId="6B4087EA">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≥120m</w:t>
            </w:r>
            <w:r>
              <w:rPr>
                <w:rFonts w:ascii="Times New Roman" w:hAnsi="Times New Roman" w:eastAsia="宋体" w:cs="Times New Roman"/>
                <w:color w:val="000000"/>
                <w:szCs w:val="21"/>
                <w:vertAlign w:val="superscript"/>
                <w:lang w:bidi="ar"/>
              </w:rPr>
              <w:t>2</w:t>
            </w:r>
            <w:r>
              <w:rPr>
                <w:rFonts w:ascii="Times New Roman" w:hAnsi="Times New Roman" w:eastAsia="宋体" w:cs="Times New Roman"/>
                <w:color w:val="000000"/>
                <w:szCs w:val="21"/>
                <w:lang w:bidi="ar"/>
              </w:rPr>
              <w:t>/g</w:t>
            </w:r>
          </w:p>
        </w:tc>
      </w:tr>
      <w:tr w14:paraId="28DF0E4C">
        <w:tblPrEx>
          <w:tblCellMar>
            <w:top w:w="0" w:type="dxa"/>
            <w:left w:w="108" w:type="dxa"/>
            <w:bottom w:w="0" w:type="dxa"/>
            <w:right w:w="108" w:type="dxa"/>
          </w:tblCellMar>
        </w:tblPrEx>
        <w:trPr>
          <w:trHeight w:val="270" w:hRule="atLeast"/>
          <w:jc w:val="center"/>
        </w:trPr>
        <w:tc>
          <w:tcPr>
            <w:tcW w:w="679" w:type="dxa"/>
            <w:tcBorders>
              <w:top w:val="nil"/>
              <w:left w:val="single" w:color="000000" w:sz="8" w:space="0"/>
              <w:bottom w:val="single" w:color="000000" w:sz="8" w:space="0"/>
              <w:right w:val="single" w:color="000000" w:sz="8" w:space="0"/>
            </w:tcBorders>
            <w:shd w:val="clear" w:color="auto" w:fill="auto"/>
            <w:vAlign w:val="center"/>
          </w:tcPr>
          <w:p w14:paraId="58957721">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7</w:t>
            </w:r>
          </w:p>
        </w:tc>
        <w:tc>
          <w:tcPr>
            <w:tcW w:w="2985" w:type="dxa"/>
            <w:tcBorders>
              <w:top w:val="nil"/>
              <w:left w:val="single" w:color="000000" w:sz="8" w:space="0"/>
              <w:bottom w:val="single" w:color="000000" w:sz="8" w:space="0"/>
              <w:right w:val="single" w:color="000000" w:sz="8" w:space="0"/>
            </w:tcBorders>
            <w:shd w:val="clear" w:color="auto" w:fill="auto"/>
            <w:vAlign w:val="center"/>
          </w:tcPr>
          <w:p w14:paraId="5A8D443C">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容重范围</w:t>
            </w:r>
          </w:p>
        </w:tc>
        <w:tc>
          <w:tcPr>
            <w:tcW w:w="4823" w:type="dxa"/>
            <w:tcBorders>
              <w:top w:val="nil"/>
              <w:left w:val="nil"/>
              <w:bottom w:val="single" w:color="000000" w:sz="8" w:space="0"/>
              <w:right w:val="single" w:color="000000" w:sz="8" w:space="0"/>
            </w:tcBorders>
            <w:shd w:val="clear" w:color="auto" w:fill="auto"/>
            <w:vAlign w:val="center"/>
          </w:tcPr>
          <w:p w14:paraId="00BDD24B">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≤600g/L</w:t>
            </w:r>
          </w:p>
        </w:tc>
      </w:tr>
      <w:tr w14:paraId="5AD2E4F7">
        <w:tblPrEx>
          <w:tblCellMar>
            <w:top w:w="0" w:type="dxa"/>
            <w:left w:w="108" w:type="dxa"/>
            <w:bottom w:w="0" w:type="dxa"/>
            <w:right w:w="108" w:type="dxa"/>
          </w:tblCellMar>
        </w:tblPrEx>
        <w:trPr>
          <w:trHeight w:val="293" w:hRule="atLeast"/>
          <w:jc w:val="center"/>
        </w:trPr>
        <w:tc>
          <w:tcPr>
            <w:tcW w:w="679" w:type="dxa"/>
            <w:tcBorders>
              <w:top w:val="nil"/>
              <w:left w:val="single" w:color="000000" w:sz="8" w:space="0"/>
              <w:bottom w:val="single" w:color="000000" w:sz="8" w:space="0"/>
              <w:right w:val="single" w:color="000000" w:sz="8" w:space="0"/>
            </w:tcBorders>
            <w:shd w:val="clear" w:color="auto" w:fill="auto"/>
            <w:vAlign w:val="center"/>
          </w:tcPr>
          <w:p w14:paraId="0C7CC1E1">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8</w:t>
            </w:r>
          </w:p>
        </w:tc>
        <w:tc>
          <w:tcPr>
            <w:tcW w:w="2985" w:type="dxa"/>
            <w:tcBorders>
              <w:top w:val="nil"/>
              <w:left w:val="single" w:color="000000" w:sz="8" w:space="0"/>
              <w:bottom w:val="single" w:color="000000" w:sz="8" w:space="0"/>
              <w:right w:val="single" w:color="000000" w:sz="8" w:space="0"/>
            </w:tcBorders>
            <w:shd w:val="clear" w:color="auto" w:fill="auto"/>
            <w:vAlign w:val="center"/>
          </w:tcPr>
          <w:p w14:paraId="22FE8729">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活性组分</w:t>
            </w:r>
          </w:p>
        </w:tc>
        <w:tc>
          <w:tcPr>
            <w:tcW w:w="4823" w:type="dxa"/>
            <w:tcBorders>
              <w:top w:val="nil"/>
              <w:left w:val="nil"/>
              <w:bottom w:val="single" w:color="000000" w:sz="8" w:space="0"/>
              <w:right w:val="single" w:color="000000" w:sz="8" w:space="0"/>
            </w:tcBorders>
            <w:shd w:val="clear" w:color="auto" w:fill="auto"/>
            <w:vAlign w:val="center"/>
          </w:tcPr>
          <w:p w14:paraId="12E013F5">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Pd、Pt、Rh等</w:t>
            </w:r>
          </w:p>
        </w:tc>
      </w:tr>
      <w:tr w14:paraId="4A946E4A">
        <w:tblPrEx>
          <w:tblCellMar>
            <w:top w:w="0" w:type="dxa"/>
            <w:left w:w="108" w:type="dxa"/>
            <w:bottom w:w="0" w:type="dxa"/>
            <w:right w:w="108" w:type="dxa"/>
          </w:tblCellMar>
        </w:tblPrEx>
        <w:trPr>
          <w:trHeight w:val="270" w:hRule="atLeast"/>
          <w:jc w:val="center"/>
        </w:trPr>
        <w:tc>
          <w:tcPr>
            <w:tcW w:w="679" w:type="dxa"/>
            <w:tcBorders>
              <w:top w:val="nil"/>
              <w:left w:val="single" w:color="000000" w:sz="8" w:space="0"/>
              <w:bottom w:val="single" w:color="000000" w:sz="8" w:space="0"/>
              <w:right w:val="single" w:color="000000" w:sz="8" w:space="0"/>
            </w:tcBorders>
            <w:shd w:val="clear" w:color="auto" w:fill="auto"/>
            <w:vAlign w:val="center"/>
          </w:tcPr>
          <w:p w14:paraId="6A5CB513">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9</w:t>
            </w:r>
          </w:p>
        </w:tc>
        <w:tc>
          <w:tcPr>
            <w:tcW w:w="2985" w:type="dxa"/>
            <w:tcBorders>
              <w:top w:val="nil"/>
              <w:left w:val="single" w:color="000000" w:sz="8" w:space="0"/>
              <w:bottom w:val="single" w:color="000000" w:sz="8" w:space="0"/>
              <w:right w:val="single" w:color="000000" w:sz="8" w:space="0"/>
            </w:tcBorders>
            <w:shd w:val="clear" w:color="auto" w:fill="auto"/>
            <w:vAlign w:val="center"/>
          </w:tcPr>
          <w:p w14:paraId="377E35E5">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质保时间</w:t>
            </w:r>
          </w:p>
        </w:tc>
        <w:tc>
          <w:tcPr>
            <w:tcW w:w="4823" w:type="dxa"/>
            <w:tcBorders>
              <w:top w:val="nil"/>
              <w:left w:val="nil"/>
              <w:bottom w:val="single" w:color="000000" w:sz="8" w:space="0"/>
              <w:right w:val="single" w:color="000000" w:sz="8" w:space="0"/>
            </w:tcBorders>
            <w:shd w:val="clear" w:color="auto" w:fill="auto"/>
            <w:vAlign w:val="center"/>
          </w:tcPr>
          <w:p w14:paraId="45129004">
            <w:pPr>
              <w:widowControl/>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使用寿命不低于8000h</w:t>
            </w:r>
          </w:p>
        </w:tc>
      </w:tr>
    </w:tbl>
    <w:p w14:paraId="510F91AB">
      <w:pPr>
        <w:pStyle w:val="15"/>
        <w:spacing w:line="360" w:lineRule="auto"/>
        <w:ind w:right="596" w:firstLine="480" w:firstLineChars="200"/>
        <w:rPr>
          <w:rFonts w:ascii="宋体" w:hAnsi="宋体" w:eastAsia="宋体" w:cs="宋体"/>
          <w:sz w:val="24"/>
        </w:rPr>
      </w:pPr>
      <w:r>
        <w:rPr>
          <w:rFonts w:hint="eastAsia" w:ascii="宋体" w:hAnsi="宋体" w:eastAsia="宋体" w:cs="宋体"/>
          <w:sz w:val="24"/>
        </w:rPr>
        <w:t>催化剂样式：</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163"/>
      </w:tblGrid>
      <w:tr w14:paraId="313B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Pr>
          <w:p w14:paraId="6C4066FF">
            <w:r>
              <w:rPr>
                <w:rFonts w:hAnsi="宋体" w:eastAsia="宋体" w:cs="宋体"/>
                <w:spacing w:val="-6"/>
              </w:rPr>
              <w:drawing>
                <wp:inline distT="0" distB="0" distL="114300" distR="114300">
                  <wp:extent cx="2814320" cy="2620010"/>
                  <wp:effectExtent l="0" t="0" r="5080" b="8890"/>
                  <wp:docPr id="31" name="图片 24"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图片12"/>
                          <pic:cNvPicPr>
                            <a:picLocks noChangeAspect="1"/>
                          </pic:cNvPicPr>
                        </pic:nvPicPr>
                        <pic:blipFill>
                          <a:blip r:embed="rId81"/>
                          <a:stretch>
                            <a:fillRect/>
                          </a:stretch>
                        </pic:blipFill>
                        <pic:spPr>
                          <a:xfrm>
                            <a:off x="0" y="0"/>
                            <a:ext cx="2814320" cy="2620010"/>
                          </a:xfrm>
                          <a:prstGeom prst="rect">
                            <a:avLst/>
                          </a:prstGeom>
                          <a:noFill/>
                          <a:ln>
                            <a:noFill/>
                          </a:ln>
                        </pic:spPr>
                      </pic:pic>
                    </a:graphicData>
                  </a:graphic>
                </wp:inline>
              </w:drawing>
            </w:r>
          </w:p>
        </w:tc>
        <w:tc>
          <w:tcPr>
            <w:tcW w:w="4163" w:type="dxa"/>
          </w:tcPr>
          <w:p w14:paraId="434A7488">
            <w:r>
              <w:rPr>
                <w:rFonts w:hAnsi="宋体" w:eastAsia="宋体" w:cs="宋体"/>
                <w:spacing w:val="-6"/>
              </w:rPr>
              <w:drawing>
                <wp:inline distT="0" distB="0" distL="114300" distR="114300">
                  <wp:extent cx="2673350" cy="2614930"/>
                  <wp:effectExtent l="0" t="0" r="12700" b="13970"/>
                  <wp:docPr id="32" name="图片 25" descr="src=http___l.b2b168.com_2013_12_07_10_201312071028307618004.jpg&amp;refer=http___l.b2b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src=http___l.b2b168.com_2013_12_07_10_201312071028307618004.jpg&amp;refer=http___l.b2b168"/>
                          <pic:cNvPicPr>
                            <a:picLocks noChangeAspect="1"/>
                          </pic:cNvPicPr>
                        </pic:nvPicPr>
                        <pic:blipFill>
                          <a:blip r:embed="rId82"/>
                          <a:srcRect b="4501"/>
                          <a:stretch>
                            <a:fillRect/>
                          </a:stretch>
                        </pic:blipFill>
                        <pic:spPr>
                          <a:xfrm>
                            <a:off x="0" y="0"/>
                            <a:ext cx="2673350" cy="2614930"/>
                          </a:xfrm>
                          <a:prstGeom prst="rect">
                            <a:avLst/>
                          </a:prstGeom>
                          <a:noFill/>
                          <a:ln>
                            <a:noFill/>
                          </a:ln>
                        </pic:spPr>
                      </pic:pic>
                    </a:graphicData>
                  </a:graphic>
                </wp:inline>
              </w:drawing>
            </w:r>
          </w:p>
        </w:tc>
      </w:tr>
    </w:tbl>
    <w:p w14:paraId="03A0F971">
      <w:pPr>
        <w:spacing w:before="1" w:line="500" w:lineRule="exact"/>
        <w:ind w:firstLine="480" w:firstLineChars="20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2</w:t>
      </w:r>
      <w:r>
        <w:rPr>
          <w:rFonts w:ascii="Times New Roman" w:hAnsi="Times New Roman" w:cs="Times New Roman"/>
          <w:sz w:val="24"/>
        </w:rPr>
        <w:t>）工艺优点</w:t>
      </w:r>
    </w:p>
    <w:p w14:paraId="37E2D5E3">
      <w:pPr>
        <w:spacing w:before="1" w:line="500" w:lineRule="exact"/>
        <w:ind w:firstLine="480" w:firstLineChars="200"/>
        <w:rPr>
          <w:rFonts w:ascii="Times New Roman" w:hAnsi="Times New Roman" w:cs="Times New Roman"/>
          <w:sz w:val="24"/>
        </w:rPr>
      </w:pPr>
      <w:r>
        <w:rPr>
          <w:rFonts w:ascii="Times New Roman" w:hAnsi="Times New Roman" w:cs="Times New Roman"/>
          <w:sz w:val="24"/>
        </w:rPr>
        <w:t>①由活性炭吸附废气中的有机物，使该工艺具有了活性炭吸附工艺的安全可靠、净化效率高、适应浓度范围广等优点。</w:t>
      </w:r>
    </w:p>
    <w:p w14:paraId="6681FEDC">
      <w:pPr>
        <w:spacing w:before="1" w:line="500" w:lineRule="exact"/>
        <w:ind w:firstLine="480" w:firstLineChars="200"/>
        <w:rPr>
          <w:rFonts w:ascii="Times New Roman" w:hAnsi="Times New Roman" w:cs="Times New Roman"/>
          <w:sz w:val="24"/>
        </w:rPr>
      </w:pPr>
      <w:r>
        <w:rPr>
          <w:rFonts w:ascii="Times New Roman" w:hAnsi="Times New Roman" w:cs="Times New Roman"/>
          <w:sz w:val="24"/>
        </w:rPr>
        <w:t>②该工艺采用吸附-浓缩-催化燃烧组合工艺，整个系统实现了净化过程闭环操作，有机物一次处理彻底，无二次污染。</w:t>
      </w:r>
    </w:p>
    <w:p w14:paraId="439D7AC2">
      <w:pPr>
        <w:spacing w:before="1" w:line="500" w:lineRule="exact"/>
        <w:ind w:firstLine="480" w:firstLineChars="200"/>
        <w:rPr>
          <w:rFonts w:ascii="Times New Roman" w:hAnsi="Times New Roman" w:cs="Times New Roman"/>
          <w:sz w:val="24"/>
        </w:rPr>
      </w:pPr>
      <w:r>
        <w:rPr>
          <w:rFonts w:ascii="Times New Roman" w:hAnsi="Times New Roman" w:cs="Times New Roman"/>
          <w:sz w:val="24"/>
        </w:rPr>
        <w:t>③该系统组合紧凑，充分利用热源，节省设备投资和操作费用。首先有机物经脱附后被浓缩</w:t>
      </w:r>
      <w:r>
        <w:rPr>
          <w:rFonts w:hint="eastAsia" w:ascii="Times New Roman" w:hAnsi="Times New Roman" w:cs="Times New Roman"/>
          <w:sz w:val="24"/>
        </w:rPr>
        <w:t>（</w:t>
      </w:r>
      <w:r>
        <w:rPr>
          <w:rFonts w:ascii="Times New Roman" w:hAnsi="Times New Roman" w:cs="Times New Roman"/>
          <w:sz w:val="24"/>
        </w:rPr>
        <w:t>用热风脱附出来的有机物浓度比原来提高十几倍到几十倍</w:t>
      </w:r>
      <w:r>
        <w:rPr>
          <w:rFonts w:hint="eastAsia" w:ascii="Times New Roman" w:hAnsi="Times New Roman" w:cs="Times New Roman"/>
          <w:sz w:val="24"/>
        </w:rPr>
        <w:t>）</w:t>
      </w:r>
      <w:r>
        <w:rPr>
          <w:rFonts w:ascii="Times New Roman" w:hAnsi="Times New Roman" w:cs="Times New Roman"/>
          <w:sz w:val="24"/>
        </w:rPr>
        <w:t>，其浓度接近自然状态，在催化燃烧阶段不需要外加热源就可以分解为水和二氧化碳。其次该工艺设备在运行过程中最大限度地利用了有机废气中有机成分的热值。</w:t>
      </w:r>
    </w:p>
    <w:p w14:paraId="67F5F658">
      <w:pPr>
        <w:spacing w:before="1" w:line="500" w:lineRule="exact"/>
        <w:ind w:firstLine="480" w:firstLineChars="200"/>
        <w:rPr>
          <w:rFonts w:ascii="Times New Roman" w:hAnsi="Times New Roman" w:cs="Times New Roman"/>
          <w:sz w:val="24"/>
        </w:rPr>
      </w:pPr>
      <w:r>
        <w:rPr>
          <w:rFonts w:hint="eastAsia" w:ascii="Times New Roman" w:hAnsi="Times New Roman" w:cs="Times New Roman"/>
          <w:sz w:val="24"/>
        </w:rPr>
        <w:t>（3）</w:t>
      </w:r>
      <w:r>
        <w:rPr>
          <w:rFonts w:ascii="Times New Roman" w:hAnsi="Times New Roman" w:cs="Times New Roman"/>
          <w:sz w:val="24"/>
        </w:rPr>
        <w:t>活性炭监控、更换管理要求</w:t>
      </w:r>
    </w:p>
    <w:p w14:paraId="30E85670">
      <w:pPr>
        <w:spacing w:before="1" w:line="500" w:lineRule="exact"/>
        <w:ind w:firstLine="480" w:firstLineChars="200"/>
        <w:rPr>
          <w:rFonts w:ascii="Times New Roman" w:hAnsi="Times New Roman" w:cs="Times New Roman"/>
          <w:sz w:val="24"/>
        </w:rPr>
      </w:pPr>
      <w:r>
        <w:rPr>
          <w:rFonts w:ascii="Times New Roman" w:hAnsi="Times New Roman" w:cs="Times New Roman"/>
          <w:sz w:val="24"/>
        </w:rPr>
        <w:t>由于该项目有机废气采用了“浓缩脱附+催化燃烧”再生技术，将大大降低活性炭更换频次。根据企业提供的技术方案，活性炭定期脱附再生，活性炭每次再生会有所损耗，且吸附容量逐次减少，需定期进行活性炭的更换，更换频次为</w:t>
      </w:r>
      <w:r>
        <w:rPr>
          <w:rFonts w:hint="eastAsia" w:ascii="Times New Roman" w:hAnsi="Times New Roman" w:cs="Times New Roman"/>
          <w:sz w:val="24"/>
        </w:rPr>
        <w:t>3-5</w:t>
      </w:r>
      <w:r>
        <w:rPr>
          <w:rFonts w:ascii="Times New Roman" w:hAnsi="Times New Roman" w:cs="Times New Roman"/>
          <w:sz w:val="24"/>
        </w:rPr>
        <w:t>年更换一次，每次更换量约为</w:t>
      </w:r>
      <w:r>
        <w:rPr>
          <w:rFonts w:hint="eastAsia" w:ascii="Times New Roman" w:hAnsi="Times New Roman" w:cs="Times New Roman"/>
          <w:sz w:val="24"/>
        </w:rPr>
        <w:t>6t/3a</w:t>
      </w:r>
      <w:r>
        <w:rPr>
          <w:rFonts w:ascii="Times New Roman" w:hAnsi="Times New Roman" w:cs="Times New Roman"/>
          <w:sz w:val="24"/>
        </w:rPr>
        <w:t>，每次更换活性炭应记录在册备查，废活性炭属于危险废物，应严格执行危险废物转移联单制度，联单留档案备查。</w:t>
      </w:r>
    </w:p>
    <w:p w14:paraId="3DC4AC66">
      <w:pPr>
        <w:pStyle w:val="5"/>
        <w:numPr>
          <w:ilvl w:val="3"/>
          <w:numId w:val="75"/>
        </w:numPr>
        <w:tabs>
          <w:tab w:val="clear" w:pos="0"/>
        </w:tabs>
      </w:pPr>
      <w:r>
        <w:t>治理效果</w:t>
      </w:r>
    </w:p>
    <w:p w14:paraId="63DDF890">
      <w:pPr>
        <w:pStyle w:val="17"/>
        <w:adjustRightInd w:val="0"/>
        <w:snapToGrid w:val="0"/>
        <w:spacing w:line="360" w:lineRule="auto"/>
        <w:ind w:firstLine="480" w:firstLineChars="200"/>
        <w:rPr>
          <w:rFonts w:ascii="Times New Roman" w:hAnsi="Times New Roman"/>
          <w:sz w:val="24"/>
          <w:szCs w:val="24"/>
        </w:rPr>
      </w:pPr>
      <w:r>
        <w:rPr>
          <w:rFonts w:hint="eastAsia" w:ascii="Times New Roman" w:hAnsi="Times New Roman" w:cs="Times New Roman"/>
          <w:sz w:val="24"/>
          <w:szCs w:val="24"/>
        </w:rPr>
        <w:t>（1）木加工粉尘：根据工程分析，</w:t>
      </w:r>
      <w:r>
        <w:rPr>
          <w:rFonts w:ascii="Times New Roman" w:hAnsi="Times New Roman" w:cs="Times New Roman"/>
          <w:sz w:val="24"/>
          <w:szCs w:val="24"/>
        </w:rPr>
        <w:t>本项目运营期</w:t>
      </w:r>
      <w:r>
        <w:rPr>
          <w:rFonts w:hint="eastAsia" w:ascii="Times New Roman" w:hAnsi="Times New Roman" w:cs="Times New Roman"/>
          <w:sz w:val="24"/>
          <w:szCs w:val="24"/>
        </w:rPr>
        <w:t>木加工工序粉尘经中央除尘系统处理后经15m高排气筒排放（DA001），颗粒物排放浓度为</w:t>
      </w:r>
      <w:r>
        <w:rPr>
          <w:rFonts w:hint="eastAsia" w:ascii="Times New Roman" w:hAnsi="Times New Roman" w:cs="Times New Roman"/>
          <w:sz w:val="24"/>
          <w:szCs w:val="24"/>
          <w:lang w:val="en-US" w:eastAsia="zh-CN"/>
        </w:rPr>
        <w:t>0.52</w:t>
      </w:r>
      <w:r>
        <w:rPr>
          <w:rFonts w:hint="eastAsia" w:ascii="Times New Roman" w:hAnsi="Times New Roman" w:cs="Times New Roman"/>
          <w:sz w:val="24"/>
          <w:szCs w:val="24"/>
        </w:rPr>
        <w:t>mg/m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，排放速率为0.0</w:t>
      </w:r>
      <w:r>
        <w:rPr>
          <w:rFonts w:hint="eastAsia" w:ascii="Times New Roman" w:hAnsi="Times New Roman" w:cs="Times New Roman"/>
          <w:sz w:val="24"/>
          <w:szCs w:val="24"/>
          <w:lang w:val="en-US" w:eastAsia="zh-CN"/>
        </w:rPr>
        <w:t>11</w:t>
      </w:r>
      <w:r>
        <w:rPr>
          <w:rFonts w:hint="eastAsia" w:ascii="Times New Roman" w:hAnsi="Times New Roman" w:cs="Times New Roman"/>
          <w:sz w:val="24"/>
          <w:szCs w:val="24"/>
        </w:rPr>
        <w:t>kg/h。</w:t>
      </w:r>
    </w:p>
    <w:p w14:paraId="767B458A">
      <w:pPr>
        <w:pStyle w:val="17"/>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颗粒物均可以满足《大气污染物综合排放标准》（GB16297-1996）表2二级标准（颗粒物：15m排气筒，浓度≤120mg/m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，速率≤3.5kg/h），同时满足</w:t>
      </w:r>
      <w:r>
        <w:rPr>
          <w:rFonts w:hint="eastAsia" w:ascii="Times New Roman" w:hAnsi="Times New Roman"/>
          <w:sz w:val="24"/>
          <w:szCs w:val="24"/>
        </w:rPr>
        <w:t>《重污染天气重点行业应急减排措施制定技术指南（2020年修订版）》的函》（环办大气函〔2020〕340号）家具行业绩效分级指标（A级）（PM：10</w:t>
      </w:r>
      <w:r>
        <w:rPr>
          <w:rFonts w:ascii="Times New Roman" w:hAnsi="Times New Roman"/>
          <w:sz w:val="24"/>
          <w:szCs w:val="24"/>
        </w:rPr>
        <w:t>mg/m</w:t>
      </w:r>
      <w:r>
        <w:rPr>
          <w:rFonts w:ascii="Times New Roman" w:hAnsi="Times New Roman"/>
          <w:sz w:val="24"/>
          <w:szCs w:val="24"/>
          <w:vertAlign w:val="superscript"/>
        </w:rPr>
        <w:t>3</w:t>
      </w:r>
      <w:r>
        <w:rPr>
          <w:rFonts w:hint="eastAsia" w:ascii="Times New Roman" w:hAnsi="Times New Roman"/>
          <w:sz w:val="24"/>
          <w:szCs w:val="24"/>
        </w:rPr>
        <w:t>）</w:t>
      </w:r>
      <w:r>
        <w:rPr>
          <w:rFonts w:ascii="Times New Roman" w:hAnsi="Times New Roman"/>
          <w:sz w:val="24"/>
          <w:szCs w:val="24"/>
        </w:rPr>
        <w:t>。</w:t>
      </w:r>
    </w:p>
    <w:p w14:paraId="3F773150">
      <w:pPr>
        <w:adjustRightInd w:val="0"/>
        <w:snapToGrid w:val="0"/>
        <w:spacing w:line="360" w:lineRule="auto"/>
        <w:ind w:firstLine="480"/>
        <w:rPr>
          <w:rFonts w:ascii="Times New Roman" w:hAnsi="Times New Roman"/>
          <w:color w:val="auto"/>
          <w:sz w:val="24"/>
          <w:highlight w:val="yellow"/>
        </w:rPr>
      </w:pPr>
      <w:r>
        <w:rPr>
          <w:rFonts w:hint="eastAsia" w:ascii="Times New Roman" w:hAnsi="Times New Roman" w:cs="Times New Roman"/>
          <w:sz w:val="24"/>
        </w:rPr>
        <w:t>（</w:t>
      </w:r>
      <w:r>
        <w:rPr>
          <w:rFonts w:hint="eastAsia" w:ascii="Times New Roman" w:hAnsi="Times New Roman" w:cs="Times New Roman"/>
          <w:sz w:val="24"/>
          <w:lang w:val="en-US" w:eastAsia="zh-CN"/>
        </w:rPr>
        <w:t>2</w:t>
      </w:r>
      <w:r>
        <w:rPr>
          <w:rFonts w:hint="eastAsia" w:ascii="Times New Roman" w:hAnsi="Times New Roman" w:cs="Times New Roman"/>
          <w:sz w:val="24"/>
        </w:rPr>
        <w:t>）</w:t>
      </w:r>
      <w:r>
        <w:rPr>
          <w:rFonts w:hint="eastAsia" w:ascii="Times New Roman" w:hAnsi="Times New Roman"/>
          <w:color w:val="auto"/>
          <w:sz w:val="24"/>
        </w:rPr>
        <w:t>本</w:t>
      </w:r>
      <w:r>
        <w:rPr>
          <w:rFonts w:ascii="Times New Roman" w:hAnsi="Times New Roman"/>
          <w:color w:val="auto"/>
          <w:sz w:val="24"/>
        </w:rPr>
        <w:t>项目拼板</w:t>
      </w:r>
      <w:r>
        <w:rPr>
          <w:rFonts w:hint="eastAsia" w:ascii="Times New Roman" w:hAnsi="Times New Roman"/>
          <w:color w:val="auto"/>
          <w:sz w:val="24"/>
        </w:rPr>
        <w:t>冷压、封边、热压</w:t>
      </w:r>
      <w:r>
        <w:rPr>
          <w:rFonts w:ascii="Times New Roman" w:hAnsi="Times New Roman"/>
          <w:color w:val="auto"/>
          <w:sz w:val="24"/>
        </w:rPr>
        <w:t>、擦色过程产生的废气经</w:t>
      </w:r>
      <w:r>
        <w:rPr>
          <w:rFonts w:hint="eastAsia" w:ascii="Times New Roman" w:hAnsi="Times New Roman"/>
          <w:color w:val="auto"/>
          <w:sz w:val="24"/>
        </w:rPr>
        <w:t>集气罩</w:t>
      </w:r>
      <w:r>
        <w:rPr>
          <w:rFonts w:ascii="Times New Roman" w:hAnsi="Times New Roman"/>
          <w:color w:val="auto"/>
          <w:sz w:val="24"/>
        </w:rPr>
        <w:t>装置收集后一并经活性炭吸附—脱附催化燃烧装置处理（与</w:t>
      </w:r>
      <w:r>
        <w:rPr>
          <w:rFonts w:hint="eastAsia" w:ascii="Times New Roman" w:hAnsi="Times New Roman"/>
          <w:color w:val="auto"/>
          <w:sz w:val="24"/>
        </w:rPr>
        <w:t>底</w:t>
      </w:r>
      <w:r>
        <w:rPr>
          <w:rFonts w:ascii="Times New Roman" w:hAnsi="Times New Roman"/>
          <w:color w:val="auto"/>
          <w:sz w:val="24"/>
        </w:rPr>
        <w:t>漆房采用同一套废气处理装置），喷漆房废气采用水帘</w:t>
      </w:r>
      <w:r>
        <w:rPr>
          <w:rFonts w:hint="eastAsia" w:ascii="Times New Roman" w:hAnsi="Times New Roman"/>
          <w:color w:val="auto"/>
          <w:sz w:val="24"/>
        </w:rPr>
        <w:t>+漆雾过滤器</w:t>
      </w:r>
      <w:r>
        <w:rPr>
          <w:rFonts w:ascii="Times New Roman" w:hAnsi="Times New Roman"/>
          <w:color w:val="auto"/>
          <w:sz w:val="24"/>
        </w:rPr>
        <w:t>处理后和晾干废气一起经活性炭吸附—脱附催化燃烧装置处理后</w:t>
      </w:r>
      <w:r>
        <w:rPr>
          <w:rFonts w:hint="eastAsia" w:ascii="Times New Roman" w:hAnsi="Times New Roman"/>
          <w:color w:val="auto"/>
          <w:sz w:val="24"/>
          <w:lang w:eastAsia="zh-CN"/>
        </w:rPr>
        <w:t>，</w:t>
      </w:r>
      <w:r>
        <w:rPr>
          <w:rFonts w:ascii="Times New Roman" w:hAnsi="Times New Roman"/>
          <w:color w:val="auto"/>
          <w:sz w:val="24"/>
        </w:rPr>
        <w:t>有组织排放的</w:t>
      </w:r>
      <w:r>
        <w:rPr>
          <w:rFonts w:hint="eastAsia" w:ascii="Times New Roman" w:hAnsi="Times New Roman"/>
          <w:color w:val="auto"/>
          <w:sz w:val="24"/>
        </w:rPr>
        <w:t>颗粒物排放量</w:t>
      </w:r>
      <w:r>
        <w:rPr>
          <w:rFonts w:hint="eastAsia" w:ascii="Times New Roman" w:hAnsi="Times New Roman"/>
          <w:color w:val="auto"/>
          <w:sz w:val="24"/>
          <w:lang w:val="en-US" w:eastAsia="zh-CN"/>
        </w:rPr>
        <w:t>0.322t</w:t>
      </w:r>
      <w:r>
        <w:rPr>
          <w:rFonts w:hint="eastAsia" w:ascii="Times New Roman" w:hAnsi="Times New Roman"/>
          <w:color w:val="auto"/>
          <w:sz w:val="24"/>
        </w:rPr>
        <w:t>/a（</w:t>
      </w:r>
      <w:r>
        <w:rPr>
          <w:rFonts w:hint="eastAsia" w:ascii="Times New Roman" w:hAnsi="Times New Roman"/>
          <w:color w:val="auto"/>
          <w:sz w:val="24"/>
          <w:lang w:val="en-US" w:eastAsia="zh-CN"/>
        </w:rPr>
        <w:t>0.134</w:t>
      </w:r>
      <w:r>
        <w:rPr>
          <w:rFonts w:hint="eastAsia" w:ascii="Times New Roman" w:hAnsi="Times New Roman"/>
          <w:color w:val="auto"/>
          <w:sz w:val="24"/>
        </w:rPr>
        <w:t>kg/h），</w:t>
      </w:r>
      <w:r>
        <w:rPr>
          <w:rFonts w:hint="eastAsia" w:ascii="Times New Roman" w:hAnsi="Times New Roman"/>
          <w:color w:val="auto"/>
          <w:sz w:val="24"/>
          <w:highlight w:val="none"/>
        </w:rPr>
        <w:t>排放浓度为</w:t>
      </w:r>
      <w:r>
        <w:rPr>
          <w:rFonts w:hint="eastAsia" w:ascii="Times New Roman" w:hAnsi="Times New Roman"/>
          <w:color w:val="auto"/>
          <w:sz w:val="24"/>
          <w:highlight w:val="none"/>
          <w:lang w:val="en-US" w:eastAsia="zh-CN"/>
        </w:rPr>
        <w:t>1.97</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；苯排放量</w:t>
      </w:r>
      <w:r>
        <w:rPr>
          <w:rFonts w:hint="eastAsia" w:ascii="Times New Roman" w:hAnsi="Times New Roman"/>
          <w:color w:val="auto"/>
          <w:sz w:val="24"/>
          <w:highlight w:val="none"/>
          <w:lang w:val="en-US" w:eastAsia="zh-CN"/>
        </w:rPr>
        <w:t>0.0135</w:t>
      </w:r>
      <w:r>
        <w:rPr>
          <w:rFonts w:hint="eastAsia" w:ascii="Times New Roman" w:hAnsi="Times New Roman"/>
          <w:color w:val="auto"/>
          <w:sz w:val="24"/>
          <w:highlight w:val="none"/>
        </w:rPr>
        <w:t>t/a（0.0</w:t>
      </w:r>
      <w:r>
        <w:rPr>
          <w:rFonts w:hint="eastAsia" w:ascii="Times New Roman" w:hAnsi="Times New Roman"/>
          <w:color w:val="auto"/>
          <w:sz w:val="24"/>
          <w:highlight w:val="none"/>
          <w:lang w:val="en-US" w:eastAsia="zh-CN"/>
        </w:rPr>
        <w:t>156</w:t>
      </w:r>
      <w:r>
        <w:rPr>
          <w:rFonts w:hint="eastAsia" w:ascii="Times New Roman" w:hAnsi="Times New Roman"/>
          <w:color w:val="auto"/>
          <w:sz w:val="24"/>
          <w:highlight w:val="none"/>
        </w:rPr>
        <w:t>kg/h），排放浓度为</w:t>
      </w:r>
      <w:r>
        <w:rPr>
          <w:rFonts w:hint="eastAsia" w:ascii="Times New Roman" w:hAnsi="Times New Roman"/>
          <w:color w:val="auto"/>
          <w:sz w:val="24"/>
          <w:highlight w:val="none"/>
          <w:lang w:val="en-US" w:eastAsia="zh-CN"/>
        </w:rPr>
        <w:t>0.23</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；甲苯排放量</w:t>
      </w:r>
      <w:r>
        <w:rPr>
          <w:rFonts w:hint="eastAsia" w:ascii="Times New Roman" w:hAnsi="Times New Roman"/>
          <w:color w:val="auto"/>
          <w:sz w:val="24"/>
          <w:highlight w:val="none"/>
          <w:lang w:val="en-US" w:eastAsia="zh-CN"/>
        </w:rPr>
        <w:t>0.0608</w:t>
      </w:r>
      <w:r>
        <w:rPr>
          <w:rFonts w:hint="eastAsia" w:ascii="Times New Roman" w:hAnsi="Times New Roman"/>
          <w:color w:val="auto"/>
          <w:sz w:val="24"/>
          <w:highlight w:val="none"/>
        </w:rPr>
        <w:t>t/a（0.0</w:t>
      </w:r>
      <w:r>
        <w:rPr>
          <w:rFonts w:hint="eastAsia" w:ascii="Times New Roman" w:hAnsi="Times New Roman"/>
          <w:color w:val="auto"/>
          <w:sz w:val="24"/>
          <w:highlight w:val="none"/>
          <w:lang w:val="en-US" w:eastAsia="zh-CN"/>
        </w:rPr>
        <w:t>716</w:t>
      </w:r>
      <w:r>
        <w:rPr>
          <w:rFonts w:hint="eastAsia" w:ascii="Times New Roman" w:hAnsi="Times New Roman"/>
          <w:color w:val="auto"/>
          <w:sz w:val="24"/>
          <w:highlight w:val="none"/>
        </w:rPr>
        <w:t>kg/h），排放浓度为1.</w:t>
      </w:r>
      <w:r>
        <w:rPr>
          <w:rFonts w:hint="eastAsia" w:ascii="Times New Roman" w:hAnsi="Times New Roman"/>
          <w:color w:val="auto"/>
          <w:sz w:val="24"/>
          <w:highlight w:val="none"/>
          <w:lang w:val="en-US" w:eastAsia="zh-CN"/>
        </w:rPr>
        <w:t>05</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；二甲苯排放量</w:t>
      </w:r>
      <w:r>
        <w:rPr>
          <w:rFonts w:hint="eastAsia" w:ascii="Times New Roman" w:hAnsi="Times New Roman"/>
          <w:color w:val="auto"/>
          <w:sz w:val="24"/>
          <w:highlight w:val="none"/>
          <w:lang w:val="en-US" w:eastAsia="zh-CN"/>
        </w:rPr>
        <w:t>0.1351</w:t>
      </w:r>
      <w:r>
        <w:rPr>
          <w:rFonts w:hint="eastAsia" w:ascii="Times New Roman" w:hAnsi="Times New Roman"/>
          <w:color w:val="auto"/>
          <w:sz w:val="24"/>
          <w:highlight w:val="none"/>
        </w:rPr>
        <w:t>t/a（0.</w:t>
      </w:r>
      <w:r>
        <w:rPr>
          <w:rFonts w:hint="eastAsia" w:ascii="Times New Roman" w:hAnsi="Times New Roman"/>
          <w:color w:val="auto"/>
          <w:sz w:val="24"/>
          <w:highlight w:val="none"/>
          <w:lang w:val="en-US" w:eastAsia="zh-CN"/>
        </w:rPr>
        <w:t>1588</w:t>
      </w:r>
      <w:r>
        <w:rPr>
          <w:rFonts w:hint="eastAsia" w:ascii="Times New Roman" w:hAnsi="Times New Roman"/>
          <w:color w:val="auto"/>
          <w:sz w:val="24"/>
          <w:highlight w:val="none"/>
        </w:rPr>
        <w:t>kg/h），排放浓度为</w:t>
      </w:r>
      <w:r>
        <w:rPr>
          <w:rFonts w:hint="eastAsia" w:ascii="Times New Roman" w:hAnsi="Times New Roman"/>
          <w:color w:val="auto"/>
          <w:sz w:val="24"/>
          <w:highlight w:val="none"/>
          <w:lang w:val="en-US" w:eastAsia="zh-CN"/>
        </w:rPr>
        <w:t>2.34</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；非甲烷总烃排放量</w:t>
      </w:r>
      <w:r>
        <w:rPr>
          <w:rFonts w:hint="eastAsia" w:ascii="Times New Roman" w:hAnsi="Times New Roman"/>
          <w:color w:val="auto"/>
          <w:sz w:val="24"/>
          <w:highlight w:val="none"/>
          <w:lang w:val="en-US" w:eastAsia="zh-CN"/>
        </w:rPr>
        <w:t>1.1473</w:t>
      </w:r>
      <w:r>
        <w:rPr>
          <w:rFonts w:hint="eastAsia" w:ascii="Times New Roman" w:hAnsi="Times New Roman"/>
          <w:color w:val="auto"/>
          <w:sz w:val="24"/>
          <w:highlight w:val="none"/>
        </w:rPr>
        <w:t>t/a（</w:t>
      </w:r>
      <w:r>
        <w:rPr>
          <w:rFonts w:hint="eastAsia" w:ascii="Times New Roman" w:hAnsi="Times New Roman"/>
          <w:color w:val="auto"/>
          <w:sz w:val="24"/>
          <w:highlight w:val="none"/>
          <w:lang w:val="en-US" w:eastAsia="zh-CN"/>
        </w:rPr>
        <w:t>1.352</w:t>
      </w:r>
      <w:r>
        <w:rPr>
          <w:rFonts w:hint="eastAsia" w:ascii="Times New Roman" w:hAnsi="Times New Roman"/>
          <w:color w:val="auto"/>
          <w:sz w:val="24"/>
          <w:highlight w:val="none"/>
        </w:rPr>
        <w:t>kg/h），排放浓度为</w:t>
      </w:r>
      <w:r>
        <w:rPr>
          <w:rFonts w:hint="eastAsia" w:ascii="Times New Roman" w:hAnsi="Times New Roman"/>
          <w:color w:val="auto"/>
          <w:sz w:val="24"/>
          <w:highlight w:val="none"/>
          <w:lang w:val="en-US" w:eastAsia="zh-CN"/>
        </w:rPr>
        <w:t>19.88</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w:t>
      </w:r>
    </w:p>
    <w:p w14:paraId="00F97C61">
      <w:pPr>
        <w:adjustRightInd w:val="0"/>
        <w:snapToGrid w:val="0"/>
        <w:spacing w:line="360" w:lineRule="auto"/>
        <w:ind w:firstLine="480"/>
        <w:rPr>
          <w:rFonts w:ascii="Times New Roman" w:hAnsi="Times New Roman"/>
          <w:sz w:val="24"/>
        </w:rPr>
      </w:pPr>
      <w:r>
        <w:rPr>
          <w:rFonts w:hint="eastAsia" w:ascii="Times New Roman" w:hAnsi="Times New Roman"/>
          <w:color w:val="auto"/>
          <w:sz w:val="24"/>
        </w:rPr>
        <w:t>颗粒物</w:t>
      </w:r>
      <w:r>
        <w:rPr>
          <w:rFonts w:ascii="Times New Roman" w:hAnsi="Times New Roman"/>
          <w:color w:val="auto"/>
          <w:sz w:val="24"/>
        </w:rPr>
        <w:t>、</w:t>
      </w:r>
      <w:r>
        <w:rPr>
          <w:rFonts w:hint="eastAsia" w:ascii="Times New Roman" w:hAnsi="Times New Roman"/>
          <w:color w:val="auto"/>
          <w:sz w:val="24"/>
          <w:lang w:val="en-US" w:eastAsia="zh-CN"/>
        </w:rPr>
        <w:t>苯、</w:t>
      </w:r>
      <w:r>
        <w:rPr>
          <w:rFonts w:ascii="Times New Roman" w:hAnsi="Times New Roman"/>
          <w:color w:val="auto"/>
          <w:sz w:val="24"/>
        </w:rPr>
        <w:t>甲苯、二甲苯、非甲烷总烃能够达到《大</w:t>
      </w:r>
      <w:r>
        <w:rPr>
          <w:rFonts w:ascii="Times New Roman" w:hAnsi="Times New Roman"/>
          <w:sz w:val="24"/>
        </w:rPr>
        <w:t>气污染物综合排放标准》（GB16297-1996）二级标准</w:t>
      </w:r>
      <w:r>
        <w:rPr>
          <w:rFonts w:hint="eastAsia" w:ascii="Times New Roman" w:hAnsi="Times New Roman" w:cs="Times New Roman"/>
          <w:sz w:val="24"/>
        </w:rPr>
        <w:t>（颗粒物：15m排气筒，浓度≤120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3.5</w:t>
      </w:r>
      <w:r>
        <w:rPr>
          <w:rFonts w:ascii="Times New Roman" w:hAnsi="Times New Roman" w:cs="Times New Roman"/>
          <w:sz w:val="24"/>
        </w:rPr>
        <w:t>kg/h</w:t>
      </w:r>
      <w:r>
        <w:rPr>
          <w:rFonts w:hint="eastAsia" w:ascii="Times New Roman" w:hAnsi="Times New Roman" w:cs="Times New Roman"/>
          <w:sz w:val="24"/>
        </w:rPr>
        <w:t>；甲苯：15m排气筒，浓度≤40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3.1</w:t>
      </w:r>
      <w:r>
        <w:rPr>
          <w:rFonts w:ascii="Times New Roman" w:hAnsi="Times New Roman" w:cs="Times New Roman"/>
          <w:sz w:val="24"/>
        </w:rPr>
        <w:t>kg/h</w:t>
      </w:r>
      <w:r>
        <w:rPr>
          <w:rFonts w:hint="eastAsia" w:ascii="Times New Roman" w:hAnsi="Times New Roman" w:cs="Times New Roman"/>
          <w:sz w:val="24"/>
        </w:rPr>
        <w:t>；二甲苯：15m排气筒，浓度≤70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1.0</w:t>
      </w:r>
      <w:r>
        <w:rPr>
          <w:rFonts w:ascii="Times New Roman" w:hAnsi="Times New Roman" w:cs="Times New Roman"/>
          <w:sz w:val="24"/>
        </w:rPr>
        <w:t>kg/h</w:t>
      </w:r>
      <w:r>
        <w:rPr>
          <w:rFonts w:hint="eastAsia" w:ascii="Times New Roman" w:hAnsi="Times New Roman" w:cs="Times New Roman"/>
          <w:sz w:val="24"/>
        </w:rPr>
        <w:t>；非甲烷总烃：15m排气筒，浓度≤120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10</w:t>
      </w:r>
      <w:r>
        <w:rPr>
          <w:rFonts w:ascii="Times New Roman" w:hAnsi="Times New Roman" w:cs="Times New Roman"/>
          <w:sz w:val="24"/>
        </w:rPr>
        <w:t>kg/h</w:t>
      </w:r>
      <w:r>
        <w:rPr>
          <w:rFonts w:hint="eastAsia" w:ascii="Times New Roman" w:hAnsi="Times New Roman" w:cs="Times New Roman"/>
          <w:sz w:val="24"/>
        </w:rPr>
        <w:t>）</w:t>
      </w:r>
      <w:r>
        <w:rPr>
          <w:rFonts w:ascii="Times New Roman" w:hAnsi="Times New Roman"/>
          <w:sz w:val="24"/>
        </w:rPr>
        <w:t>、《工业涂装工序挥发性有机物排放标准》（DB41/1951-2020）</w:t>
      </w:r>
      <w:r>
        <w:rPr>
          <w:rFonts w:hint="eastAsia" w:ascii="Times New Roman" w:hAnsi="Times New Roman"/>
          <w:sz w:val="24"/>
        </w:rPr>
        <w:t>（</w:t>
      </w:r>
      <w:r>
        <w:rPr>
          <w:rFonts w:ascii="Times New Roman" w:hAnsi="Times New Roman"/>
          <w:sz w:val="24"/>
        </w:rPr>
        <w:t>非甲烷总烃50mg/m</w:t>
      </w:r>
      <w:r>
        <w:rPr>
          <w:rFonts w:ascii="Times New Roman" w:hAnsi="Times New Roman"/>
          <w:sz w:val="24"/>
          <w:vertAlign w:val="superscript"/>
        </w:rPr>
        <w:t>3</w:t>
      </w:r>
      <w:r>
        <w:rPr>
          <w:rFonts w:ascii="Times New Roman" w:hAnsi="Times New Roman"/>
          <w:sz w:val="24"/>
        </w:rPr>
        <w:t>、甲苯与二甲苯合计20mg/m</w:t>
      </w:r>
      <w:r>
        <w:rPr>
          <w:rFonts w:ascii="Times New Roman" w:hAnsi="Times New Roman"/>
          <w:sz w:val="24"/>
          <w:vertAlign w:val="superscript"/>
        </w:rPr>
        <w:t>3</w:t>
      </w:r>
      <w:r>
        <w:rPr>
          <w:rFonts w:hint="eastAsia" w:ascii="Times New Roman" w:hAnsi="Times New Roman"/>
          <w:sz w:val="24"/>
        </w:rPr>
        <w:t>）、</w:t>
      </w:r>
      <w:r>
        <w:rPr>
          <w:rFonts w:ascii="Times New Roman" w:hAnsi="Times New Roman"/>
          <w:sz w:val="24"/>
        </w:rPr>
        <w:t>《河南省环境污染防治攻坚战领导小组办公室文件》（豫环攻坚办</w:t>
      </w:r>
      <w:r>
        <w:rPr>
          <w:rFonts w:hint="eastAsia" w:ascii="Times New Roman" w:hAnsi="Times New Roman"/>
          <w:sz w:val="24"/>
        </w:rPr>
        <w:t>〔2017〕</w:t>
      </w:r>
      <w:r>
        <w:rPr>
          <w:rFonts w:ascii="Times New Roman" w:hAnsi="Times New Roman"/>
          <w:sz w:val="24"/>
        </w:rPr>
        <w:t>162号）关于全省开展工业企业挥发性有机物专项治理工作中排放建议值的通知（</w:t>
      </w:r>
      <w:r>
        <w:rPr>
          <w:rFonts w:ascii="Times New Roman" w:hAnsi="Times New Roman"/>
          <w:color w:val="auto"/>
          <w:sz w:val="24"/>
        </w:rPr>
        <w:t>家具制造业非甲烷总烃</w:t>
      </w:r>
      <w:r>
        <w:rPr>
          <w:rFonts w:hint="eastAsia" w:ascii="Times New Roman" w:hAnsi="Times New Roman"/>
          <w:color w:val="auto"/>
          <w:sz w:val="24"/>
        </w:rPr>
        <w:t>6</w:t>
      </w:r>
      <w:r>
        <w:rPr>
          <w:rFonts w:ascii="Times New Roman" w:hAnsi="Times New Roman"/>
          <w:color w:val="auto"/>
          <w:sz w:val="24"/>
        </w:rPr>
        <w:t>0mg/m</w:t>
      </w:r>
      <w:r>
        <w:rPr>
          <w:rFonts w:ascii="Times New Roman" w:hAnsi="Times New Roman"/>
          <w:color w:val="auto"/>
          <w:sz w:val="24"/>
          <w:vertAlign w:val="superscript"/>
        </w:rPr>
        <w:t>3</w:t>
      </w:r>
      <w:r>
        <w:rPr>
          <w:rFonts w:ascii="Times New Roman" w:hAnsi="Times New Roman"/>
          <w:color w:val="auto"/>
          <w:sz w:val="24"/>
        </w:rPr>
        <w:t>、甲苯与二甲苯合计20mg/m</w:t>
      </w:r>
      <w:r>
        <w:rPr>
          <w:rFonts w:ascii="Times New Roman" w:hAnsi="Times New Roman"/>
          <w:color w:val="auto"/>
          <w:sz w:val="24"/>
          <w:vertAlign w:val="superscript"/>
        </w:rPr>
        <w:t>3</w:t>
      </w:r>
      <w:r>
        <w:rPr>
          <w:rFonts w:ascii="Times New Roman" w:hAnsi="Times New Roman"/>
          <w:color w:val="auto"/>
          <w:sz w:val="24"/>
        </w:rPr>
        <w:t>）</w:t>
      </w:r>
      <w:r>
        <w:rPr>
          <w:rFonts w:hint="eastAsia" w:ascii="Times New Roman" w:hAnsi="Times New Roman"/>
          <w:color w:val="auto"/>
          <w:sz w:val="24"/>
        </w:rPr>
        <w:t>以及《重污染天气重</w:t>
      </w:r>
      <w:r>
        <w:rPr>
          <w:rFonts w:hint="eastAsia" w:ascii="Times New Roman" w:hAnsi="Times New Roman"/>
          <w:sz w:val="24"/>
        </w:rPr>
        <w:t>点行业应急减排措施制定技术指南（2020年修订版）》的函》（环办大气函〔2020〕340号）家具行业绩效分级指标（A级）（PM：10</w:t>
      </w:r>
      <w:r>
        <w:rPr>
          <w:rFonts w:ascii="Times New Roman" w:hAnsi="Times New Roman"/>
          <w:sz w:val="24"/>
        </w:rPr>
        <w:t>mg/m</w:t>
      </w:r>
      <w:r>
        <w:rPr>
          <w:rFonts w:ascii="Times New Roman" w:hAnsi="Times New Roman"/>
          <w:sz w:val="24"/>
          <w:vertAlign w:val="superscript"/>
        </w:rPr>
        <w:t>3</w:t>
      </w:r>
      <w:r>
        <w:rPr>
          <w:rFonts w:hint="eastAsia" w:ascii="Times New Roman" w:hAnsi="Times New Roman"/>
          <w:sz w:val="24"/>
        </w:rPr>
        <w:t>；NMHC：20</w:t>
      </w:r>
      <w:r>
        <w:rPr>
          <w:rFonts w:ascii="Times New Roman" w:hAnsi="Times New Roman"/>
          <w:sz w:val="24"/>
        </w:rPr>
        <w:t>mg/m</w:t>
      </w:r>
      <w:r>
        <w:rPr>
          <w:rFonts w:ascii="Times New Roman" w:hAnsi="Times New Roman"/>
          <w:sz w:val="24"/>
          <w:vertAlign w:val="superscript"/>
        </w:rPr>
        <w:t>3</w:t>
      </w:r>
      <w:r>
        <w:rPr>
          <w:rFonts w:hint="eastAsia" w:ascii="Times New Roman" w:hAnsi="Times New Roman"/>
          <w:sz w:val="24"/>
        </w:rPr>
        <w:t>）</w:t>
      </w:r>
      <w:r>
        <w:rPr>
          <w:rFonts w:ascii="Times New Roman" w:hAnsi="Times New Roman"/>
          <w:sz w:val="24"/>
        </w:rPr>
        <w:t>。</w:t>
      </w:r>
    </w:p>
    <w:p w14:paraId="238E950B">
      <w:pPr>
        <w:adjustRightInd w:val="0"/>
        <w:snapToGrid w:val="0"/>
        <w:spacing w:line="360" w:lineRule="auto"/>
        <w:ind w:firstLine="480"/>
        <w:rPr>
          <w:rFonts w:ascii="Times New Roman" w:hAnsi="Times New Roman" w:cs="Times New Roman"/>
          <w:sz w:val="24"/>
        </w:rPr>
      </w:pPr>
      <w:r>
        <w:rPr>
          <w:rFonts w:hint="eastAsia" w:ascii="Times New Roman" w:hAnsi="Times New Roman" w:cs="Times New Roman"/>
          <w:sz w:val="24"/>
        </w:rPr>
        <w:t>综上所述</w:t>
      </w:r>
      <w:r>
        <w:rPr>
          <w:rFonts w:ascii="Times New Roman" w:hAnsi="Times New Roman" w:cs="Times New Roman"/>
          <w:sz w:val="24"/>
        </w:rPr>
        <w:t>，本项目</w:t>
      </w:r>
      <w:r>
        <w:rPr>
          <w:rFonts w:hint="eastAsia" w:ascii="Times New Roman" w:hAnsi="Times New Roman" w:cs="Times New Roman"/>
          <w:sz w:val="24"/>
        </w:rPr>
        <w:t>废气</w:t>
      </w:r>
      <w:r>
        <w:rPr>
          <w:rFonts w:ascii="Times New Roman" w:hAnsi="Times New Roman" w:cs="Times New Roman"/>
          <w:sz w:val="24"/>
        </w:rPr>
        <w:t>防治措施工艺技术可行。</w:t>
      </w:r>
    </w:p>
    <w:p w14:paraId="4BCE0845">
      <w:pPr>
        <w:pStyle w:val="5"/>
        <w:numPr>
          <w:ilvl w:val="3"/>
          <w:numId w:val="75"/>
        </w:numPr>
        <w:tabs>
          <w:tab w:val="clear" w:pos="0"/>
        </w:tabs>
        <w:adjustRightInd w:val="0"/>
        <w:snapToGrid w:val="0"/>
      </w:pPr>
      <w:r>
        <w:rPr>
          <w:rFonts w:hint="eastAsia"/>
        </w:rPr>
        <w:t>危废暂存间废气</w:t>
      </w:r>
    </w:p>
    <w:p w14:paraId="2AA402C2">
      <w:pPr>
        <w:adjustRightInd w:val="0"/>
        <w:snapToGrid w:val="0"/>
        <w:spacing w:line="360" w:lineRule="auto"/>
        <w:ind w:firstLine="480"/>
        <w:rPr>
          <w:rFonts w:ascii="Times New Roman" w:hAnsi="Times New Roman"/>
          <w:sz w:val="24"/>
        </w:rPr>
      </w:pPr>
      <w:r>
        <w:rPr>
          <w:rFonts w:ascii="Times New Roman" w:hAnsi="Times New Roman"/>
          <w:sz w:val="24"/>
        </w:rPr>
        <w:t>本项目危废暂存间主要储存有废活性炭、废漆渣、废漆桶等。储存过程中会有有机废气产生，由于本项目产废周期长，故危废暂存间内有机废气不再进行定量分析。建议建设单位在危废暂存间设置集气管道，将废气引入</w:t>
      </w:r>
      <w:r>
        <w:rPr>
          <w:rFonts w:hint="eastAsia" w:ascii="Times New Roman" w:hAnsi="Times New Roman" w:cs="Times New Roman"/>
          <w:sz w:val="24"/>
        </w:rPr>
        <w:t>“</w:t>
      </w:r>
      <w:r>
        <w:rPr>
          <w:rFonts w:ascii="Times New Roman" w:hAnsi="Times New Roman" w:cs="Times New Roman"/>
          <w:color w:val="000000"/>
          <w:kern w:val="0"/>
          <w:sz w:val="24"/>
        </w:rPr>
        <w:t>活性炭吸附—脱附催化燃烧装置</w:t>
      </w:r>
      <w:r>
        <w:rPr>
          <w:rFonts w:hint="eastAsia" w:ascii="Times New Roman" w:hAnsi="Times New Roman" w:cs="Times New Roman"/>
          <w:sz w:val="24"/>
        </w:rPr>
        <w:t>”</w:t>
      </w:r>
      <w:r>
        <w:rPr>
          <w:rFonts w:ascii="Times New Roman" w:hAnsi="Times New Roman"/>
          <w:sz w:val="24"/>
        </w:rPr>
        <w:t>进行处理。</w:t>
      </w:r>
    </w:p>
    <w:p w14:paraId="5E41B3B9">
      <w:pPr>
        <w:pStyle w:val="5"/>
        <w:numPr>
          <w:ilvl w:val="3"/>
          <w:numId w:val="75"/>
        </w:numPr>
        <w:tabs>
          <w:tab w:val="clear" w:pos="0"/>
        </w:tabs>
      </w:pPr>
      <w:r>
        <w:rPr>
          <w:rFonts w:hint="eastAsia"/>
        </w:rPr>
        <w:t>无组织废气防治措施</w:t>
      </w:r>
    </w:p>
    <w:p w14:paraId="678F8668">
      <w:pPr>
        <w:spacing w:line="360" w:lineRule="auto"/>
        <w:ind w:firstLine="480"/>
        <w:rPr>
          <w:rFonts w:ascii="Times New Roman" w:hAnsi="Times New Roman" w:cs="Times New Roman"/>
          <w:sz w:val="24"/>
        </w:rPr>
      </w:pPr>
      <w:r>
        <w:rPr>
          <w:rFonts w:ascii="Times New Roman" w:hAnsi="Times New Roman" w:cs="Times New Roman"/>
          <w:sz w:val="24"/>
        </w:rPr>
        <w:t>本项目生产过程中会产生少量无组织废气。通过车间配备通袋式除尘装置、</w:t>
      </w:r>
      <w:r>
        <w:rPr>
          <w:rFonts w:hint="eastAsia" w:ascii="Times New Roman" w:hAnsi="Times New Roman" w:cs="Times New Roman"/>
          <w:sz w:val="24"/>
        </w:rPr>
        <w:t>活性炭</w:t>
      </w:r>
      <w:r>
        <w:rPr>
          <w:rFonts w:ascii="Times New Roman" w:hAnsi="Times New Roman" w:cs="Times New Roman"/>
          <w:sz w:val="24"/>
        </w:rPr>
        <w:t>吸附浓缩催化燃烧装置处理，可减少无组织的排放。建议项目在车间周边设置绿化带，选择对粉尘吸附能力强的乔木、灌木等植物进行种植，减少无组织废气对周围环境的影响。</w:t>
      </w:r>
    </w:p>
    <w:p w14:paraId="13051D96">
      <w:pPr>
        <w:pStyle w:val="3"/>
        <w:numPr>
          <w:ilvl w:val="1"/>
          <w:numId w:val="75"/>
        </w:numPr>
        <w:tabs>
          <w:tab w:val="clear" w:pos="0"/>
        </w:tabs>
        <w:adjustRightInd w:val="0"/>
        <w:snapToGrid w:val="0"/>
      </w:pPr>
      <w:bookmarkStart w:id="281" w:name="_Toc3658"/>
      <w:r>
        <w:rPr>
          <w:rFonts w:hint="eastAsia"/>
        </w:rPr>
        <w:t>废水污染防治措施及可行性分析</w:t>
      </w:r>
      <w:bookmarkEnd w:id="281"/>
    </w:p>
    <w:p w14:paraId="164BDC0E">
      <w:pPr>
        <w:pStyle w:val="4"/>
        <w:numPr>
          <w:ilvl w:val="2"/>
          <w:numId w:val="75"/>
        </w:numPr>
        <w:tabs>
          <w:tab w:val="clear" w:pos="0"/>
        </w:tabs>
        <w:adjustRightInd w:val="0"/>
        <w:snapToGrid w:val="0"/>
        <w:rPr>
          <w:szCs w:val="24"/>
        </w:rPr>
      </w:pPr>
      <w:r>
        <w:rPr>
          <w:rFonts w:hint="eastAsia"/>
          <w:szCs w:val="24"/>
        </w:rPr>
        <w:t>废水防治措施</w:t>
      </w:r>
    </w:p>
    <w:p w14:paraId="66CCB4C6">
      <w:pPr>
        <w:pStyle w:val="17"/>
        <w:adjustRightInd w:val="0"/>
        <w:snapToGrid w:val="0"/>
        <w:spacing w:line="360" w:lineRule="auto"/>
        <w:ind w:firstLine="480" w:firstLineChars="200"/>
        <w:rPr>
          <w:rFonts w:ascii="Times New Roman" w:hAnsi="Times New Roman" w:eastAsia="宋体" w:cs="Times New Roman"/>
          <w:sz w:val="24"/>
          <w:szCs w:val="24"/>
        </w:rPr>
      </w:pPr>
      <w:r>
        <w:rPr>
          <w:rFonts w:hint="eastAsia" w:ascii="宋体" w:hAnsi="宋体" w:eastAsia="宋体" w:cs="宋体"/>
          <w:sz w:val="24"/>
          <w:szCs w:val="24"/>
        </w:rPr>
        <w:t>生活污水经厂区内的化粪池处理、水帘废水经厂区污水处理站处理一并后</w:t>
      </w:r>
      <w:r>
        <w:rPr>
          <w:rFonts w:hint="eastAsia" w:eastAsia="宋体" w:cs="宋体"/>
          <w:sz w:val="24"/>
          <w:szCs w:val="24"/>
        </w:rPr>
        <w:t>通过厂区废水总排口</w:t>
      </w:r>
      <w:r>
        <w:rPr>
          <w:rFonts w:hint="eastAsia" w:ascii="宋体" w:hAnsi="宋体" w:eastAsia="宋体" w:cs="宋体"/>
          <w:sz w:val="24"/>
          <w:szCs w:val="24"/>
        </w:rPr>
        <w:t>接管排入清丰中州水务有限公司第二污水处理厂，最终排入潴龙河</w:t>
      </w:r>
      <w:r>
        <w:rPr>
          <w:rFonts w:hint="eastAsia" w:eastAsia="宋体" w:cs="宋体"/>
          <w:sz w:val="24"/>
          <w:szCs w:val="24"/>
        </w:rPr>
        <w:t>。</w:t>
      </w:r>
    </w:p>
    <w:p w14:paraId="5E7F0790">
      <w:pPr>
        <w:pStyle w:val="4"/>
        <w:numPr>
          <w:ilvl w:val="2"/>
          <w:numId w:val="75"/>
        </w:numPr>
        <w:tabs>
          <w:tab w:val="clear" w:pos="0"/>
        </w:tabs>
        <w:adjustRightInd w:val="0"/>
        <w:snapToGrid w:val="0"/>
        <w:rPr>
          <w:szCs w:val="24"/>
        </w:rPr>
      </w:pPr>
      <w:r>
        <w:rPr>
          <w:rFonts w:hint="eastAsia"/>
          <w:szCs w:val="24"/>
        </w:rPr>
        <w:t>废水防治措施的可行性</w:t>
      </w:r>
    </w:p>
    <w:p w14:paraId="66D79599">
      <w:pPr>
        <w:adjustRightInd w:val="0"/>
        <w:snapToGrid w:val="0"/>
        <w:spacing w:line="360" w:lineRule="auto"/>
        <w:ind w:firstLine="480"/>
        <w:rPr>
          <w:rFonts w:ascii="Times New Roman" w:hAnsi="Times New Roman" w:cs="Times New Roman"/>
          <w:b/>
          <w:bCs/>
          <w:sz w:val="24"/>
          <w:u w:val="single"/>
        </w:rPr>
      </w:pPr>
      <w:r>
        <w:rPr>
          <w:rFonts w:ascii="Times New Roman" w:hAnsi="Times New Roman" w:cs="Times New Roman"/>
          <w:b/>
          <w:bCs/>
          <w:sz w:val="24"/>
          <w:u w:val="single"/>
        </w:rPr>
        <w:t>本项目废水主要为喷漆房水帘更换水和员工生活办公废水。</w:t>
      </w:r>
    </w:p>
    <w:p w14:paraId="255B4492">
      <w:pPr>
        <w:pStyle w:val="89"/>
        <w:adjustRightInd w:val="0"/>
        <w:spacing w:line="360" w:lineRule="auto"/>
        <w:ind w:firstLine="482" w:firstLineChars="200"/>
        <w:jc w:val="left"/>
        <w:rPr>
          <w:rFonts w:ascii="Times New Roman" w:hAnsi="Times New Roman" w:cs="Times New Roman"/>
          <w:b/>
          <w:bCs/>
          <w:color w:val="auto"/>
          <w:sz w:val="24"/>
          <w:szCs w:val="24"/>
          <w:u w:val="single"/>
        </w:rPr>
      </w:pPr>
      <w:r>
        <w:rPr>
          <w:rFonts w:ascii="Times New Roman" w:hAnsi="Times New Roman" w:cs="Times New Roman"/>
          <w:b/>
          <w:bCs/>
          <w:color w:val="auto"/>
          <w:sz w:val="24"/>
          <w:szCs w:val="24"/>
          <w:u w:val="single"/>
        </w:rPr>
        <w:t>A、喷漆工艺方案比选</w:t>
      </w:r>
    </w:p>
    <w:p w14:paraId="4D78BEAD">
      <w:pPr>
        <w:pStyle w:val="89"/>
        <w:adjustRightInd w:val="0"/>
        <w:spacing w:line="360" w:lineRule="auto"/>
        <w:ind w:firstLine="482" w:firstLineChars="200"/>
        <w:jc w:val="left"/>
        <w:rPr>
          <w:rFonts w:ascii="Times New Roman" w:hAnsi="Times New Roman" w:cs="Times New Roman"/>
          <w:b/>
          <w:bCs/>
          <w:color w:val="auto"/>
          <w:sz w:val="24"/>
          <w:szCs w:val="24"/>
          <w:u w:val="single"/>
        </w:rPr>
      </w:pPr>
      <w:r>
        <w:rPr>
          <w:rFonts w:ascii="Times New Roman" w:hAnsi="Times New Roman" w:cs="Times New Roman"/>
          <w:b/>
          <w:bCs/>
          <w:color w:val="auto"/>
          <w:sz w:val="24"/>
          <w:szCs w:val="24"/>
          <w:u w:val="single"/>
        </w:rPr>
        <w:t>目前国内处理喷漆废水主要包括生化法、化学氧化法，本环评对上述工艺进行方案综合比选。</w:t>
      </w:r>
    </w:p>
    <w:p w14:paraId="2A94101D">
      <w:pPr>
        <w:pStyle w:val="90"/>
        <w:adjustRightInd w:val="0"/>
        <w:snapToGrid w:val="0"/>
        <w:spacing w:line="360" w:lineRule="auto"/>
        <w:ind w:firstLine="482" w:firstLineChars="200"/>
        <w:rPr>
          <w:rFonts w:ascii="Times New Roman" w:hAnsi="Times New Roman" w:eastAsia="宋体" w:cs="Times New Roman"/>
          <w:b/>
          <w:bCs/>
          <w:sz w:val="24"/>
          <w:highlight w:val="yellow"/>
          <w:u w:val="single"/>
        </w:rPr>
      </w:pPr>
      <w:r>
        <w:rPr>
          <w:rFonts w:ascii="Times New Roman" w:hAnsi="Times New Roman" w:eastAsia="宋体" w:cs="Times New Roman"/>
          <w:b/>
          <w:bCs/>
          <w:sz w:val="24"/>
          <w:u w:val="single"/>
        </w:rPr>
        <w:t>①化学氧化法：在循环水池中添加漆雾凝聚剂，减少循环水的更新频次，然后使用Fenton法氧化更换废水，降低水中污染物的含量，处理后的废水定期排放。</w:t>
      </w:r>
    </w:p>
    <w:p w14:paraId="2A82B25C">
      <w:pPr>
        <w:pStyle w:val="89"/>
        <w:spacing w:line="360" w:lineRule="auto"/>
        <w:ind w:firstLine="482" w:firstLineChars="200"/>
        <w:jc w:val="both"/>
        <w:rPr>
          <w:rFonts w:ascii="Times New Roman" w:hAnsi="Times New Roman" w:cs="Times New Roman"/>
          <w:b/>
          <w:bCs/>
          <w:color w:val="auto"/>
          <w:sz w:val="24"/>
          <w:szCs w:val="24"/>
          <w:u w:val="single"/>
        </w:rPr>
      </w:pPr>
      <w:r>
        <w:rPr>
          <w:rFonts w:ascii="Times New Roman" w:hAnsi="Times New Roman" w:cs="Times New Roman"/>
          <w:b/>
          <w:bCs/>
          <w:color w:val="auto"/>
          <w:sz w:val="24"/>
          <w:szCs w:val="24"/>
          <w:u w:val="single"/>
        </w:rPr>
        <w:t>颗粒物在循环水中带有一定量负电性与带正电的A剂接触后，被A剂的微粒包裹，电荷转移后失去粘性，形成不稳定之细小颗粒。入水口加入B剂后，由于B剂为长链网状高分子结构，细小微粒被B剂强烈吸附，使其形成较大颗粒而上浮与水分离，从而净化水质。使用漆雾凝聚剂后的废水更新频次，更新次数由一周一次提高到每月一次，极大的降低了废水的产生量。</w:t>
      </w:r>
    </w:p>
    <w:p w14:paraId="0B450082">
      <w:pPr>
        <w:pStyle w:val="89"/>
        <w:spacing w:line="360" w:lineRule="auto"/>
        <w:ind w:firstLine="482" w:firstLineChars="200"/>
        <w:jc w:val="left"/>
        <w:rPr>
          <w:rFonts w:ascii="Times New Roman" w:hAnsi="Times New Roman" w:cs="Times New Roman"/>
          <w:b/>
          <w:bCs/>
          <w:color w:val="auto"/>
          <w:sz w:val="24"/>
          <w:szCs w:val="24"/>
          <w:u w:val="single"/>
        </w:rPr>
      </w:pPr>
      <w:r>
        <w:rPr>
          <w:rFonts w:ascii="Times New Roman" w:hAnsi="Times New Roman" w:cs="Times New Roman"/>
          <w:b/>
          <w:bCs/>
          <w:color w:val="auto"/>
          <w:sz w:val="24"/>
          <w:szCs w:val="24"/>
          <w:u w:val="single"/>
        </w:rPr>
        <w:t>Fenton氧化法是在酸性条件下，H</w:t>
      </w:r>
      <w:r>
        <w:rPr>
          <w:rFonts w:ascii="Times New Roman" w:hAnsi="Times New Roman" w:cs="Times New Roman"/>
          <w:b/>
          <w:bCs/>
          <w:color w:val="auto"/>
          <w:sz w:val="24"/>
          <w:szCs w:val="24"/>
          <w:u w:val="single"/>
          <w:vertAlign w:val="subscript"/>
        </w:rPr>
        <w:t>2</w:t>
      </w:r>
      <w:r>
        <w:rPr>
          <w:rFonts w:ascii="Times New Roman" w:hAnsi="Times New Roman" w:cs="Times New Roman"/>
          <w:b/>
          <w:bCs/>
          <w:color w:val="auto"/>
          <w:sz w:val="24"/>
          <w:szCs w:val="24"/>
          <w:u w:val="single"/>
        </w:rPr>
        <w:t>O</w:t>
      </w:r>
      <w:r>
        <w:rPr>
          <w:rFonts w:ascii="Times New Roman" w:hAnsi="Times New Roman" w:cs="Times New Roman"/>
          <w:b/>
          <w:bCs/>
          <w:color w:val="auto"/>
          <w:sz w:val="24"/>
          <w:szCs w:val="24"/>
          <w:u w:val="single"/>
          <w:vertAlign w:val="subscript"/>
        </w:rPr>
        <w:t>2</w:t>
      </w:r>
      <w:r>
        <w:rPr>
          <w:rFonts w:ascii="Times New Roman" w:hAnsi="Times New Roman" w:cs="Times New Roman"/>
          <w:b/>
          <w:bCs/>
          <w:color w:val="auto"/>
          <w:sz w:val="24"/>
          <w:szCs w:val="24"/>
          <w:u w:val="single"/>
        </w:rPr>
        <w:t>在Fe</w:t>
      </w:r>
      <w:r>
        <w:rPr>
          <w:rFonts w:ascii="Times New Roman" w:hAnsi="Times New Roman" w:cs="Times New Roman"/>
          <w:b/>
          <w:bCs/>
          <w:color w:val="auto"/>
          <w:sz w:val="24"/>
          <w:szCs w:val="24"/>
          <w:u w:val="single"/>
          <w:vertAlign w:val="superscript"/>
        </w:rPr>
        <w:t>2+</w:t>
      </w:r>
      <w:r>
        <w:rPr>
          <w:rFonts w:ascii="Times New Roman" w:hAnsi="Times New Roman" w:cs="Times New Roman"/>
          <w:b/>
          <w:bCs/>
          <w:color w:val="auto"/>
          <w:sz w:val="24"/>
          <w:szCs w:val="24"/>
          <w:u w:val="single"/>
        </w:rPr>
        <w:t>存在下生成强氧化能力的•OH，并引发更多的其它活性氧，从而实现对有机物的降解。这些活性氧进攻有机分子并使其氧化为CO</w:t>
      </w:r>
      <w:r>
        <w:rPr>
          <w:rFonts w:ascii="Times New Roman" w:hAnsi="Times New Roman" w:cs="Times New Roman"/>
          <w:b/>
          <w:bCs/>
          <w:color w:val="auto"/>
          <w:sz w:val="24"/>
          <w:szCs w:val="24"/>
          <w:u w:val="single"/>
          <w:vertAlign w:val="subscript"/>
        </w:rPr>
        <w:t>2</w:t>
      </w:r>
      <w:r>
        <w:rPr>
          <w:rFonts w:ascii="Times New Roman" w:hAnsi="Times New Roman" w:cs="Times New Roman"/>
          <w:b/>
          <w:bCs/>
          <w:color w:val="auto"/>
          <w:sz w:val="24"/>
          <w:szCs w:val="24"/>
          <w:u w:val="single"/>
        </w:rPr>
        <w:t>和H</w:t>
      </w:r>
      <w:r>
        <w:rPr>
          <w:rFonts w:ascii="Times New Roman" w:hAnsi="Times New Roman" w:cs="Times New Roman"/>
          <w:b/>
          <w:bCs/>
          <w:color w:val="auto"/>
          <w:sz w:val="24"/>
          <w:szCs w:val="24"/>
          <w:u w:val="single"/>
          <w:vertAlign w:val="subscript"/>
        </w:rPr>
        <w:t>2</w:t>
      </w:r>
      <w:r>
        <w:rPr>
          <w:rFonts w:ascii="Times New Roman" w:hAnsi="Times New Roman" w:cs="Times New Roman"/>
          <w:b/>
          <w:bCs/>
          <w:color w:val="auto"/>
          <w:sz w:val="24"/>
          <w:szCs w:val="24"/>
          <w:u w:val="single"/>
        </w:rPr>
        <w:t>O等无机物。在反应中产生的•OH是一种非常活泼及非选择性物种，其氧化电位为2.8V，能够引发水溶液中的大部分有机物进行氧化还原反应而降解。Fe(OH)</w:t>
      </w:r>
      <w:r>
        <w:rPr>
          <w:rFonts w:ascii="Times New Roman" w:hAnsi="Times New Roman" w:cs="Times New Roman"/>
          <w:b/>
          <w:bCs/>
          <w:color w:val="auto"/>
          <w:sz w:val="24"/>
          <w:szCs w:val="24"/>
          <w:u w:val="single"/>
          <w:vertAlign w:val="subscript"/>
        </w:rPr>
        <w:t>2</w:t>
      </w:r>
      <w:r>
        <w:rPr>
          <w:rFonts w:ascii="Times New Roman" w:hAnsi="Times New Roman" w:cs="Times New Roman"/>
          <w:b/>
          <w:bCs/>
          <w:color w:val="auto"/>
          <w:sz w:val="24"/>
          <w:szCs w:val="24"/>
          <w:u w:val="single"/>
        </w:rPr>
        <w:t>具有聚合沉淀作用，从而有效降低废水的色度、COD。</w:t>
      </w:r>
    </w:p>
    <w:p w14:paraId="15644CCD">
      <w:pPr>
        <w:pStyle w:val="89"/>
        <w:adjustRightInd w:val="0"/>
        <w:spacing w:line="360" w:lineRule="auto"/>
        <w:ind w:firstLine="482" w:firstLineChars="200"/>
        <w:jc w:val="both"/>
        <w:rPr>
          <w:rFonts w:ascii="Times New Roman" w:hAnsi="Times New Roman" w:eastAsia="宋体" w:cs="Times New Roman"/>
          <w:b/>
          <w:bCs/>
          <w:color w:val="auto"/>
          <w:u w:val="single"/>
        </w:rPr>
      </w:pPr>
      <w:r>
        <w:rPr>
          <w:rFonts w:ascii="Times New Roman" w:hAnsi="Times New Roman" w:cs="Times New Roman"/>
          <w:b/>
          <w:bCs/>
          <w:color w:val="auto"/>
          <w:sz w:val="24"/>
          <w:szCs w:val="24"/>
          <w:u w:val="single"/>
        </w:rPr>
        <w:t>该方法具有去除率高、无二次污染、处理流程短、占地面积小、操作方便</w:t>
      </w:r>
      <w:r>
        <w:rPr>
          <w:rFonts w:hint="eastAsia" w:ascii="Times New Roman" w:hAnsi="Times New Roman" w:cs="Times New Roman"/>
          <w:b/>
          <w:bCs/>
          <w:color w:val="auto"/>
          <w:sz w:val="24"/>
          <w:szCs w:val="24"/>
          <w:u w:val="single"/>
        </w:rPr>
        <w:t>等特点。</w:t>
      </w:r>
    </w:p>
    <w:p w14:paraId="14E8B5D6">
      <w:pPr>
        <w:pStyle w:val="89"/>
        <w:adjustRightInd w:val="0"/>
        <w:spacing w:line="360" w:lineRule="auto"/>
        <w:jc w:val="both"/>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Fenton催化氧化反应影响因素主要有四个方面：</w:t>
      </w:r>
    </w:p>
    <w:p w14:paraId="27A884A7">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a、H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投加量</w:t>
      </w:r>
    </w:p>
    <w:p w14:paraId="641BBFDB">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采用Fenton试剂处理废水的有效性和经济性主要取决于H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的投加量。一般随着H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投加量的增加，反应过程中产生的HO·量也会增加，且产生的HO·全都参与了与有机物的反应，但若H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的浓度过高时，过多的H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会与产生的H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发生反应，从而消耗H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导致废水去除率下降。</w:t>
      </w:r>
    </w:p>
    <w:p w14:paraId="2005C7CB">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b、催化剂（Fe</w:t>
      </w:r>
      <w:r>
        <w:rPr>
          <w:rFonts w:ascii="Times New Roman" w:hAnsi="Times New Roman" w:eastAsia="宋体" w:cs="Times New Roman"/>
          <w:b/>
          <w:bCs/>
          <w:color w:val="auto"/>
          <w:sz w:val="24"/>
          <w:szCs w:val="24"/>
          <w:u w:val="single"/>
          <w:vertAlign w:val="superscript"/>
        </w:rPr>
        <w:t>2+</w:t>
      </w:r>
      <w:r>
        <w:rPr>
          <w:rFonts w:ascii="Times New Roman" w:hAnsi="Times New Roman" w:eastAsia="宋体" w:cs="Times New Roman"/>
          <w:b/>
          <w:bCs/>
          <w:color w:val="auto"/>
          <w:sz w:val="24"/>
          <w:szCs w:val="24"/>
          <w:u w:val="single"/>
        </w:rPr>
        <w:t>）投加量影响</w:t>
      </w:r>
    </w:p>
    <w:p w14:paraId="23ADDBC6">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在传统Fenton体系中，Fe</w:t>
      </w:r>
      <w:r>
        <w:rPr>
          <w:rFonts w:ascii="Times New Roman" w:hAnsi="Times New Roman" w:eastAsia="宋体" w:cs="Times New Roman"/>
          <w:b/>
          <w:bCs/>
          <w:color w:val="auto"/>
          <w:sz w:val="24"/>
          <w:szCs w:val="24"/>
          <w:u w:val="single"/>
          <w:vertAlign w:val="superscript"/>
        </w:rPr>
        <w:t>2+</w:t>
      </w:r>
      <w:r>
        <w:rPr>
          <w:rFonts w:ascii="Times New Roman" w:hAnsi="Times New Roman" w:eastAsia="宋体" w:cs="Times New Roman"/>
          <w:b/>
          <w:bCs/>
          <w:color w:val="auto"/>
          <w:sz w:val="24"/>
          <w:szCs w:val="24"/>
          <w:u w:val="single"/>
        </w:rPr>
        <w:t>是催化H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分解产生HO·的必要条件，期常用的试剂为FeSO</w:t>
      </w:r>
      <w:r>
        <w:rPr>
          <w:rFonts w:ascii="Times New Roman" w:hAnsi="Times New Roman" w:eastAsia="宋体" w:cs="Times New Roman"/>
          <w:b/>
          <w:bCs/>
          <w:color w:val="auto"/>
          <w:sz w:val="24"/>
          <w:szCs w:val="24"/>
          <w:u w:val="single"/>
          <w:vertAlign w:val="subscript"/>
        </w:rPr>
        <w:t>4</w:t>
      </w:r>
      <w:r>
        <w:rPr>
          <w:rFonts w:ascii="Times New Roman" w:hAnsi="Times New Roman" w:eastAsia="宋体" w:cs="Times New Roman"/>
          <w:b/>
          <w:bCs/>
          <w:color w:val="auto"/>
          <w:sz w:val="24"/>
          <w:szCs w:val="24"/>
          <w:u w:val="single"/>
        </w:rPr>
        <w:t>·7H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O。在H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量一定的情况下，Fe</w:t>
      </w:r>
      <w:r>
        <w:rPr>
          <w:rFonts w:ascii="Times New Roman" w:hAnsi="Times New Roman" w:eastAsia="宋体" w:cs="Times New Roman"/>
          <w:b/>
          <w:bCs/>
          <w:color w:val="auto"/>
          <w:sz w:val="24"/>
          <w:szCs w:val="24"/>
          <w:u w:val="single"/>
          <w:vertAlign w:val="superscript"/>
        </w:rPr>
        <w:t>2+</w:t>
      </w:r>
      <w:r>
        <w:rPr>
          <w:rFonts w:ascii="Times New Roman" w:hAnsi="Times New Roman" w:eastAsia="宋体" w:cs="Times New Roman"/>
          <w:b/>
          <w:bCs/>
          <w:color w:val="auto"/>
          <w:sz w:val="24"/>
          <w:szCs w:val="24"/>
          <w:u w:val="single"/>
        </w:rPr>
        <w:t>量少时，其催化H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产生HO</w:t>
      </w:r>
      <w:r>
        <w:rPr>
          <w:rFonts w:ascii="Times New Roman" w:hAnsi="Times New Roman" w:eastAsia="宋体" w:cs="Times New Roman"/>
          <w:b/>
          <w:bCs/>
          <w:color w:val="auto"/>
          <w:sz w:val="24"/>
          <w:szCs w:val="24"/>
          <w:u w:val="single"/>
          <w:vertAlign w:val="superscript"/>
        </w:rPr>
        <w:t>-</w:t>
      </w:r>
      <w:r>
        <w:rPr>
          <w:rFonts w:ascii="Times New Roman" w:hAnsi="Times New Roman" w:eastAsia="宋体" w:cs="Times New Roman"/>
          <w:b/>
          <w:bCs/>
          <w:color w:val="auto"/>
          <w:sz w:val="24"/>
          <w:szCs w:val="24"/>
          <w:u w:val="single"/>
        </w:rPr>
        <w:t>的速度和数量都较小，产生的HO</w:t>
      </w:r>
      <w:r>
        <w:rPr>
          <w:rFonts w:ascii="Times New Roman" w:hAnsi="Times New Roman" w:eastAsia="宋体" w:cs="Times New Roman"/>
          <w:b/>
          <w:bCs/>
          <w:color w:val="auto"/>
          <w:sz w:val="24"/>
          <w:szCs w:val="24"/>
          <w:u w:val="single"/>
          <w:vertAlign w:val="superscript"/>
        </w:rPr>
        <w:t>-</w:t>
      </w:r>
      <w:r>
        <w:rPr>
          <w:rFonts w:ascii="Times New Roman" w:hAnsi="Times New Roman" w:eastAsia="宋体" w:cs="Times New Roman"/>
          <w:b/>
          <w:bCs/>
          <w:color w:val="auto"/>
          <w:sz w:val="24"/>
          <w:szCs w:val="24"/>
          <w:u w:val="single"/>
        </w:rPr>
        <w:t>量会逐渐增加，废水COD去除率相应增加，当Fe</w:t>
      </w:r>
      <w:r>
        <w:rPr>
          <w:rFonts w:ascii="Times New Roman" w:hAnsi="Times New Roman" w:eastAsia="宋体" w:cs="Times New Roman"/>
          <w:b/>
          <w:bCs/>
          <w:color w:val="auto"/>
          <w:sz w:val="24"/>
          <w:szCs w:val="24"/>
          <w:u w:val="single"/>
          <w:vertAlign w:val="superscript"/>
        </w:rPr>
        <w:t>2+</w:t>
      </w:r>
      <w:r>
        <w:rPr>
          <w:rFonts w:ascii="Times New Roman" w:hAnsi="Times New Roman" w:eastAsia="宋体" w:cs="Times New Roman"/>
          <w:b/>
          <w:bCs/>
          <w:color w:val="auto"/>
          <w:sz w:val="24"/>
          <w:szCs w:val="24"/>
          <w:u w:val="single"/>
        </w:rPr>
        <w:t>量过多时，其导致H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快速分解，产生的HO·来不及与有机物污染物反应就聚集并反应生成H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O和O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，造成HO·的损耗，废水COD去除率下降，同时过量的Fe</w:t>
      </w:r>
      <w:r>
        <w:rPr>
          <w:rFonts w:ascii="Times New Roman" w:hAnsi="Times New Roman" w:eastAsia="宋体" w:cs="Times New Roman"/>
          <w:b/>
          <w:bCs/>
          <w:color w:val="auto"/>
          <w:sz w:val="24"/>
          <w:szCs w:val="24"/>
          <w:u w:val="single"/>
          <w:vertAlign w:val="superscript"/>
        </w:rPr>
        <w:t>2+</w:t>
      </w:r>
      <w:r>
        <w:rPr>
          <w:rFonts w:ascii="Times New Roman" w:hAnsi="Times New Roman" w:eastAsia="宋体" w:cs="Times New Roman"/>
          <w:b/>
          <w:bCs/>
          <w:color w:val="auto"/>
          <w:sz w:val="24"/>
          <w:szCs w:val="24"/>
          <w:u w:val="single"/>
        </w:rPr>
        <w:t>极易被氧化成Fe</w:t>
      </w:r>
      <w:r>
        <w:rPr>
          <w:rFonts w:ascii="Times New Roman" w:hAnsi="Times New Roman" w:eastAsia="宋体" w:cs="Times New Roman"/>
          <w:b/>
          <w:bCs/>
          <w:color w:val="auto"/>
          <w:sz w:val="24"/>
          <w:szCs w:val="24"/>
          <w:u w:val="single"/>
          <w:vertAlign w:val="superscript"/>
        </w:rPr>
        <w:t>3+</w:t>
      </w:r>
      <w:r>
        <w:rPr>
          <w:rFonts w:ascii="Times New Roman" w:hAnsi="Times New Roman" w:eastAsia="宋体" w:cs="Times New Roman"/>
          <w:b/>
          <w:bCs/>
          <w:color w:val="auto"/>
          <w:sz w:val="24"/>
          <w:szCs w:val="24"/>
          <w:u w:val="single"/>
        </w:rPr>
        <w:t>，造成色度增加。</w:t>
      </w:r>
    </w:p>
    <w:p w14:paraId="6CB84813">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c、pH值影响</w:t>
      </w:r>
    </w:p>
    <w:p w14:paraId="2B1D089A">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Fenton反应只能在酸性条件下进行，在中性和碱性条件下Fe</w:t>
      </w:r>
      <w:r>
        <w:rPr>
          <w:rFonts w:ascii="Times New Roman" w:hAnsi="Times New Roman" w:eastAsia="宋体" w:cs="Times New Roman"/>
          <w:b/>
          <w:bCs/>
          <w:color w:val="auto"/>
          <w:sz w:val="24"/>
          <w:szCs w:val="24"/>
          <w:u w:val="single"/>
          <w:vertAlign w:val="superscript"/>
        </w:rPr>
        <w:t>2+</w:t>
      </w:r>
      <w:r>
        <w:rPr>
          <w:rFonts w:ascii="Times New Roman" w:hAnsi="Times New Roman" w:eastAsia="宋体" w:cs="Times New Roman"/>
          <w:b/>
          <w:bCs/>
          <w:color w:val="auto"/>
          <w:sz w:val="24"/>
          <w:szCs w:val="24"/>
          <w:u w:val="single"/>
        </w:rPr>
        <w:t>不能催化H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产生HO·，且最佳pH值在2~4。</w:t>
      </w:r>
    </w:p>
    <w:p w14:paraId="2357E3D3">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d、反应时间影响</w:t>
      </w:r>
    </w:p>
    <w:p w14:paraId="55FF83A5">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Fenton试剂处理难降解废水，其一个重要的特点就是反应速度快，而Fenton试剂氧化污染物的实质是反应中产生的HO·与污染物发生了直接反应。因此，在Fenton氧化反应中，决定反应时间长短的关键在于催化产生HO·的速率和HO·与污染物接触发生反应的速率。研究表明，Fenton氧化最佳反应时间在1.5~2h。</w:t>
      </w:r>
    </w:p>
    <w:p w14:paraId="5E56BAB3">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e、反应温度影响</w:t>
      </w:r>
    </w:p>
    <w:p w14:paraId="35000416">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温度对Fenton氧化反应的影响，主要有两个方面：第一，温度升高有利于提高HO·的活性，利于HO·与污染物反应进行；第二，温度升高会加快反应的进行，造成H</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O</w:t>
      </w:r>
      <w:r>
        <w:rPr>
          <w:rFonts w:ascii="Times New Roman" w:hAnsi="Times New Roman" w:eastAsia="宋体" w:cs="Times New Roman"/>
          <w:b/>
          <w:bCs/>
          <w:color w:val="auto"/>
          <w:sz w:val="24"/>
          <w:szCs w:val="24"/>
          <w:u w:val="single"/>
          <w:vertAlign w:val="subscript"/>
        </w:rPr>
        <w:t>2</w:t>
      </w:r>
      <w:r>
        <w:rPr>
          <w:rFonts w:ascii="Times New Roman" w:hAnsi="Times New Roman" w:eastAsia="宋体" w:cs="Times New Roman"/>
          <w:b/>
          <w:bCs/>
          <w:color w:val="auto"/>
          <w:sz w:val="24"/>
          <w:szCs w:val="24"/>
          <w:u w:val="single"/>
        </w:rPr>
        <w:t>无效分解，不利于HO·的生成，对污染物降解不利。</w:t>
      </w:r>
    </w:p>
    <w:p w14:paraId="6AA43ACB">
      <w:pPr>
        <w:pStyle w:val="89"/>
        <w:adjustRightInd w:val="0"/>
        <w:spacing w:line="360" w:lineRule="auto"/>
        <w:ind w:firstLine="465"/>
        <w:jc w:val="left"/>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②生化法：一般采用气浮+厌氧+好氧法，能耗低，去除率高。因为经厌氧后，难生化的污染物大大减少，提高了废水的可生化性，且厌氧段不需要供氧，最高可去除80-90%的有机物。缺点：占地面积大、投资高、运行成本较大、自动化程度要求高。一般用于水量大的喷漆废水。</w:t>
      </w:r>
    </w:p>
    <w:p w14:paraId="432AC737">
      <w:pPr>
        <w:pStyle w:val="90"/>
        <w:spacing w:line="360" w:lineRule="auto"/>
        <w:ind w:firstLine="465"/>
        <w:rPr>
          <w:rFonts w:ascii="Times New Roman" w:hAnsi="Times New Roman" w:eastAsia="宋体" w:cs="Times New Roman"/>
          <w:b/>
          <w:bCs/>
          <w:sz w:val="24"/>
          <w:u w:val="single"/>
        </w:rPr>
      </w:pPr>
      <w:r>
        <w:rPr>
          <w:rFonts w:ascii="Times New Roman" w:hAnsi="Times New Roman" w:eastAsia="宋体" w:cs="Times New Roman"/>
          <w:b/>
          <w:bCs/>
          <w:sz w:val="24"/>
          <w:u w:val="single"/>
        </w:rPr>
        <w:t>由工程分析可知，本项目喷漆废水更新频次较少，约每</w:t>
      </w:r>
      <w:r>
        <w:rPr>
          <w:rFonts w:hint="eastAsia" w:ascii="Times New Roman" w:hAnsi="Times New Roman" w:eastAsia="宋体" w:cs="Times New Roman"/>
          <w:b/>
          <w:bCs/>
          <w:sz w:val="24"/>
          <w:u w:val="single"/>
          <w:lang w:val="en-US" w:eastAsia="zh-CN"/>
        </w:rPr>
        <w:t>5个工作日</w:t>
      </w:r>
      <w:r>
        <w:rPr>
          <w:rFonts w:ascii="Times New Roman" w:hAnsi="Times New Roman" w:eastAsia="宋体" w:cs="Times New Roman"/>
          <w:b/>
          <w:bCs/>
          <w:sz w:val="24"/>
          <w:u w:val="single"/>
        </w:rPr>
        <w:t>更新一次，且本项目土地利用率较高。综合评价上述2种方法，选用化学氧化法，可以满足本项目对废水循环利用的要求。</w:t>
      </w:r>
    </w:p>
    <w:p w14:paraId="17E47F62">
      <w:pPr>
        <w:pStyle w:val="90"/>
        <w:spacing w:line="360" w:lineRule="auto"/>
        <w:ind w:firstLine="465"/>
        <w:rPr>
          <w:rFonts w:ascii="Times New Roman" w:hAnsi="Times New Roman" w:eastAsia="宋体" w:cs="Times New Roman"/>
          <w:bCs/>
          <w:sz w:val="24"/>
        </w:rPr>
      </w:pPr>
      <w:r>
        <w:rPr>
          <w:rFonts w:ascii="Times New Roman" w:hAnsi="Times New Roman" w:eastAsia="宋体" w:cs="Times New Roman"/>
          <w:bCs/>
          <w:sz w:val="24"/>
        </w:rPr>
        <w:t>B：可行性分析</w:t>
      </w:r>
    </w:p>
    <w:p w14:paraId="7B454792">
      <w:pPr>
        <w:spacing w:line="360" w:lineRule="auto"/>
        <w:ind w:firstLine="482"/>
        <w:rPr>
          <w:rFonts w:ascii="Times New Roman" w:hAnsi="Times New Roman" w:cs="Times New Roman"/>
          <w:sz w:val="24"/>
        </w:rPr>
      </w:pPr>
      <w:r>
        <w:rPr>
          <w:rFonts w:ascii="Times New Roman" w:hAnsi="Times New Roman" w:eastAsia="宋体" w:cs="Times New Roman"/>
          <w:sz w:val="24"/>
        </w:rPr>
        <w:t>本项目</w:t>
      </w:r>
      <w:r>
        <w:rPr>
          <w:rFonts w:hint="eastAsia" w:ascii="Times New Roman" w:hAnsi="Times New Roman" w:eastAsia="宋体" w:cs="Times New Roman"/>
          <w:sz w:val="24"/>
        </w:rPr>
        <w:t>生产</w:t>
      </w:r>
      <w:r>
        <w:rPr>
          <w:rFonts w:ascii="Times New Roman" w:hAnsi="Times New Roman" w:eastAsia="宋体" w:cs="Times New Roman"/>
          <w:sz w:val="24"/>
        </w:rPr>
        <w:t>废水产排情况如下：</w:t>
      </w:r>
    </w:p>
    <w:p w14:paraId="176D10A4">
      <w:pPr>
        <w:numPr>
          <w:ilvl w:val="0"/>
          <w:numId w:val="78"/>
        </w:numPr>
        <w:autoSpaceDE w:val="0"/>
        <w:autoSpaceDN w:val="0"/>
        <w:adjustRightInd w:val="0"/>
        <w:spacing w:line="360" w:lineRule="auto"/>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 xml:space="preserve"> 项目废水污染物产排情况一览表</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80"/>
        <w:gridCol w:w="2166"/>
        <w:gridCol w:w="786"/>
        <w:gridCol w:w="892"/>
        <w:gridCol w:w="732"/>
        <w:gridCol w:w="885"/>
        <w:gridCol w:w="755"/>
        <w:gridCol w:w="867"/>
        <w:gridCol w:w="959"/>
      </w:tblGrid>
      <w:tr w14:paraId="72FFEE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646" w:type="dxa"/>
            <w:gridSpan w:val="2"/>
            <w:tcBorders>
              <w:tl2br w:val="nil"/>
              <w:tr2bl w:val="nil"/>
            </w:tcBorders>
            <w:vAlign w:val="center"/>
          </w:tcPr>
          <w:p w14:paraId="42020E7E">
            <w:pPr>
              <w:jc w:val="center"/>
              <w:rPr>
                <w:rFonts w:ascii="Times New Roman" w:hAnsi="Times New Roman" w:cs="Times New Roman"/>
                <w:color w:val="000000"/>
                <w:szCs w:val="21"/>
              </w:rPr>
            </w:pPr>
            <w:r>
              <w:rPr>
                <w:rFonts w:ascii="Times New Roman" w:hAnsi="Times New Roman" w:cs="Times New Roman"/>
                <w:color w:val="000000"/>
                <w:szCs w:val="21"/>
              </w:rPr>
              <w:t>名称</w:t>
            </w:r>
          </w:p>
        </w:tc>
        <w:tc>
          <w:tcPr>
            <w:tcW w:w="786" w:type="dxa"/>
            <w:tcBorders>
              <w:tl2br w:val="nil"/>
              <w:tr2bl w:val="nil"/>
            </w:tcBorders>
            <w:vAlign w:val="center"/>
          </w:tcPr>
          <w:p w14:paraId="28887C1D">
            <w:pPr>
              <w:jc w:val="center"/>
              <w:rPr>
                <w:rFonts w:ascii="Times New Roman" w:hAnsi="Times New Roman" w:cs="Times New Roman"/>
                <w:color w:val="000000"/>
                <w:szCs w:val="21"/>
              </w:rPr>
            </w:pPr>
            <w:r>
              <w:rPr>
                <w:rFonts w:ascii="Times New Roman" w:hAnsi="Times New Roman" w:cs="Times New Roman"/>
                <w:color w:val="000000"/>
                <w:szCs w:val="21"/>
              </w:rPr>
              <w:t>废水量t/a</w:t>
            </w:r>
          </w:p>
        </w:tc>
        <w:tc>
          <w:tcPr>
            <w:tcW w:w="892" w:type="dxa"/>
            <w:tcBorders>
              <w:tl2br w:val="nil"/>
              <w:tr2bl w:val="nil"/>
            </w:tcBorders>
            <w:vAlign w:val="center"/>
          </w:tcPr>
          <w:p w14:paraId="5D3D43A6">
            <w:pPr>
              <w:jc w:val="center"/>
              <w:rPr>
                <w:rFonts w:ascii="Times New Roman" w:hAnsi="Times New Roman" w:cs="Times New Roman"/>
                <w:color w:val="000000"/>
                <w:szCs w:val="21"/>
              </w:rPr>
            </w:pPr>
            <w:r>
              <w:rPr>
                <w:rFonts w:ascii="Times New Roman" w:hAnsi="Times New Roman" w:cs="Times New Roman"/>
                <w:color w:val="000000"/>
                <w:szCs w:val="21"/>
              </w:rPr>
              <w:t>COD</w:t>
            </w:r>
          </w:p>
          <w:p w14:paraId="164CE383">
            <w:pPr>
              <w:jc w:val="center"/>
              <w:rPr>
                <w:rFonts w:ascii="Times New Roman" w:hAnsi="Times New Roman" w:cs="Times New Roman"/>
                <w:color w:val="000000"/>
                <w:szCs w:val="21"/>
              </w:rPr>
            </w:pPr>
            <w:r>
              <w:rPr>
                <w:rFonts w:ascii="Times New Roman" w:hAnsi="Times New Roman" w:cs="Times New Roman"/>
                <w:color w:val="000000"/>
                <w:szCs w:val="21"/>
              </w:rPr>
              <w:t>mg/L</w:t>
            </w:r>
          </w:p>
        </w:tc>
        <w:tc>
          <w:tcPr>
            <w:tcW w:w="732" w:type="dxa"/>
            <w:tcBorders>
              <w:tl2br w:val="nil"/>
              <w:tr2bl w:val="nil"/>
            </w:tcBorders>
            <w:vAlign w:val="center"/>
          </w:tcPr>
          <w:p w14:paraId="22DC6CA6">
            <w:pPr>
              <w:jc w:val="center"/>
              <w:rPr>
                <w:rFonts w:ascii="Times New Roman" w:hAnsi="Times New Roman" w:cs="Times New Roman"/>
                <w:color w:val="000000"/>
                <w:szCs w:val="21"/>
              </w:rPr>
            </w:pPr>
            <w:r>
              <w:rPr>
                <w:rFonts w:ascii="Times New Roman" w:hAnsi="Times New Roman" w:cs="Times New Roman"/>
                <w:color w:val="000000"/>
                <w:szCs w:val="21"/>
              </w:rPr>
              <w:t>氨氮mg/L</w:t>
            </w:r>
          </w:p>
        </w:tc>
        <w:tc>
          <w:tcPr>
            <w:tcW w:w="885" w:type="dxa"/>
            <w:tcBorders>
              <w:tl2br w:val="nil"/>
              <w:tr2bl w:val="nil"/>
            </w:tcBorders>
            <w:vAlign w:val="center"/>
          </w:tcPr>
          <w:p w14:paraId="24F8A38C">
            <w:pPr>
              <w:jc w:val="center"/>
              <w:rPr>
                <w:rFonts w:ascii="Times New Roman" w:hAnsi="Times New Roman" w:eastAsia="宋体" w:cs="Times New Roman"/>
                <w:szCs w:val="21"/>
                <w:vertAlign w:val="subscript"/>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p w14:paraId="3496CC63">
            <w:pPr>
              <w:jc w:val="center"/>
              <w:rPr>
                <w:rFonts w:ascii="Times New Roman" w:hAnsi="Times New Roman" w:cs="Times New Roman"/>
                <w:color w:val="000000"/>
                <w:szCs w:val="21"/>
              </w:rPr>
            </w:pPr>
            <w:r>
              <w:rPr>
                <w:rFonts w:ascii="Times New Roman" w:hAnsi="Times New Roman" w:cs="Times New Roman"/>
                <w:color w:val="000000"/>
                <w:szCs w:val="21"/>
              </w:rPr>
              <w:t>mg/L</w:t>
            </w:r>
          </w:p>
        </w:tc>
        <w:tc>
          <w:tcPr>
            <w:tcW w:w="755" w:type="dxa"/>
            <w:tcBorders>
              <w:tl2br w:val="nil"/>
              <w:tr2bl w:val="nil"/>
            </w:tcBorders>
            <w:vAlign w:val="center"/>
          </w:tcPr>
          <w:p w14:paraId="111CDB4E">
            <w:pPr>
              <w:jc w:val="center"/>
              <w:rPr>
                <w:rFonts w:ascii="Times New Roman" w:hAnsi="Times New Roman" w:cs="Times New Roman"/>
                <w:color w:val="000000"/>
                <w:szCs w:val="21"/>
              </w:rPr>
            </w:pPr>
            <w:r>
              <w:rPr>
                <w:rFonts w:hint="eastAsia" w:ascii="Times New Roman" w:hAnsi="Times New Roman" w:cs="Times New Roman"/>
                <w:color w:val="000000"/>
                <w:szCs w:val="21"/>
              </w:rPr>
              <w:t>SS</w:t>
            </w:r>
          </w:p>
          <w:p w14:paraId="04ED0BE6">
            <w:pPr>
              <w:jc w:val="center"/>
              <w:rPr>
                <w:rFonts w:ascii="Times New Roman" w:hAnsi="Times New Roman" w:cs="Times New Roman"/>
                <w:color w:val="000000"/>
                <w:szCs w:val="21"/>
              </w:rPr>
            </w:pPr>
            <w:r>
              <w:rPr>
                <w:rFonts w:ascii="Times New Roman" w:hAnsi="Times New Roman" w:cs="Times New Roman"/>
                <w:color w:val="000000"/>
                <w:szCs w:val="21"/>
              </w:rPr>
              <w:t>mg/L</w:t>
            </w:r>
          </w:p>
        </w:tc>
        <w:tc>
          <w:tcPr>
            <w:tcW w:w="867" w:type="dxa"/>
            <w:tcBorders>
              <w:tl2br w:val="nil"/>
              <w:tr2bl w:val="nil"/>
            </w:tcBorders>
            <w:vAlign w:val="center"/>
          </w:tcPr>
          <w:p w14:paraId="2D505DB8">
            <w:pPr>
              <w:jc w:val="center"/>
              <w:rPr>
                <w:rFonts w:ascii="Times New Roman" w:hAnsi="Times New Roman" w:cs="Times New Roman"/>
                <w:color w:val="000000"/>
                <w:szCs w:val="21"/>
              </w:rPr>
            </w:pPr>
            <w:r>
              <w:rPr>
                <w:rFonts w:ascii="Times New Roman" w:hAnsi="Times New Roman" w:cs="Times New Roman"/>
                <w:color w:val="000000"/>
                <w:szCs w:val="21"/>
              </w:rPr>
              <w:t>甲苯mg/L</w:t>
            </w:r>
          </w:p>
        </w:tc>
        <w:tc>
          <w:tcPr>
            <w:tcW w:w="959" w:type="dxa"/>
            <w:tcBorders>
              <w:tl2br w:val="nil"/>
              <w:tr2bl w:val="nil"/>
            </w:tcBorders>
            <w:vAlign w:val="center"/>
          </w:tcPr>
          <w:p w14:paraId="0A1A480A">
            <w:pPr>
              <w:jc w:val="center"/>
              <w:rPr>
                <w:rFonts w:ascii="Times New Roman" w:hAnsi="Times New Roman" w:cs="Times New Roman"/>
                <w:color w:val="000000"/>
                <w:szCs w:val="21"/>
              </w:rPr>
            </w:pPr>
            <w:r>
              <w:rPr>
                <w:rFonts w:ascii="Times New Roman" w:hAnsi="Times New Roman" w:cs="Times New Roman"/>
                <w:color w:val="000000"/>
                <w:szCs w:val="21"/>
              </w:rPr>
              <w:t>二甲苯mg/L</w:t>
            </w:r>
          </w:p>
        </w:tc>
      </w:tr>
      <w:tr w14:paraId="257F87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restart"/>
            <w:tcBorders>
              <w:tl2br w:val="nil"/>
              <w:tr2bl w:val="nil"/>
            </w:tcBorders>
            <w:vAlign w:val="center"/>
          </w:tcPr>
          <w:p w14:paraId="126C58F4">
            <w:pPr>
              <w:jc w:val="center"/>
              <w:rPr>
                <w:rFonts w:ascii="Times New Roman" w:hAnsi="Times New Roman" w:cs="Times New Roman"/>
                <w:color w:val="000000"/>
                <w:szCs w:val="21"/>
              </w:rPr>
            </w:pPr>
            <w:r>
              <w:rPr>
                <w:rFonts w:hint="eastAsia" w:ascii="Times New Roman" w:hAnsi="Times New Roman" w:cs="Times New Roman"/>
                <w:color w:val="000000"/>
                <w:szCs w:val="21"/>
              </w:rPr>
              <w:t>水帘</w:t>
            </w:r>
            <w:r>
              <w:rPr>
                <w:rFonts w:ascii="Times New Roman" w:hAnsi="Times New Roman" w:cs="Times New Roman"/>
                <w:color w:val="000000"/>
                <w:szCs w:val="21"/>
              </w:rPr>
              <w:t>废水</w:t>
            </w:r>
          </w:p>
        </w:tc>
        <w:tc>
          <w:tcPr>
            <w:tcW w:w="2166" w:type="dxa"/>
            <w:tcBorders>
              <w:tl2br w:val="nil"/>
              <w:tr2bl w:val="nil"/>
            </w:tcBorders>
            <w:vAlign w:val="center"/>
          </w:tcPr>
          <w:p w14:paraId="6AC300CD">
            <w:pPr>
              <w:jc w:val="center"/>
              <w:rPr>
                <w:rFonts w:ascii="Times New Roman" w:hAnsi="Times New Roman" w:cs="Times New Roman"/>
                <w:color w:val="000000"/>
                <w:szCs w:val="21"/>
              </w:rPr>
            </w:pPr>
            <w:r>
              <w:rPr>
                <w:rFonts w:ascii="Times New Roman" w:hAnsi="Times New Roman" w:cs="Times New Roman"/>
                <w:color w:val="000000"/>
                <w:szCs w:val="21"/>
              </w:rPr>
              <w:t>处理前</w:t>
            </w:r>
          </w:p>
        </w:tc>
        <w:tc>
          <w:tcPr>
            <w:tcW w:w="786" w:type="dxa"/>
            <w:tcBorders>
              <w:tl2br w:val="nil"/>
              <w:tr2bl w:val="nil"/>
            </w:tcBorders>
            <w:vAlign w:val="center"/>
          </w:tcPr>
          <w:p w14:paraId="2C18684C">
            <w:pPr>
              <w:jc w:val="center"/>
              <w:rPr>
                <w:rFonts w:ascii="Times New Roman" w:hAnsi="Times New Roman" w:cs="Times New Roman"/>
                <w:color w:val="000000"/>
                <w:szCs w:val="21"/>
              </w:rPr>
            </w:pPr>
            <w:r>
              <w:rPr>
                <w:rFonts w:hint="eastAsia" w:ascii="Times New Roman" w:hAnsi="Times New Roman" w:cs="Times New Roman"/>
                <w:szCs w:val="21"/>
                <w:highlight w:val="none"/>
              </w:rPr>
              <w:t>420</w:t>
            </w:r>
          </w:p>
        </w:tc>
        <w:tc>
          <w:tcPr>
            <w:tcW w:w="892" w:type="dxa"/>
            <w:tcBorders>
              <w:tl2br w:val="nil"/>
              <w:tr2bl w:val="nil"/>
            </w:tcBorders>
            <w:vAlign w:val="center"/>
          </w:tcPr>
          <w:p w14:paraId="65C2BF80">
            <w:pPr>
              <w:jc w:val="center"/>
              <w:rPr>
                <w:rFonts w:ascii="Times New Roman" w:hAnsi="Times New Roman" w:eastAsia="宋体" w:cs="Times New Roman"/>
                <w:color w:val="000000"/>
                <w:szCs w:val="21"/>
              </w:rPr>
            </w:pPr>
            <w:r>
              <w:rPr>
                <w:rFonts w:hint="eastAsia" w:ascii="Times New Roman" w:hAnsi="Times New Roman" w:cs="Times New Roman"/>
                <w:szCs w:val="21"/>
              </w:rPr>
              <w:t>976</w:t>
            </w:r>
          </w:p>
        </w:tc>
        <w:tc>
          <w:tcPr>
            <w:tcW w:w="732" w:type="dxa"/>
            <w:tcBorders>
              <w:tl2br w:val="nil"/>
              <w:tr2bl w:val="nil"/>
            </w:tcBorders>
            <w:vAlign w:val="center"/>
          </w:tcPr>
          <w:p w14:paraId="6C014A6E">
            <w:pPr>
              <w:jc w:val="center"/>
              <w:rPr>
                <w:rFonts w:ascii="Times New Roman" w:hAnsi="Times New Roman" w:eastAsia="宋体" w:cs="Times New Roman"/>
                <w:color w:val="000000"/>
                <w:szCs w:val="21"/>
              </w:rPr>
            </w:pPr>
            <w:r>
              <w:rPr>
                <w:rFonts w:hint="eastAsia" w:ascii="Times New Roman" w:hAnsi="Times New Roman" w:cs="Times New Roman"/>
                <w:color w:val="000000"/>
                <w:szCs w:val="21"/>
              </w:rPr>
              <w:t>12.5</w:t>
            </w:r>
          </w:p>
        </w:tc>
        <w:tc>
          <w:tcPr>
            <w:tcW w:w="885" w:type="dxa"/>
            <w:tcBorders>
              <w:tl2br w:val="nil"/>
              <w:tr2bl w:val="nil"/>
            </w:tcBorders>
            <w:vAlign w:val="center"/>
          </w:tcPr>
          <w:p w14:paraId="52655168">
            <w:pPr>
              <w:jc w:val="center"/>
              <w:rPr>
                <w:rFonts w:ascii="Times New Roman" w:hAnsi="Times New Roman" w:cs="Times New Roman"/>
                <w:color w:val="000000"/>
                <w:szCs w:val="21"/>
              </w:rPr>
            </w:pPr>
            <w:r>
              <w:rPr>
                <w:rFonts w:hint="eastAsia" w:ascii="Times New Roman" w:hAnsi="Times New Roman" w:cs="Times New Roman"/>
                <w:color w:val="000000"/>
                <w:szCs w:val="21"/>
              </w:rPr>
              <w:t>148</w:t>
            </w:r>
          </w:p>
        </w:tc>
        <w:tc>
          <w:tcPr>
            <w:tcW w:w="755" w:type="dxa"/>
            <w:tcBorders>
              <w:tl2br w:val="nil"/>
              <w:tr2bl w:val="nil"/>
            </w:tcBorders>
            <w:vAlign w:val="center"/>
          </w:tcPr>
          <w:p w14:paraId="658137D5">
            <w:pPr>
              <w:jc w:val="center"/>
              <w:rPr>
                <w:rFonts w:ascii="Times New Roman" w:hAnsi="Times New Roman" w:cs="Times New Roman"/>
                <w:color w:val="000000"/>
                <w:szCs w:val="21"/>
              </w:rPr>
            </w:pPr>
            <w:r>
              <w:rPr>
                <w:rFonts w:hint="eastAsia" w:ascii="Times New Roman" w:hAnsi="Times New Roman" w:cs="Times New Roman"/>
                <w:color w:val="000000"/>
                <w:szCs w:val="21"/>
              </w:rPr>
              <w:t>148</w:t>
            </w:r>
          </w:p>
        </w:tc>
        <w:tc>
          <w:tcPr>
            <w:tcW w:w="867" w:type="dxa"/>
            <w:tcBorders>
              <w:tl2br w:val="nil"/>
              <w:tr2bl w:val="nil"/>
            </w:tcBorders>
            <w:vAlign w:val="center"/>
          </w:tcPr>
          <w:p w14:paraId="06F277DB">
            <w:pPr>
              <w:jc w:val="center"/>
              <w:rPr>
                <w:rFonts w:ascii="Times New Roman" w:hAnsi="Times New Roman" w:eastAsia="宋体" w:cs="Times New Roman"/>
                <w:color w:val="000000"/>
                <w:szCs w:val="21"/>
              </w:rPr>
            </w:pPr>
            <w:r>
              <w:rPr>
                <w:rFonts w:hint="eastAsia" w:ascii="Times New Roman" w:hAnsi="Times New Roman" w:cs="Times New Roman"/>
                <w:color w:val="000000"/>
                <w:szCs w:val="21"/>
              </w:rPr>
              <w:t>0.0043</w:t>
            </w:r>
          </w:p>
        </w:tc>
        <w:tc>
          <w:tcPr>
            <w:tcW w:w="959" w:type="dxa"/>
            <w:tcBorders>
              <w:tl2br w:val="nil"/>
              <w:tr2bl w:val="nil"/>
            </w:tcBorders>
            <w:vAlign w:val="center"/>
          </w:tcPr>
          <w:p w14:paraId="49C483F5">
            <w:pPr>
              <w:jc w:val="center"/>
              <w:rPr>
                <w:rFonts w:ascii="Times New Roman" w:hAnsi="Times New Roman" w:eastAsia="宋体" w:cs="Times New Roman"/>
                <w:color w:val="000000"/>
                <w:szCs w:val="21"/>
              </w:rPr>
            </w:pPr>
            <w:r>
              <w:rPr>
                <w:rFonts w:hint="eastAsia" w:ascii="Times New Roman" w:hAnsi="Times New Roman" w:cs="Times New Roman"/>
                <w:color w:val="000000"/>
                <w:szCs w:val="21"/>
              </w:rPr>
              <w:t>0.262</w:t>
            </w:r>
          </w:p>
        </w:tc>
      </w:tr>
      <w:tr w14:paraId="6B72F1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6573FC3C">
            <w:pPr>
              <w:jc w:val="center"/>
              <w:rPr>
                <w:rFonts w:ascii="Times New Roman" w:hAnsi="Times New Roman" w:cs="Times New Roman"/>
                <w:color w:val="000000"/>
                <w:szCs w:val="21"/>
              </w:rPr>
            </w:pPr>
          </w:p>
        </w:tc>
        <w:tc>
          <w:tcPr>
            <w:tcW w:w="2166" w:type="dxa"/>
            <w:tcBorders>
              <w:tl2br w:val="nil"/>
              <w:tr2bl w:val="nil"/>
            </w:tcBorders>
            <w:vAlign w:val="center"/>
          </w:tcPr>
          <w:p w14:paraId="537BB536">
            <w:pPr>
              <w:jc w:val="center"/>
              <w:rPr>
                <w:rFonts w:ascii="Times New Roman" w:hAnsi="Times New Roman" w:cs="Times New Roman"/>
                <w:color w:val="000000"/>
                <w:szCs w:val="21"/>
              </w:rPr>
            </w:pPr>
            <w:r>
              <w:rPr>
                <w:rFonts w:ascii="Times New Roman" w:hAnsi="Times New Roman" w:cs="Times New Roman"/>
                <w:color w:val="000000"/>
                <w:szCs w:val="21"/>
              </w:rPr>
              <w:t>调节池去除效率%</w:t>
            </w:r>
          </w:p>
        </w:tc>
        <w:tc>
          <w:tcPr>
            <w:tcW w:w="786" w:type="dxa"/>
            <w:tcBorders>
              <w:tl2br w:val="nil"/>
              <w:tr2bl w:val="nil"/>
            </w:tcBorders>
            <w:vAlign w:val="center"/>
          </w:tcPr>
          <w:p w14:paraId="3889D5B6">
            <w:pPr>
              <w:jc w:val="center"/>
              <w:rPr>
                <w:rFonts w:ascii="Times New Roman" w:hAnsi="Times New Roman" w:eastAsia="宋体" w:cs="Times New Roman"/>
                <w:color w:val="000000"/>
                <w:szCs w:val="21"/>
              </w:rPr>
            </w:pPr>
            <w:r>
              <w:rPr>
                <w:rFonts w:ascii="Times New Roman" w:hAnsi="Times New Roman" w:cs="Times New Roman"/>
                <w:szCs w:val="21"/>
              </w:rPr>
              <w:t>/</w:t>
            </w:r>
          </w:p>
        </w:tc>
        <w:tc>
          <w:tcPr>
            <w:tcW w:w="892" w:type="dxa"/>
            <w:tcBorders>
              <w:tl2br w:val="nil"/>
              <w:tr2bl w:val="nil"/>
            </w:tcBorders>
            <w:vAlign w:val="center"/>
          </w:tcPr>
          <w:p w14:paraId="55528842">
            <w:pPr>
              <w:jc w:val="center"/>
              <w:rPr>
                <w:rFonts w:ascii="Times New Roman" w:hAnsi="Times New Roman" w:eastAsia="宋体" w:cs="Times New Roman"/>
                <w:color w:val="000000"/>
                <w:szCs w:val="21"/>
              </w:rPr>
            </w:pPr>
            <w:r>
              <w:rPr>
                <w:rFonts w:hint="eastAsia" w:ascii="Times New Roman" w:hAnsi="Times New Roman" w:cs="Times New Roman"/>
                <w:szCs w:val="21"/>
              </w:rPr>
              <w:t>0</w:t>
            </w:r>
          </w:p>
        </w:tc>
        <w:tc>
          <w:tcPr>
            <w:tcW w:w="732" w:type="dxa"/>
            <w:tcBorders>
              <w:tl2br w:val="nil"/>
              <w:tr2bl w:val="nil"/>
            </w:tcBorders>
            <w:vAlign w:val="center"/>
          </w:tcPr>
          <w:p w14:paraId="138BFC4D">
            <w:pPr>
              <w:jc w:val="center"/>
              <w:rPr>
                <w:rFonts w:ascii="Times New Roman" w:hAnsi="Times New Roman" w:eastAsia="宋体" w:cs="Times New Roman"/>
                <w:color w:val="000000"/>
                <w:szCs w:val="21"/>
              </w:rPr>
            </w:pPr>
            <w:r>
              <w:rPr>
                <w:rFonts w:hint="eastAsia" w:ascii="Times New Roman" w:hAnsi="Times New Roman" w:cs="Times New Roman"/>
                <w:szCs w:val="21"/>
              </w:rPr>
              <w:t>0</w:t>
            </w:r>
          </w:p>
        </w:tc>
        <w:tc>
          <w:tcPr>
            <w:tcW w:w="885" w:type="dxa"/>
            <w:tcBorders>
              <w:tl2br w:val="nil"/>
              <w:tr2bl w:val="nil"/>
            </w:tcBorders>
            <w:vAlign w:val="center"/>
          </w:tcPr>
          <w:p w14:paraId="68B397D3">
            <w:pPr>
              <w:jc w:val="center"/>
              <w:rPr>
                <w:rFonts w:ascii="Times New Roman" w:hAnsi="Times New Roman" w:cs="Times New Roman"/>
                <w:color w:val="000000"/>
                <w:szCs w:val="21"/>
              </w:rPr>
            </w:pPr>
            <w:r>
              <w:rPr>
                <w:rFonts w:hint="eastAsia" w:ascii="Times New Roman" w:hAnsi="Times New Roman" w:cs="Times New Roman"/>
                <w:szCs w:val="21"/>
              </w:rPr>
              <w:t>0</w:t>
            </w:r>
          </w:p>
        </w:tc>
        <w:tc>
          <w:tcPr>
            <w:tcW w:w="755" w:type="dxa"/>
            <w:tcBorders>
              <w:tl2br w:val="nil"/>
              <w:tr2bl w:val="nil"/>
            </w:tcBorders>
            <w:vAlign w:val="center"/>
          </w:tcPr>
          <w:p w14:paraId="651F45FC">
            <w:pPr>
              <w:jc w:val="center"/>
              <w:rPr>
                <w:rFonts w:ascii="Times New Roman" w:hAnsi="Times New Roman" w:cs="Times New Roman"/>
                <w:color w:val="000000"/>
                <w:szCs w:val="21"/>
              </w:rPr>
            </w:pPr>
            <w:r>
              <w:rPr>
                <w:rFonts w:hint="eastAsia" w:ascii="Times New Roman" w:hAnsi="Times New Roman" w:cs="Times New Roman"/>
                <w:szCs w:val="21"/>
              </w:rPr>
              <w:t>0</w:t>
            </w:r>
          </w:p>
        </w:tc>
        <w:tc>
          <w:tcPr>
            <w:tcW w:w="867" w:type="dxa"/>
            <w:tcBorders>
              <w:tl2br w:val="nil"/>
              <w:tr2bl w:val="nil"/>
            </w:tcBorders>
            <w:vAlign w:val="center"/>
          </w:tcPr>
          <w:p w14:paraId="5097C1A3">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959" w:type="dxa"/>
            <w:tcBorders>
              <w:tl2br w:val="nil"/>
              <w:tr2bl w:val="nil"/>
            </w:tcBorders>
            <w:vAlign w:val="center"/>
          </w:tcPr>
          <w:p w14:paraId="14CE5CAB">
            <w:pPr>
              <w:jc w:val="center"/>
              <w:rPr>
                <w:rFonts w:ascii="Times New Roman" w:hAnsi="Times New Roman" w:cs="Times New Roman"/>
                <w:color w:val="000000"/>
                <w:szCs w:val="21"/>
              </w:rPr>
            </w:pPr>
            <w:r>
              <w:rPr>
                <w:rFonts w:ascii="Times New Roman" w:hAnsi="Times New Roman" w:cs="Times New Roman"/>
                <w:color w:val="000000"/>
                <w:szCs w:val="21"/>
              </w:rPr>
              <w:t>0</w:t>
            </w:r>
          </w:p>
        </w:tc>
      </w:tr>
      <w:tr w14:paraId="70B253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0D9135F8">
            <w:pPr>
              <w:jc w:val="center"/>
              <w:rPr>
                <w:rFonts w:ascii="Times New Roman" w:hAnsi="Times New Roman" w:cs="Times New Roman"/>
                <w:color w:val="000000"/>
                <w:szCs w:val="21"/>
              </w:rPr>
            </w:pPr>
          </w:p>
        </w:tc>
        <w:tc>
          <w:tcPr>
            <w:tcW w:w="2166" w:type="dxa"/>
            <w:tcBorders>
              <w:tl2br w:val="nil"/>
              <w:tr2bl w:val="nil"/>
            </w:tcBorders>
            <w:vAlign w:val="center"/>
          </w:tcPr>
          <w:p w14:paraId="5EF56BA9">
            <w:pPr>
              <w:jc w:val="center"/>
              <w:rPr>
                <w:rFonts w:ascii="Times New Roman" w:hAnsi="Times New Roman" w:eastAsia="宋体" w:cs="Times New Roman"/>
                <w:color w:val="000000"/>
                <w:szCs w:val="21"/>
              </w:rPr>
            </w:pPr>
            <w:r>
              <w:rPr>
                <w:rFonts w:ascii="Times New Roman" w:hAnsi="Times New Roman" w:cs="Times New Roman"/>
                <w:color w:val="000000"/>
                <w:szCs w:val="21"/>
              </w:rPr>
              <w:t>出水</w:t>
            </w:r>
          </w:p>
        </w:tc>
        <w:tc>
          <w:tcPr>
            <w:tcW w:w="786" w:type="dxa"/>
            <w:tcBorders>
              <w:tl2br w:val="nil"/>
              <w:tr2bl w:val="nil"/>
            </w:tcBorders>
            <w:vAlign w:val="center"/>
          </w:tcPr>
          <w:p w14:paraId="7B60868D">
            <w:pPr>
              <w:jc w:val="center"/>
              <w:rPr>
                <w:rFonts w:ascii="Times New Roman" w:hAnsi="Times New Roman" w:cs="Times New Roman"/>
                <w:color w:val="000000"/>
                <w:szCs w:val="21"/>
              </w:rPr>
            </w:pPr>
            <w:r>
              <w:rPr>
                <w:rFonts w:hint="eastAsia" w:ascii="Times New Roman" w:hAnsi="Times New Roman" w:cs="Times New Roman"/>
                <w:szCs w:val="21"/>
              </w:rPr>
              <w:t>420</w:t>
            </w:r>
          </w:p>
        </w:tc>
        <w:tc>
          <w:tcPr>
            <w:tcW w:w="892" w:type="dxa"/>
            <w:tcBorders>
              <w:tl2br w:val="nil"/>
              <w:tr2bl w:val="nil"/>
            </w:tcBorders>
            <w:vAlign w:val="center"/>
          </w:tcPr>
          <w:p w14:paraId="4ED9AC7C">
            <w:pPr>
              <w:jc w:val="center"/>
              <w:rPr>
                <w:rFonts w:ascii="Times New Roman" w:hAnsi="Times New Roman" w:eastAsia="宋体" w:cs="Times New Roman"/>
                <w:color w:val="000000"/>
                <w:szCs w:val="21"/>
              </w:rPr>
            </w:pPr>
            <w:r>
              <w:rPr>
                <w:rFonts w:hint="eastAsia" w:ascii="Times New Roman" w:hAnsi="Times New Roman" w:cs="Times New Roman"/>
                <w:szCs w:val="21"/>
              </w:rPr>
              <w:t>976</w:t>
            </w:r>
          </w:p>
        </w:tc>
        <w:tc>
          <w:tcPr>
            <w:tcW w:w="732" w:type="dxa"/>
            <w:tcBorders>
              <w:tl2br w:val="nil"/>
              <w:tr2bl w:val="nil"/>
            </w:tcBorders>
            <w:vAlign w:val="center"/>
          </w:tcPr>
          <w:p w14:paraId="5C013472">
            <w:pPr>
              <w:jc w:val="center"/>
              <w:rPr>
                <w:rFonts w:ascii="Times New Roman" w:hAnsi="Times New Roman" w:cs="Times New Roman"/>
                <w:color w:val="000000"/>
                <w:szCs w:val="21"/>
              </w:rPr>
            </w:pPr>
            <w:r>
              <w:rPr>
                <w:rFonts w:hint="eastAsia" w:ascii="Times New Roman" w:hAnsi="Times New Roman" w:cs="Times New Roman"/>
                <w:color w:val="000000"/>
                <w:szCs w:val="21"/>
              </w:rPr>
              <w:t>12.5</w:t>
            </w:r>
          </w:p>
        </w:tc>
        <w:tc>
          <w:tcPr>
            <w:tcW w:w="885" w:type="dxa"/>
            <w:tcBorders>
              <w:tl2br w:val="nil"/>
              <w:tr2bl w:val="nil"/>
            </w:tcBorders>
            <w:vAlign w:val="center"/>
          </w:tcPr>
          <w:p w14:paraId="371D32AF">
            <w:pPr>
              <w:jc w:val="center"/>
              <w:rPr>
                <w:rFonts w:ascii="Times New Roman" w:hAnsi="Times New Roman" w:cs="Times New Roman"/>
                <w:color w:val="000000"/>
                <w:szCs w:val="21"/>
              </w:rPr>
            </w:pPr>
            <w:r>
              <w:rPr>
                <w:rFonts w:hint="eastAsia" w:ascii="Times New Roman" w:hAnsi="Times New Roman" w:cs="Times New Roman"/>
                <w:color w:val="000000"/>
                <w:szCs w:val="21"/>
              </w:rPr>
              <w:t>148</w:t>
            </w:r>
          </w:p>
        </w:tc>
        <w:tc>
          <w:tcPr>
            <w:tcW w:w="755" w:type="dxa"/>
            <w:tcBorders>
              <w:tl2br w:val="nil"/>
              <w:tr2bl w:val="nil"/>
            </w:tcBorders>
            <w:vAlign w:val="center"/>
          </w:tcPr>
          <w:p w14:paraId="4D313BC9">
            <w:pPr>
              <w:jc w:val="center"/>
              <w:rPr>
                <w:rFonts w:ascii="Times New Roman" w:hAnsi="Times New Roman" w:cs="Times New Roman"/>
                <w:color w:val="000000"/>
                <w:szCs w:val="21"/>
              </w:rPr>
            </w:pPr>
            <w:r>
              <w:rPr>
                <w:rFonts w:hint="eastAsia" w:ascii="Times New Roman" w:hAnsi="Times New Roman" w:cs="Times New Roman"/>
                <w:color w:val="000000"/>
                <w:szCs w:val="21"/>
              </w:rPr>
              <w:t>148</w:t>
            </w:r>
          </w:p>
        </w:tc>
        <w:tc>
          <w:tcPr>
            <w:tcW w:w="867" w:type="dxa"/>
            <w:tcBorders>
              <w:tl2br w:val="nil"/>
              <w:tr2bl w:val="nil"/>
            </w:tcBorders>
            <w:vAlign w:val="center"/>
          </w:tcPr>
          <w:p w14:paraId="37D60369">
            <w:pPr>
              <w:jc w:val="center"/>
              <w:rPr>
                <w:rFonts w:ascii="Times New Roman" w:hAnsi="Times New Roman" w:cs="Times New Roman"/>
                <w:color w:val="000000"/>
                <w:szCs w:val="21"/>
              </w:rPr>
            </w:pPr>
            <w:r>
              <w:rPr>
                <w:rFonts w:hint="eastAsia" w:ascii="Times New Roman" w:hAnsi="Times New Roman" w:cs="Times New Roman"/>
                <w:color w:val="000000"/>
                <w:szCs w:val="21"/>
              </w:rPr>
              <w:t>0.0043</w:t>
            </w:r>
          </w:p>
        </w:tc>
        <w:tc>
          <w:tcPr>
            <w:tcW w:w="959" w:type="dxa"/>
            <w:tcBorders>
              <w:tl2br w:val="nil"/>
              <w:tr2bl w:val="nil"/>
            </w:tcBorders>
            <w:vAlign w:val="center"/>
          </w:tcPr>
          <w:p w14:paraId="03BBF1F9">
            <w:pPr>
              <w:jc w:val="center"/>
              <w:rPr>
                <w:rFonts w:ascii="Times New Roman" w:hAnsi="Times New Roman" w:cs="Times New Roman"/>
                <w:color w:val="000000"/>
                <w:szCs w:val="21"/>
              </w:rPr>
            </w:pPr>
            <w:r>
              <w:rPr>
                <w:rFonts w:hint="eastAsia" w:ascii="Times New Roman" w:hAnsi="Times New Roman" w:cs="Times New Roman"/>
                <w:color w:val="000000"/>
                <w:szCs w:val="21"/>
              </w:rPr>
              <w:t>0.262</w:t>
            </w:r>
          </w:p>
        </w:tc>
      </w:tr>
      <w:tr w14:paraId="44D27B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3B07E65C">
            <w:pPr>
              <w:jc w:val="center"/>
              <w:rPr>
                <w:rFonts w:ascii="Times New Roman" w:hAnsi="Times New Roman" w:cs="Times New Roman"/>
                <w:color w:val="000000"/>
                <w:szCs w:val="21"/>
              </w:rPr>
            </w:pPr>
          </w:p>
        </w:tc>
        <w:tc>
          <w:tcPr>
            <w:tcW w:w="2166" w:type="dxa"/>
            <w:tcBorders>
              <w:tl2br w:val="nil"/>
              <w:tr2bl w:val="nil"/>
            </w:tcBorders>
            <w:vAlign w:val="center"/>
          </w:tcPr>
          <w:p w14:paraId="0FA54261">
            <w:pPr>
              <w:jc w:val="center"/>
              <w:rPr>
                <w:rFonts w:ascii="Times New Roman" w:hAnsi="Times New Roman" w:cs="Times New Roman"/>
                <w:color w:val="000000"/>
                <w:szCs w:val="21"/>
              </w:rPr>
            </w:pPr>
            <w:r>
              <w:rPr>
                <w:rFonts w:ascii="Times New Roman" w:hAnsi="Times New Roman" w:cs="Times New Roman"/>
                <w:color w:val="000000"/>
                <w:szCs w:val="21"/>
              </w:rPr>
              <w:t>混凝沉淀（投加药品）去除效率%</w:t>
            </w:r>
          </w:p>
        </w:tc>
        <w:tc>
          <w:tcPr>
            <w:tcW w:w="786" w:type="dxa"/>
            <w:tcBorders>
              <w:tl2br w:val="nil"/>
              <w:tr2bl w:val="nil"/>
            </w:tcBorders>
            <w:vAlign w:val="center"/>
          </w:tcPr>
          <w:p w14:paraId="3F0C79C6">
            <w:pPr>
              <w:jc w:val="center"/>
              <w:rPr>
                <w:rFonts w:ascii="Times New Roman" w:hAnsi="Times New Roman" w:eastAsia="宋体" w:cs="Times New Roman"/>
                <w:color w:val="000000"/>
                <w:szCs w:val="21"/>
              </w:rPr>
            </w:pPr>
            <w:r>
              <w:rPr>
                <w:rFonts w:ascii="Times New Roman" w:hAnsi="Times New Roman" w:cs="Times New Roman"/>
                <w:szCs w:val="21"/>
              </w:rPr>
              <w:t>/</w:t>
            </w:r>
          </w:p>
        </w:tc>
        <w:tc>
          <w:tcPr>
            <w:tcW w:w="892" w:type="dxa"/>
            <w:tcBorders>
              <w:tl2br w:val="nil"/>
              <w:tr2bl w:val="nil"/>
            </w:tcBorders>
            <w:vAlign w:val="center"/>
          </w:tcPr>
          <w:p w14:paraId="052C8FB7">
            <w:pPr>
              <w:jc w:val="center"/>
              <w:rPr>
                <w:rFonts w:ascii="Times New Roman" w:hAnsi="Times New Roman" w:cs="Times New Roman"/>
                <w:szCs w:val="21"/>
              </w:rPr>
            </w:pPr>
            <w:r>
              <w:rPr>
                <w:rFonts w:hint="eastAsia" w:ascii="Times New Roman" w:hAnsi="Times New Roman" w:cs="Times New Roman"/>
                <w:szCs w:val="21"/>
              </w:rPr>
              <w:t>30</w:t>
            </w:r>
          </w:p>
        </w:tc>
        <w:tc>
          <w:tcPr>
            <w:tcW w:w="732" w:type="dxa"/>
            <w:tcBorders>
              <w:tl2br w:val="nil"/>
              <w:tr2bl w:val="nil"/>
            </w:tcBorders>
            <w:vAlign w:val="center"/>
          </w:tcPr>
          <w:p w14:paraId="0AE1B12A">
            <w:pPr>
              <w:jc w:val="center"/>
              <w:rPr>
                <w:rFonts w:ascii="Times New Roman" w:hAnsi="Times New Roman" w:eastAsia="宋体" w:cs="Times New Roman"/>
                <w:szCs w:val="21"/>
              </w:rPr>
            </w:pPr>
            <w:r>
              <w:rPr>
                <w:rFonts w:hint="eastAsia" w:ascii="Times New Roman" w:hAnsi="Times New Roman" w:cs="Times New Roman"/>
                <w:szCs w:val="21"/>
              </w:rPr>
              <w:t>15</w:t>
            </w:r>
          </w:p>
        </w:tc>
        <w:tc>
          <w:tcPr>
            <w:tcW w:w="885" w:type="dxa"/>
            <w:tcBorders>
              <w:tl2br w:val="nil"/>
              <w:tr2bl w:val="nil"/>
            </w:tcBorders>
            <w:vAlign w:val="center"/>
          </w:tcPr>
          <w:p w14:paraId="38224D91">
            <w:pPr>
              <w:jc w:val="center"/>
              <w:rPr>
                <w:rFonts w:ascii="Times New Roman" w:hAnsi="Times New Roman" w:cs="Times New Roman"/>
                <w:szCs w:val="21"/>
              </w:rPr>
            </w:pPr>
            <w:r>
              <w:rPr>
                <w:rFonts w:hint="eastAsia" w:ascii="Times New Roman" w:hAnsi="Times New Roman" w:cs="Times New Roman"/>
                <w:szCs w:val="21"/>
              </w:rPr>
              <w:t>25</w:t>
            </w:r>
          </w:p>
        </w:tc>
        <w:tc>
          <w:tcPr>
            <w:tcW w:w="755" w:type="dxa"/>
            <w:tcBorders>
              <w:tl2br w:val="nil"/>
              <w:tr2bl w:val="nil"/>
            </w:tcBorders>
            <w:vAlign w:val="center"/>
          </w:tcPr>
          <w:p w14:paraId="6F07D218">
            <w:pPr>
              <w:jc w:val="center"/>
              <w:rPr>
                <w:rFonts w:ascii="Times New Roman" w:hAnsi="Times New Roman" w:cs="Times New Roman"/>
                <w:szCs w:val="21"/>
              </w:rPr>
            </w:pPr>
            <w:r>
              <w:rPr>
                <w:rFonts w:hint="eastAsia" w:ascii="Times New Roman" w:hAnsi="Times New Roman" w:cs="Times New Roman"/>
                <w:szCs w:val="21"/>
              </w:rPr>
              <w:t>40</w:t>
            </w:r>
          </w:p>
        </w:tc>
        <w:tc>
          <w:tcPr>
            <w:tcW w:w="867" w:type="dxa"/>
            <w:tcBorders>
              <w:tl2br w:val="nil"/>
              <w:tr2bl w:val="nil"/>
            </w:tcBorders>
            <w:vAlign w:val="center"/>
          </w:tcPr>
          <w:p w14:paraId="39FE7D73">
            <w:pPr>
              <w:jc w:val="center"/>
              <w:rPr>
                <w:rFonts w:ascii="Times New Roman" w:hAnsi="Times New Roman" w:cs="Times New Roman"/>
                <w:szCs w:val="21"/>
              </w:rPr>
            </w:pPr>
            <w:r>
              <w:rPr>
                <w:rFonts w:ascii="Times New Roman" w:hAnsi="Times New Roman" w:cs="Times New Roman"/>
                <w:szCs w:val="21"/>
              </w:rPr>
              <w:t>15</w:t>
            </w:r>
          </w:p>
        </w:tc>
        <w:tc>
          <w:tcPr>
            <w:tcW w:w="959" w:type="dxa"/>
            <w:tcBorders>
              <w:tl2br w:val="nil"/>
              <w:tr2bl w:val="nil"/>
            </w:tcBorders>
            <w:vAlign w:val="center"/>
          </w:tcPr>
          <w:p w14:paraId="3743E8ED">
            <w:pPr>
              <w:jc w:val="center"/>
              <w:rPr>
                <w:rFonts w:ascii="Times New Roman" w:hAnsi="Times New Roman" w:cs="Times New Roman"/>
                <w:szCs w:val="21"/>
              </w:rPr>
            </w:pPr>
            <w:r>
              <w:rPr>
                <w:rFonts w:ascii="Times New Roman" w:hAnsi="Times New Roman" w:cs="Times New Roman"/>
                <w:szCs w:val="21"/>
              </w:rPr>
              <w:t>15</w:t>
            </w:r>
          </w:p>
        </w:tc>
      </w:tr>
      <w:tr w14:paraId="233855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5A76280C">
            <w:pPr>
              <w:jc w:val="center"/>
              <w:rPr>
                <w:rFonts w:ascii="Times New Roman" w:hAnsi="Times New Roman" w:cs="Times New Roman"/>
                <w:color w:val="000000"/>
                <w:szCs w:val="21"/>
              </w:rPr>
            </w:pPr>
          </w:p>
        </w:tc>
        <w:tc>
          <w:tcPr>
            <w:tcW w:w="2166" w:type="dxa"/>
            <w:tcBorders>
              <w:tl2br w:val="nil"/>
              <w:tr2bl w:val="nil"/>
            </w:tcBorders>
            <w:vAlign w:val="center"/>
          </w:tcPr>
          <w:p w14:paraId="106068A2">
            <w:pPr>
              <w:jc w:val="center"/>
              <w:rPr>
                <w:rFonts w:ascii="Times New Roman" w:hAnsi="Times New Roman" w:cs="Times New Roman"/>
                <w:color w:val="000000"/>
                <w:szCs w:val="21"/>
              </w:rPr>
            </w:pPr>
            <w:r>
              <w:rPr>
                <w:rFonts w:ascii="Times New Roman" w:hAnsi="Times New Roman" w:cs="Times New Roman"/>
                <w:color w:val="000000"/>
                <w:szCs w:val="21"/>
              </w:rPr>
              <w:t>出水</w:t>
            </w:r>
          </w:p>
        </w:tc>
        <w:tc>
          <w:tcPr>
            <w:tcW w:w="786" w:type="dxa"/>
            <w:tcBorders>
              <w:tl2br w:val="nil"/>
              <w:tr2bl w:val="nil"/>
            </w:tcBorders>
            <w:vAlign w:val="center"/>
          </w:tcPr>
          <w:p w14:paraId="7EA2DD76">
            <w:pPr>
              <w:jc w:val="center"/>
              <w:rPr>
                <w:rFonts w:ascii="Times New Roman" w:hAnsi="Times New Roman" w:eastAsia="宋体" w:cs="Times New Roman"/>
                <w:color w:val="000000"/>
                <w:szCs w:val="21"/>
              </w:rPr>
            </w:pPr>
            <w:r>
              <w:rPr>
                <w:rFonts w:hint="eastAsia" w:ascii="Times New Roman" w:hAnsi="Times New Roman" w:cs="Times New Roman"/>
                <w:szCs w:val="21"/>
              </w:rPr>
              <w:t>420</w:t>
            </w:r>
          </w:p>
        </w:tc>
        <w:tc>
          <w:tcPr>
            <w:tcW w:w="892" w:type="dxa"/>
            <w:tcBorders>
              <w:tl2br w:val="nil"/>
              <w:tr2bl w:val="nil"/>
            </w:tcBorders>
            <w:vAlign w:val="center"/>
          </w:tcPr>
          <w:p w14:paraId="1741A0CA">
            <w:pPr>
              <w:jc w:val="center"/>
              <w:rPr>
                <w:rFonts w:ascii="Times New Roman" w:hAnsi="Times New Roman" w:eastAsia="宋体" w:cs="Times New Roman"/>
                <w:szCs w:val="21"/>
              </w:rPr>
            </w:pPr>
            <w:r>
              <w:rPr>
                <w:rFonts w:hint="eastAsia" w:ascii="Times New Roman" w:hAnsi="Times New Roman" w:eastAsia="宋体" w:cs="Times New Roman"/>
                <w:szCs w:val="21"/>
              </w:rPr>
              <w:t>683.2</w:t>
            </w:r>
          </w:p>
        </w:tc>
        <w:tc>
          <w:tcPr>
            <w:tcW w:w="732" w:type="dxa"/>
            <w:tcBorders>
              <w:tl2br w:val="nil"/>
              <w:tr2bl w:val="nil"/>
            </w:tcBorders>
            <w:vAlign w:val="center"/>
          </w:tcPr>
          <w:p w14:paraId="34A09D42">
            <w:pPr>
              <w:jc w:val="center"/>
              <w:rPr>
                <w:rFonts w:ascii="Times New Roman" w:hAnsi="Times New Roman" w:eastAsia="宋体" w:cs="Times New Roman"/>
                <w:szCs w:val="21"/>
              </w:rPr>
            </w:pPr>
            <w:r>
              <w:rPr>
                <w:rFonts w:hint="eastAsia" w:ascii="Times New Roman" w:hAnsi="Times New Roman" w:eastAsia="宋体" w:cs="Times New Roman"/>
                <w:szCs w:val="21"/>
              </w:rPr>
              <w:t>10.63</w:t>
            </w:r>
          </w:p>
        </w:tc>
        <w:tc>
          <w:tcPr>
            <w:tcW w:w="885" w:type="dxa"/>
            <w:tcBorders>
              <w:tl2br w:val="nil"/>
              <w:tr2bl w:val="nil"/>
            </w:tcBorders>
            <w:vAlign w:val="center"/>
          </w:tcPr>
          <w:p w14:paraId="1FCDE003">
            <w:pPr>
              <w:jc w:val="center"/>
              <w:rPr>
                <w:rFonts w:ascii="Times New Roman" w:hAnsi="Times New Roman" w:eastAsia="宋体" w:cs="Times New Roman"/>
                <w:szCs w:val="21"/>
              </w:rPr>
            </w:pPr>
            <w:r>
              <w:rPr>
                <w:rFonts w:hint="eastAsia" w:ascii="Times New Roman" w:hAnsi="Times New Roman" w:eastAsia="宋体" w:cs="Times New Roman"/>
                <w:szCs w:val="21"/>
              </w:rPr>
              <w:t>111</w:t>
            </w:r>
          </w:p>
        </w:tc>
        <w:tc>
          <w:tcPr>
            <w:tcW w:w="755" w:type="dxa"/>
            <w:tcBorders>
              <w:tl2br w:val="nil"/>
              <w:tr2bl w:val="nil"/>
            </w:tcBorders>
            <w:vAlign w:val="center"/>
          </w:tcPr>
          <w:p w14:paraId="16161257">
            <w:pPr>
              <w:jc w:val="center"/>
              <w:rPr>
                <w:rFonts w:ascii="Times New Roman" w:hAnsi="Times New Roman" w:eastAsia="宋体" w:cs="Times New Roman"/>
                <w:szCs w:val="21"/>
              </w:rPr>
            </w:pPr>
            <w:r>
              <w:rPr>
                <w:rFonts w:hint="eastAsia" w:ascii="Times New Roman" w:hAnsi="Times New Roman" w:eastAsia="宋体" w:cs="Times New Roman"/>
                <w:szCs w:val="21"/>
              </w:rPr>
              <w:t>88.8</w:t>
            </w:r>
          </w:p>
        </w:tc>
        <w:tc>
          <w:tcPr>
            <w:tcW w:w="867" w:type="dxa"/>
            <w:tcBorders>
              <w:tl2br w:val="nil"/>
              <w:tr2bl w:val="nil"/>
            </w:tcBorders>
            <w:vAlign w:val="center"/>
          </w:tcPr>
          <w:p w14:paraId="6A49FF06">
            <w:pPr>
              <w:jc w:val="center"/>
              <w:rPr>
                <w:rFonts w:ascii="Times New Roman" w:hAnsi="Times New Roman" w:eastAsia="宋体" w:cs="Times New Roman"/>
                <w:szCs w:val="21"/>
              </w:rPr>
            </w:pPr>
            <w:r>
              <w:rPr>
                <w:rFonts w:hint="eastAsia" w:ascii="Times New Roman" w:hAnsi="Times New Roman" w:eastAsia="宋体" w:cs="Times New Roman"/>
                <w:szCs w:val="21"/>
              </w:rPr>
              <w:t>0.0037</w:t>
            </w:r>
          </w:p>
        </w:tc>
        <w:tc>
          <w:tcPr>
            <w:tcW w:w="959" w:type="dxa"/>
            <w:tcBorders>
              <w:tl2br w:val="nil"/>
              <w:tr2bl w:val="nil"/>
            </w:tcBorders>
            <w:vAlign w:val="center"/>
          </w:tcPr>
          <w:p w14:paraId="71582F15">
            <w:pPr>
              <w:jc w:val="center"/>
              <w:rPr>
                <w:rFonts w:ascii="Times New Roman" w:hAnsi="Times New Roman" w:eastAsia="宋体" w:cs="Times New Roman"/>
                <w:szCs w:val="21"/>
              </w:rPr>
            </w:pPr>
            <w:r>
              <w:rPr>
                <w:rFonts w:hint="eastAsia" w:ascii="Times New Roman" w:hAnsi="Times New Roman" w:eastAsia="宋体" w:cs="Times New Roman"/>
                <w:szCs w:val="21"/>
              </w:rPr>
              <w:t>0.223</w:t>
            </w:r>
          </w:p>
        </w:tc>
      </w:tr>
      <w:tr w14:paraId="1530DE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6665C295">
            <w:pPr>
              <w:jc w:val="center"/>
              <w:rPr>
                <w:rFonts w:ascii="Times New Roman" w:hAnsi="Times New Roman" w:cs="Times New Roman"/>
                <w:color w:val="000000"/>
                <w:szCs w:val="21"/>
              </w:rPr>
            </w:pPr>
          </w:p>
        </w:tc>
        <w:tc>
          <w:tcPr>
            <w:tcW w:w="2166" w:type="dxa"/>
            <w:tcBorders>
              <w:tl2br w:val="nil"/>
              <w:tr2bl w:val="nil"/>
            </w:tcBorders>
            <w:vAlign w:val="center"/>
          </w:tcPr>
          <w:p w14:paraId="5759A982">
            <w:pPr>
              <w:jc w:val="center"/>
              <w:rPr>
                <w:rFonts w:ascii="Times New Roman" w:hAnsi="Times New Roman" w:cs="Times New Roman"/>
                <w:color w:val="000000"/>
                <w:szCs w:val="21"/>
              </w:rPr>
            </w:pPr>
            <w:r>
              <w:rPr>
                <w:rFonts w:ascii="Times New Roman" w:hAnsi="Times New Roman" w:cs="Times New Roman"/>
                <w:color w:val="000000"/>
                <w:szCs w:val="21"/>
              </w:rPr>
              <w:t>fenton氧化处理（投加药品）去除效率%</w:t>
            </w:r>
          </w:p>
        </w:tc>
        <w:tc>
          <w:tcPr>
            <w:tcW w:w="786" w:type="dxa"/>
            <w:tcBorders>
              <w:tl2br w:val="nil"/>
              <w:tr2bl w:val="nil"/>
            </w:tcBorders>
            <w:vAlign w:val="center"/>
          </w:tcPr>
          <w:p w14:paraId="14F8ADAD">
            <w:pPr>
              <w:jc w:val="center"/>
              <w:rPr>
                <w:rFonts w:ascii="Times New Roman" w:hAnsi="Times New Roman" w:eastAsia="宋体" w:cs="Times New Roman"/>
                <w:color w:val="000000"/>
                <w:szCs w:val="21"/>
              </w:rPr>
            </w:pPr>
            <w:r>
              <w:rPr>
                <w:rFonts w:ascii="Times New Roman" w:hAnsi="Times New Roman" w:cs="Times New Roman"/>
                <w:szCs w:val="21"/>
              </w:rPr>
              <w:t>/</w:t>
            </w:r>
          </w:p>
        </w:tc>
        <w:tc>
          <w:tcPr>
            <w:tcW w:w="892" w:type="dxa"/>
            <w:tcBorders>
              <w:tl2br w:val="nil"/>
              <w:tr2bl w:val="nil"/>
            </w:tcBorders>
            <w:vAlign w:val="center"/>
          </w:tcPr>
          <w:p w14:paraId="7568BC72">
            <w:pPr>
              <w:jc w:val="center"/>
              <w:rPr>
                <w:rFonts w:ascii="Times New Roman" w:hAnsi="Times New Roman" w:eastAsia="宋体" w:cs="Times New Roman"/>
                <w:szCs w:val="21"/>
              </w:rPr>
            </w:pPr>
            <w:r>
              <w:rPr>
                <w:rFonts w:hint="eastAsia" w:ascii="Times New Roman" w:hAnsi="Times New Roman" w:cs="Times New Roman"/>
                <w:szCs w:val="21"/>
              </w:rPr>
              <w:t>55</w:t>
            </w:r>
          </w:p>
        </w:tc>
        <w:tc>
          <w:tcPr>
            <w:tcW w:w="732" w:type="dxa"/>
            <w:tcBorders>
              <w:tl2br w:val="nil"/>
              <w:tr2bl w:val="nil"/>
            </w:tcBorders>
            <w:vAlign w:val="center"/>
          </w:tcPr>
          <w:p w14:paraId="68DB8878">
            <w:pPr>
              <w:jc w:val="center"/>
              <w:rPr>
                <w:rFonts w:ascii="Times New Roman" w:hAnsi="Times New Roman" w:eastAsia="宋体" w:cs="Times New Roman"/>
                <w:szCs w:val="21"/>
              </w:rPr>
            </w:pPr>
            <w:r>
              <w:rPr>
                <w:rFonts w:hint="eastAsia" w:ascii="Times New Roman" w:hAnsi="Times New Roman" w:cs="Times New Roman"/>
                <w:szCs w:val="21"/>
              </w:rPr>
              <w:t>30</w:t>
            </w:r>
          </w:p>
        </w:tc>
        <w:tc>
          <w:tcPr>
            <w:tcW w:w="885" w:type="dxa"/>
            <w:tcBorders>
              <w:tl2br w:val="nil"/>
              <w:tr2bl w:val="nil"/>
            </w:tcBorders>
            <w:vAlign w:val="center"/>
          </w:tcPr>
          <w:p w14:paraId="60A67047">
            <w:pPr>
              <w:jc w:val="center"/>
              <w:rPr>
                <w:rFonts w:ascii="Times New Roman" w:hAnsi="Times New Roman" w:cs="Times New Roman"/>
                <w:szCs w:val="21"/>
              </w:rPr>
            </w:pPr>
            <w:r>
              <w:rPr>
                <w:rFonts w:hint="eastAsia" w:ascii="Times New Roman" w:hAnsi="Times New Roman" w:cs="Times New Roman"/>
                <w:szCs w:val="21"/>
              </w:rPr>
              <w:t>45</w:t>
            </w:r>
          </w:p>
        </w:tc>
        <w:tc>
          <w:tcPr>
            <w:tcW w:w="755" w:type="dxa"/>
            <w:tcBorders>
              <w:tl2br w:val="nil"/>
              <w:tr2bl w:val="nil"/>
            </w:tcBorders>
            <w:vAlign w:val="center"/>
          </w:tcPr>
          <w:p w14:paraId="4245E2ED">
            <w:pPr>
              <w:jc w:val="center"/>
              <w:rPr>
                <w:rFonts w:ascii="Times New Roman" w:hAnsi="Times New Roman" w:cs="Times New Roman"/>
                <w:szCs w:val="21"/>
              </w:rPr>
            </w:pPr>
            <w:r>
              <w:rPr>
                <w:rFonts w:hint="eastAsia" w:ascii="Times New Roman" w:hAnsi="Times New Roman" w:cs="Times New Roman"/>
                <w:szCs w:val="21"/>
              </w:rPr>
              <w:t>50</w:t>
            </w:r>
          </w:p>
        </w:tc>
        <w:tc>
          <w:tcPr>
            <w:tcW w:w="867" w:type="dxa"/>
            <w:tcBorders>
              <w:tl2br w:val="nil"/>
              <w:tr2bl w:val="nil"/>
            </w:tcBorders>
            <w:vAlign w:val="center"/>
          </w:tcPr>
          <w:p w14:paraId="4F845302">
            <w:pPr>
              <w:jc w:val="center"/>
              <w:rPr>
                <w:rFonts w:ascii="Times New Roman" w:hAnsi="Times New Roman" w:eastAsia="宋体" w:cs="Times New Roman"/>
                <w:szCs w:val="21"/>
              </w:rPr>
            </w:pPr>
            <w:r>
              <w:rPr>
                <w:rFonts w:hint="eastAsia" w:ascii="Times New Roman" w:hAnsi="Times New Roman" w:cs="Times New Roman"/>
                <w:szCs w:val="21"/>
              </w:rPr>
              <w:t>20</w:t>
            </w:r>
          </w:p>
        </w:tc>
        <w:tc>
          <w:tcPr>
            <w:tcW w:w="959" w:type="dxa"/>
            <w:tcBorders>
              <w:tl2br w:val="nil"/>
              <w:tr2bl w:val="nil"/>
            </w:tcBorders>
            <w:vAlign w:val="center"/>
          </w:tcPr>
          <w:p w14:paraId="5A2B5DA7">
            <w:pPr>
              <w:jc w:val="center"/>
              <w:rPr>
                <w:rFonts w:ascii="Times New Roman" w:hAnsi="Times New Roman" w:eastAsia="宋体" w:cs="Times New Roman"/>
                <w:szCs w:val="21"/>
              </w:rPr>
            </w:pPr>
            <w:r>
              <w:rPr>
                <w:rFonts w:hint="eastAsia" w:ascii="Times New Roman" w:hAnsi="Times New Roman" w:cs="Times New Roman"/>
                <w:szCs w:val="21"/>
              </w:rPr>
              <w:t>20</w:t>
            </w:r>
          </w:p>
        </w:tc>
      </w:tr>
      <w:tr w14:paraId="4F2A9E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80" w:type="dxa"/>
            <w:vMerge w:val="continue"/>
            <w:tcBorders>
              <w:tl2br w:val="nil"/>
              <w:tr2bl w:val="nil"/>
            </w:tcBorders>
            <w:vAlign w:val="center"/>
          </w:tcPr>
          <w:p w14:paraId="2BBC5FBB">
            <w:pPr>
              <w:jc w:val="center"/>
              <w:rPr>
                <w:rFonts w:ascii="Times New Roman" w:hAnsi="Times New Roman" w:cs="Times New Roman"/>
                <w:color w:val="000000"/>
                <w:szCs w:val="21"/>
              </w:rPr>
            </w:pPr>
          </w:p>
        </w:tc>
        <w:tc>
          <w:tcPr>
            <w:tcW w:w="2166" w:type="dxa"/>
            <w:tcBorders>
              <w:tl2br w:val="nil"/>
              <w:tr2bl w:val="nil"/>
            </w:tcBorders>
            <w:vAlign w:val="center"/>
          </w:tcPr>
          <w:p w14:paraId="5FF2D0E5">
            <w:pPr>
              <w:jc w:val="center"/>
              <w:rPr>
                <w:rFonts w:ascii="Times New Roman" w:hAnsi="Times New Roman" w:cs="Times New Roman"/>
                <w:color w:val="000000"/>
                <w:szCs w:val="21"/>
              </w:rPr>
            </w:pPr>
            <w:r>
              <w:rPr>
                <w:rFonts w:ascii="Times New Roman" w:hAnsi="Times New Roman" w:cs="Times New Roman"/>
                <w:color w:val="000000"/>
                <w:szCs w:val="21"/>
              </w:rPr>
              <w:t>出水</w:t>
            </w:r>
          </w:p>
        </w:tc>
        <w:tc>
          <w:tcPr>
            <w:tcW w:w="786" w:type="dxa"/>
            <w:tcBorders>
              <w:tl2br w:val="nil"/>
              <w:tr2bl w:val="nil"/>
            </w:tcBorders>
            <w:vAlign w:val="center"/>
          </w:tcPr>
          <w:p w14:paraId="6EA4766B">
            <w:pPr>
              <w:jc w:val="center"/>
              <w:rPr>
                <w:rFonts w:ascii="Times New Roman" w:hAnsi="Times New Roman" w:cs="Times New Roman"/>
                <w:szCs w:val="21"/>
              </w:rPr>
            </w:pPr>
            <w:r>
              <w:rPr>
                <w:rFonts w:hint="eastAsia" w:ascii="Times New Roman" w:hAnsi="Times New Roman" w:cs="Times New Roman"/>
                <w:szCs w:val="21"/>
              </w:rPr>
              <w:t>420</w:t>
            </w:r>
          </w:p>
        </w:tc>
        <w:tc>
          <w:tcPr>
            <w:tcW w:w="892" w:type="dxa"/>
            <w:tcBorders>
              <w:tl2br w:val="nil"/>
              <w:tr2bl w:val="nil"/>
            </w:tcBorders>
            <w:vAlign w:val="center"/>
          </w:tcPr>
          <w:p w14:paraId="591A8488">
            <w:pPr>
              <w:jc w:val="center"/>
              <w:rPr>
                <w:rFonts w:ascii="Times New Roman" w:hAnsi="Times New Roman" w:cs="Times New Roman"/>
                <w:szCs w:val="21"/>
              </w:rPr>
            </w:pPr>
            <w:r>
              <w:rPr>
                <w:rFonts w:hint="eastAsia" w:ascii="Times New Roman" w:hAnsi="Times New Roman" w:cs="Times New Roman"/>
                <w:szCs w:val="21"/>
              </w:rPr>
              <w:t>307.44</w:t>
            </w:r>
          </w:p>
        </w:tc>
        <w:tc>
          <w:tcPr>
            <w:tcW w:w="732" w:type="dxa"/>
            <w:tcBorders>
              <w:tl2br w:val="nil"/>
              <w:tr2bl w:val="nil"/>
            </w:tcBorders>
            <w:vAlign w:val="center"/>
          </w:tcPr>
          <w:p w14:paraId="50A03560">
            <w:pPr>
              <w:jc w:val="center"/>
              <w:rPr>
                <w:rFonts w:ascii="Times New Roman" w:hAnsi="Times New Roman" w:cs="Times New Roman"/>
                <w:szCs w:val="21"/>
              </w:rPr>
            </w:pPr>
            <w:r>
              <w:rPr>
                <w:rFonts w:hint="eastAsia" w:ascii="Times New Roman" w:hAnsi="Times New Roman" w:cs="Times New Roman"/>
                <w:szCs w:val="21"/>
              </w:rPr>
              <w:t>7.4375</w:t>
            </w:r>
          </w:p>
        </w:tc>
        <w:tc>
          <w:tcPr>
            <w:tcW w:w="885" w:type="dxa"/>
            <w:tcBorders>
              <w:tl2br w:val="nil"/>
              <w:tr2bl w:val="nil"/>
            </w:tcBorders>
            <w:vAlign w:val="center"/>
          </w:tcPr>
          <w:p w14:paraId="232F1D19">
            <w:pPr>
              <w:jc w:val="center"/>
              <w:rPr>
                <w:rFonts w:ascii="Times New Roman" w:hAnsi="Times New Roman" w:cs="Times New Roman"/>
                <w:szCs w:val="21"/>
              </w:rPr>
            </w:pPr>
            <w:r>
              <w:rPr>
                <w:rFonts w:hint="eastAsia" w:ascii="Times New Roman" w:hAnsi="Times New Roman" w:cs="Times New Roman"/>
                <w:szCs w:val="21"/>
              </w:rPr>
              <w:t>61.05</w:t>
            </w:r>
          </w:p>
        </w:tc>
        <w:tc>
          <w:tcPr>
            <w:tcW w:w="755" w:type="dxa"/>
            <w:tcBorders>
              <w:tl2br w:val="nil"/>
              <w:tr2bl w:val="nil"/>
            </w:tcBorders>
            <w:vAlign w:val="center"/>
          </w:tcPr>
          <w:p w14:paraId="5FB7D8A1">
            <w:pPr>
              <w:jc w:val="center"/>
              <w:rPr>
                <w:rFonts w:ascii="Times New Roman" w:hAnsi="Times New Roman" w:cs="Times New Roman"/>
                <w:szCs w:val="21"/>
              </w:rPr>
            </w:pPr>
            <w:r>
              <w:rPr>
                <w:rFonts w:hint="eastAsia" w:ascii="Times New Roman" w:hAnsi="Times New Roman" w:cs="Times New Roman"/>
                <w:szCs w:val="21"/>
              </w:rPr>
              <w:t>44.4</w:t>
            </w:r>
          </w:p>
        </w:tc>
        <w:tc>
          <w:tcPr>
            <w:tcW w:w="867" w:type="dxa"/>
            <w:tcBorders>
              <w:tl2br w:val="nil"/>
              <w:tr2bl w:val="nil"/>
            </w:tcBorders>
            <w:vAlign w:val="center"/>
          </w:tcPr>
          <w:p w14:paraId="7BC19563">
            <w:pPr>
              <w:jc w:val="center"/>
              <w:rPr>
                <w:rFonts w:ascii="Times New Roman" w:hAnsi="Times New Roman" w:cs="Times New Roman"/>
                <w:szCs w:val="21"/>
              </w:rPr>
            </w:pPr>
            <w:r>
              <w:rPr>
                <w:rFonts w:hint="eastAsia" w:ascii="Times New Roman" w:hAnsi="Times New Roman" w:cs="Times New Roman"/>
                <w:szCs w:val="21"/>
              </w:rPr>
              <w:t>0.002924</w:t>
            </w:r>
          </w:p>
        </w:tc>
        <w:tc>
          <w:tcPr>
            <w:tcW w:w="959" w:type="dxa"/>
            <w:tcBorders>
              <w:tl2br w:val="nil"/>
              <w:tr2bl w:val="nil"/>
            </w:tcBorders>
            <w:vAlign w:val="center"/>
          </w:tcPr>
          <w:p w14:paraId="24BE56A4">
            <w:pPr>
              <w:jc w:val="center"/>
              <w:rPr>
                <w:rFonts w:ascii="Times New Roman" w:hAnsi="Times New Roman" w:cs="Times New Roman"/>
                <w:szCs w:val="21"/>
              </w:rPr>
            </w:pPr>
            <w:r>
              <w:rPr>
                <w:rFonts w:hint="eastAsia" w:ascii="Times New Roman" w:hAnsi="Times New Roman" w:cs="Times New Roman"/>
                <w:szCs w:val="21"/>
              </w:rPr>
              <w:t>0.17816</w:t>
            </w:r>
          </w:p>
        </w:tc>
      </w:tr>
      <w:tr w14:paraId="2237A2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646" w:type="dxa"/>
            <w:gridSpan w:val="2"/>
            <w:tcBorders>
              <w:tl2br w:val="nil"/>
              <w:tr2bl w:val="nil"/>
            </w:tcBorders>
            <w:vAlign w:val="center"/>
          </w:tcPr>
          <w:p w14:paraId="7D80D72D">
            <w:pPr>
              <w:jc w:val="center"/>
              <w:rPr>
                <w:rFonts w:ascii="Times New Roman" w:hAnsi="Times New Roman" w:cs="Times New Roman"/>
                <w:color w:val="000000"/>
                <w:szCs w:val="21"/>
              </w:rPr>
            </w:pPr>
            <w:r>
              <w:rPr>
                <w:rFonts w:hint="eastAsia" w:ascii="Times New Roman" w:hAnsi="Times New Roman" w:cs="Times New Roman"/>
                <w:color w:val="000000"/>
                <w:szCs w:val="21"/>
              </w:rPr>
              <w:t>清丰中州水务有限公司第二污水处理厂</w:t>
            </w:r>
            <w:r>
              <w:rPr>
                <w:rFonts w:ascii="Times New Roman" w:hAnsi="Times New Roman" w:cs="Times New Roman"/>
                <w:color w:val="000000"/>
                <w:szCs w:val="21"/>
              </w:rPr>
              <w:t>设计进水水质要求</w:t>
            </w:r>
          </w:p>
        </w:tc>
        <w:tc>
          <w:tcPr>
            <w:tcW w:w="786" w:type="dxa"/>
            <w:tcBorders>
              <w:tl2br w:val="nil"/>
              <w:tr2bl w:val="nil"/>
            </w:tcBorders>
            <w:vAlign w:val="center"/>
          </w:tcPr>
          <w:p w14:paraId="422172FC">
            <w:pPr>
              <w:jc w:val="center"/>
              <w:rPr>
                <w:rFonts w:ascii="Times New Roman" w:hAnsi="Times New Roman" w:eastAsia="宋体" w:cs="Times New Roman"/>
                <w:color w:val="000000"/>
                <w:szCs w:val="21"/>
              </w:rPr>
            </w:pPr>
            <w:r>
              <w:rPr>
                <w:rFonts w:ascii="Times New Roman" w:hAnsi="Times New Roman" w:cs="Times New Roman"/>
                <w:color w:val="000000"/>
                <w:szCs w:val="21"/>
              </w:rPr>
              <w:t>/</w:t>
            </w:r>
          </w:p>
        </w:tc>
        <w:tc>
          <w:tcPr>
            <w:tcW w:w="892" w:type="dxa"/>
            <w:tcBorders>
              <w:tl2br w:val="nil"/>
              <w:tr2bl w:val="nil"/>
            </w:tcBorders>
            <w:vAlign w:val="center"/>
          </w:tcPr>
          <w:p w14:paraId="779DCE44">
            <w:pPr>
              <w:jc w:val="center"/>
              <w:rPr>
                <w:rFonts w:ascii="Times New Roman" w:hAnsi="Times New Roman" w:eastAsia="宋体" w:cs="Times New Roman"/>
                <w:color w:val="000000"/>
                <w:szCs w:val="21"/>
              </w:rPr>
            </w:pPr>
            <w:r>
              <w:rPr>
                <w:rFonts w:ascii="Times New Roman" w:hAnsi="Times New Roman" w:cs="Times New Roman"/>
                <w:color w:val="000000"/>
                <w:szCs w:val="21"/>
              </w:rPr>
              <w:t>350</w:t>
            </w:r>
          </w:p>
        </w:tc>
        <w:tc>
          <w:tcPr>
            <w:tcW w:w="732" w:type="dxa"/>
            <w:tcBorders>
              <w:tl2br w:val="nil"/>
              <w:tr2bl w:val="nil"/>
            </w:tcBorders>
            <w:vAlign w:val="center"/>
          </w:tcPr>
          <w:p w14:paraId="55F09E05">
            <w:pPr>
              <w:jc w:val="center"/>
              <w:rPr>
                <w:rFonts w:ascii="Times New Roman" w:hAnsi="Times New Roman" w:eastAsia="宋体" w:cs="Times New Roman"/>
                <w:color w:val="000000"/>
                <w:szCs w:val="21"/>
              </w:rPr>
            </w:pPr>
            <w:r>
              <w:rPr>
                <w:rFonts w:ascii="Times New Roman" w:hAnsi="Times New Roman" w:cs="Times New Roman"/>
                <w:color w:val="000000"/>
                <w:szCs w:val="21"/>
              </w:rPr>
              <w:t>30</w:t>
            </w:r>
          </w:p>
        </w:tc>
        <w:tc>
          <w:tcPr>
            <w:tcW w:w="885" w:type="dxa"/>
            <w:tcBorders>
              <w:tl2br w:val="nil"/>
              <w:tr2bl w:val="nil"/>
            </w:tcBorders>
            <w:vAlign w:val="center"/>
          </w:tcPr>
          <w:p w14:paraId="1AC8125A">
            <w:pPr>
              <w:jc w:val="center"/>
              <w:rPr>
                <w:rFonts w:ascii="Times New Roman" w:hAnsi="Times New Roman" w:cs="Times New Roman"/>
                <w:color w:val="000000"/>
                <w:szCs w:val="21"/>
              </w:rPr>
            </w:pPr>
            <w:r>
              <w:rPr>
                <w:rFonts w:hint="eastAsia" w:ascii="Times New Roman" w:hAnsi="Times New Roman" w:cs="Times New Roman"/>
                <w:color w:val="000000"/>
                <w:szCs w:val="21"/>
              </w:rPr>
              <w:t>170</w:t>
            </w:r>
          </w:p>
        </w:tc>
        <w:tc>
          <w:tcPr>
            <w:tcW w:w="755" w:type="dxa"/>
            <w:tcBorders>
              <w:tl2br w:val="nil"/>
              <w:tr2bl w:val="nil"/>
            </w:tcBorders>
            <w:vAlign w:val="center"/>
          </w:tcPr>
          <w:p w14:paraId="30433034">
            <w:pPr>
              <w:jc w:val="center"/>
              <w:rPr>
                <w:rFonts w:ascii="Times New Roman" w:hAnsi="Times New Roman" w:cs="Times New Roman"/>
                <w:color w:val="000000"/>
                <w:szCs w:val="21"/>
              </w:rPr>
            </w:pPr>
            <w:r>
              <w:rPr>
                <w:rFonts w:hint="eastAsia" w:ascii="Times New Roman" w:hAnsi="Times New Roman" w:cs="Times New Roman"/>
                <w:color w:val="000000"/>
                <w:szCs w:val="21"/>
              </w:rPr>
              <w:t>210</w:t>
            </w:r>
          </w:p>
        </w:tc>
        <w:tc>
          <w:tcPr>
            <w:tcW w:w="867" w:type="dxa"/>
            <w:tcBorders>
              <w:tl2br w:val="nil"/>
              <w:tr2bl w:val="nil"/>
            </w:tcBorders>
            <w:vAlign w:val="center"/>
          </w:tcPr>
          <w:p w14:paraId="079E302D">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959" w:type="dxa"/>
            <w:tcBorders>
              <w:tl2br w:val="nil"/>
              <w:tr2bl w:val="nil"/>
            </w:tcBorders>
            <w:vAlign w:val="center"/>
          </w:tcPr>
          <w:p w14:paraId="103182A9">
            <w:pPr>
              <w:jc w:val="center"/>
              <w:rPr>
                <w:rFonts w:ascii="Times New Roman" w:hAnsi="Times New Roman" w:cs="Times New Roman"/>
                <w:color w:val="000000"/>
                <w:szCs w:val="21"/>
              </w:rPr>
            </w:pPr>
            <w:r>
              <w:rPr>
                <w:rFonts w:ascii="Times New Roman" w:hAnsi="Times New Roman" w:cs="Times New Roman"/>
                <w:color w:val="000000"/>
                <w:szCs w:val="21"/>
              </w:rPr>
              <w:t>/</w:t>
            </w:r>
          </w:p>
        </w:tc>
      </w:tr>
      <w:tr w14:paraId="42C083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646" w:type="dxa"/>
            <w:gridSpan w:val="2"/>
            <w:tcBorders>
              <w:tl2br w:val="nil"/>
              <w:tr2bl w:val="nil"/>
            </w:tcBorders>
            <w:vAlign w:val="center"/>
          </w:tcPr>
          <w:p w14:paraId="196AEABD">
            <w:pPr>
              <w:jc w:val="center"/>
              <w:rPr>
                <w:rFonts w:ascii="Times New Roman" w:hAnsi="Times New Roman" w:eastAsia="宋体" w:cs="Times New Roman"/>
                <w:color w:val="000000"/>
                <w:szCs w:val="21"/>
              </w:rPr>
            </w:pPr>
            <w:r>
              <w:rPr>
                <w:rFonts w:ascii="Times New Roman" w:hAnsi="Times New Roman" w:cs="Times New Roman"/>
                <w:color w:val="000000"/>
                <w:szCs w:val="21"/>
              </w:rPr>
              <w:t>《污水综合排放标准》（GB8978-1996）表4三级标准</w:t>
            </w:r>
          </w:p>
        </w:tc>
        <w:tc>
          <w:tcPr>
            <w:tcW w:w="786" w:type="dxa"/>
            <w:tcBorders>
              <w:tl2br w:val="nil"/>
              <w:tr2bl w:val="nil"/>
            </w:tcBorders>
            <w:vAlign w:val="center"/>
          </w:tcPr>
          <w:p w14:paraId="79C1E29A">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892" w:type="dxa"/>
            <w:tcBorders>
              <w:tl2br w:val="nil"/>
              <w:tr2bl w:val="nil"/>
            </w:tcBorders>
            <w:vAlign w:val="center"/>
          </w:tcPr>
          <w:p w14:paraId="20CF9EFD">
            <w:pPr>
              <w:jc w:val="center"/>
              <w:rPr>
                <w:rFonts w:ascii="Times New Roman" w:hAnsi="Times New Roman" w:cs="Times New Roman"/>
                <w:color w:val="000000"/>
                <w:szCs w:val="21"/>
              </w:rPr>
            </w:pPr>
            <w:r>
              <w:rPr>
                <w:rFonts w:ascii="Times New Roman" w:hAnsi="Times New Roman" w:cs="Times New Roman"/>
                <w:color w:val="000000"/>
                <w:szCs w:val="21"/>
              </w:rPr>
              <w:t>500</w:t>
            </w:r>
          </w:p>
        </w:tc>
        <w:tc>
          <w:tcPr>
            <w:tcW w:w="732" w:type="dxa"/>
            <w:tcBorders>
              <w:tl2br w:val="nil"/>
              <w:tr2bl w:val="nil"/>
            </w:tcBorders>
            <w:vAlign w:val="center"/>
          </w:tcPr>
          <w:p w14:paraId="0F8D700F">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885" w:type="dxa"/>
            <w:tcBorders>
              <w:tl2br w:val="nil"/>
              <w:tr2bl w:val="nil"/>
            </w:tcBorders>
            <w:vAlign w:val="center"/>
          </w:tcPr>
          <w:p w14:paraId="231AB207">
            <w:pPr>
              <w:jc w:val="center"/>
              <w:rPr>
                <w:rFonts w:ascii="Times New Roman" w:hAnsi="Times New Roman" w:cs="Times New Roman"/>
                <w:color w:val="000000"/>
                <w:szCs w:val="21"/>
              </w:rPr>
            </w:pPr>
            <w:r>
              <w:rPr>
                <w:rFonts w:hint="eastAsia" w:ascii="Times New Roman" w:hAnsi="Times New Roman" w:cs="Times New Roman"/>
                <w:color w:val="000000"/>
                <w:szCs w:val="21"/>
              </w:rPr>
              <w:t>300</w:t>
            </w:r>
          </w:p>
        </w:tc>
        <w:tc>
          <w:tcPr>
            <w:tcW w:w="755" w:type="dxa"/>
            <w:tcBorders>
              <w:tl2br w:val="nil"/>
              <w:tr2bl w:val="nil"/>
            </w:tcBorders>
            <w:vAlign w:val="center"/>
          </w:tcPr>
          <w:p w14:paraId="4CCC4BCF">
            <w:pPr>
              <w:jc w:val="center"/>
              <w:rPr>
                <w:rFonts w:ascii="Times New Roman" w:hAnsi="Times New Roman" w:cs="Times New Roman"/>
                <w:color w:val="000000"/>
                <w:szCs w:val="21"/>
              </w:rPr>
            </w:pPr>
            <w:r>
              <w:rPr>
                <w:rFonts w:hint="eastAsia" w:ascii="Times New Roman" w:hAnsi="Times New Roman" w:cs="Times New Roman"/>
                <w:color w:val="000000"/>
                <w:szCs w:val="21"/>
              </w:rPr>
              <w:t>400</w:t>
            </w:r>
          </w:p>
        </w:tc>
        <w:tc>
          <w:tcPr>
            <w:tcW w:w="867" w:type="dxa"/>
            <w:tcBorders>
              <w:tl2br w:val="nil"/>
              <w:tr2bl w:val="nil"/>
            </w:tcBorders>
            <w:vAlign w:val="center"/>
          </w:tcPr>
          <w:p w14:paraId="64E66052">
            <w:pPr>
              <w:jc w:val="center"/>
              <w:rPr>
                <w:rFonts w:ascii="Times New Roman" w:hAnsi="Times New Roman" w:cs="Times New Roman"/>
                <w:color w:val="000000"/>
                <w:szCs w:val="21"/>
              </w:rPr>
            </w:pPr>
            <w:r>
              <w:rPr>
                <w:rFonts w:ascii="Times New Roman" w:hAnsi="Times New Roman" w:cs="Times New Roman"/>
                <w:color w:val="000000"/>
                <w:szCs w:val="21"/>
              </w:rPr>
              <w:t>0.5</w:t>
            </w:r>
          </w:p>
        </w:tc>
        <w:tc>
          <w:tcPr>
            <w:tcW w:w="959" w:type="dxa"/>
            <w:tcBorders>
              <w:tl2br w:val="nil"/>
              <w:tr2bl w:val="nil"/>
            </w:tcBorders>
            <w:vAlign w:val="center"/>
          </w:tcPr>
          <w:p w14:paraId="1D41C9AD">
            <w:pPr>
              <w:jc w:val="center"/>
              <w:rPr>
                <w:rFonts w:ascii="Times New Roman" w:hAnsi="Times New Roman" w:cs="Times New Roman"/>
                <w:color w:val="000000"/>
                <w:szCs w:val="21"/>
              </w:rPr>
            </w:pPr>
            <w:r>
              <w:rPr>
                <w:rFonts w:ascii="Times New Roman" w:hAnsi="Times New Roman" w:cs="Times New Roman"/>
                <w:color w:val="000000"/>
                <w:szCs w:val="21"/>
              </w:rPr>
              <w:t>1.0</w:t>
            </w:r>
          </w:p>
        </w:tc>
      </w:tr>
    </w:tbl>
    <w:p w14:paraId="142D318B">
      <w:pPr>
        <w:numPr>
          <w:ilvl w:val="0"/>
          <w:numId w:val="78"/>
        </w:numPr>
        <w:autoSpaceDE w:val="0"/>
        <w:autoSpaceDN w:val="0"/>
        <w:adjustRightInd w:val="0"/>
        <w:spacing w:line="360" w:lineRule="auto"/>
        <w:jc w:val="center"/>
        <w:textAlignment w:val="baseline"/>
        <w:rPr>
          <w:rFonts w:ascii="Times New Roman" w:hAnsi="Times New Roman" w:cs="Times New Roman"/>
          <w:b/>
          <w:bCs/>
          <w:szCs w:val="21"/>
        </w:rPr>
      </w:pPr>
      <w:r>
        <w:rPr>
          <w:rFonts w:ascii="Times New Roman" w:hAnsi="Times New Roman" w:eastAsia="宋体" w:cs="Times New Roman"/>
          <w:b/>
          <w:bCs/>
          <w:szCs w:val="21"/>
        </w:rPr>
        <w:t xml:space="preserve"> </w:t>
      </w:r>
      <w:r>
        <w:rPr>
          <w:rFonts w:hint="eastAsia" w:ascii="Times New Roman" w:hAnsi="Times New Roman" w:cs="Times New Roman"/>
          <w:b/>
          <w:bCs/>
          <w:szCs w:val="21"/>
        </w:rPr>
        <w:t>厂区废水总排口</w:t>
      </w:r>
      <w:r>
        <w:rPr>
          <w:rFonts w:ascii="Times New Roman" w:hAnsi="Times New Roman" w:cs="Times New Roman"/>
          <w:b/>
          <w:bCs/>
          <w:szCs w:val="21"/>
        </w:rPr>
        <w:t>各个污染物浓度</w:t>
      </w:r>
      <w:r>
        <w:rPr>
          <w:rFonts w:hint="eastAsia" w:ascii="Times New Roman" w:hAnsi="Times New Roman" w:cs="Times New Roman"/>
          <w:b/>
          <w:bCs/>
          <w:szCs w:val="21"/>
        </w:rPr>
        <w:t>及接管量</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652"/>
        <w:gridCol w:w="1698"/>
        <w:gridCol w:w="1959"/>
      </w:tblGrid>
      <w:tr w14:paraId="3740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2213" w:type="dxa"/>
            <w:tcBorders>
              <w:bottom w:val="single" w:color="000000" w:sz="4" w:space="0"/>
            </w:tcBorders>
            <w:vAlign w:val="center"/>
          </w:tcPr>
          <w:p w14:paraId="0119634F">
            <w:pPr>
              <w:pStyle w:val="39"/>
              <w:jc w:val="center"/>
              <w:rPr>
                <w:color w:val="auto"/>
                <w:sz w:val="21"/>
                <w:szCs w:val="21"/>
              </w:rPr>
            </w:pPr>
            <w:r>
              <w:rPr>
                <w:rFonts w:hint="eastAsia"/>
                <w:color w:val="auto"/>
                <w:sz w:val="21"/>
                <w:szCs w:val="21"/>
              </w:rPr>
              <w:t>控制指标</w:t>
            </w:r>
          </w:p>
        </w:tc>
        <w:tc>
          <w:tcPr>
            <w:tcW w:w="2652" w:type="dxa"/>
            <w:tcBorders>
              <w:bottom w:val="single" w:color="000000" w:sz="4" w:space="0"/>
            </w:tcBorders>
            <w:vAlign w:val="center"/>
          </w:tcPr>
          <w:p w14:paraId="6FA1C6D7">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平均接管浓度（mg/L）</w:t>
            </w:r>
          </w:p>
        </w:tc>
        <w:tc>
          <w:tcPr>
            <w:tcW w:w="1698" w:type="dxa"/>
            <w:tcBorders>
              <w:bottom w:val="single" w:color="000000" w:sz="4" w:space="0"/>
            </w:tcBorders>
            <w:vAlign w:val="center"/>
          </w:tcPr>
          <w:p w14:paraId="544AC754">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接管量（t/a）</w:t>
            </w:r>
          </w:p>
        </w:tc>
        <w:tc>
          <w:tcPr>
            <w:tcW w:w="1959" w:type="dxa"/>
            <w:tcBorders>
              <w:bottom w:val="single" w:color="000000" w:sz="4" w:space="0"/>
            </w:tcBorders>
            <w:vAlign w:val="center"/>
          </w:tcPr>
          <w:p w14:paraId="7A5D38D1">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接管标准（mg/L）</w:t>
            </w:r>
          </w:p>
        </w:tc>
      </w:tr>
      <w:tr w14:paraId="6B28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0D08B21D">
            <w:pPr>
              <w:pStyle w:val="39"/>
              <w:jc w:val="center"/>
              <w:rPr>
                <w:color w:val="auto"/>
                <w:sz w:val="21"/>
                <w:szCs w:val="21"/>
              </w:rPr>
            </w:pPr>
            <w:r>
              <w:rPr>
                <w:rFonts w:hint="eastAsia"/>
                <w:color w:val="auto"/>
                <w:sz w:val="21"/>
                <w:szCs w:val="21"/>
              </w:rPr>
              <w:t>废水量</w:t>
            </w:r>
          </w:p>
        </w:tc>
        <w:tc>
          <w:tcPr>
            <w:tcW w:w="4350" w:type="dxa"/>
            <w:gridSpan w:val="2"/>
            <w:vAlign w:val="center"/>
          </w:tcPr>
          <w:p w14:paraId="4B7E2481">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5.14</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/d，</w:t>
            </w:r>
            <w:r>
              <w:rPr>
                <w:rFonts w:hint="eastAsia" w:ascii="Times New Roman" w:hAnsi="Times New Roman" w:cs="Times New Roman"/>
                <w:color w:val="auto"/>
                <w:sz w:val="21"/>
                <w:szCs w:val="21"/>
              </w:rPr>
              <w:t>1542</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/a</w:t>
            </w:r>
          </w:p>
        </w:tc>
        <w:tc>
          <w:tcPr>
            <w:tcW w:w="1959" w:type="dxa"/>
            <w:vAlign w:val="center"/>
          </w:tcPr>
          <w:p w14:paraId="72A2328C">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14:paraId="22A9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1B76311E">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pH值（无量纲）</w:t>
            </w:r>
          </w:p>
        </w:tc>
        <w:tc>
          <w:tcPr>
            <w:tcW w:w="4350" w:type="dxa"/>
            <w:gridSpan w:val="2"/>
            <w:vAlign w:val="center"/>
          </w:tcPr>
          <w:p w14:paraId="67426865">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6~9</w:t>
            </w:r>
          </w:p>
        </w:tc>
        <w:tc>
          <w:tcPr>
            <w:tcW w:w="1959" w:type="dxa"/>
            <w:vAlign w:val="center"/>
          </w:tcPr>
          <w:p w14:paraId="355A749A">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6~9</w:t>
            </w:r>
          </w:p>
        </w:tc>
      </w:tr>
      <w:tr w14:paraId="13C7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2213" w:type="dxa"/>
            <w:vAlign w:val="center"/>
          </w:tcPr>
          <w:p w14:paraId="7B867946">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化学需氧量</w:t>
            </w:r>
          </w:p>
        </w:tc>
        <w:tc>
          <w:tcPr>
            <w:tcW w:w="2652" w:type="dxa"/>
            <w:vAlign w:val="center"/>
          </w:tcPr>
          <w:p w14:paraId="665025CA">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265.63 </w:t>
            </w:r>
          </w:p>
        </w:tc>
        <w:tc>
          <w:tcPr>
            <w:tcW w:w="1698" w:type="dxa"/>
            <w:vAlign w:val="center"/>
          </w:tcPr>
          <w:p w14:paraId="0144F413">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0.4096</w:t>
            </w:r>
          </w:p>
        </w:tc>
        <w:tc>
          <w:tcPr>
            <w:tcW w:w="1959" w:type="dxa"/>
            <w:vAlign w:val="center"/>
          </w:tcPr>
          <w:p w14:paraId="6C5E9122">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w:t>
            </w:r>
            <w:r>
              <w:rPr>
                <w:rFonts w:ascii="Times New Roman" w:hAnsi="Times New Roman" w:cs="Times New Roman"/>
                <w:color w:val="auto"/>
                <w:sz w:val="21"/>
                <w:szCs w:val="21"/>
              </w:rPr>
              <w:t>50</w:t>
            </w:r>
          </w:p>
        </w:tc>
      </w:tr>
      <w:tr w14:paraId="7DB2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213" w:type="dxa"/>
            <w:vAlign w:val="center"/>
          </w:tcPr>
          <w:p w14:paraId="06D6BC8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氨氮</w:t>
            </w:r>
          </w:p>
        </w:tc>
        <w:tc>
          <w:tcPr>
            <w:tcW w:w="2652" w:type="dxa"/>
            <w:vAlign w:val="center"/>
          </w:tcPr>
          <w:p w14:paraId="566CF691">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23.87 </w:t>
            </w:r>
          </w:p>
        </w:tc>
        <w:tc>
          <w:tcPr>
            <w:tcW w:w="1698" w:type="dxa"/>
            <w:vAlign w:val="center"/>
          </w:tcPr>
          <w:p w14:paraId="7ECB189C">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0.0368</w:t>
            </w:r>
          </w:p>
        </w:tc>
        <w:tc>
          <w:tcPr>
            <w:tcW w:w="1959" w:type="dxa"/>
            <w:vAlign w:val="center"/>
          </w:tcPr>
          <w:p w14:paraId="115D45F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30</w:t>
            </w:r>
          </w:p>
        </w:tc>
      </w:tr>
      <w:tr w14:paraId="0D05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05836DEB">
            <w:pPr>
              <w:pStyle w:val="39"/>
              <w:jc w:val="center"/>
              <w:rPr>
                <w:rFonts w:ascii="Times New Roman" w:hAnsi="Times New Roman" w:cs="Times New Roman"/>
                <w:color w:val="auto"/>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2652" w:type="dxa"/>
            <w:vAlign w:val="center"/>
          </w:tcPr>
          <w:p w14:paraId="442A4972">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103.89 </w:t>
            </w:r>
          </w:p>
        </w:tc>
        <w:tc>
          <w:tcPr>
            <w:tcW w:w="1698" w:type="dxa"/>
            <w:vAlign w:val="center"/>
          </w:tcPr>
          <w:p w14:paraId="4188CCC4">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0.1602</w:t>
            </w:r>
          </w:p>
        </w:tc>
        <w:tc>
          <w:tcPr>
            <w:tcW w:w="1959" w:type="dxa"/>
            <w:vAlign w:val="center"/>
          </w:tcPr>
          <w:p w14:paraId="62B5563B">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170</w:t>
            </w:r>
          </w:p>
        </w:tc>
      </w:tr>
      <w:tr w14:paraId="62F2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15FCDE1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SS</w:t>
            </w:r>
          </w:p>
        </w:tc>
        <w:tc>
          <w:tcPr>
            <w:tcW w:w="2652" w:type="dxa"/>
            <w:vAlign w:val="center"/>
          </w:tcPr>
          <w:p w14:paraId="7BF23996">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128.47 </w:t>
            </w:r>
          </w:p>
        </w:tc>
        <w:tc>
          <w:tcPr>
            <w:tcW w:w="1698" w:type="dxa"/>
            <w:vAlign w:val="center"/>
          </w:tcPr>
          <w:p w14:paraId="0FF235E3">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0.1981</w:t>
            </w:r>
          </w:p>
        </w:tc>
        <w:tc>
          <w:tcPr>
            <w:tcW w:w="1959" w:type="dxa"/>
            <w:vAlign w:val="center"/>
          </w:tcPr>
          <w:p w14:paraId="3D111827">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210</w:t>
            </w:r>
          </w:p>
        </w:tc>
      </w:tr>
      <w:tr w14:paraId="7064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7D1A296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甲苯</w:t>
            </w:r>
          </w:p>
        </w:tc>
        <w:tc>
          <w:tcPr>
            <w:tcW w:w="2652" w:type="dxa"/>
            <w:vAlign w:val="center"/>
          </w:tcPr>
          <w:p w14:paraId="5CACC5AE">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0.0008 </w:t>
            </w:r>
          </w:p>
        </w:tc>
        <w:tc>
          <w:tcPr>
            <w:tcW w:w="1698" w:type="dxa"/>
            <w:vAlign w:val="center"/>
          </w:tcPr>
          <w:p w14:paraId="157E8E8A">
            <w:pPr>
              <w:autoSpaceDE w:val="0"/>
              <w:autoSpaceDN w:val="0"/>
              <w:adjustRightInd w:val="0"/>
              <w:jc w:val="center"/>
              <w:rPr>
                <w:rFonts w:ascii="Times New Roman" w:hAnsi="Times New Roman" w:eastAsia="宋体" w:cs="Times New Roman"/>
                <w:szCs w:val="21"/>
              </w:rPr>
            </w:pPr>
            <w:r>
              <w:rPr>
                <w:rFonts w:hint="eastAsia" w:ascii="Times New Roman" w:hAnsi="Times New Roman" w:cs="Times New Roman"/>
                <w:szCs w:val="21"/>
              </w:rPr>
              <w:t>0.0012kg/a</w:t>
            </w:r>
          </w:p>
        </w:tc>
        <w:tc>
          <w:tcPr>
            <w:tcW w:w="1959" w:type="dxa"/>
            <w:vAlign w:val="center"/>
          </w:tcPr>
          <w:p w14:paraId="3DD58D16">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r w14:paraId="724A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2213" w:type="dxa"/>
            <w:vAlign w:val="center"/>
          </w:tcPr>
          <w:p w14:paraId="3DECB71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二甲苯</w:t>
            </w:r>
          </w:p>
        </w:tc>
        <w:tc>
          <w:tcPr>
            <w:tcW w:w="2652" w:type="dxa"/>
            <w:vAlign w:val="center"/>
          </w:tcPr>
          <w:p w14:paraId="3441805D">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0.0485 </w:t>
            </w:r>
          </w:p>
        </w:tc>
        <w:tc>
          <w:tcPr>
            <w:tcW w:w="1698" w:type="dxa"/>
            <w:vAlign w:val="center"/>
          </w:tcPr>
          <w:p w14:paraId="1896539D">
            <w:pPr>
              <w:autoSpaceDE w:val="0"/>
              <w:autoSpaceDN w:val="0"/>
              <w:adjustRightInd w:val="0"/>
              <w:jc w:val="center"/>
              <w:rPr>
                <w:rFonts w:ascii="Times New Roman" w:hAnsi="Times New Roman" w:cs="Times New Roman"/>
                <w:szCs w:val="21"/>
              </w:rPr>
            </w:pPr>
            <w:r>
              <w:rPr>
                <w:rFonts w:hint="eastAsia" w:ascii="Times New Roman" w:hAnsi="Times New Roman" w:cs="Times New Roman"/>
                <w:szCs w:val="21"/>
              </w:rPr>
              <w:t>0.0748kg/a</w:t>
            </w:r>
          </w:p>
        </w:tc>
        <w:tc>
          <w:tcPr>
            <w:tcW w:w="1959" w:type="dxa"/>
            <w:vAlign w:val="center"/>
          </w:tcPr>
          <w:p w14:paraId="134746DF">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bl>
    <w:p w14:paraId="3ED6BF93">
      <w:pPr>
        <w:spacing w:line="360" w:lineRule="auto"/>
        <w:ind w:firstLine="480"/>
        <w:rPr>
          <w:rFonts w:ascii="Times New Roman" w:hAnsi="Times New Roman" w:eastAsia="宋体" w:cs="Times New Roman"/>
          <w:sz w:val="24"/>
        </w:rPr>
      </w:pPr>
      <w:r>
        <w:rPr>
          <w:rFonts w:ascii="Times New Roman" w:hAnsi="Times New Roman" w:eastAsia="宋体" w:cs="Times New Roman"/>
          <w:sz w:val="24"/>
        </w:rPr>
        <w:t>本项目生活污水经化粪池处理、喷漆废水经混凝沉淀+fenton氧化处理后汇入厂区总排口排入清丰中州水务有限公司第二污水处理厂，处理后排入潴泷河。</w:t>
      </w:r>
      <w:bookmarkStart w:id="282" w:name="_Toc8428"/>
      <w:r>
        <w:rPr>
          <w:rFonts w:ascii="Times New Roman" w:hAnsi="Times New Roman" w:eastAsia="宋体" w:cs="Times New Roman"/>
          <w:sz w:val="24"/>
        </w:rPr>
        <w:t>废水水质能够达到清丰中州水务有限公司第二污水处理厂收水水质要求。</w:t>
      </w:r>
      <w:bookmarkEnd w:id="282"/>
    </w:p>
    <w:p w14:paraId="31035E78">
      <w:pPr>
        <w:spacing w:line="360" w:lineRule="auto"/>
        <w:ind w:firstLine="480"/>
        <w:rPr>
          <w:rFonts w:ascii="Times New Roman" w:hAnsi="Times New Roman" w:eastAsia="宋体" w:cs="Times New Roman"/>
          <w:b/>
          <w:bCs/>
          <w:sz w:val="24"/>
          <w:u w:val="single"/>
        </w:rPr>
      </w:pPr>
      <w:r>
        <w:rPr>
          <w:rFonts w:ascii="Times New Roman" w:hAnsi="Times New Roman" w:eastAsia="宋体" w:cs="Times New Roman"/>
          <w:sz w:val="24"/>
        </w:rPr>
        <w:t>建设单位应根据《关于开展排污口规范化整治工作的通知》</w:t>
      </w:r>
      <w:r>
        <w:rPr>
          <w:rFonts w:hint="eastAsia" w:ascii="Times New Roman" w:hAnsi="Times New Roman" w:eastAsia="宋体" w:cs="Times New Roman"/>
          <w:sz w:val="24"/>
        </w:rPr>
        <w:t>（</w:t>
      </w:r>
      <w:r>
        <w:rPr>
          <w:rFonts w:ascii="Times New Roman" w:hAnsi="Times New Roman" w:eastAsia="宋体" w:cs="Times New Roman"/>
          <w:sz w:val="24"/>
        </w:rPr>
        <w:t>环发[1999]24号</w:t>
      </w:r>
      <w:r>
        <w:rPr>
          <w:rFonts w:hint="eastAsia" w:ascii="Times New Roman" w:hAnsi="Times New Roman" w:eastAsia="宋体" w:cs="Times New Roman"/>
          <w:sz w:val="24"/>
        </w:rPr>
        <w:t>）</w:t>
      </w:r>
      <w:r>
        <w:rPr>
          <w:rFonts w:ascii="Times New Roman" w:hAnsi="Times New Roman" w:eastAsia="宋体" w:cs="Times New Roman"/>
          <w:sz w:val="24"/>
        </w:rPr>
        <w:t>的相关要求，规范设置污水总排放口。合理确定排污口的位置，设立明显的警示标志，以标明排放口位置；按《污染源监测技术规范》设置采样点；设置规范的、便于测量流量、流速的测流段；排放口应安装三角堰、矩形堰、测流槽等测流装置或其他计量装置。</w:t>
      </w:r>
    </w:p>
    <w:p w14:paraId="29E07D43">
      <w:pPr>
        <w:spacing w:line="360" w:lineRule="auto"/>
        <w:ind w:firstLine="480"/>
        <w:rPr>
          <w:rFonts w:ascii="Times New Roman" w:hAnsi="Times New Roman" w:cs="Times New Roman"/>
          <w:sz w:val="24"/>
        </w:rPr>
      </w:pPr>
      <w:r>
        <w:rPr>
          <w:rFonts w:ascii="Times New Roman" w:hAnsi="Times New Roman" w:cs="Times New Roman"/>
          <w:sz w:val="24"/>
        </w:rPr>
        <w:t>（5）结论</w:t>
      </w:r>
    </w:p>
    <w:p w14:paraId="1D51B4DB">
      <w:pPr>
        <w:spacing w:line="360" w:lineRule="auto"/>
        <w:ind w:firstLine="480"/>
        <w:rPr>
          <w:rFonts w:ascii="Times New Roman" w:hAnsi="Times New Roman" w:cs="Times New Roman"/>
          <w:sz w:val="24"/>
        </w:rPr>
      </w:pPr>
      <w:r>
        <w:rPr>
          <w:rFonts w:ascii="Times New Roman" w:hAnsi="Times New Roman" w:cs="Times New Roman"/>
          <w:sz w:val="24"/>
        </w:rPr>
        <w:t>在落实本评价提出的环保措施前提下，本项目的废水对周围地表水环境影响较小。</w:t>
      </w:r>
    </w:p>
    <w:p w14:paraId="3CD59238">
      <w:pPr>
        <w:spacing w:line="360" w:lineRule="auto"/>
        <w:ind w:firstLine="480"/>
        <w:rPr>
          <w:rFonts w:ascii="Times New Roman" w:hAnsi="Times New Roman" w:cs="Times New Roman"/>
          <w:sz w:val="24"/>
        </w:rPr>
      </w:pPr>
      <w:r>
        <w:rPr>
          <w:rFonts w:ascii="Times New Roman" w:hAnsi="Times New Roman" w:cs="Times New Roman"/>
          <w:sz w:val="24"/>
        </w:rPr>
        <w:t>综上分析，项目水污染防治措施可行。</w:t>
      </w:r>
    </w:p>
    <w:p w14:paraId="55399A32">
      <w:pPr>
        <w:pStyle w:val="3"/>
        <w:numPr>
          <w:ilvl w:val="1"/>
          <w:numId w:val="75"/>
        </w:numPr>
        <w:tabs>
          <w:tab w:val="clear" w:pos="0"/>
        </w:tabs>
      </w:pPr>
      <w:bookmarkStart w:id="283" w:name="_Toc3473"/>
      <w:r>
        <w:rPr>
          <w:rFonts w:hint="eastAsia"/>
        </w:rPr>
        <w:t>噪声防治措施及可行性分析</w:t>
      </w:r>
      <w:bookmarkEnd w:id="283"/>
    </w:p>
    <w:p w14:paraId="30F76261">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项目主要噪声源主要为</w:t>
      </w:r>
      <w:r>
        <w:rPr>
          <w:rFonts w:hint="eastAsia" w:ascii="Times New Roman" w:hAnsi="Times New Roman" w:eastAsia="宋体" w:cs="Times New Roman"/>
          <w:sz w:val="24"/>
        </w:rPr>
        <w:t>精密推台锯、砂光机、封边机、空压机、木线机、排钻、侧孔机、立铣机、打砂机等，</w:t>
      </w:r>
      <w:r>
        <w:rPr>
          <w:rFonts w:ascii="Times New Roman" w:hAnsi="Times New Roman" w:eastAsia="宋体" w:cs="Times New Roman"/>
          <w:sz w:val="24"/>
        </w:rPr>
        <w:t>声级强度介于</w:t>
      </w:r>
      <w:r>
        <w:rPr>
          <w:rFonts w:hint="eastAsia" w:ascii="Times New Roman" w:hAnsi="Times New Roman" w:eastAsia="宋体" w:cs="Times New Roman"/>
          <w:sz w:val="24"/>
        </w:rPr>
        <w:t>75</w:t>
      </w:r>
      <w:r>
        <w:rPr>
          <w:rFonts w:ascii="Times New Roman" w:hAnsi="Times New Roman" w:eastAsia="宋体" w:cs="Times New Roman"/>
          <w:sz w:val="24"/>
        </w:rPr>
        <w:t>~</w:t>
      </w:r>
      <w:r>
        <w:rPr>
          <w:rFonts w:hint="eastAsia" w:ascii="Times New Roman" w:hAnsi="Times New Roman" w:eastAsia="宋体" w:cs="Times New Roman"/>
          <w:sz w:val="24"/>
        </w:rPr>
        <w:t>85</w:t>
      </w:r>
      <w:r>
        <w:rPr>
          <w:rFonts w:ascii="Times New Roman" w:hAnsi="Times New Roman" w:eastAsia="宋体" w:cs="Times New Roman"/>
          <w:sz w:val="24"/>
        </w:rPr>
        <w:t>dB（A），针对不同噪声源</w:t>
      </w:r>
      <w:r>
        <w:rPr>
          <w:rFonts w:hint="eastAsia" w:ascii="Times New Roman" w:hAnsi="Times New Roman" w:eastAsia="宋体" w:cs="Times New Roman"/>
          <w:sz w:val="24"/>
        </w:rPr>
        <w:t>拟采取选用低噪声设备、基础减振、</w:t>
      </w:r>
      <w:r>
        <w:rPr>
          <w:rFonts w:ascii="Times New Roman" w:hAnsi="Times New Roman" w:eastAsia="宋体" w:cs="Times New Roman"/>
          <w:sz w:val="24"/>
        </w:rPr>
        <w:t>隔声、消声、合理布局等治理措施。</w:t>
      </w:r>
    </w:p>
    <w:p w14:paraId="44E6A8AD">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）选用低噪声设备</w:t>
      </w:r>
    </w:p>
    <w:p w14:paraId="570BD726">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在设备选型时应选用低噪声设备、配备减振</w:t>
      </w:r>
      <w:r>
        <w:rPr>
          <w:rFonts w:hint="eastAsia" w:ascii="Times New Roman" w:hAnsi="Times New Roman" w:cs="Times New Roman"/>
          <w:sz w:val="24"/>
        </w:rPr>
        <w:t>和</w:t>
      </w:r>
      <w:r>
        <w:rPr>
          <w:rFonts w:hint="eastAsia" w:ascii="Times New Roman" w:hAnsi="Times New Roman" w:eastAsia="宋体" w:cs="Times New Roman"/>
          <w:sz w:val="24"/>
        </w:rPr>
        <w:t>降噪设施的机电设备，在生产运营时确保其处于良好的运转状态。</w:t>
      </w:r>
    </w:p>
    <w:p w14:paraId="160B83EA">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采取</w:t>
      </w:r>
      <w:r>
        <w:rPr>
          <w:rFonts w:hint="eastAsia" w:ascii="Times New Roman" w:hAnsi="Times New Roman" w:eastAsia="宋体" w:cs="Times New Roman"/>
          <w:sz w:val="24"/>
        </w:rPr>
        <w:t>减振、</w:t>
      </w:r>
      <w:r>
        <w:rPr>
          <w:rFonts w:ascii="Times New Roman" w:hAnsi="Times New Roman" w:eastAsia="宋体" w:cs="Times New Roman"/>
          <w:sz w:val="24"/>
        </w:rPr>
        <w:t>隔声措施</w:t>
      </w:r>
    </w:p>
    <w:p w14:paraId="7335F229">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高噪声设备应采取隔声、减振措施，确保降噪效果大于15</w:t>
      </w:r>
      <w:r>
        <w:rPr>
          <w:rFonts w:ascii="Times New Roman" w:hAnsi="Times New Roman" w:eastAsia="宋体" w:cs="Times New Roman"/>
          <w:sz w:val="24"/>
        </w:rPr>
        <w:t>dB（A）</w:t>
      </w:r>
      <w:r>
        <w:rPr>
          <w:rFonts w:hint="eastAsia" w:ascii="Times New Roman" w:hAnsi="Times New Roman" w:eastAsia="宋体" w:cs="Times New Roman"/>
          <w:sz w:val="24"/>
        </w:rPr>
        <w:t>。机电设备尽量布置在室内，不仅具有隔声效果，也能提高设备的使用寿命，降低设备的维护费用。</w:t>
      </w:r>
    </w:p>
    <w:p w14:paraId="00F1FCCA">
      <w:pPr>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（3）</w:t>
      </w:r>
      <w:r>
        <w:rPr>
          <w:rFonts w:ascii="Times New Roman" w:hAnsi="Times New Roman" w:eastAsia="宋体" w:cs="Times New Roman"/>
          <w:sz w:val="24"/>
        </w:rPr>
        <w:t>重视总图布置</w:t>
      </w:r>
    </w:p>
    <w:p w14:paraId="004EE5D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将高噪声设备布置在项目厂区中间，</w:t>
      </w:r>
      <w:r>
        <w:rPr>
          <w:rFonts w:hint="eastAsia" w:ascii="Times New Roman" w:hAnsi="Times New Roman" w:eastAsia="宋体" w:cs="Times New Roman"/>
          <w:sz w:val="24"/>
        </w:rPr>
        <w:t>远离</w:t>
      </w:r>
      <w:r>
        <w:rPr>
          <w:rFonts w:ascii="Times New Roman" w:hAnsi="Times New Roman" w:eastAsia="宋体" w:cs="Times New Roman"/>
          <w:sz w:val="24"/>
        </w:rPr>
        <w:t>厂界四周，可利用建筑物、构筑物形成噪声屏障，阻碍噪声传播。对噪声设备，在设计时应考虑建筑隔声效果。如对风机类、泵类设备等安装在室内，采用厂房隔声布置，以减轻噪声对室外环境的影响。</w:t>
      </w:r>
    </w:p>
    <w:p w14:paraId="5D4FFCFF">
      <w:pPr>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（4）</w:t>
      </w:r>
      <w:r>
        <w:rPr>
          <w:rFonts w:ascii="Times New Roman" w:hAnsi="Times New Roman" w:eastAsia="宋体" w:cs="Times New Roman"/>
          <w:sz w:val="24"/>
        </w:rPr>
        <w:t>风机噪声控制</w:t>
      </w:r>
    </w:p>
    <w:p w14:paraId="40C5BAC7">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可以安装消声器、加装隔声罩、内嵌式安装，或设置风机房。风机在运转时产生的噪声主要有空气动力性噪声（即气流噪声）、机械噪声等，其中强度最高、影响最大的则是空气动力性噪声，尤其进出气口产生的噪声最严重。通过在进气口安装阻抗复合消声器和对进排气管道作阻尼减振措施，这样对整体设备可降噪15~20dB（A）以上。</w:t>
      </w:r>
    </w:p>
    <w:p w14:paraId="248C418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（5）隔声措施</w:t>
      </w:r>
    </w:p>
    <w:p w14:paraId="703B46D3">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建议在风机</w:t>
      </w:r>
      <w:r>
        <w:rPr>
          <w:rFonts w:ascii="Times New Roman" w:hAnsi="Times New Roman" w:eastAsia="宋体" w:cs="Times New Roman"/>
          <w:sz w:val="24"/>
        </w:rPr>
        <w:t>设备的外部加设隔音罩，隔音罩为2mm厚Q235</w:t>
      </w:r>
      <w:r>
        <w:rPr>
          <w:rFonts w:hint="eastAsia" w:ascii="Times New Roman" w:hAnsi="Times New Roman" w:eastAsia="宋体" w:cs="Times New Roman"/>
          <w:sz w:val="24"/>
        </w:rPr>
        <w:t>铸铁</w:t>
      </w:r>
      <w:r>
        <w:rPr>
          <w:rFonts w:ascii="Times New Roman" w:hAnsi="Times New Roman" w:eastAsia="宋体" w:cs="Times New Roman"/>
          <w:sz w:val="24"/>
        </w:rPr>
        <w:t>板。折弯成型，内部装有玻纹状耐高温阻燃隔音棉。</w:t>
      </w:r>
    </w:p>
    <w:p w14:paraId="7E2AE8C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（6）从管理角度，加强以下几个方面工作，以减少项目噪声排放对周边声环境的影响：</w:t>
      </w:r>
    </w:p>
    <w:p w14:paraId="349F8098">
      <w:pPr>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①</w:t>
      </w:r>
      <w:r>
        <w:rPr>
          <w:rFonts w:ascii="Times New Roman" w:hAnsi="Times New Roman" w:eastAsia="宋体" w:cs="Times New Roman"/>
          <w:sz w:val="24"/>
        </w:rPr>
        <w:t>提高工艺自动控制水平，减少工人直接接触高噪声设备时间。</w:t>
      </w:r>
    </w:p>
    <w:p w14:paraId="5B7D3A20">
      <w:pPr>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②</w:t>
      </w:r>
      <w:r>
        <w:rPr>
          <w:rFonts w:ascii="Times New Roman" w:hAnsi="Times New Roman" w:eastAsia="宋体" w:cs="Times New Roman"/>
          <w:sz w:val="24"/>
        </w:rPr>
        <w:t>建立设备定期维护、保养制度，防止设备故障形成的非正常生产噪声。</w:t>
      </w:r>
    </w:p>
    <w:p w14:paraId="59D0BD62">
      <w:pPr>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③</w:t>
      </w:r>
      <w:r>
        <w:rPr>
          <w:rFonts w:ascii="Times New Roman" w:hAnsi="Times New Roman" w:eastAsia="宋体" w:cs="Times New Roman"/>
          <w:sz w:val="24"/>
        </w:rPr>
        <w:t>加强职工环保意识教育，提倡文明生产，防止人为噪声。</w:t>
      </w:r>
    </w:p>
    <w:p w14:paraId="60BA37F4">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（7）流动声源管理：对于流动声源，单独控制声源技术难度甚大，可行的措施是强化行驶管理制度。要求驾驶员加强环保意识，减少鸣笛次数。同时加强厂区内道路维护保养，减少汽车磨擦噪声。</w:t>
      </w:r>
    </w:p>
    <w:p w14:paraId="1E74CB47">
      <w:pPr>
        <w:spacing w:line="360" w:lineRule="auto"/>
        <w:ind w:firstLine="480" w:firstLineChars="200"/>
        <w:rPr>
          <w:rFonts w:ascii="宋体" w:hAnsi="宋体" w:eastAsia="宋体"/>
          <w:sz w:val="24"/>
        </w:rPr>
      </w:pPr>
      <w:r>
        <w:rPr>
          <w:rFonts w:ascii="Times New Roman" w:hAnsi="Times New Roman" w:eastAsia="宋体" w:cs="Times New Roman"/>
          <w:sz w:val="24"/>
        </w:rPr>
        <w:t>通过采取上述各项减振、隔声、吸声、消声等综合治理措施，本项目产生的噪声能达到相应区域的噪声排放标准，本项目的建设对周围声环境不会造成明显影响。且该项目采取的这些措施在噪声防治中是相对比较成熟的做法，具有明显的经济技术可行性。</w:t>
      </w:r>
    </w:p>
    <w:p w14:paraId="12311F79">
      <w:pPr>
        <w:pStyle w:val="3"/>
        <w:numPr>
          <w:ilvl w:val="1"/>
          <w:numId w:val="75"/>
        </w:numPr>
        <w:tabs>
          <w:tab w:val="clear" w:pos="0"/>
        </w:tabs>
      </w:pPr>
      <w:bookmarkStart w:id="284" w:name="_Toc17914"/>
      <w:r>
        <w:rPr>
          <w:rFonts w:hint="eastAsia"/>
        </w:rPr>
        <w:t>固废防治措施及可行性分析</w:t>
      </w:r>
      <w:bookmarkEnd w:id="284"/>
    </w:p>
    <w:p w14:paraId="56AEC37A">
      <w:pPr>
        <w:pStyle w:val="4"/>
        <w:numPr>
          <w:ilvl w:val="2"/>
          <w:numId w:val="75"/>
        </w:numPr>
        <w:tabs>
          <w:tab w:val="clear" w:pos="0"/>
        </w:tabs>
      </w:pPr>
      <w:r>
        <w:rPr>
          <w:rFonts w:hint="eastAsia"/>
        </w:rPr>
        <w:t>固废处理措施</w:t>
      </w:r>
    </w:p>
    <w:p w14:paraId="589A1B0E">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本项目生活垃圾委托当地环卫部门定期统一处理。</w:t>
      </w:r>
    </w:p>
    <w:p w14:paraId="5DE64B05">
      <w:pPr>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本项目产生的一般工业固废包括</w:t>
      </w:r>
      <w:r>
        <w:rPr>
          <w:rFonts w:hint="eastAsia" w:ascii="Times New Roman" w:hAnsi="Times New Roman" w:eastAsia="宋体" w:cs="Times New Roman"/>
          <w:bCs/>
          <w:kern w:val="0"/>
          <w:sz w:val="24"/>
        </w:rPr>
        <w:t>：</w:t>
      </w:r>
      <w:r>
        <w:rPr>
          <w:rFonts w:ascii="Times New Roman" w:hAnsi="Times New Roman" w:eastAsia="宋体" w:cs="Times New Roman"/>
          <w:bCs/>
          <w:kern w:val="0"/>
          <w:sz w:val="24"/>
        </w:rPr>
        <w:t>木材加工过程中产生的木屑、废边角废料、废包装材料、除尘器收集的粉尘。木材加工过程中产生的木屑、废边角废料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废包装材料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除尘器收集的粉尘</w:t>
      </w:r>
      <w:r>
        <w:rPr>
          <w:rFonts w:hint="eastAsia" w:ascii="Times New Roman" w:hAnsi="Times New Roman" w:eastAsia="宋体" w:cs="Times New Roman"/>
          <w:bCs/>
          <w:kern w:val="0"/>
          <w:sz w:val="24"/>
        </w:rPr>
        <w:t>收集后外售。</w:t>
      </w:r>
    </w:p>
    <w:p w14:paraId="2ADB206C">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本项目产生的危险废物包括：废破损包装桶（废油漆桶、废胶桶、稀释剂桶）、水帘漆渣、油磨漆渣、污水处理中产生的絮状沉淀物、废活性炭、喷枪清洗废水、废催化剂、废机油、废过滤棉（含漆渣），分别交由相应资质单位处理。</w:t>
      </w:r>
    </w:p>
    <w:p w14:paraId="31E3BD44">
      <w:pPr>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本项目固废处理措施详见下表。</w:t>
      </w:r>
    </w:p>
    <w:p w14:paraId="2F89DEB1">
      <w:pPr>
        <w:spacing w:before="156" w:beforeLines="50"/>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表6.5-1  本项目固废处理措施汇总表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050"/>
        <w:gridCol w:w="1470"/>
        <w:gridCol w:w="1134"/>
        <w:gridCol w:w="2463"/>
      </w:tblGrid>
      <w:tr w14:paraId="2E00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2405" w:type="dxa"/>
            <w:vAlign w:val="center"/>
          </w:tcPr>
          <w:p w14:paraId="3CAC7816">
            <w:pPr>
              <w:pStyle w:val="39"/>
              <w:jc w:val="center"/>
              <w:rPr>
                <w:rFonts w:ascii="Times New Roman" w:hAnsi="Times New Roman" w:cs="Times New Roman"/>
                <w:b/>
                <w:bCs w:val="0"/>
                <w:color w:val="auto"/>
                <w:sz w:val="21"/>
                <w:szCs w:val="21"/>
                <w:u w:val="single"/>
              </w:rPr>
            </w:pPr>
            <w:r>
              <w:rPr>
                <w:rFonts w:ascii="Times New Roman" w:hAnsi="Times New Roman" w:cs="Times New Roman"/>
                <w:b/>
                <w:bCs w:val="0"/>
                <w:color w:val="auto"/>
                <w:sz w:val="21"/>
                <w:szCs w:val="21"/>
                <w:u w:val="single"/>
              </w:rPr>
              <w:t>固废名称</w:t>
            </w:r>
          </w:p>
        </w:tc>
        <w:tc>
          <w:tcPr>
            <w:tcW w:w="1050" w:type="dxa"/>
            <w:vAlign w:val="center"/>
          </w:tcPr>
          <w:p w14:paraId="2371999B">
            <w:pPr>
              <w:pStyle w:val="39"/>
              <w:jc w:val="center"/>
              <w:rPr>
                <w:rFonts w:ascii="Times New Roman" w:hAnsi="Times New Roman" w:cs="Times New Roman"/>
                <w:b/>
                <w:bCs w:val="0"/>
                <w:color w:val="auto"/>
                <w:sz w:val="21"/>
                <w:szCs w:val="21"/>
                <w:u w:val="single"/>
              </w:rPr>
            </w:pPr>
            <w:r>
              <w:rPr>
                <w:rFonts w:ascii="Times New Roman" w:hAnsi="Times New Roman" w:cs="Times New Roman"/>
                <w:b/>
                <w:bCs w:val="0"/>
                <w:color w:val="auto"/>
                <w:sz w:val="21"/>
                <w:szCs w:val="21"/>
                <w:u w:val="single"/>
              </w:rPr>
              <w:t>属性</w:t>
            </w:r>
          </w:p>
        </w:tc>
        <w:tc>
          <w:tcPr>
            <w:tcW w:w="1470" w:type="dxa"/>
            <w:vAlign w:val="center"/>
          </w:tcPr>
          <w:p w14:paraId="26EBD9F6">
            <w:pPr>
              <w:pStyle w:val="39"/>
              <w:jc w:val="center"/>
              <w:rPr>
                <w:rFonts w:ascii="Times New Roman" w:hAnsi="Times New Roman" w:cs="Times New Roman"/>
                <w:b/>
                <w:bCs w:val="0"/>
                <w:color w:val="auto"/>
                <w:sz w:val="21"/>
                <w:szCs w:val="21"/>
                <w:u w:val="single"/>
              </w:rPr>
            </w:pPr>
            <w:r>
              <w:rPr>
                <w:rFonts w:ascii="Times New Roman" w:hAnsi="Times New Roman" w:cs="Times New Roman"/>
                <w:b/>
                <w:bCs w:val="0"/>
                <w:color w:val="auto"/>
                <w:sz w:val="21"/>
                <w:szCs w:val="21"/>
                <w:u w:val="single"/>
              </w:rPr>
              <w:t>产生量（t/a）</w:t>
            </w:r>
          </w:p>
        </w:tc>
        <w:tc>
          <w:tcPr>
            <w:tcW w:w="1134" w:type="dxa"/>
            <w:vAlign w:val="center"/>
          </w:tcPr>
          <w:p w14:paraId="35F2D75C">
            <w:pPr>
              <w:pStyle w:val="39"/>
              <w:jc w:val="center"/>
              <w:rPr>
                <w:rFonts w:ascii="Times New Roman" w:hAnsi="Times New Roman" w:cs="Times New Roman"/>
                <w:b/>
                <w:bCs w:val="0"/>
                <w:color w:val="auto"/>
                <w:sz w:val="21"/>
                <w:szCs w:val="21"/>
                <w:u w:val="single"/>
              </w:rPr>
            </w:pPr>
            <w:r>
              <w:rPr>
                <w:rFonts w:ascii="Times New Roman" w:hAnsi="Times New Roman" w:cs="Times New Roman"/>
                <w:b/>
                <w:bCs w:val="0"/>
                <w:color w:val="auto"/>
                <w:sz w:val="21"/>
                <w:szCs w:val="21"/>
                <w:u w:val="single"/>
              </w:rPr>
              <w:t>处置量（t/a）</w:t>
            </w:r>
          </w:p>
        </w:tc>
        <w:tc>
          <w:tcPr>
            <w:tcW w:w="2463" w:type="dxa"/>
            <w:vAlign w:val="center"/>
          </w:tcPr>
          <w:p w14:paraId="7AFC5FA3">
            <w:pPr>
              <w:pStyle w:val="39"/>
              <w:jc w:val="center"/>
              <w:rPr>
                <w:rFonts w:ascii="Times New Roman" w:hAnsi="Times New Roman" w:cs="Times New Roman"/>
                <w:b/>
                <w:bCs w:val="0"/>
                <w:color w:val="auto"/>
                <w:sz w:val="21"/>
                <w:szCs w:val="21"/>
                <w:u w:val="single"/>
              </w:rPr>
            </w:pPr>
            <w:r>
              <w:rPr>
                <w:rFonts w:ascii="Times New Roman" w:hAnsi="Times New Roman" w:cs="Times New Roman"/>
                <w:b/>
                <w:bCs w:val="0"/>
                <w:color w:val="auto"/>
                <w:sz w:val="21"/>
                <w:szCs w:val="21"/>
                <w:u w:val="single"/>
              </w:rPr>
              <w:t>处置措施</w:t>
            </w:r>
          </w:p>
        </w:tc>
      </w:tr>
      <w:tr w14:paraId="3A47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vAlign w:val="center"/>
          </w:tcPr>
          <w:p w14:paraId="38F4C94E">
            <w:pPr>
              <w:pStyle w:val="39"/>
              <w:jc w:val="center"/>
              <w:rPr>
                <w:rFonts w:ascii="Times New Roman" w:hAnsi="Times New Roman" w:cs="Times New Roman"/>
                <w:b/>
                <w:bCs w:val="0"/>
                <w:color w:val="auto"/>
                <w:sz w:val="21"/>
                <w:szCs w:val="21"/>
                <w:u w:val="single"/>
              </w:rPr>
            </w:pPr>
            <w:r>
              <w:rPr>
                <w:rFonts w:ascii="Times New Roman" w:hAnsi="Times New Roman" w:cs="Times New Roman"/>
                <w:b/>
                <w:bCs w:val="0"/>
                <w:color w:val="auto"/>
                <w:sz w:val="21"/>
                <w:szCs w:val="21"/>
                <w:u w:val="single"/>
              </w:rPr>
              <w:t>生活垃圾</w:t>
            </w:r>
          </w:p>
        </w:tc>
        <w:tc>
          <w:tcPr>
            <w:tcW w:w="1050" w:type="dxa"/>
            <w:vAlign w:val="center"/>
          </w:tcPr>
          <w:p w14:paraId="1EEC6296">
            <w:pPr>
              <w:pStyle w:val="39"/>
              <w:jc w:val="center"/>
              <w:rPr>
                <w:rFonts w:ascii="Times New Roman" w:hAnsi="Times New Roman" w:cs="Times New Roman"/>
                <w:b/>
                <w:bCs w:val="0"/>
                <w:color w:val="auto"/>
                <w:sz w:val="21"/>
                <w:szCs w:val="21"/>
                <w:u w:val="single"/>
              </w:rPr>
            </w:pPr>
            <w:r>
              <w:rPr>
                <w:rFonts w:ascii="Times New Roman" w:hAnsi="Times New Roman" w:cs="Times New Roman"/>
                <w:b/>
                <w:bCs w:val="0"/>
                <w:color w:val="auto"/>
                <w:sz w:val="21"/>
                <w:szCs w:val="21"/>
                <w:u w:val="single"/>
              </w:rPr>
              <w:t>/</w:t>
            </w:r>
          </w:p>
        </w:tc>
        <w:tc>
          <w:tcPr>
            <w:tcW w:w="1470" w:type="dxa"/>
            <w:vAlign w:val="center"/>
          </w:tcPr>
          <w:p w14:paraId="441FAFCC">
            <w:pPr>
              <w:pStyle w:val="39"/>
              <w:jc w:val="center"/>
              <w:rPr>
                <w:rFonts w:ascii="Times New Roman" w:hAnsi="Times New Roman" w:cs="Times New Roman"/>
                <w:b/>
                <w:bCs w:val="0"/>
                <w:color w:val="auto"/>
                <w:sz w:val="21"/>
                <w:szCs w:val="21"/>
                <w:u w:val="single"/>
              </w:rPr>
            </w:pPr>
            <w:r>
              <w:rPr>
                <w:rFonts w:hint="eastAsia" w:ascii="Times New Roman" w:hAnsi="Times New Roman" w:cs="Times New Roman"/>
                <w:b/>
                <w:bCs w:val="0"/>
                <w:color w:val="auto"/>
                <w:sz w:val="21"/>
                <w:szCs w:val="21"/>
                <w:u w:val="single"/>
              </w:rPr>
              <w:t>9</w:t>
            </w:r>
          </w:p>
        </w:tc>
        <w:tc>
          <w:tcPr>
            <w:tcW w:w="1134" w:type="dxa"/>
            <w:vAlign w:val="center"/>
          </w:tcPr>
          <w:p w14:paraId="7DF25484">
            <w:pPr>
              <w:pStyle w:val="39"/>
              <w:jc w:val="center"/>
              <w:rPr>
                <w:rFonts w:ascii="Times New Roman" w:hAnsi="Times New Roman" w:cs="Times New Roman"/>
                <w:b/>
                <w:bCs w:val="0"/>
                <w:color w:val="auto"/>
                <w:sz w:val="21"/>
                <w:szCs w:val="21"/>
                <w:u w:val="single"/>
              </w:rPr>
            </w:pPr>
            <w:r>
              <w:rPr>
                <w:rFonts w:hint="eastAsia" w:ascii="Times New Roman" w:hAnsi="Times New Roman" w:cs="Times New Roman"/>
                <w:b/>
                <w:bCs w:val="0"/>
                <w:color w:val="auto"/>
                <w:sz w:val="21"/>
                <w:szCs w:val="21"/>
                <w:u w:val="single"/>
              </w:rPr>
              <w:t>9</w:t>
            </w:r>
          </w:p>
        </w:tc>
        <w:tc>
          <w:tcPr>
            <w:tcW w:w="2463" w:type="dxa"/>
            <w:vAlign w:val="center"/>
          </w:tcPr>
          <w:p w14:paraId="0C68587E">
            <w:pPr>
              <w:pStyle w:val="39"/>
              <w:jc w:val="center"/>
              <w:rPr>
                <w:rFonts w:ascii="Times New Roman" w:hAnsi="Times New Roman" w:cs="Times New Roman"/>
                <w:b/>
                <w:bCs w:val="0"/>
                <w:color w:val="auto"/>
                <w:sz w:val="21"/>
                <w:szCs w:val="21"/>
                <w:u w:val="single"/>
              </w:rPr>
            </w:pPr>
            <w:r>
              <w:rPr>
                <w:rFonts w:ascii="Times New Roman" w:hAnsi="Times New Roman" w:cs="Times New Roman"/>
                <w:b/>
                <w:bCs w:val="0"/>
                <w:color w:val="auto"/>
                <w:sz w:val="21"/>
                <w:szCs w:val="21"/>
                <w:u w:val="single"/>
              </w:rPr>
              <w:t>委托环卫</w:t>
            </w:r>
            <w:r>
              <w:rPr>
                <w:rFonts w:hint="eastAsia" w:ascii="Times New Roman" w:hAnsi="Times New Roman" w:cs="Times New Roman"/>
                <w:b/>
                <w:bCs w:val="0"/>
                <w:color w:val="auto"/>
                <w:sz w:val="21"/>
                <w:szCs w:val="21"/>
                <w:u w:val="single"/>
              </w:rPr>
              <w:t>部门统一处理</w:t>
            </w:r>
          </w:p>
        </w:tc>
      </w:tr>
      <w:tr w14:paraId="7498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tcPr>
          <w:p w14:paraId="04CBB990">
            <w:pPr>
              <w:pStyle w:val="39"/>
              <w:jc w:val="center"/>
              <w:rPr>
                <w:rFonts w:ascii="Times New Roman" w:hAnsi="Times New Roman" w:cs="Times New Roman"/>
                <w:b/>
                <w:bCs w:val="0"/>
                <w:color w:val="auto"/>
                <w:sz w:val="21"/>
                <w:szCs w:val="21"/>
                <w:u w:val="single"/>
              </w:rPr>
            </w:pPr>
            <w:r>
              <w:rPr>
                <w:rFonts w:hint="eastAsia" w:cs="Times New Roman"/>
                <w:b/>
                <w:bCs w:val="0"/>
                <w:color w:val="auto"/>
                <w:sz w:val="21"/>
                <w:szCs w:val="21"/>
                <w:u w:val="single"/>
              </w:rPr>
              <w:t>废边角料和碎屑</w:t>
            </w:r>
          </w:p>
        </w:tc>
        <w:tc>
          <w:tcPr>
            <w:tcW w:w="1050" w:type="dxa"/>
            <w:vMerge w:val="restart"/>
            <w:vAlign w:val="center"/>
          </w:tcPr>
          <w:p w14:paraId="7698D1B8">
            <w:pPr>
              <w:pStyle w:val="39"/>
              <w:jc w:val="center"/>
              <w:rPr>
                <w:rFonts w:ascii="Times New Roman" w:hAnsi="Times New Roman" w:cs="Times New Roman"/>
                <w:b/>
                <w:bCs w:val="0"/>
                <w:color w:val="auto"/>
                <w:sz w:val="21"/>
                <w:szCs w:val="21"/>
                <w:u w:val="single"/>
              </w:rPr>
            </w:pPr>
            <w:r>
              <w:rPr>
                <w:rFonts w:hint="eastAsia" w:ascii="Times New Roman" w:hAnsi="Times New Roman" w:cs="Times New Roman"/>
                <w:b/>
                <w:bCs w:val="0"/>
                <w:color w:val="auto"/>
                <w:sz w:val="21"/>
                <w:szCs w:val="21"/>
                <w:u w:val="single"/>
              </w:rPr>
              <w:t>一般固废</w:t>
            </w:r>
          </w:p>
        </w:tc>
        <w:tc>
          <w:tcPr>
            <w:tcW w:w="1470" w:type="dxa"/>
            <w:vAlign w:val="center"/>
          </w:tcPr>
          <w:p w14:paraId="2163A6A0">
            <w:pPr>
              <w:jc w:val="center"/>
              <w:rPr>
                <w:rFonts w:ascii="Times New Roman" w:hAnsi="Times New Roman" w:eastAsia="宋体" w:cs="Times New Roman"/>
                <w:b/>
                <w:bCs w:val="0"/>
                <w:szCs w:val="21"/>
                <w:u w:val="single"/>
              </w:rPr>
            </w:pPr>
            <w:r>
              <w:rPr>
                <w:rFonts w:hint="eastAsia" w:ascii="Times New Roman" w:hAnsi="Times New Roman" w:eastAsia="宋体" w:cs="Times New Roman"/>
                <w:b/>
                <w:bCs w:val="0"/>
                <w:szCs w:val="21"/>
                <w:u w:val="single"/>
              </w:rPr>
              <w:t>2.0</w:t>
            </w:r>
          </w:p>
        </w:tc>
        <w:tc>
          <w:tcPr>
            <w:tcW w:w="1134" w:type="dxa"/>
            <w:vAlign w:val="center"/>
          </w:tcPr>
          <w:p w14:paraId="71C4F708">
            <w:pPr>
              <w:jc w:val="center"/>
              <w:rPr>
                <w:rFonts w:ascii="Times New Roman" w:hAnsi="Times New Roman" w:eastAsia="宋体" w:cs="Times New Roman"/>
                <w:b/>
                <w:bCs w:val="0"/>
                <w:szCs w:val="21"/>
                <w:u w:val="single"/>
              </w:rPr>
            </w:pPr>
            <w:r>
              <w:rPr>
                <w:rFonts w:hint="eastAsia" w:ascii="Times New Roman" w:hAnsi="Times New Roman" w:eastAsia="宋体" w:cs="Times New Roman"/>
                <w:b/>
                <w:bCs w:val="0"/>
                <w:szCs w:val="21"/>
                <w:u w:val="single"/>
              </w:rPr>
              <w:t>2.0</w:t>
            </w:r>
          </w:p>
        </w:tc>
        <w:tc>
          <w:tcPr>
            <w:tcW w:w="2463" w:type="dxa"/>
            <w:vAlign w:val="center"/>
          </w:tcPr>
          <w:p w14:paraId="18D3A2C4">
            <w:pPr>
              <w:pStyle w:val="39"/>
              <w:jc w:val="center"/>
              <w:rPr>
                <w:rFonts w:ascii="Times New Roman" w:hAnsi="Times New Roman" w:cs="Times New Roman"/>
                <w:b/>
                <w:bCs w:val="0"/>
                <w:color w:val="auto"/>
                <w:sz w:val="21"/>
                <w:szCs w:val="21"/>
                <w:u w:val="single"/>
              </w:rPr>
            </w:pPr>
            <w:r>
              <w:rPr>
                <w:rFonts w:hint="eastAsia" w:ascii="Times New Roman" w:hAnsi="Times New Roman" w:cs="Times New Roman"/>
                <w:b/>
                <w:bCs w:val="0"/>
                <w:color w:val="auto"/>
                <w:sz w:val="21"/>
                <w:szCs w:val="21"/>
                <w:u w:val="single"/>
              </w:rPr>
              <w:t>收集后外售</w:t>
            </w:r>
          </w:p>
        </w:tc>
      </w:tr>
      <w:tr w14:paraId="0329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tcPr>
          <w:p w14:paraId="7E9F8E7E">
            <w:pPr>
              <w:pStyle w:val="39"/>
              <w:jc w:val="center"/>
              <w:rPr>
                <w:rFonts w:ascii="Times New Roman" w:hAnsi="Times New Roman" w:cs="Times New Roman"/>
                <w:b/>
                <w:bCs w:val="0"/>
                <w:color w:val="auto"/>
                <w:sz w:val="21"/>
                <w:szCs w:val="21"/>
                <w:u w:val="single"/>
              </w:rPr>
            </w:pPr>
            <w:r>
              <w:rPr>
                <w:rFonts w:hint="eastAsia" w:ascii="Times New Roman" w:hAnsi="Times New Roman" w:cs="Times New Roman"/>
                <w:b/>
                <w:bCs w:val="0"/>
                <w:color w:val="auto"/>
                <w:sz w:val="21"/>
                <w:szCs w:val="21"/>
                <w:u w:val="single"/>
              </w:rPr>
              <w:t>除尘器收尘</w:t>
            </w:r>
          </w:p>
        </w:tc>
        <w:tc>
          <w:tcPr>
            <w:tcW w:w="1050" w:type="dxa"/>
            <w:vMerge w:val="continue"/>
            <w:vAlign w:val="center"/>
          </w:tcPr>
          <w:p w14:paraId="01A76B1F">
            <w:pPr>
              <w:pStyle w:val="39"/>
              <w:jc w:val="center"/>
              <w:rPr>
                <w:rFonts w:ascii="Times New Roman" w:hAnsi="Times New Roman" w:cs="Times New Roman"/>
                <w:b/>
                <w:bCs w:val="0"/>
                <w:color w:val="auto"/>
                <w:sz w:val="21"/>
                <w:szCs w:val="21"/>
                <w:u w:val="single"/>
              </w:rPr>
            </w:pPr>
          </w:p>
        </w:tc>
        <w:tc>
          <w:tcPr>
            <w:tcW w:w="1470" w:type="dxa"/>
            <w:vAlign w:val="center"/>
          </w:tcPr>
          <w:p w14:paraId="24D8CB81">
            <w:pPr>
              <w:jc w:val="center"/>
              <w:rPr>
                <w:rFonts w:ascii="Times New Roman" w:hAnsi="Times New Roman" w:eastAsia="宋体" w:cs="Times New Roman"/>
                <w:b/>
                <w:bCs w:val="0"/>
                <w:kern w:val="0"/>
                <w:szCs w:val="21"/>
                <w:u w:val="single"/>
              </w:rPr>
            </w:pPr>
            <w:r>
              <w:rPr>
                <w:rFonts w:hint="eastAsia" w:ascii="Times New Roman" w:hAnsi="Times New Roman" w:cs="Times New Roman"/>
                <w:b/>
                <w:bCs w:val="0"/>
                <w:szCs w:val="21"/>
                <w:u w:val="single"/>
              </w:rPr>
              <w:t>3.25</w:t>
            </w:r>
          </w:p>
        </w:tc>
        <w:tc>
          <w:tcPr>
            <w:tcW w:w="1134" w:type="dxa"/>
            <w:vAlign w:val="center"/>
          </w:tcPr>
          <w:p w14:paraId="4F26020E">
            <w:pPr>
              <w:jc w:val="center"/>
              <w:rPr>
                <w:rFonts w:ascii="Times New Roman" w:hAnsi="Times New Roman" w:eastAsia="宋体" w:cs="Times New Roman"/>
                <w:b/>
                <w:bCs w:val="0"/>
                <w:kern w:val="0"/>
                <w:szCs w:val="21"/>
                <w:u w:val="single"/>
              </w:rPr>
            </w:pPr>
            <w:r>
              <w:rPr>
                <w:rFonts w:hint="eastAsia" w:ascii="Times New Roman" w:hAnsi="Times New Roman" w:cs="Times New Roman"/>
                <w:b/>
                <w:bCs w:val="0"/>
                <w:szCs w:val="21"/>
                <w:u w:val="single"/>
              </w:rPr>
              <w:t>3.25</w:t>
            </w:r>
          </w:p>
        </w:tc>
        <w:tc>
          <w:tcPr>
            <w:tcW w:w="2463" w:type="dxa"/>
            <w:vAlign w:val="center"/>
          </w:tcPr>
          <w:p w14:paraId="780F43AB">
            <w:pPr>
              <w:jc w:val="center"/>
              <w:rPr>
                <w:rFonts w:ascii="Times New Roman" w:hAnsi="Times New Roman" w:eastAsia="宋体" w:cs="Times New Roman"/>
                <w:b/>
                <w:bCs w:val="0"/>
                <w:kern w:val="0"/>
                <w:szCs w:val="21"/>
                <w:u w:val="single"/>
              </w:rPr>
            </w:pPr>
            <w:r>
              <w:rPr>
                <w:rFonts w:hint="eastAsia" w:ascii="Times New Roman" w:hAnsi="Times New Roman" w:cs="Times New Roman"/>
                <w:b/>
                <w:bCs w:val="0"/>
                <w:szCs w:val="21"/>
                <w:u w:val="single"/>
              </w:rPr>
              <w:t>收集后外售</w:t>
            </w:r>
          </w:p>
        </w:tc>
      </w:tr>
      <w:tr w14:paraId="3434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tcBorders>
              <w:bottom w:val="single" w:color="000000" w:sz="4" w:space="0"/>
            </w:tcBorders>
          </w:tcPr>
          <w:p w14:paraId="1429EDF8">
            <w:pPr>
              <w:pStyle w:val="39"/>
              <w:jc w:val="center"/>
              <w:rPr>
                <w:rFonts w:ascii="Times New Roman" w:hAnsi="Times New Roman" w:cs="Times New Roman"/>
                <w:b/>
                <w:bCs w:val="0"/>
                <w:color w:val="auto"/>
                <w:sz w:val="21"/>
                <w:szCs w:val="21"/>
                <w:u w:val="single"/>
              </w:rPr>
            </w:pPr>
            <w:r>
              <w:rPr>
                <w:rFonts w:hint="eastAsia" w:ascii="Times New Roman" w:hAnsi="Times New Roman" w:cs="Times New Roman"/>
                <w:b/>
                <w:bCs w:val="0"/>
                <w:color w:val="auto"/>
                <w:sz w:val="21"/>
                <w:szCs w:val="21"/>
                <w:u w:val="single"/>
              </w:rPr>
              <w:t>废包装材料</w:t>
            </w:r>
          </w:p>
        </w:tc>
        <w:tc>
          <w:tcPr>
            <w:tcW w:w="1050" w:type="dxa"/>
            <w:vMerge w:val="continue"/>
            <w:tcBorders>
              <w:bottom w:val="single" w:color="000000" w:sz="4" w:space="0"/>
            </w:tcBorders>
            <w:vAlign w:val="center"/>
          </w:tcPr>
          <w:p w14:paraId="5D5205FF">
            <w:pPr>
              <w:pStyle w:val="39"/>
              <w:jc w:val="center"/>
              <w:rPr>
                <w:rFonts w:ascii="Times New Roman" w:hAnsi="Times New Roman" w:cs="Times New Roman"/>
                <w:b/>
                <w:bCs w:val="0"/>
                <w:color w:val="auto"/>
                <w:sz w:val="21"/>
                <w:szCs w:val="21"/>
                <w:u w:val="single"/>
              </w:rPr>
            </w:pPr>
          </w:p>
        </w:tc>
        <w:tc>
          <w:tcPr>
            <w:tcW w:w="1470" w:type="dxa"/>
            <w:vAlign w:val="center"/>
          </w:tcPr>
          <w:p w14:paraId="2CF71107">
            <w:pPr>
              <w:jc w:val="center"/>
              <w:rPr>
                <w:rFonts w:ascii="Times New Roman" w:hAnsi="Times New Roman" w:eastAsia="宋体" w:cs="Times New Roman"/>
                <w:b/>
                <w:bCs w:val="0"/>
                <w:kern w:val="0"/>
                <w:szCs w:val="21"/>
                <w:u w:val="single"/>
              </w:rPr>
            </w:pPr>
            <w:r>
              <w:rPr>
                <w:rFonts w:hint="eastAsia" w:ascii="Times New Roman" w:hAnsi="Times New Roman" w:cs="Times New Roman"/>
                <w:b/>
                <w:bCs w:val="0"/>
                <w:szCs w:val="21"/>
                <w:u w:val="single"/>
              </w:rPr>
              <w:t>0.3</w:t>
            </w:r>
          </w:p>
        </w:tc>
        <w:tc>
          <w:tcPr>
            <w:tcW w:w="1134" w:type="dxa"/>
            <w:vAlign w:val="center"/>
          </w:tcPr>
          <w:p w14:paraId="7ACE61E8">
            <w:pPr>
              <w:jc w:val="center"/>
              <w:rPr>
                <w:rFonts w:ascii="Times New Roman" w:hAnsi="Times New Roman" w:eastAsia="宋体" w:cs="Times New Roman"/>
                <w:b/>
                <w:bCs w:val="0"/>
                <w:kern w:val="0"/>
                <w:szCs w:val="21"/>
                <w:u w:val="single"/>
              </w:rPr>
            </w:pPr>
            <w:r>
              <w:rPr>
                <w:rFonts w:hint="eastAsia" w:ascii="Times New Roman" w:hAnsi="Times New Roman" w:cs="Times New Roman"/>
                <w:b/>
                <w:bCs w:val="0"/>
                <w:szCs w:val="21"/>
                <w:u w:val="single"/>
              </w:rPr>
              <w:t>0.3</w:t>
            </w:r>
          </w:p>
        </w:tc>
        <w:tc>
          <w:tcPr>
            <w:tcW w:w="2463" w:type="dxa"/>
            <w:vAlign w:val="center"/>
          </w:tcPr>
          <w:p w14:paraId="262DCEC9">
            <w:pPr>
              <w:jc w:val="center"/>
              <w:rPr>
                <w:rFonts w:ascii="Times New Roman" w:hAnsi="Times New Roman" w:eastAsia="宋体" w:cs="Times New Roman"/>
                <w:b/>
                <w:bCs w:val="0"/>
                <w:kern w:val="0"/>
                <w:szCs w:val="21"/>
                <w:u w:val="single"/>
              </w:rPr>
            </w:pPr>
            <w:r>
              <w:rPr>
                <w:rFonts w:hint="eastAsia" w:ascii="Times New Roman" w:hAnsi="Times New Roman" w:cs="Times New Roman"/>
                <w:b/>
                <w:bCs w:val="0"/>
                <w:szCs w:val="21"/>
                <w:u w:val="single"/>
              </w:rPr>
              <w:t>收集后外售</w:t>
            </w:r>
          </w:p>
        </w:tc>
      </w:tr>
      <w:tr w14:paraId="3A04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tcBorders>
              <w:top w:val="single" w:color="000000" w:sz="4" w:space="0"/>
            </w:tcBorders>
            <w:vAlign w:val="center"/>
          </w:tcPr>
          <w:p w14:paraId="2591F9AA">
            <w:pPr>
              <w:jc w:val="center"/>
              <w:rPr>
                <w:rFonts w:ascii="Times New Roman" w:hAnsi="Times New Roman" w:eastAsia="宋体" w:cs="Times New Roman"/>
                <w:b/>
                <w:bCs w:val="0"/>
                <w:szCs w:val="21"/>
                <w:u w:val="single"/>
              </w:rPr>
            </w:pPr>
            <w:r>
              <w:rPr>
                <w:rFonts w:hint="eastAsia" w:ascii="Times New Roman" w:hAnsi="Times New Roman" w:eastAsia="宋体" w:cs="Times New Roman"/>
                <w:b/>
                <w:bCs w:val="0"/>
                <w:szCs w:val="21"/>
                <w:u w:val="single"/>
              </w:rPr>
              <w:t>废破损包装桶</w:t>
            </w:r>
          </w:p>
        </w:tc>
        <w:tc>
          <w:tcPr>
            <w:tcW w:w="1050" w:type="dxa"/>
            <w:vMerge w:val="restart"/>
            <w:tcBorders>
              <w:top w:val="single" w:color="000000" w:sz="4" w:space="0"/>
            </w:tcBorders>
            <w:vAlign w:val="center"/>
          </w:tcPr>
          <w:p w14:paraId="764854EF">
            <w:pPr>
              <w:pStyle w:val="39"/>
              <w:jc w:val="center"/>
              <w:rPr>
                <w:rFonts w:ascii="Times New Roman" w:hAnsi="Times New Roman" w:cs="Times New Roman"/>
                <w:b/>
                <w:bCs w:val="0"/>
                <w:color w:val="auto"/>
                <w:sz w:val="21"/>
                <w:szCs w:val="21"/>
                <w:u w:val="single"/>
              </w:rPr>
            </w:pPr>
            <w:r>
              <w:rPr>
                <w:rFonts w:hint="eastAsia" w:ascii="Times New Roman" w:hAnsi="Times New Roman" w:cs="Times New Roman"/>
                <w:b/>
                <w:bCs w:val="0"/>
                <w:color w:val="auto"/>
                <w:sz w:val="21"/>
                <w:szCs w:val="21"/>
                <w:u w:val="single"/>
              </w:rPr>
              <w:t>危险废物</w:t>
            </w:r>
          </w:p>
        </w:tc>
        <w:tc>
          <w:tcPr>
            <w:tcW w:w="1470" w:type="dxa"/>
            <w:vAlign w:val="center"/>
          </w:tcPr>
          <w:p w14:paraId="74A9CFB4">
            <w:pPr>
              <w:jc w:val="center"/>
              <w:rPr>
                <w:rFonts w:ascii="Times New Roman" w:hAnsi="Times New Roman" w:eastAsia="宋体" w:cs="Times New Roman"/>
                <w:b/>
                <w:bCs w:val="0"/>
                <w:color w:val="0000FF"/>
                <w:szCs w:val="21"/>
                <w:u w:val="single"/>
              </w:rPr>
            </w:pPr>
            <w:r>
              <w:rPr>
                <w:rFonts w:hint="eastAsia" w:ascii="Times New Roman" w:hAnsi="Times New Roman" w:cs="Times New Roman"/>
                <w:b/>
                <w:bCs w:val="0"/>
                <w:szCs w:val="21"/>
                <w:u w:val="single"/>
              </w:rPr>
              <w:t>1.0</w:t>
            </w:r>
          </w:p>
        </w:tc>
        <w:tc>
          <w:tcPr>
            <w:tcW w:w="1134" w:type="dxa"/>
            <w:vAlign w:val="center"/>
          </w:tcPr>
          <w:p w14:paraId="542ABB54">
            <w:pPr>
              <w:jc w:val="center"/>
              <w:rPr>
                <w:rFonts w:ascii="Times New Roman" w:hAnsi="Times New Roman" w:eastAsia="宋体" w:cs="Times New Roman"/>
                <w:b/>
                <w:bCs w:val="0"/>
                <w:color w:val="0000FF"/>
                <w:kern w:val="0"/>
                <w:szCs w:val="21"/>
                <w:u w:val="single"/>
              </w:rPr>
            </w:pPr>
            <w:r>
              <w:rPr>
                <w:rFonts w:hint="eastAsia" w:ascii="Times New Roman" w:hAnsi="Times New Roman" w:cs="Times New Roman"/>
                <w:b/>
                <w:bCs w:val="0"/>
                <w:szCs w:val="21"/>
                <w:u w:val="single"/>
              </w:rPr>
              <w:t>1.0</w:t>
            </w:r>
          </w:p>
        </w:tc>
        <w:tc>
          <w:tcPr>
            <w:tcW w:w="2463" w:type="dxa"/>
            <w:vMerge w:val="restart"/>
            <w:vAlign w:val="center"/>
          </w:tcPr>
          <w:p w14:paraId="69A2BF5A">
            <w:pPr>
              <w:pStyle w:val="39"/>
              <w:jc w:val="center"/>
              <w:rPr>
                <w:rFonts w:ascii="Times New Roman" w:hAnsi="Times New Roman" w:cs="Times New Roman"/>
                <w:b/>
                <w:bCs w:val="0"/>
                <w:color w:val="auto"/>
                <w:sz w:val="21"/>
                <w:szCs w:val="21"/>
                <w:u w:val="single"/>
              </w:rPr>
            </w:pPr>
            <w:r>
              <w:rPr>
                <w:rFonts w:hint="eastAsia" w:ascii="Times New Roman" w:hAnsi="Times New Roman" w:cs="Times New Roman"/>
                <w:b/>
                <w:bCs w:val="0"/>
                <w:color w:val="auto"/>
                <w:sz w:val="21"/>
                <w:szCs w:val="21"/>
                <w:u w:val="single"/>
              </w:rPr>
              <w:t>委托有有资质单位外运处置</w:t>
            </w:r>
          </w:p>
        </w:tc>
      </w:tr>
      <w:tr w14:paraId="2426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vAlign w:val="center"/>
          </w:tcPr>
          <w:p w14:paraId="0229666F">
            <w:pPr>
              <w:jc w:val="center"/>
              <w:rPr>
                <w:rFonts w:ascii="Times New Roman" w:hAnsi="Times New Roman" w:eastAsia="宋体" w:cs="Times New Roman"/>
                <w:b/>
                <w:bCs w:val="0"/>
                <w:kern w:val="0"/>
                <w:szCs w:val="21"/>
                <w:u w:val="single"/>
              </w:rPr>
            </w:pPr>
            <w:r>
              <w:rPr>
                <w:rFonts w:hint="eastAsia" w:ascii="Times New Roman" w:hAnsi="Times New Roman" w:eastAsia="宋体" w:cs="Times New Roman"/>
                <w:b/>
                <w:bCs w:val="0"/>
                <w:szCs w:val="21"/>
                <w:u w:val="single"/>
              </w:rPr>
              <w:t>水帘漆渣</w:t>
            </w:r>
          </w:p>
        </w:tc>
        <w:tc>
          <w:tcPr>
            <w:tcW w:w="1050" w:type="dxa"/>
            <w:vMerge w:val="continue"/>
            <w:vAlign w:val="center"/>
          </w:tcPr>
          <w:p w14:paraId="5C97A134">
            <w:pPr>
              <w:pStyle w:val="39"/>
              <w:jc w:val="center"/>
              <w:rPr>
                <w:rFonts w:ascii="Times New Roman" w:hAnsi="Times New Roman" w:cs="Times New Roman"/>
                <w:b/>
                <w:bCs w:val="0"/>
                <w:color w:val="auto"/>
                <w:sz w:val="21"/>
                <w:szCs w:val="21"/>
                <w:u w:val="single"/>
              </w:rPr>
            </w:pPr>
          </w:p>
        </w:tc>
        <w:tc>
          <w:tcPr>
            <w:tcW w:w="1470" w:type="dxa"/>
            <w:vAlign w:val="center"/>
          </w:tcPr>
          <w:p w14:paraId="7BD3F273">
            <w:pPr>
              <w:jc w:val="center"/>
              <w:rPr>
                <w:rFonts w:ascii="Times New Roman" w:hAnsi="Times New Roman" w:eastAsia="宋体" w:cs="Times New Roman"/>
                <w:b/>
                <w:bCs w:val="0"/>
                <w:kern w:val="0"/>
                <w:szCs w:val="21"/>
                <w:u w:val="single"/>
              </w:rPr>
            </w:pPr>
            <w:r>
              <w:rPr>
                <w:rFonts w:hint="eastAsia" w:ascii="Times New Roman" w:hAnsi="Times New Roman" w:cs="Times New Roman"/>
                <w:b/>
                <w:bCs w:val="0"/>
                <w:szCs w:val="21"/>
                <w:u w:val="single"/>
              </w:rPr>
              <w:t>3.15</w:t>
            </w:r>
          </w:p>
        </w:tc>
        <w:tc>
          <w:tcPr>
            <w:tcW w:w="1134" w:type="dxa"/>
            <w:vAlign w:val="center"/>
          </w:tcPr>
          <w:p w14:paraId="1939E1BE">
            <w:pPr>
              <w:jc w:val="center"/>
              <w:rPr>
                <w:rFonts w:ascii="Times New Roman" w:hAnsi="Times New Roman" w:eastAsia="宋体" w:cs="Times New Roman"/>
                <w:b/>
                <w:bCs w:val="0"/>
                <w:kern w:val="0"/>
                <w:szCs w:val="21"/>
                <w:u w:val="single"/>
              </w:rPr>
            </w:pPr>
            <w:r>
              <w:rPr>
                <w:rFonts w:hint="eastAsia" w:ascii="Times New Roman" w:hAnsi="Times New Roman" w:cs="Times New Roman"/>
                <w:b/>
                <w:bCs w:val="0"/>
                <w:szCs w:val="21"/>
                <w:u w:val="single"/>
              </w:rPr>
              <w:t>3.15</w:t>
            </w:r>
          </w:p>
        </w:tc>
        <w:tc>
          <w:tcPr>
            <w:tcW w:w="2463" w:type="dxa"/>
            <w:vMerge w:val="continue"/>
            <w:vAlign w:val="center"/>
          </w:tcPr>
          <w:p w14:paraId="19CDF1DD">
            <w:pPr>
              <w:pStyle w:val="39"/>
              <w:jc w:val="center"/>
              <w:rPr>
                <w:rFonts w:ascii="Times New Roman" w:hAnsi="Times New Roman" w:cs="Times New Roman"/>
                <w:b/>
                <w:bCs w:val="0"/>
                <w:color w:val="auto"/>
                <w:sz w:val="21"/>
                <w:szCs w:val="21"/>
                <w:u w:val="single"/>
              </w:rPr>
            </w:pPr>
          </w:p>
        </w:tc>
      </w:tr>
      <w:tr w14:paraId="274E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vAlign w:val="center"/>
          </w:tcPr>
          <w:p w14:paraId="23D5770E">
            <w:pPr>
              <w:jc w:val="center"/>
              <w:rPr>
                <w:rFonts w:ascii="Times New Roman" w:hAnsi="Times New Roman" w:eastAsia="宋体" w:cs="Times New Roman"/>
                <w:b/>
                <w:bCs w:val="0"/>
                <w:szCs w:val="21"/>
                <w:u w:val="single"/>
              </w:rPr>
            </w:pPr>
            <w:r>
              <w:rPr>
                <w:rFonts w:hint="eastAsia" w:ascii="Times New Roman" w:hAnsi="Times New Roman" w:eastAsia="宋体" w:cs="Times New Roman"/>
                <w:b/>
                <w:bCs w:val="0"/>
                <w:szCs w:val="21"/>
                <w:u w:val="single"/>
              </w:rPr>
              <w:t>油磨漆渣</w:t>
            </w:r>
          </w:p>
        </w:tc>
        <w:tc>
          <w:tcPr>
            <w:tcW w:w="1050" w:type="dxa"/>
            <w:vMerge w:val="continue"/>
            <w:vAlign w:val="center"/>
          </w:tcPr>
          <w:p w14:paraId="1CA850BC">
            <w:pPr>
              <w:pStyle w:val="39"/>
              <w:jc w:val="center"/>
              <w:rPr>
                <w:rFonts w:ascii="Times New Roman" w:hAnsi="Times New Roman" w:cs="Times New Roman"/>
                <w:b/>
                <w:bCs w:val="0"/>
                <w:color w:val="auto"/>
                <w:sz w:val="21"/>
                <w:szCs w:val="21"/>
                <w:u w:val="single"/>
              </w:rPr>
            </w:pPr>
          </w:p>
        </w:tc>
        <w:tc>
          <w:tcPr>
            <w:tcW w:w="1470" w:type="dxa"/>
            <w:vAlign w:val="center"/>
          </w:tcPr>
          <w:p w14:paraId="74AD627C">
            <w:pPr>
              <w:jc w:val="center"/>
              <w:rPr>
                <w:rFonts w:ascii="Times New Roman" w:hAnsi="Times New Roman" w:eastAsia="宋体" w:cs="Times New Roman"/>
                <w:b/>
                <w:bCs w:val="0"/>
                <w:szCs w:val="21"/>
                <w:u w:val="single"/>
              </w:rPr>
            </w:pPr>
            <w:r>
              <w:rPr>
                <w:rFonts w:hint="eastAsia" w:ascii="Times New Roman" w:hAnsi="Times New Roman" w:cs="Times New Roman"/>
                <w:b/>
                <w:bCs w:val="0"/>
                <w:szCs w:val="21"/>
                <w:u w:val="single"/>
              </w:rPr>
              <w:t>1.519</w:t>
            </w:r>
          </w:p>
        </w:tc>
        <w:tc>
          <w:tcPr>
            <w:tcW w:w="1134" w:type="dxa"/>
            <w:vAlign w:val="center"/>
          </w:tcPr>
          <w:p w14:paraId="0CBD0BDE">
            <w:pPr>
              <w:jc w:val="center"/>
              <w:rPr>
                <w:rFonts w:ascii="Times New Roman" w:hAnsi="Times New Roman" w:eastAsia="宋体" w:cs="Times New Roman"/>
                <w:b/>
                <w:bCs w:val="0"/>
                <w:kern w:val="0"/>
                <w:szCs w:val="21"/>
                <w:u w:val="single"/>
              </w:rPr>
            </w:pPr>
            <w:r>
              <w:rPr>
                <w:rFonts w:hint="eastAsia" w:ascii="Times New Roman" w:hAnsi="Times New Roman" w:cs="Times New Roman"/>
                <w:b/>
                <w:bCs w:val="0"/>
                <w:szCs w:val="21"/>
                <w:u w:val="single"/>
              </w:rPr>
              <w:t>1.519</w:t>
            </w:r>
          </w:p>
        </w:tc>
        <w:tc>
          <w:tcPr>
            <w:tcW w:w="2463" w:type="dxa"/>
            <w:vMerge w:val="continue"/>
            <w:vAlign w:val="center"/>
          </w:tcPr>
          <w:p w14:paraId="3867AABC">
            <w:pPr>
              <w:pStyle w:val="39"/>
              <w:jc w:val="center"/>
              <w:rPr>
                <w:rFonts w:ascii="Times New Roman" w:hAnsi="Times New Roman" w:cs="Times New Roman"/>
                <w:b/>
                <w:bCs w:val="0"/>
                <w:color w:val="auto"/>
                <w:sz w:val="21"/>
                <w:szCs w:val="21"/>
                <w:u w:val="single"/>
              </w:rPr>
            </w:pPr>
          </w:p>
        </w:tc>
      </w:tr>
      <w:tr w14:paraId="2AAD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vAlign w:val="center"/>
          </w:tcPr>
          <w:p w14:paraId="6C7AD820">
            <w:pPr>
              <w:jc w:val="center"/>
              <w:rPr>
                <w:rFonts w:ascii="Times New Roman" w:hAnsi="Times New Roman" w:cs="Times New Roman"/>
                <w:b/>
                <w:bCs w:val="0"/>
                <w:szCs w:val="21"/>
                <w:u w:val="single"/>
              </w:rPr>
            </w:pPr>
            <w:r>
              <w:rPr>
                <w:rFonts w:hint="eastAsia" w:ascii="Times New Roman" w:hAnsi="Times New Roman" w:eastAsia="宋体" w:cs="Times New Roman"/>
                <w:b/>
                <w:bCs w:val="0"/>
                <w:szCs w:val="21"/>
                <w:u w:val="single"/>
              </w:rPr>
              <w:t>污水处理站絮状沉淀物</w:t>
            </w:r>
          </w:p>
        </w:tc>
        <w:tc>
          <w:tcPr>
            <w:tcW w:w="1050" w:type="dxa"/>
            <w:vMerge w:val="continue"/>
            <w:vAlign w:val="center"/>
          </w:tcPr>
          <w:p w14:paraId="0FE5F9A7">
            <w:pPr>
              <w:pStyle w:val="39"/>
              <w:jc w:val="center"/>
              <w:rPr>
                <w:rFonts w:ascii="Times New Roman" w:hAnsi="Times New Roman" w:cs="Times New Roman"/>
                <w:b/>
                <w:bCs w:val="0"/>
                <w:color w:val="auto"/>
                <w:sz w:val="21"/>
                <w:szCs w:val="21"/>
                <w:u w:val="single"/>
              </w:rPr>
            </w:pPr>
          </w:p>
        </w:tc>
        <w:tc>
          <w:tcPr>
            <w:tcW w:w="1470" w:type="dxa"/>
            <w:vAlign w:val="center"/>
          </w:tcPr>
          <w:p w14:paraId="3129A91F">
            <w:pPr>
              <w:jc w:val="center"/>
              <w:rPr>
                <w:rFonts w:ascii="Times New Roman" w:hAnsi="Times New Roman" w:eastAsia="宋体" w:cs="Times New Roman"/>
                <w:b/>
                <w:bCs w:val="0"/>
                <w:color w:val="000000" w:themeColor="text1"/>
                <w:szCs w:val="21"/>
                <w:u w:val="single"/>
                <w14:textFill>
                  <w14:solidFill>
                    <w14:schemeClr w14:val="tx1"/>
                  </w14:solidFill>
                </w14:textFill>
              </w:rPr>
            </w:pPr>
            <w:r>
              <w:rPr>
                <w:rFonts w:hint="eastAsia" w:ascii="Times New Roman" w:hAnsi="Times New Roman" w:cs="Times New Roman"/>
                <w:b/>
                <w:bCs w:val="0"/>
                <w:szCs w:val="21"/>
                <w:u w:val="single"/>
              </w:rPr>
              <w:t>0.1</w:t>
            </w:r>
          </w:p>
        </w:tc>
        <w:tc>
          <w:tcPr>
            <w:tcW w:w="1134" w:type="dxa"/>
            <w:vAlign w:val="center"/>
          </w:tcPr>
          <w:p w14:paraId="317454CC">
            <w:pPr>
              <w:jc w:val="center"/>
              <w:rPr>
                <w:rFonts w:ascii="Times New Roman" w:hAnsi="Times New Roman" w:eastAsia="宋体" w:cs="Times New Roman"/>
                <w:b/>
                <w:bCs w:val="0"/>
                <w:color w:val="000000" w:themeColor="text1"/>
                <w:kern w:val="0"/>
                <w:szCs w:val="21"/>
                <w:u w:val="single"/>
                <w14:textFill>
                  <w14:solidFill>
                    <w14:schemeClr w14:val="tx1"/>
                  </w14:solidFill>
                </w14:textFill>
              </w:rPr>
            </w:pPr>
            <w:r>
              <w:rPr>
                <w:rFonts w:hint="eastAsia" w:ascii="Times New Roman" w:hAnsi="Times New Roman" w:cs="Times New Roman"/>
                <w:b/>
                <w:bCs w:val="0"/>
                <w:szCs w:val="21"/>
                <w:u w:val="single"/>
              </w:rPr>
              <w:t>0.1</w:t>
            </w:r>
          </w:p>
        </w:tc>
        <w:tc>
          <w:tcPr>
            <w:tcW w:w="2463" w:type="dxa"/>
            <w:vMerge w:val="continue"/>
            <w:vAlign w:val="center"/>
          </w:tcPr>
          <w:p w14:paraId="24CAECF1">
            <w:pPr>
              <w:pStyle w:val="39"/>
              <w:jc w:val="center"/>
              <w:rPr>
                <w:rFonts w:ascii="Times New Roman" w:hAnsi="Times New Roman" w:cs="Times New Roman"/>
                <w:b/>
                <w:bCs w:val="0"/>
                <w:color w:val="auto"/>
                <w:sz w:val="21"/>
                <w:szCs w:val="21"/>
                <w:u w:val="single"/>
              </w:rPr>
            </w:pPr>
          </w:p>
        </w:tc>
      </w:tr>
      <w:tr w14:paraId="3CF2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vAlign w:val="center"/>
          </w:tcPr>
          <w:p w14:paraId="5AEE066B">
            <w:pPr>
              <w:jc w:val="center"/>
              <w:rPr>
                <w:rFonts w:ascii="Times New Roman" w:hAnsi="Times New Roman" w:eastAsia="宋体" w:cs="Times New Roman"/>
                <w:b/>
                <w:bCs w:val="0"/>
                <w:szCs w:val="21"/>
                <w:u w:val="single"/>
              </w:rPr>
            </w:pPr>
            <w:r>
              <w:rPr>
                <w:rFonts w:hint="eastAsia" w:ascii="Times New Roman" w:hAnsi="Times New Roman" w:eastAsia="宋体" w:cs="Times New Roman"/>
                <w:b/>
                <w:bCs w:val="0"/>
                <w:szCs w:val="21"/>
                <w:u w:val="single"/>
              </w:rPr>
              <w:t>废活性炭</w:t>
            </w:r>
          </w:p>
        </w:tc>
        <w:tc>
          <w:tcPr>
            <w:tcW w:w="1050" w:type="dxa"/>
            <w:vMerge w:val="continue"/>
            <w:vAlign w:val="center"/>
          </w:tcPr>
          <w:p w14:paraId="0CA60774">
            <w:pPr>
              <w:pStyle w:val="39"/>
              <w:jc w:val="center"/>
              <w:rPr>
                <w:rFonts w:ascii="Times New Roman" w:hAnsi="Times New Roman" w:cs="Times New Roman"/>
                <w:b/>
                <w:bCs w:val="0"/>
                <w:color w:val="auto"/>
                <w:sz w:val="21"/>
                <w:szCs w:val="21"/>
                <w:u w:val="single"/>
              </w:rPr>
            </w:pPr>
          </w:p>
        </w:tc>
        <w:tc>
          <w:tcPr>
            <w:tcW w:w="1470" w:type="dxa"/>
            <w:vAlign w:val="center"/>
          </w:tcPr>
          <w:p w14:paraId="178ADE2F">
            <w:pPr>
              <w:jc w:val="center"/>
              <w:rPr>
                <w:rFonts w:ascii="Times New Roman" w:hAnsi="Times New Roman" w:eastAsia="宋体" w:cs="Times New Roman"/>
                <w:b/>
                <w:bCs w:val="0"/>
                <w:color w:val="000000" w:themeColor="text1"/>
                <w:szCs w:val="21"/>
                <w:u w:val="single"/>
                <w14:textFill>
                  <w14:solidFill>
                    <w14:schemeClr w14:val="tx1"/>
                  </w14:solidFill>
                </w14:textFill>
              </w:rPr>
            </w:pPr>
            <w:r>
              <w:rPr>
                <w:rFonts w:hint="eastAsia" w:ascii="Times New Roman" w:hAnsi="Times New Roman" w:cs="Times New Roman"/>
                <w:b/>
                <w:bCs w:val="0"/>
                <w:szCs w:val="21"/>
                <w:u w:val="single"/>
              </w:rPr>
              <w:t>2</w:t>
            </w:r>
          </w:p>
        </w:tc>
        <w:tc>
          <w:tcPr>
            <w:tcW w:w="1134" w:type="dxa"/>
            <w:vAlign w:val="center"/>
          </w:tcPr>
          <w:p w14:paraId="28896984">
            <w:pPr>
              <w:jc w:val="center"/>
              <w:rPr>
                <w:rFonts w:ascii="Times New Roman" w:hAnsi="Times New Roman" w:eastAsia="宋体" w:cs="Times New Roman"/>
                <w:b/>
                <w:bCs w:val="0"/>
                <w:color w:val="000000" w:themeColor="text1"/>
                <w:kern w:val="0"/>
                <w:szCs w:val="21"/>
                <w:u w:val="single"/>
                <w14:textFill>
                  <w14:solidFill>
                    <w14:schemeClr w14:val="tx1"/>
                  </w14:solidFill>
                </w14:textFill>
              </w:rPr>
            </w:pPr>
            <w:r>
              <w:rPr>
                <w:rFonts w:hint="eastAsia" w:ascii="Times New Roman" w:hAnsi="Times New Roman" w:cs="Times New Roman"/>
                <w:b/>
                <w:bCs w:val="0"/>
                <w:szCs w:val="21"/>
                <w:u w:val="single"/>
              </w:rPr>
              <w:t>2</w:t>
            </w:r>
          </w:p>
        </w:tc>
        <w:tc>
          <w:tcPr>
            <w:tcW w:w="2463" w:type="dxa"/>
            <w:vMerge w:val="continue"/>
            <w:vAlign w:val="center"/>
          </w:tcPr>
          <w:p w14:paraId="75AC688F">
            <w:pPr>
              <w:pStyle w:val="39"/>
              <w:jc w:val="center"/>
              <w:rPr>
                <w:rFonts w:ascii="Times New Roman" w:hAnsi="Times New Roman" w:cs="Times New Roman"/>
                <w:b/>
                <w:bCs w:val="0"/>
                <w:color w:val="auto"/>
                <w:sz w:val="21"/>
                <w:szCs w:val="21"/>
                <w:u w:val="single"/>
              </w:rPr>
            </w:pPr>
          </w:p>
        </w:tc>
      </w:tr>
      <w:tr w14:paraId="3B9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vAlign w:val="center"/>
          </w:tcPr>
          <w:p w14:paraId="28411D1B">
            <w:pPr>
              <w:jc w:val="center"/>
              <w:rPr>
                <w:rFonts w:ascii="Times New Roman" w:hAnsi="Times New Roman" w:eastAsia="宋体" w:cs="Times New Roman"/>
                <w:b/>
                <w:bCs w:val="0"/>
                <w:szCs w:val="21"/>
                <w:u w:val="single"/>
              </w:rPr>
            </w:pPr>
            <w:r>
              <w:rPr>
                <w:rFonts w:hint="eastAsia" w:ascii="Times New Roman" w:hAnsi="Times New Roman" w:eastAsia="宋体" w:cs="Times New Roman"/>
                <w:b/>
                <w:bCs w:val="0"/>
                <w:szCs w:val="21"/>
                <w:u w:val="single"/>
              </w:rPr>
              <w:t>喷枪清洗废水</w:t>
            </w:r>
          </w:p>
        </w:tc>
        <w:tc>
          <w:tcPr>
            <w:tcW w:w="1050" w:type="dxa"/>
            <w:vMerge w:val="continue"/>
            <w:vAlign w:val="center"/>
          </w:tcPr>
          <w:p w14:paraId="1628B5F4">
            <w:pPr>
              <w:pStyle w:val="39"/>
              <w:jc w:val="center"/>
              <w:rPr>
                <w:rFonts w:ascii="Times New Roman" w:hAnsi="Times New Roman" w:cs="Times New Roman"/>
                <w:b/>
                <w:bCs w:val="0"/>
                <w:color w:val="auto"/>
                <w:sz w:val="21"/>
                <w:szCs w:val="21"/>
                <w:u w:val="single"/>
              </w:rPr>
            </w:pPr>
          </w:p>
        </w:tc>
        <w:tc>
          <w:tcPr>
            <w:tcW w:w="1470" w:type="dxa"/>
            <w:vAlign w:val="center"/>
          </w:tcPr>
          <w:p w14:paraId="7BF31CDC">
            <w:pPr>
              <w:jc w:val="center"/>
              <w:rPr>
                <w:rFonts w:ascii="Times New Roman" w:hAnsi="Times New Roman" w:eastAsia="宋体" w:cs="Times New Roman"/>
                <w:b/>
                <w:bCs w:val="0"/>
                <w:color w:val="000000" w:themeColor="text1"/>
                <w:szCs w:val="21"/>
                <w:u w:val="single"/>
                <w14:textFill>
                  <w14:solidFill>
                    <w14:schemeClr w14:val="tx1"/>
                  </w14:solidFill>
                </w14:textFill>
              </w:rPr>
            </w:pPr>
            <w:r>
              <w:rPr>
                <w:rFonts w:hint="eastAsia" w:ascii="Times New Roman" w:hAnsi="Times New Roman" w:cs="Times New Roman"/>
                <w:b/>
                <w:bCs w:val="0"/>
                <w:szCs w:val="21"/>
                <w:u w:val="single"/>
              </w:rPr>
              <w:t>0.2</w:t>
            </w:r>
          </w:p>
        </w:tc>
        <w:tc>
          <w:tcPr>
            <w:tcW w:w="1134" w:type="dxa"/>
            <w:vAlign w:val="center"/>
          </w:tcPr>
          <w:p w14:paraId="2761FECC">
            <w:pPr>
              <w:jc w:val="center"/>
              <w:rPr>
                <w:rFonts w:ascii="Times New Roman" w:hAnsi="Times New Roman" w:eastAsia="宋体" w:cs="Times New Roman"/>
                <w:b/>
                <w:bCs w:val="0"/>
                <w:color w:val="000000" w:themeColor="text1"/>
                <w:kern w:val="0"/>
                <w:szCs w:val="21"/>
                <w:u w:val="single"/>
                <w14:textFill>
                  <w14:solidFill>
                    <w14:schemeClr w14:val="tx1"/>
                  </w14:solidFill>
                </w14:textFill>
              </w:rPr>
            </w:pPr>
            <w:r>
              <w:rPr>
                <w:rFonts w:hint="eastAsia" w:ascii="Times New Roman" w:hAnsi="Times New Roman" w:cs="Times New Roman"/>
                <w:b/>
                <w:bCs w:val="0"/>
                <w:szCs w:val="21"/>
                <w:u w:val="single"/>
              </w:rPr>
              <w:t>0.2</w:t>
            </w:r>
          </w:p>
        </w:tc>
        <w:tc>
          <w:tcPr>
            <w:tcW w:w="2463" w:type="dxa"/>
            <w:vMerge w:val="continue"/>
            <w:vAlign w:val="center"/>
          </w:tcPr>
          <w:p w14:paraId="558A1572">
            <w:pPr>
              <w:jc w:val="center"/>
              <w:rPr>
                <w:rFonts w:ascii="Times New Roman" w:hAnsi="Times New Roman" w:eastAsia="宋体" w:cs="Times New Roman"/>
                <w:b/>
                <w:bCs w:val="0"/>
                <w:szCs w:val="21"/>
                <w:u w:val="single"/>
              </w:rPr>
            </w:pPr>
          </w:p>
        </w:tc>
      </w:tr>
      <w:tr w14:paraId="7E63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vAlign w:val="center"/>
          </w:tcPr>
          <w:p w14:paraId="189FA9FC">
            <w:pPr>
              <w:jc w:val="center"/>
              <w:rPr>
                <w:rFonts w:ascii="Times New Roman" w:hAnsi="Times New Roman" w:cs="Times New Roman"/>
                <w:b/>
                <w:bCs w:val="0"/>
                <w:color w:val="0000FF"/>
                <w:szCs w:val="21"/>
                <w:u w:val="single"/>
              </w:rPr>
            </w:pPr>
            <w:r>
              <w:rPr>
                <w:rFonts w:hint="eastAsia" w:ascii="Times New Roman" w:hAnsi="Times New Roman" w:eastAsia="宋体" w:cs="Times New Roman"/>
                <w:b/>
                <w:bCs w:val="0"/>
                <w:szCs w:val="21"/>
                <w:u w:val="single"/>
              </w:rPr>
              <w:t>废催化剂</w:t>
            </w:r>
          </w:p>
        </w:tc>
        <w:tc>
          <w:tcPr>
            <w:tcW w:w="1050" w:type="dxa"/>
            <w:vMerge w:val="continue"/>
            <w:vAlign w:val="center"/>
          </w:tcPr>
          <w:p w14:paraId="468AF70B">
            <w:pPr>
              <w:pStyle w:val="39"/>
              <w:jc w:val="center"/>
              <w:rPr>
                <w:rFonts w:ascii="Times New Roman" w:hAnsi="Times New Roman" w:cs="Times New Roman"/>
                <w:b/>
                <w:bCs w:val="0"/>
                <w:color w:val="0000FF"/>
                <w:sz w:val="21"/>
                <w:szCs w:val="21"/>
                <w:u w:val="single"/>
              </w:rPr>
            </w:pPr>
          </w:p>
        </w:tc>
        <w:tc>
          <w:tcPr>
            <w:tcW w:w="1470" w:type="dxa"/>
            <w:vAlign w:val="center"/>
          </w:tcPr>
          <w:p w14:paraId="54518417">
            <w:pPr>
              <w:jc w:val="center"/>
              <w:rPr>
                <w:rFonts w:ascii="Times New Roman" w:hAnsi="Times New Roman" w:cs="Times New Roman"/>
                <w:b/>
                <w:bCs w:val="0"/>
                <w:color w:val="000000" w:themeColor="text1"/>
                <w:szCs w:val="21"/>
                <w:u w:val="single"/>
                <w14:textFill>
                  <w14:solidFill>
                    <w14:schemeClr w14:val="tx1"/>
                  </w14:solidFill>
                </w14:textFill>
              </w:rPr>
            </w:pPr>
            <w:r>
              <w:rPr>
                <w:rFonts w:hint="eastAsia" w:ascii="Times New Roman" w:hAnsi="Times New Roman" w:cs="Times New Roman"/>
                <w:b/>
                <w:bCs w:val="0"/>
                <w:szCs w:val="21"/>
                <w:u w:val="single"/>
              </w:rPr>
              <w:t>0.33</w:t>
            </w:r>
          </w:p>
        </w:tc>
        <w:tc>
          <w:tcPr>
            <w:tcW w:w="1134" w:type="dxa"/>
            <w:vAlign w:val="center"/>
          </w:tcPr>
          <w:p w14:paraId="49F612CA">
            <w:pPr>
              <w:jc w:val="center"/>
              <w:rPr>
                <w:rFonts w:ascii="Times New Roman" w:hAnsi="Times New Roman" w:eastAsia="宋体" w:cs="Times New Roman"/>
                <w:b/>
                <w:bCs w:val="0"/>
                <w:color w:val="000000" w:themeColor="text1"/>
                <w:kern w:val="0"/>
                <w:szCs w:val="21"/>
                <w:u w:val="single"/>
                <w14:textFill>
                  <w14:solidFill>
                    <w14:schemeClr w14:val="tx1"/>
                  </w14:solidFill>
                </w14:textFill>
              </w:rPr>
            </w:pPr>
            <w:r>
              <w:rPr>
                <w:rFonts w:hint="eastAsia" w:ascii="Times New Roman" w:hAnsi="Times New Roman" w:cs="Times New Roman"/>
                <w:b/>
                <w:bCs w:val="0"/>
                <w:szCs w:val="21"/>
                <w:u w:val="single"/>
              </w:rPr>
              <w:t>0.33</w:t>
            </w:r>
          </w:p>
        </w:tc>
        <w:tc>
          <w:tcPr>
            <w:tcW w:w="2463" w:type="dxa"/>
            <w:vMerge w:val="continue"/>
            <w:vAlign w:val="center"/>
          </w:tcPr>
          <w:p w14:paraId="1D58EB3B">
            <w:pPr>
              <w:jc w:val="center"/>
              <w:rPr>
                <w:rFonts w:ascii="Times New Roman" w:hAnsi="Times New Roman" w:eastAsia="宋体" w:cs="Times New Roman"/>
                <w:b/>
                <w:bCs w:val="0"/>
                <w:color w:val="0000FF"/>
                <w:szCs w:val="21"/>
                <w:u w:val="single"/>
              </w:rPr>
            </w:pPr>
          </w:p>
        </w:tc>
      </w:tr>
      <w:tr w14:paraId="4617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vAlign w:val="center"/>
          </w:tcPr>
          <w:p w14:paraId="3ABBABF0">
            <w:pPr>
              <w:jc w:val="center"/>
              <w:rPr>
                <w:rFonts w:ascii="Times New Roman" w:hAnsi="Times New Roman" w:eastAsia="宋体" w:cs="Times New Roman"/>
                <w:b/>
                <w:bCs w:val="0"/>
                <w:szCs w:val="21"/>
                <w:u w:val="single"/>
              </w:rPr>
            </w:pPr>
            <w:r>
              <w:rPr>
                <w:rFonts w:hint="eastAsia" w:ascii="Times New Roman" w:hAnsi="Times New Roman" w:eastAsia="宋体" w:cs="Times New Roman"/>
                <w:b/>
                <w:bCs w:val="0"/>
                <w:szCs w:val="21"/>
                <w:u w:val="single"/>
              </w:rPr>
              <w:t>废机油</w:t>
            </w:r>
          </w:p>
        </w:tc>
        <w:tc>
          <w:tcPr>
            <w:tcW w:w="1050" w:type="dxa"/>
            <w:vMerge w:val="continue"/>
            <w:vAlign w:val="center"/>
          </w:tcPr>
          <w:p w14:paraId="27ECC8D4">
            <w:pPr>
              <w:pStyle w:val="39"/>
              <w:jc w:val="center"/>
              <w:rPr>
                <w:rFonts w:ascii="Times New Roman" w:hAnsi="Times New Roman" w:cs="Times New Roman"/>
                <w:b/>
                <w:bCs w:val="0"/>
                <w:color w:val="auto"/>
                <w:sz w:val="21"/>
                <w:szCs w:val="21"/>
                <w:u w:val="single"/>
              </w:rPr>
            </w:pPr>
          </w:p>
        </w:tc>
        <w:tc>
          <w:tcPr>
            <w:tcW w:w="1470" w:type="dxa"/>
            <w:vAlign w:val="center"/>
          </w:tcPr>
          <w:p w14:paraId="13261039">
            <w:pPr>
              <w:jc w:val="center"/>
              <w:rPr>
                <w:rFonts w:ascii="Times New Roman" w:hAnsi="Times New Roman" w:eastAsia="宋体" w:cs="Times New Roman"/>
                <w:b/>
                <w:bCs w:val="0"/>
                <w:color w:val="000000" w:themeColor="text1"/>
                <w:szCs w:val="21"/>
                <w:u w:val="single"/>
                <w14:textFill>
                  <w14:solidFill>
                    <w14:schemeClr w14:val="tx1"/>
                  </w14:solidFill>
                </w14:textFill>
              </w:rPr>
            </w:pPr>
            <w:r>
              <w:rPr>
                <w:rFonts w:hint="eastAsia" w:ascii="Times New Roman" w:hAnsi="Times New Roman" w:cs="Times New Roman"/>
                <w:b/>
                <w:bCs w:val="0"/>
                <w:szCs w:val="21"/>
                <w:u w:val="single"/>
              </w:rPr>
              <w:t>0.1</w:t>
            </w:r>
          </w:p>
        </w:tc>
        <w:tc>
          <w:tcPr>
            <w:tcW w:w="1134" w:type="dxa"/>
            <w:vAlign w:val="center"/>
          </w:tcPr>
          <w:p w14:paraId="0DCAFDBC">
            <w:pPr>
              <w:jc w:val="center"/>
              <w:rPr>
                <w:rFonts w:ascii="Times New Roman" w:hAnsi="Times New Roman" w:eastAsia="宋体" w:cs="Times New Roman"/>
                <w:b/>
                <w:bCs w:val="0"/>
                <w:color w:val="000000" w:themeColor="text1"/>
                <w:kern w:val="0"/>
                <w:szCs w:val="21"/>
                <w:u w:val="single"/>
                <w14:textFill>
                  <w14:solidFill>
                    <w14:schemeClr w14:val="tx1"/>
                  </w14:solidFill>
                </w14:textFill>
              </w:rPr>
            </w:pPr>
            <w:r>
              <w:rPr>
                <w:rFonts w:hint="eastAsia" w:ascii="Times New Roman" w:hAnsi="Times New Roman" w:cs="Times New Roman"/>
                <w:b/>
                <w:bCs w:val="0"/>
                <w:szCs w:val="21"/>
                <w:u w:val="single"/>
              </w:rPr>
              <w:t>0.1</w:t>
            </w:r>
          </w:p>
        </w:tc>
        <w:tc>
          <w:tcPr>
            <w:tcW w:w="2463" w:type="dxa"/>
            <w:vMerge w:val="continue"/>
            <w:vAlign w:val="center"/>
          </w:tcPr>
          <w:p w14:paraId="41F9E338">
            <w:pPr>
              <w:jc w:val="center"/>
              <w:rPr>
                <w:rFonts w:ascii="宋体" w:hAnsi="宋体" w:eastAsia="宋体" w:cs="宋体"/>
                <w:b/>
                <w:bCs w:val="0"/>
                <w:color w:val="0000FF"/>
                <w:szCs w:val="21"/>
                <w:u w:val="single"/>
              </w:rPr>
            </w:pPr>
          </w:p>
        </w:tc>
      </w:tr>
      <w:tr w14:paraId="6648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05" w:type="dxa"/>
            <w:vAlign w:val="center"/>
          </w:tcPr>
          <w:p w14:paraId="51D50E64">
            <w:pPr>
              <w:jc w:val="center"/>
              <w:rPr>
                <w:rFonts w:ascii="Times New Roman" w:hAnsi="Times New Roman" w:eastAsia="宋体" w:cs="Times New Roman"/>
                <w:b/>
                <w:bCs w:val="0"/>
                <w:szCs w:val="21"/>
                <w:u w:val="single"/>
              </w:rPr>
            </w:pPr>
            <w:r>
              <w:rPr>
                <w:rFonts w:hint="eastAsia" w:ascii="Times New Roman" w:hAnsi="Times New Roman" w:eastAsia="宋体" w:cs="Times New Roman"/>
                <w:b/>
                <w:bCs w:val="0"/>
                <w:szCs w:val="21"/>
                <w:u w:val="single"/>
              </w:rPr>
              <w:t>废过滤棉（含漆渣）</w:t>
            </w:r>
          </w:p>
        </w:tc>
        <w:tc>
          <w:tcPr>
            <w:tcW w:w="1050" w:type="dxa"/>
            <w:vMerge w:val="continue"/>
            <w:vAlign w:val="center"/>
          </w:tcPr>
          <w:p w14:paraId="305438E0">
            <w:pPr>
              <w:pStyle w:val="39"/>
              <w:jc w:val="center"/>
              <w:rPr>
                <w:rFonts w:ascii="Times New Roman" w:hAnsi="Times New Roman" w:cs="Times New Roman"/>
                <w:b/>
                <w:bCs w:val="0"/>
                <w:color w:val="auto"/>
                <w:sz w:val="21"/>
                <w:szCs w:val="21"/>
                <w:u w:val="single"/>
              </w:rPr>
            </w:pPr>
          </w:p>
        </w:tc>
        <w:tc>
          <w:tcPr>
            <w:tcW w:w="1470" w:type="dxa"/>
            <w:vAlign w:val="center"/>
          </w:tcPr>
          <w:p w14:paraId="06157742">
            <w:pPr>
              <w:jc w:val="center"/>
              <w:rPr>
                <w:rFonts w:ascii="Times New Roman" w:hAnsi="Times New Roman" w:eastAsia="宋体" w:cs="Times New Roman"/>
                <w:b/>
                <w:bCs w:val="0"/>
                <w:color w:val="000000" w:themeColor="text1"/>
                <w:szCs w:val="21"/>
                <w:u w:val="single"/>
                <w14:textFill>
                  <w14:solidFill>
                    <w14:schemeClr w14:val="tx1"/>
                  </w14:solidFill>
                </w14:textFill>
              </w:rPr>
            </w:pPr>
            <w:r>
              <w:rPr>
                <w:rFonts w:hint="eastAsia" w:ascii="Times New Roman" w:hAnsi="Times New Roman" w:cs="Times New Roman"/>
                <w:b/>
                <w:bCs w:val="0"/>
                <w:szCs w:val="21"/>
                <w:u w:val="single"/>
              </w:rPr>
              <w:t>0.5</w:t>
            </w:r>
          </w:p>
        </w:tc>
        <w:tc>
          <w:tcPr>
            <w:tcW w:w="1134" w:type="dxa"/>
            <w:vAlign w:val="center"/>
          </w:tcPr>
          <w:p w14:paraId="58C59FBA">
            <w:pPr>
              <w:jc w:val="center"/>
              <w:rPr>
                <w:rFonts w:ascii="Times New Roman" w:hAnsi="Times New Roman" w:eastAsia="宋体" w:cs="Times New Roman"/>
                <w:b/>
                <w:bCs w:val="0"/>
                <w:color w:val="000000" w:themeColor="text1"/>
                <w:kern w:val="0"/>
                <w:szCs w:val="21"/>
                <w:u w:val="single"/>
                <w14:textFill>
                  <w14:solidFill>
                    <w14:schemeClr w14:val="tx1"/>
                  </w14:solidFill>
                </w14:textFill>
              </w:rPr>
            </w:pPr>
            <w:r>
              <w:rPr>
                <w:rFonts w:hint="eastAsia" w:ascii="Times New Roman" w:hAnsi="Times New Roman" w:cs="Times New Roman"/>
                <w:b/>
                <w:bCs w:val="0"/>
                <w:szCs w:val="21"/>
                <w:u w:val="single"/>
              </w:rPr>
              <w:t>0.5</w:t>
            </w:r>
          </w:p>
        </w:tc>
        <w:tc>
          <w:tcPr>
            <w:tcW w:w="2463" w:type="dxa"/>
            <w:vMerge w:val="continue"/>
            <w:vAlign w:val="center"/>
          </w:tcPr>
          <w:p w14:paraId="735A764E">
            <w:pPr>
              <w:jc w:val="center"/>
              <w:rPr>
                <w:rFonts w:ascii="宋体" w:hAnsi="宋体" w:eastAsia="宋体" w:cs="宋体"/>
                <w:b/>
                <w:bCs w:val="0"/>
                <w:color w:val="0000FF"/>
                <w:szCs w:val="21"/>
                <w:u w:val="single"/>
              </w:rPr>
            </w:pPr>
          </w:p>
        </w:tc>
      </w:tr>
    </w:tbl>
    <w:p w14:paraId="1295321F">
      <w:pPr>
        <w:pStyle w:val="4"/>
        <w:numPr>
          <w:ilvl w:val="2"/>
          <w:numId w:val="75"/>
        </w:numPr>
        <w:tabs>
          <w:tab w:val="clear" w:pos="0"/>
        </w:tabs>
      </w:pPr>
      <w:r>
        <w:rPr>
          <w:rFonts w:hint="eastAsia"/>
        </w:rPr>
        <w:t>危险废物暂存的可行性</w:t>
      </w:r>
    </w:p>
    <w:p w14:paraId="3F670F0D">
      <w:pPr>
        <w:spacing w:line="360" w:lineRule="auto"/>
        <w:ind w:firstLine="482" w:firstLineChars="200"/>
        <w:rPr>
          <w:rFonts w:ascii="Times New Roman" w:hAnsi="Times New Roman" w:eastAsia="宋体" w:cs="Times New Roman"/>
          <w:b/>
          <w:bCs w:val="0"/>
          <w:color w:val="000000" w:themeColor="text1"/>
          <w:kern w:val="0"/>
          <w:sz w:val="24"/>
          <w:u w:val="single"/>
          <w14:textFill>
            <w14:solidFill>
              <w14:schemeClr w14:val="tx1"/>
            </w14:solidFill>
          </w14:textFill>
        </w:rPr>
      </w:pPr>
      <w:r>
        <w:rPr>
          <w:rFonts w:hint="eastAsia" w:ascii="Times New Roman" w:hAnsi="Times New Roman" w:eastAsia="宋体" w:cs="Times New Roman"/>
          <w:b/>
          <w:bCs w:val="0"/>
          <w:kern w:val="0"/>
          <w:sz w:val="24"/>
          <w:u w:val="single"/>
        </w:rPr>
        <w:t>本项目产生的危险废物包括：废破损包装桶（废油漆桶、废胶桶、稀释剂桶）、水帘漆渣、油磨漆渣、污水处理中产生的絮状沉淀物、废活性炭、喷枪清洗废水、废催化剂、废机油、废过滤棉（含漆渣），均暂存于危废暂存间</w:t>
      </w:r>
      <w:r>
        <w:rPr>
          <w:rFonts w:hint="eastAsia" w:ascii="Times New Roman" w:hAnsi="Times New Roman" w:eastAsia="宋体" w:cs="Times New Roman"/>
          <w:b/>
          <w:bCs w:val="0"/>
          <w:color w:val="000000" w:themeColor="text1"/>
          <w:kern w:val="0"/>
          <w:sz w:val="24"/>
          <w:u w:val="single"/>
          <w14:textFill>
            <w14:solidFill>
              <w14:schemeClr w14:val="tx1"/>
            </w14:solidFill>
          </w14:textFill>
        </w:rPr>
        <w:t>。本项目</w:t>
      </w:r>
      <w:r>
        <w:rPr>
          <w:rFonts w:hint="eastAsia" w:ascii="Times New Roman" w:hAnsi="Times New Roman" w:eastAsia="宋体" w:cs="Times New Roman"/>
          <w:b/>
          <w:bCs w:val="0"/>
          <w:kern w:val="0"/>
          <w:sz w:val="24"/>
          <w:u w:val="single"/>
        </w:rPr>
        <w:t>危废暂存间</w:t>
      </w:r>
      <w:r>
        <w:rPr>
          <w:rFonts w:hint="eastAsia" w:ascii="Times New Roman" w:hAnsi="Times New Roman" w:eastAsia="宋体" w:cs="Times New Roman"/>
          <w:b/>
          <w:bCs w:val="0"/>
          <w:color w:val="000000" w:themeColor="text1"/>
          <w:kern w:val="0"/>
          <w:sz w:val="24"/>
          <w:u w:val="single"/>
          <w14:textFill>
            <w14:solidFill>
              <w14:schemeClr w14:val="tx1"/>
            </w14:solidFill>
          </w14:textFill>
        </w:rPr>
        <w:t>占地面积30m</w:t>
      </w:r>
      <w:r>
        <w:rPr>
          <w:rFonts w:hint="eastAsia" w:ascii="Times New Roman" w:hAnsi="Times New Roman" w:eastAsia="宋体" w:cs="Times New Roman"/>
          <w:b/>
          <w:bCs w:val="0"/>
          <w:color w:val="000000" w:themeColor="text1"/>
          <w:kern w:val="0"/>
          <w:sz w:val="24"/>
          <w:u w:val="single"/>
          <w:vertAlign w:val="superscript"/>
          <w14:textFill>
            <w14:solidFill>
              <w14:schemeClr w14:val="tx1"/>
            </w14:solidFill>
          </w14:textFill>
        </w:rPr>
        <w:t>2</w:t>
      </w:r>
      <w:r>
        <w:rPr>
          <w:rFonts w:hint="eastAsia" w:ascii="Times New Roman" w:hAnsi="Times New Roman" w:eastAsia="宋体" w:cs="Times New Roman"/>
          <w:b/>
          <w:bCs w:val="0"/>
          <w:color w:val="000000" w:themeColor="text1"/>
          <w:kern w:val="0"/>
          <w:sz w:val="24"/>
          <w:u w:val="single"/>
          <w14:textFill>
            <w14:solidFill>
              <w14:schemeClr w14:val="tx1"/>
            </w14:solidFill>
          </w14:textFill>
        </w:rPr>
        <w:t>，建筑面积30m</w:t>
      </w:r>
      <w:r>
        <w:rPr>
          <w:rFonts w:hint="eastAsia" w:ascii="Times New Roman" w:hAnsi="Times New Roman" w:eastAsia="宋体" w:cs="Times New Roman"/>
          <w:b/>
          <w:bCs w:val="0"/>
          <w:color w:val="000000" w:themeColor="text1"/>
          <w:kern w:val="0"/>
          <w:sz w:val="24"/>
          <w:u w:val="single"/>
          <w:vertAlign w:val="superscript"/>
          <w14:textFill>
            <w14:solidFill>
              <w14:schemeClr w14:val="tx1"/>
            </w14:solidFill>
          </w14:textFill>
        </w:rPr>
        <w:t>2</w:t>
      </w:r>
      <w:r>
        <w:rPr>
          <w:rFonts w:hint="eastAsia" w:ascii="Times New Roman" w:hAnsi="Times New Roman" w:eastAsia="宋体" w:cs="Times New Roman"/>
          <w:b/>
          <w:bCs w:val="0"/>
          <w:color w:val="000000" w:themeColor="text1"/>
          <w:kern w:val="0"/>
          <w:sz w:val="24"/>
          <w:u w:val="single"/>
          <w14:textFill>
            <w14:solidFill>
              <w14:schemeClr w14:val="tx1"/>
            </w14:solidFill>
          </w14:textFill>
        </w:rPr>
        <w:t>。</w:t>
      </w:r>
    </w:p>
    <w:p w14:paraId="29AED7FF">
      <w:pPr>
        <w:spacing w:line="360" w:lineRule="auto"/>
        <w:ind w:firstLine="482" w:firstLineChars="200"/>
        <w:rPr>
          <w:rFonts w:ascii="Times New Roman" w:hAnsi="Times New Roman" w:eastAsia="宋体" w:cs="Times New Roman"/>
          <w:b/>
          <w:bCs w:val="0"/>
          <w:kern w:val="0"/>
          <w:sz w:val="24"/>
          <w:u w:val="single"/>
        </w:rPr>
      </w:pPr>
      <w:r>
        <w:rPr>
          <w:rFonts w:hint="eastAsia" w:ascii="Times New Roman" w:hAnsi="Times New Roman" w:eastAsia="宋体" w:cs="Times New Roman"/>
          <w:b/>
          <w:bCs w:val="0"/>
          <w:kern w:val="0"/>
          <w:sz w:val="24"/>
          <w:u w:val="single"/>
        </w:rPr>
        <w:t>本项目危废暂存间选址以暂存过程的管理须符合《危险废物贮存污染控制标准》（GB18597-2023）的要求。本项目危险废物的暂存方式见下表。</w:t>
      </w:r>
    </w:p>
    <w:p w14:paraId="7AE41D5D">
      <w:pPr>
        <w:spacing w:line="360" w:lineRule="auto"/>
        <w:ind w:firstLine="482" w:firstLineChars="200"/>
        <w:rPr>
          <w:rFonts w:ascii="Times New Roman" w:hAnsi="Times New Roman" w:eastAsia="宋体" w:cs="Times New Roman"/>
          <w:b/>
          <w:bCs w:val="0"/>
          <w:kern w:val="0"/>
          <w:sz w:val="24"/>
          <w:u w:val="single"/>
        </w:rPr>
      </w:pPr>
      <w:r>
        <w:rPr>
          <w:rFonts w:hint="eastAsia" w:ascii="Times New Roman" w:hAnsi="Times New Roman" w:eastAsia="宋体" w:cs="Times New Roman"/>
          <w:b/>
          <w:bCs w:val="0"/>
          <w:kern w:val="0"/>
          <w:sz w:val="24"/>
          <w:u w:val="single"/>
        </w:rPr>
        <w:t>危险废物暂存过程中应做到“四防”（防风、防雨、防晒、防渗漏），根据危险废物的类别和性质分类分区贮存，并在醒目处张贴警示标识等内容，每个贮存区之间宜设置挡墙间隔、并设置防雨、防火、防雷、防扬尘装置。贮存期限应符合《中华人民共和国固体废物污染环境防治法》的有关规定。企业须建立危险废物贮存的台账，做好危险废物出入库交接记录。</w:t>
      </w:r>
    </w:p>
    <w:p w14:paraId="6FEDF7C4">
      <w:pPr>
        <w:spacing w:line="360" w:lineRule="auto"/>
        <w:ind w:firstLine="482" w:firstLineChars="200"/>
        <w:rPr>
          <w:rFonts w:ascii="Times New Roman" w:hAnsi="Times New Roman" w:eastAsia="宋体" w:cs="Times New Roman"/>
          <w:b/>
          <w:bCs w:val="0"/>
          <w:kern w:val="0"/>
          <w:sz w:val="24"/>
          <w:u w:val="single"/>
        </w:rPr>
      </w:pPr>
      <w:r>
        <w:rPr>
          <w:rFonts w:hint="eastAsia" w:ascii="Times New Roman" w:hAnsi="Times New Roman" w:eastAsia="宋体" w:cs="Times New Roman"/>
          <w:b/>
          <w:bCs w:val="0"/>
          <w:kern w:val="0"/>
          <w:sz w:val="24"/>
          <w:u w:val="single"/>
        </w:rPr>
        <w:t>危险废物贮存容器应符合以下要求：（1）应当使用符合标准的容器盛装危险废物；（2）装载危险废物的容器及材质要满足相应的强度要求；（3）装载危险废物的容器必须完好无损；（4）盛装危险废物的容器材质和衬里要与危险废物相容（不相互反应）；（5）液体危险废物可注入开孔直径不超过7</w:t>
      </w:r>
      <w:r>
        <w:rPr>
          <w:rFonts w:ascii="Times New Roman" w:hAnsi="Times New Roman" w:eastAsia="宋体" w:cs="Times New Roman"/>
          <w:b/>
          <w:bCs w:val="0"/>
          <w:kern w:val="0"/>
          <w:sz w:val="24"/>
          <w:u w:val="single"/>
        </w:rPr>
        <w:t>0</w:t>
      </w:r>
      <w:r>
        <w:rPr>
          <w:rFonts w:hint="eastAsia" w:ascii="Times New Roman" w:hAnsi="Times New Roman" w:eastAsia="宋体" w:cs="Times New Roman"/>
          <w:b/>
          <w:bCs w:val="0"/>
          <w:kern w:val="0"/>
          <w:sz w:val="24"/>
          <w:u w:val="single"/>
        </w:rPr>
        <w:t>mm并有放气孔的桶中。</w:t>
      </w:r>
    </w:p>
    <w:p w14:paraId="67DEEF9D">
      <w:pPr>
        <w:spacing w:line="360" w:lineRule="auto"/>
        <w:ind w:firstLine="482" w:firstLineChars="200"/>
        <w:rPr>
          <w:rFonts w:ascii="Times New Roman" w:hAnsi="Times New Roman" w:eastAsia="宋体" w:cs="Times New Roman"/>
          <w:b/>
          <w:bCs w:val="0"/>
          <w:kern w:val="0"/>
          <w:sz w:val="24"/>
          <w:u w:val="single"/>
        </w:rPr>
      </w:pPr>
      <w:r>
        <w:rPr>
          <w:rFonts w:hint="eastAsia" w:ascii="Times New Roman" w:hAnsi="Times New Roman" w:eastAsia="宋体" w:cs="Times New Roman"/>
          <w:b/>
          <w:bCs w:val="0"/>
          <w:kern w:val="0"/>
          <w:sz w:val="24"/>
          <w:u w:val="single"/>
        </w:rPr>
        <w:t>危废暂存间应采取以下安全防护设施：（1）危险废物贮存设施应设有火情监测和灭火设施，其内部装饰应满足《建筑内部装修设计防火规范》(GB50222-2001)中的有关规定；（2）对危险废物贮存仓库所设置的相应防火防爆、通风、防毒等安全设施应定期监测，确保现场符合相关要求；（3）必须按GB15562.2的规定设置警示标志；（4）周围应设置围墙或其他防护栅栏；（5）应配备通讯设备、照明设施、消防设施和安全防护服装及工具，并设有应急防护措施；（6）危险废物贮存设施内清理出来的泄漏物，一律按危险废物处理；（7）按国家污染源管理要求对危险废物贮存设施进行监测。</w:t>
      </w:r>
    </w:p>
    <w:p w14:paraId="3A3B4637"/>
    <w:p w14:paraId="5D5E8487">
      <w:pPr>
        <w:sectPr>
          <w:pgSz w:w="11906" w:h="16838"/>
          <w:pgMar w:top="1440" w:right="1800" w:bottom="1440" w:left="1800" w:header="851" w:footer="992" w:gutter="0"/>
          <w:pgNumType w:fmt="decimal"/>
          <w:cols w:space="425" w:num="1"/>
          <w:docGrid w:type="lines" w:linePitch="312" w:charSpace="0"/>
        </w:sectPr>
      </w:pPr>
    </w:p>
    <w:p w14:paraId="1F1AA1FF">
      <w:pPr>
        <w:spacing w:before="156" w:beforeLines="50"/>
        <w:jc w:val="center"/>
        <w:rPr>
          <w:rFonts w:ascii="Times New Roman" w:hAnsi="Times New Roman" w:eastAsia="宋体" w:cs="Times New Roman"/>
          <w:b/>
          <w:szCs w:val="21"/>
        </w:rPr>
      </w:pPr>
      <w:r>
        <w:rPr>
          <w:rFonts w:hint="eastAsia" w:ascii="Times New Roman" w:hAnsi="Times New Roman" w:eastAsia="宋体" w:cs="Times New Roman"/>
          <w:b/>
          <w:szCs w:val="21"/>
        </w:rPr>
        <w:t>表6</w:t>
      </w:r>
      <w:r>
        <w:rPr>
          <w:rFonts w:ascii="Times New Roman" w:hAnsi="Times New Roman" w:eastAsia="宋体" w:cs="Times New Roman"/>
          <w:b/>
          <w:szCs w:val="21"/>
        </w:rPr>
        <w:t>.</w:t>
      </w:r>
      <w:r>
        <w:rPr>
          <w:rFonts w:hint="eastAsia" w:ascii="Times New Roman" w:hAnsi="Times New Roman" w:eastAsia="宋体" w:cs="Times New Roman"/>
          <w:b/>
          <w:szCs w:val="21"/>
        </w:rPr>
        <w:t>5-2</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本项目危险废物暂存设施基本情况</w:t>
      </w:r>
    </w:p>
    <w:tbl>
      <w:tblPr>
        <w:tblStyle w:val="30"/>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1067"/>
        <w:gridCol w:w="1268"/>
        <w:gridCol w:w="1339"/>
        <w:gridCol w:w="1101"/>
        <w:gridCol w:w="760"/>
        <w:gridCol w:w="848"/>
        <w:gridCol w:w="1983"/>
        <w:gridCol w:w="792"/>
        <w:gridCol w:w="1314"/>
        <w:gridCol w:w="1495"/>
      </w:tblGrid>
      <w:tr w14:paraId="5464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7064D2F1">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废物名称</w:t>
            </w:r>
          </w:p>
        </w:tc>
        <w:tc>
          <w:tcPr>
            <w:tcW w:w="1067" w:type="dxa"/>
            <w:vAlign w:val="center"/>
          </w:tcPr>
          <w:p w14:paraId="52F320E3">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危险废物类别</w:t>
            </w:r>
          </w:p>
        </w:tc>
        <w:tc>
          <w:tcPr>
            <w:tcW w:w="1268" w:type="dxa"/>
            <w:vAlign w:val="center"/>
          </w:tcPr>
          <w:p w14:paraId="5919F973">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废物代码</w:t>
            </w:r>
          </w:p>
        </w:tc>
        <w:tc>
          <w:tcPr>
            <w:tcW w:w="1339" w:type="dxa"/>
            <w:vAlign w:val="center"/>
          </w:tcPr>
          <w:p w14:paraId="2CD6203B">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产生量（t/a）</w:t>
            </w:r>
          </w:p>
        </w:tc>
        <w:tc>
          <w:tcPr>
            <w:tcW w:w="1101" w:type="dxa"/>
            <w:vAlign w:val="center"/>
          </w:tcPr>
          <w:p w14:paraId="10712B8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产废周期</w:t>
            </w:r>
          </w:p>
        </w:tc>
        <w:tc>
          <w:tcPr>
            <w:tcW w:w="760" w:type="dxa"/>
            <w:vAlign w:val="center"/>
          </w:tcPr>
          <w:p w14:paraId="3F3014B5">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贮存位置</w:t>
            </w:r>
          </w:p>
        </w:tc>
        <w:tc>
          <w:tcPr>
            <w:tcW w:w="848" w:type="dxa"/>
            <w:vAlign w:val="center"/>
          </w:tcPr>
          <w:p w14:paraId="475E9879">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建筑面积</w:t>
            </w:r>
          </w:p>
        </w:tc>
        <w:tc>
          <w:tcPr>
            <w:tcW w:w="1983" w:type="dxa"/>
            <w:vAlign w:val="center"/>
          </w:tcPr>
          <w:p w14:paraId="3ABA6338">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贮存方式</w:t>
            </w:r>
          </w:p>
        </w:tc>
        <w:tc>
          <w:tcPr>
            <w:tcW w:w="792" w:type="dxa"/>
            <w:vAlign w:val="center"/>
          </w:tcPr>
          <w:p w14:paraId="087E6D54">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贮存能力</w:t>
            </w:r>
          </w:p>
        </w:tc>
        <w:tc>
          <w:tcPr>
            <w:tcW w:w="1314" w:type="dxa"/>
            <w:vAlign w:val="center"/>
          </w:tcPr>
          <w:p w14:paraId="1F69BB5A">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贮存周期</w:t>
            </w:r>
          </w:p>
        </w:tc>
        <w:tc>
          <w:tcPr>
            <w:tcW w:w="1495" w:type="dxa"/>
            <w:vAlign w:val="center"/>
          </w:tcPr>
          <w:p w14:paraId="791CBB71">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是否满足要求</w:t>
            </w:r>
          </w:p>
        </w:tc>
      </w:tr>
      <w:tr w14:paraId="42A8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572E45BC">
            <w:pPr>
              <w:jc w:val="center"/>
              <w:rPr>
                <w:rFonts w:ascii="Times New Roman" w:hAnsi="Times New Roman" w:eastAsia="宋体" w:cs="Times New Roman"/>
                <w:szCs w:val="21"/>
              </w:rPr>
            </w:pPr>
            <w:r>
              <w:rPr>
                <w:rFonts w:hint="eastAsia" w:ascii="Times New Roman" w:hAnsi="Times New Roman" w:eastAsia="宋体" w:cs="Times New Roman"/>
                <w:szCs w:val="21"/>
              </w:rPr>
              <w:t>废破损包装桶</w:t>
            </w:r>
          </w:p>
        </w:tc>
        <w:tc>
          <w:tcPr>
            <w:tcW w:w="1067" w:type="dxa"/>
            <w:vAlign w:val="center"/>
          </w:tcPr>
          <w:p w14:paraId="5171A659">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68" w:type="dxa"/>
            <w:vAlign w:val="center"/>
          </w:tcPr>
          <w:p w14:paraId="053D4579">
            <w:pPr>
              <w:jc w:val="center"/>
              <w:rPr>
                <w:rFonts w:ascii="Times New Roman" w:hAnsi="Times New Roman" w:eastAsia="宋体" w:cs="Times New Roman"/>
                <w:szCs w:val="21"/>
              </w:rPr>
            </w:pPr>
            <w:r>
              <w:rPr>
                <w:rFonts w:ascii="Times New Roman" w:hAnsi="Times New Roman" w:eastAsia="宋体" w:cs="Times New Roman"/>
                <w:szCs w:val="21"/>
              </w:rPr>
              <w:t>900-041-49</w:t>
            </w:r>
          </w:p>
        </w:tc>
        <w:tc>
          <w:tcPr>
            <w:tcW w:w="1339" w:type="dxa"/>
            <w:vAlign w:val="center"/>
          </w:tcPr>
          <w:p w14:paraId="464E2576">
            <w:pPr>
              <w:jc w:val="center"/>
              <w:rPr>
                <w:rFonts w:ascii="Times New Roman" w:hAnsi="Times New Roman" w:eastAsia="宋体" w:cs="Times New Roman"/>
                <w:szCs w:val="21"/>
              </w:rPr>
            </w:pPr>
            <w:r>
              <w:rPr>
                <w:rFonts w:hint="eastAsia" w:ascii="Times New Roman" w:hAnsi="Times New Roman" w:cs="Times New Roman"/>
                <w:szCs w:val="21"/>
              </w:rPr>
              <w:t>1.0</w:t>
            </w:r>
          </w:p>
        </w:tc>
        <w:tc>
          <w:tcPr>
            <w:tcW w:w="1101" w:type="dxa"/>
            <w:vAlign w:val="center"/>
          </w:tcPr>
          <w:p w14:paraId="61A5D75B">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1d</w:t>
            </w:r>
          </w:p>
        </w:tc>
        <w:tc>
          <w:tcPr>
            <w:tcW w:w="760" w:type="dxa"/>
            <w:vMerge w:val="restart"/>
            <w:vAlign w:val="center"/>
          </w:tcPr>
          <w:p w14:paraId="045DD3A1">
            <w:pPr>
              <w:jc w:val="center"/>
              <w:rPr>
                <w:rFonts w:ascii="Times New Roman" w:hAnsi="Times New Roman" w:eastAsia="宋体" w:cs="Times New Roman"/>
                <w:szCs w:val="21"/>
              </w:rPr>
            </w:pPr>
            <w:r>
              <w:rPr>
                <w:rFonts w:hint="eastAsia" w:cs="Times New Roman"/>
                <w:szCs w:val="21"/>
              </w:rPr>
              <w:t>危废暂存间</w:t>
            </w:r>
          </w:p>
        </w:tc>
        <w:tc>
          <w:tcPr>
            <w:tcW w:w="848" w:type="dxa"/>
            <w:vMerge w:val="restart"/>
            <w:vAlign w:val="center"/>
          </w:tcPr>
          <w:p w14:paraId="5FF1DCFA">
            <w:pPr>
              <w:jc w:val="center"/>
              <w:rPr>
                <w:rFonts w:ascii="Times New Roman" w:hAnsi="Times New Roman" w:eastAsia="宋体" w:cs="Times New Roman"/>
                <w:szCs w:val="21"/>
              </w:rPr>
            </w:pPr>
            <w:r>
              <w:rPr>
                <w:rFonts w:ascii="Times New Roman" w:hAnsi="Times New Roman" w:cs="Times New Roman"/>
                <w:szCs w:val="21"/>
              </w:rPr>
              <w:t>3</w:t>
            </w:r>
            <w:r>
              <w:rPr>
                <w:rFonts w:ascii="Times New Roman" w:hAnsi="Times New Roman" w:eastAsia="宋体" w:cs="Times New Roman"/>
                <w:szCs w:val="21"/>
              </w:rPr>
              <w:t>0m</w:t>
            </w:r>
            <w:r>
              <w:rPr>
                <w:rFonts w:ascii="Times New Roman" w:hAnsi="Times New Roman" w:eastAsia="宋体" w:cs="Times New Roman"/>
                <w:szCs w:val="21"/>
                <w:vertAlign w:val="superscript"/>
              </w:rPr>
              <w:t>2</w:t>
            </w:r>
          </w:p>
        </w:tc>
        <w:tc>
          <w:tcPr>
            <w:tcW w:w="1983" w:type="dxa"/>
            <w:vAlign w:val="center"/>
          </w:tcPr>
          <w:p w14:paraId="0F5F1E41">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c>
          <w:tcPr>
            <w:tcW w:w="792" w:type="dxa"/>
            <w:vAlign w:val="center"/>
          </w:tcPr>
          <w:p w14:paraId="44CBBA06">
            <w:pPr>
              <w:jc w:val="center"/>
              <w:rPr>
                <w:rFonts w:ascii="Times New Roman" w:hAnsi="Times New Roman" w:eastAsia="宋体" w:cs="Times New Roman"/>
                <w:color w:val="auto"/>
                <w:kern w:val="0"/>
                <w:szCs w:val="21"/>
              </w:rPr>
            </w:pPr>
            <w:r>
              <w:rPr>
                <w:rFonts w:ascii="Times New Roman" w:hAnsi="Times New Roman" w:cs="Times New Roman"/>
                <w:color w:val="auto"/>
                <w:kern w:val="0"/>
                <w:szCs w:val="21"/>
              </w:rPr>
              <w:t>0.5t</w:t>
            </w:r>
          </w:p>
        </w:tc>
        <w:tc>
          <w:tcPr>
            <w:tcW w:w="1314" w:type="dxa"/>
            <w:vAlign w:val="center"/>
          </w:tcPr>
          <w:p w14:paraId="2456AC15">
            <w:pPr>
              <w:jc w:val="center"/>
              <w:rPr>
                <w:rFonts w:ascii="Times New Roman" w:hAnsi="Times New Roman" w:eastAsia="宋体" w:cs="Times New Roman"/>
                <w:color w:val="auto"/>
                <w:kern w:val="0"/>
                <w:szCs w:val="21"/>
              </w:rPr>
            </w:pPr>
            <w:r>
              <w:rPr>
                <w:rFonts w:ascii="Times New Roman" w:hAnsi="Times New Roman" w:cs="Times New Roman"/>
                <w:color w:val="auto"/>
                <w:kern w:val="0"/>
                <w:szCs w:val="21"/>
              </w:rPr>
              <w:t>1月</w:t>
            </w:r>
          </w:p>
        </w:tc>
        <w:tc>
          <w:tcPr>
            <w:tcW w:w="1495" w:type="dxa"/>
            <w:vAlign w:val="center"/>
          </w:tcPr>
          <w:p w14:paraId="4DAED85D">
            <w:pPr>
              <w:autoSpaceDE w:val="0"/>
              <w:autoSpaceDN w:val="0"/>
              <w:adjustRightInd w:val="0"/>
              <w:jc w:val="center"/>
              <w:rPr>
                <w:rFonts w:ascii="Times New Roman" w:hAnsi="Times New Roman" w:eastAsia="宋体" w:cs="Times New Roman"/>
                <w:color w:val="auto"/>
                <w:kern w:val="0"/>
                <w:szCs w:val="21"/>
              </w:rPr>
            </w:pPr>
            <w:r>
              <w:rPr>
                <w:rFonts w:hint="eastAsia" w:cs="Times New Roman"/>
                <w:color w:val="auto"/>
                <w:kern w:val="0"/>
                <w:szCs w:val="21"/>
              </w:rPr>
              <w:t>/</w:t>
            </w:r>
          </w:p>
        </w:tc>
      </w:tr>
      <w:tr w14:paraId="4893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141F40D7">
            <w:pPr>
              <w:jc w:val="center"/>
              <w:rPr>
                <w:rFonts w:ascii="Times New Roman" w:hAnsi="Times New Roman" w:eastAsia="宋体" w:cs="Times New Roman"/>
                <w:szCs w:val="21"/>
              </w:rPr>
            </w:pPr>
            <w:r>
              <w:rPr>
                <w:rFonts w:hint="eastAsia" w:ascii="Times New Roman" w:hAnsi="Times New Roman" w:eastAsia="宋体" w:cs="Times New Roman"/>
                <w:szCs w:val="21"/>
              </w:rPr>
              <w:t>水帘漆渣</w:t>
            </w:r>
          </w:p>
        </w:tc>
        <w:tc>
          <w:tcPr>
            <w:tcW w:w="1067" w:type="dxa"/>
            <w:vAlign w:val="center"/>
          </w:tcPr>
          <w:p w14:paraId="61979A5B">
            <w:pPr>
              <w:jc w:val="center"/>
              <w:rPr>
                <w:rFonts w:ascii="Times New Roman" w:hAnsi="Times New Roman" w:eastAsia="宋体" w:cs="Times New Roman"/>
                <w:szCs w:val="21"/>
              </w:rPr>
            </w:pPr>
            <w:r>
              <w:rPr>
                <w:rFonts w:hint="eastAsia" w:ascii="Times New Roman" w:hAnsi="Times New Roman" w:eastAsia="宋体" w:cs="Times New Roman"/>
                <w:szCs w:val="21"/>
              </w:rPr>
              <w:t>HW12</w:t>
            </w:r>
          </w:p>
        </w:tc>
        <w:tc>
          <w:tcPr>
            <w:tcW w:w="1268" w:type="dxa"/>
            <w:vAlign w:val="center"/>
          </w:tcPr>
          <w:p w14:paraId="338D060B">
            <w:pPr>
              <w:jc w:val="center"/>
              <w:rPr>
                <w:rFonts w:ascii="Times New Roman" w:hAnsi="Times New Roman" w:eastAsia="宋体" w:cs="Times New Roman"/>
                <w:szCs w:val="21"/>
              </w:rPr>
            </w:pPr>
            <w:r>
              <w:rPr>
                <w:rFonts w:hint="eastAsia" w:ascii="Times New Roman" w:hAnsi="Times New Roman" w:eastAsia="宋体" w:cs="Times New Roman"/>
                <w:szCs w:val="21"/>
              </w:rPr>
              <w:t>900-252-12</w:t>
            </w:r>
          </w:p>
        </w:tc>
        <w:tc>
          <w:tcPr>
            <w:tcW w:w="1339" w:type="dxa"/>
            <w:vAlign w:val="center"/>
          </w:tcPr>
          <w:p w14:paraId="1CAA75A5">
            <w:pPr>
              <w:jc w:val="center"/>
              <w:rPr>
                <w:rFonts w:ascii="Times New Roman" w:hAnsi="Times New Roman" w:eastAsia="宋体" w:cs="Times New Roman"/>
                <w:szCs w:val="21"/>
              </w:rPr>
            </w:pPr>
            <w:r>
              <w:rPr>
                <w:rFonts w:hint="eastAsia" w:ascii="Times New Roman" w:hAnsi="Times New Roman" w:cs="Times New Roman"/>
                <w:szCs w:val="21"/>
              </w:rPr>
              <w:t>3.15</w:t>
            </w:r>
          </w:p>
        </w:tc>
        <w:tc>
          <w:tcPr>
            <w:tcW w:w="1101" w:type="dxa"/>
            <w:vAlign w:val="center"/>
          </w:tcPr>
          <w:p w14:paraId="3DC8E618">
            <w:pPr>
              <w:jc w:val="center"/>
              <w:rPr>
                <w:rFonts w:ascii="Times New Roman" w:hAnsi="Times New Roman" w:eastAsia="宋体" w:cs="Times New Roman"/>
                <w:szCs w:val="21"/>
              </w:rPr>
            </w:pPr>
            <w:r>
              <w:rPr>
                <w:rFonts w:hint="eastAsia" w:ascii="Times New Roman" w:hAnsi="Times New Roman" w:eastAsia="宋体" w:cs="Times New Roman"/>
                <w:bCs/>
                <w:kern w:val="0"/>
                <w:szCs w:val="21"/>
              </w:rPr>
              <w:t>1月</w:t>
            </w:r>
          </w:p>
        </w:tc>
        <w:tc>
          <w:tcPr>
            <w:tcW w:w="760" w:type="dxa"/>
            <w:vMerge w:val="continue"/>
            <w:vAlign w:val="center"/>
          </w:tcPr>
          <w:p w14:paraId="77BDC07F">
            <w:pPr>
              <w:jc w:val="center"/>
              <w:rPr>
                <w:rFonts w:ascii="Times New Roman" w:hAnsi="Times New Roman" w:eastAsia="宋体" w:cs="Times New Roman"/>
                <w:szCs w:val="21"/>
              </w:rPr>
            </w:pPr>
          </w:p>
        </w:tc>
        <w:tc>
          <w:tcPr>
            <w:tcW w:w="848" w:type="dxa"/>
            <w:vMerge w:val="continue"/>
            <w:vAlign w:val="center"/>
          </w:tcPr>
          <w:p w14:paraId="4EC607A5">
            <w:pPr>
              <w:jc w:val="center"/>
              <w:rPr>
                <w:rFonts w:ascii="Times New Roman" w:hAnsi="Times New Roman" w:eastAsia="宋体" w:cs="Times New Roman"/>
                <w:szCs w:val="21"/>
              </w:rPr>
            </w:pPr>
          </w:p>
        </w:tc>
        <w:tc>
          <w:tcPr>
            <w:tcW w:w="1983" w:type="dxa"/>
            <w:vAlign w:val="center"/>
          </w:tcPr>
          <w:p w14:paraId="33C058AD">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袋装贮存</w:t>
            </w:r>
          </w:p>
        </w:tc>
        <w:tc>
          <w:tcPr>
            <w:tcW w:w="792" w:type="dxa"/>
            <w:vAlign w:val="center"/>
          </w:tcPr>
          <w:p w14:paraId="71D3E2D8">
            <w:pPr>
              <w:jc w:val="center"/>
              <w:rPr>
                <w:rFonts w:ascii="Times New Roman" w:hAnsi="Times New Roman" w:eastAsia="宋体" w:cs="Times New Roman"/>
                <w:color w:val="auto"/>
                <w:kern w:val="0"/>
                <w:szCs w:val="21"/>
              </w:rPr>
            </w:pPr>
            <w:r>
              <w:rPr>
                <w:rFonts w:ascii="Times New Roman" w:hAnsi="Times New Roman" w:cs="Times New Roman"/>
                <w:color w:val="auto"/>
                <w:kern w:val="0"/>
                <w:szCs w:val="21"/>
              </w:rPr>
              <w:t>1.0</w:t>
            </w:r>
            <w:r>
              <w:rPr>
                <w:rFonts w:ascii="Times New Roman" w:hAnsi="Times New Roman" w:eastAsia="宋体" w:cs="Times New Roman"/>
                <w:color w:val="auto"/>
                <w:kern w:val="0"/>
                <w:szCs w:val="21"/>
              </w:rPr>
              <w:t>t</w:t>
            </w:r>
          </w:p>
        </w:tc>
        <w:tc>
          <w:tcPr>
            <w:tcW w:w="1314" w:type="dxa"/>
            <w:vAlign w:val="center"/>
          </w:tcPr>
          <w:p w14:paraId="4FACEF50">
            <w:pPr>
              <w:jc w:val="center"/>
              <w:rPr>
                <w:rFonts w:ascii="Times New Roman" w:hAnsi="Times New Roman" w:eastAsia="宋体" w:cs="Times New Roman"/>
                <w:color w:val="auto"/>
                <w:kern w:val="0"/>
                <w:szCs w:val="21"/>
              </w:rPr>
            </w:pPr>
            <w:r>
              <w:rPr>
                <w:rFonts w:ascii="Times New Roman" w:hAnsi="Times New Roman" w:cs="Times New Roman"/>
                <w:color w:val="auto"/>
                <w:kern w:val="0"/>
                <w:szCs w:val="21"/>
              </w:rPr>
              <w:t>1月</w:t>
            </w:r>
          </w:p>
        </w:tc>
        <w:tc>
          <w:tcPr>
            <w:tcW w:w="1495" w:type="dxa"/>
            <w:vAlign w:val="center"/>
          </w:tcPr>
          <w:p w14:paraId="2B99D06A">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6854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6693AA33">
            <w:pPr>
              <w:jc w:val="center"/>
              <w:rPr>
                <w:rFonts w:ascii="Times New Roman" w:hAnsi="Times New Roman" w:eastAsia="宋体" w:cs="Times New Roman"/>
                <w:szCs w:val="21"/>
              </w:rPr>
            </w:pPr>
            <w:r>
              <w:rPr>
                <w:rFonts w:hint="eastAsia" w:ascii="Times New Roman" w:hAnsi="Times New Roman" w:eastAsia="宋体" w:cs="Times New Roman"/>
                <w:szCs w:val="21"/>
              </w:rPr>
              <w:t>油磨漆渣</w:t>
            </w:r>
          </w:p>
        </w:tc>
        <w:tc>
          <w:tcPr>
            <w:tcW w:w="1067" w:type="dxa"/>
            <w:vAlign w:val="center"/>
          </w:tcPr>
          <w:p w14:paraId="57DDA2AC">
            <w:pPr>
              <w:jc w:val="center"/>
              <w:rPr>
                <w:rFonts w:ascii="Times New Roman" w:hAnsi="Times New Roman" w:eastAsia="宋体" w:cs="Times New Roman"/>
                <w:szCs w:val="21"/>
              </w:rPr>
            </w:pPr>
            <w:r>
              <w:rPr>
                <w:rFonts w:hint="eastAsia" w:ascii="Times New Roman" w:hAnsi="Times New Roman" w:eastAsia="宋体" w:cs="Times New Roman"/>
                <w:szCs w:val="21"/>
              </w:rPr>
              <w:t>HW12</w:t>
            </w:r>
          </w:p>
        </w:tc>
        <w:tc>
          <w:tcPr>
            <w:tcW w:w="1268" w:type="dxa"/>
            <w:vAlign w:val="center"/>
          </w:tcPr>
          <w:p w14:paraId="7CE906A1">
            <w:pPr>
              <w:jc w:val="center"/>
              <w:rPr>
                <w:rFonts w:ascii="Times New Roman" w:hAnsi="Times New Roman" w:eastAsia="宋体" w:cs="Times New Roman"/>
                <w:szCs w:val="21"/>
              </w:rPr>
            </w:pPr>
            <w:r>
              <w:rPr>
                <w:rFonts w:ascii="Times New Roman" w:hAnsi="Times New Roman" w:eastAsia="宋体" w:cs="Times New Roman"/>
                <w:szCs w:val="21"/>
              </w:rPr>
              <w:t>900-252-12</w:t>
            </w:r>
          </w:p>
        </w:tc>
        <w:tc>
          <w:tcPr>
            <w:tcW w:w="1339" w:type="dxa"/>
            <w:vAlign w:val="center"/>
          </w:tcPr>
          <w:p w14:paraId="78177554">
            <w:pPr>
              <w:jc w:val="center"/>
              <w:rPr>
                <w:rFonts w:ascii="Times New Roman" w:hAnsi="Times New Roman" w:eastAsia="宋体" w:cs="Times New Roman"/>
                <w:szCs w:val="21"/>
              </w:rPr>
            </w:pPr>
            <w:r>
              <w:rPr>
                <w:rFonts w:hint="eastAsia" w:ascii="Times New Roman" w:hAnsi="Times New Roman" w:cs="Times New Roman"/>
                <w:szCs w:val="21"/>
              </w:rPr>
              <w:t>1.519</w:t>
            </w:r>
          </w:p>
        </w:tc>
        <w:tc>
          <w:tcPr>
            <w:tcW w:w="1101" w:type="dxa"/>
            <w:vAlign w:val="center"/>
          </w:tcPr>
          <w:p w14:paraId="55086C4D">
            <w:pPr>
              <w:jc w:val="center"/>
              <w:rPr>
                <w:rFonts w:ascii="Times New Roman" w:hAnsi="Times New Roman" w:eastAsia="宋体" w:cs="Times New Roman"/>
                <w:szCs w:val="21"/>
              </w:rPr>
            </w:pPr>
            <w:r>
              <w:rPr>
                <w:rFonts w:hint="eastAsia" w:ascii="Times New Roman" w:hAnsi="Times New Roman" w:eastAsia="宋体" w:cs="Times New Roman"/>
                <w:bCs/>
                <w:kern w:val="0"/>
                <w:szCs w:val="21"/>
              </w:rPr>
              <w:t>1d</w:t>
            </w:r>
          </w:p>
        </w:tc>
        <w:tc>
          <w:tcPr>
            <w:tcW w:w="760" w:type="dxa"/>
            <w:vMerge w:val="continue"/>
            <w:vAlign w:val="center"/>
          </w:tcPr>
          <w:p w14:paraId="3F97FEE8">
            <w:pPr>
              <w:jc w:val="center"/>
              <w:rPr>
                <w:rFonts w:ascii="Times New Roman" w:hAnsi="Times New Roman" w:eastAsia="宋体" w:cs="Times New Roman"/>
                <w:szCs w:val="21"/>
              </w:rPr>
            </w:pPr>
          </w:p>
        </w:tc>
        <w:tc>
          <w:tcPr>
            <w:tcW w:w="848" w:type="dxa"/>
            <w:vMerge w:val="continue"/>
            <w:vAlign w:val="center"/>
          </w:tcPr>
          <w:p w14:paraId="1433E641">
            <w:pPr>
              <w:jc w:val="center"/>
              <w:rPr>
                <w:rFonts w:ascii="Times New Roman" w:hAnsi="Times New Roman" w:eastAsia="宋体" w:cs="Times New Roman"/>
                <w:szCs w:val="21"/>
              </w:rPr>
            </w:pPr>
          </w:p>
        </w:tc>
        <w:tc>
          <w:tcPr>
            <w:tcW w:w="1983" w:type="dxa"/>
            <w:vAlign w:val="center"/>
          </w:tcPr>
          <w:p w14:paraId="5C887BC8">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袋装贮存</w:t>
            </w:r>
          </w:p>
        </w:tc>
        <w:tc>
          <w:tcPr>
            <w:tcW w:w="792" w:type="dxa"/>
            <w:vAlign w:val="center"/>
          </w:tcPr>
          <w:p w14:paraId="512BE0DD">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w:t>
            </w:r>
            <w:r>
              <w:rPr>
                <w:rFonts w:ascii="Times New Roman" w:hAnsi="Times New Roman" w:eastAsia="宋体" w:cs="Times New Roman"/>
                <w:color w:val="auto"/>
                <w:kern w:val="0"/>
                <w:szCs w:val="21"/>
              </w:rPr>
              <w:t>t</w:t>
            </w:r>
          </w:p>
        </w:tc>
        <w:tc>
          <w:tcPr>
            <w:tcW w:w="1314" w:type="dxa"/>
            <w:vAlign w:val="center"/>
          </w:tcPr>
          <w:p w14:paraId="3E31C301">
            <w:pPr>
              <w:jc w:val="center"/>
              <w:rPr>
                <w:rFonts w:ascii="Times New Roman" w:hAnsi="Times New Roman" w:eastAsia="宋体" w:cs="Times New Roman"/>
                <w:color w:val="auto"/>
                <w:kern w:val="0"/>
                <w:szCs w:val="21"/>
              </w:rPr>
            </w:pPr>
            <w:r>
              <w:rPr>
                <w:rFonts w:ascii="Times New Roman" w:hAnsi="Times New Roman" w:cs="Times New Roman"/>
                <w:color w:val="auto"/>
                <w:kern w:val="0"/>
                <w:szCs w:val="21"/>
              </w:rPr>
              <w:t>1月</w:t>
            </w:r>
          </w:p>
        </w:tc>
        <w:tc>
          <w:tcPr>
            <w:tcW w:w="1495" w:type="dxa"/>
            <w:vAlign w:val="center"/>
          </w:tcPr>
          <w:p w14:paraId="3DE49C26">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05B8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5AA98354">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污水处理站絮状沉淀物</w:t>
            </w:r>
          </w:p>
        </w:tc>
        <w:tc>
          <w:tcPr>
            <w:tcW w:w="1067" w:type="dxa"/>
            <w:vAlign w:val="center"/>
          </w:tcPr>
          <w:p w14:paraId="7967C946">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HW49</w:t>
            </w:r>
          </w:p>
        </w:tc>
        <w:tc>
          <w:tcPr>
            <w:tcW w:w="1268" w:type="dxa"/>
            <w:vAlign w:val="center"/>
          </w:tcPr>
          <w:p w14:paraId="0818EB3E">
            <w:pPr>
              <w:jc w:val="center"/>
              <w:rPr>
                <w:rFonts w:ascii="Times New Roman" w:hAnsi="Times New Roman" w:eastAsia="宋体" w:cs="Times New Roman"/>
                <w:color w:val="0000FF"/>
                <w:szCs w:val="21"/>
              </w:rPr>
            </w:pPr>
            <w:r>
              <w:rPr>
                <w:rFonts w:ascii="Times New Roman" w:hAnsi="Times New Roman" w:eastAsia="宋体" w:cs="Times New Roman"/>
                <w:szCs w:val="21"/>
              </w:rPr>
              <w:t>772-006-49</w:t>
            </w:r>
          </w:p>
        </w:tc>
        <w:tc>
          <w:tcPr>
            <w:tcW w:w="1339" w:type="dxa"/>
            <w:vAlign w:val="center"/>
          </w:tcPr>
          <w:p w14:paraId="71BA4119">
            <w:pPr>
              <w:jc w:val="center"/>
              <w:rPr>
                <w:rFonts w:ascii="Times New Roman" w:hAnsi="Times New Roman" w:eastAsia="宋体" w:cs="Times New Roman"/>
                <w:color w:val="0000FF"/>
                <w:szCs w:val="21"/>
              </w:rPr>
            </w:pPr>
            <w:r>
              <w:rPr>
                <w:rFonts w:hint="eastAsia" w:ascii="Times New Roman" w:hAnsi="Times New Roman" w:cs="Times New Roman"/>
                <w:szCs w:val="21"/>
              </w:rPr>
              <w:t>0.1</w:t>
            </w:r>
          </w:p>
        </w:tc>
        <w:tc>
          <w:tcPr>
            <w:tcW w:w="1101" w:type="dxa"/>
            <w:vAlign w:val="center"/>
          </w:tcPr>
          <w:p w14:paraId="68012268">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1月</w:t>
            </w:r>
          </w:p>
        </w:tc>
        <w:tc>
          <w:tcPr>
            <w:tcW w:w="760" w:type="dxa"/>
            <w:vMerge w:val="continue"/>
            <w:vAlign w:val="center"/>
          </w:tcPr>
          <w:p w14:paraId="251BD12D">
            <w:pPr>
              <w:jc w:val="center"/>
              <w:rPr>
                <w:rFonts w:ascii="Times New Roman" w:hAnsi="Times New Roman" w:eastAsia="宋体" w:cs="Times New Roman"/>
                <w:color w:val="0000FF"/>
                <w:szCs w:val="21"/>
              </w:rPr>
            </w:pPr>
          </w:p>
        </w:tc>
        <w:tc>
          <w:tcPr>
            <w:tcW w:w="848" w:type="dxa"/>
            <w:vMerge w:val="continue"/>
            <w:vAlign w:val="center"/>
          </w:tcPr>
          <w:p w14:paraId="27060E54">
            <w:pPr>
              <w:jc w:val="center"/>
              <w:rPr>
                <w:rFonts w:ascii="Times New Roman" w:hAnsi="Times New Roman" w:eastAsia="宋体" w:cs="Times New Roman"/>
                <w:color w:val="0000FF"/>
                <w:szCs w:val="21"/>
              </w:rPr>
            </w:pPr>
          </w:p>
        </w:tc>
        <w:tc>
          <w:tcPr>
            <w:tcW w:w="1983" w:type="dxa"/>
            <w:vAlign w:val="center"/>
          </w:tcPr>
          <w:p w14:paraId="3877975D">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桶装贮存</w:t>
            </w:r>
          </w:p>
        </w:tc>
        <w:tc>
          <w:tcPr>
            <w:tcW w:w="792" w:type="dxa"/>
            <w:vAlign w:val="center"/>
          </w:tcPr>
          <w:p w14:paraId="14FC03CC">
            <w:pPr>
              <w:jc w:val="center"/>
              <w:rPr>
                <w:rFonts w:ascii="Times New Roman" w:hAnsi="Times New Roman" w:cs="Times New Roman"/>
                <w:color w:val="auto"/>
                <w:kern w:val="0"/>
                <w:szCs w:val="21"/>
              </w:rPr>
            </w:pPr>
            <w:r>
              <w:rPr>
                <w:rFonts w:ascii="Times New Roman" w:hAnsi="Times New Roman" w:cs="Times New Roman"/>
                <w:color w:val="auto"/>
                <w:kern w:val="0"/>
                <w:szCs w:val="21"/>
              </w:rPr>
              <w:t>0.5</w:t>
            </w:r>
            <w:r>
              <w:rPr>
                <w:rFonts w:ascii="Times New Roman" w:hAnsi="Times New Roman" w:eastAsia="宋体" w:cs="Times New Roman"/>
                <w:color w:val="auto"/>
                <w:kern w:val="0"/>
                <w:szCs w:val="21"/>
              </w:rPr>
              <w:t>t</w:t>
            </w:r>
          </w:p>
        </w:tc>
        <w:tc>
          <w:tcPr>
            <w:tcW w:w="1314" w:type="dxa"/>
            <w:vAlign w:val="center"/>
          </w:tcPr>
          <w:p w14:paraId="496BBCCC">
            <w:pPr>
              <w:jc w:val="center"/>
              <w:rPr>
                <w:rFonts w:ascii="Times New Roman" w:hAnsi="Times New Roman" w:cs="Times New Roman"/>
                <w:color w:val="auto"/>
                <w:kern w:val="0"/>
                <w:szCs w:val="21"/>
              </w:rPr>
            </w:pPr>
            <w:r>
              <w:rPr>
                <w:rFonts w:ascii="Times New Roman" w:hAnsi="Times New Roman" w:eastAsia="宋体" w:cs="Times New Roman"/>
                <w:color w:val="auto"/>
                <w:kern w:val="0"/>
                <w:szCs w:val="21"/>
              </w:rPr>
              <w:t>半年</w:t>
            </w:r>
          </w:p>
        </w:tc>
        <w:tc>
          <w:tcPr>
            <w:tcW w:w="1495" w:type="dxa"/>
            <w:vAlign w:val="center"/>
          </w:tcPr>
          <w:p w14:paraId="416E1744">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725A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4E4BCB1F">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废活性炭</w:t>
            </w:r>
          </w:p>
        </w:tc>
        <w:tc>
          <w:tcPr>
            <w:tcW w:w="1067" w:type="dxa"/>
            <w:vAlign w:val="center"/>
          </w:tcPr>
          <w:p w14:paraId="68427F53">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HW49</w:t>
            </w:r>
          </w:p>
        </w:tc>
        <w:tc>
          <w:tcPr>
            <w:tcW w:w="1268" w:type="dxa"/>
            <w:vAlign w:val="center"/>
          </w:tcPr>
          <w:p w14:paraId="17263016">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900-039-49</w:t>
            </w:r>
          </w:p>
        </w:tc>
        <w:tc>
          <w:tcPr>
            <w:tcW w:w="1339" w:type="dxa"/>
            <w:vAlign w:val="center"/>
          </w:tcPr>
          <w:p w14:paraId="238B85BE">
            <w:pPr>
              <w:jc w:val="center"/>
              <w:rPr>
                <w:rFonts w:ascii="Times New Roman" w:hAnsi="Times New Roman" w:eastAsia="宋体" w:cs="Times New Roman"/>
                <w:color w:val="0000FF"/>
                <w:szCs w:val="21"/>
              </w:rPr>
            </w:pPr>
            <w:r>
              <w:rPr>
                <w:rFonts w:hint="eastAsia" w:ascii="Times New Roman" w:hAnsi="Times New Roman" w:cs="Times New Roman"/>
                <w:szCs w:val="21"/>
              </w:rPr>
              <w:t>2</w:t>
            </w:r>
          </w:p>
        </w:tc>
        <w:tc>
          <w:tcPr>
            <w:tcW w:w="1101" w:type="dxa"/>
            <w:vAlign w:val="center"/>
          </w:tcPr>
          <w:p w14:paraId="7AE74EBC">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3年</w:t>
            </w:r>
          </w:p>
        </w:tc>
        <w:tc>
          <w:tcPr>
            <w:tcW w:w="760" w:type="dxa"/>
            <w:vMerge w:val="continue"/>
            <w:vAlign w:val="center"/>
          </w:tcPr>
          <w:p w14:paraId="0491FC12">
            <w:pPr>
              <w:jc w:val="center"/>
              <w:rPr>
                <w:rFonts w:ascii="Times New Roman" w:hAnsi="Times New Roman" w:eastAsia="宋体" w:cs="Times New Roman"/>
                <w:color w:val="0000FF"/>
                <w:szCs w:val="21"/>
              </w:rPr>
            </w:pPr>
          </w:p>
        </w:tc>
        <w:tc>
          <w:tcPr>
            <w:tcW w:w="848" w:type="dxa"/>
            <w:vMerge w:val="continue"/>
            <w:vAlign w:val="center"/>
          </w:tcPr>
          <w:p w14:paraId="3E399EE9">
            <w:pPr>
              <w:jc w:val="center"/>
              <w:rPr>
                <w:rFonts w:ascii="Times New Roman" w:hAnsi="Times New Roman" w:eastAsia="宋体" w:cs="Times New Roman"/>
                <w:color w:val="0000FF"/>
                <w:szCs w:val="21"/>
              </w:rPr>
            </w:pPr>
          </w:p>
        </w:tc>
        <w:tc>
          <w:tcPr>
            <w:tcW w:w="1983" w:type="dxa"/>
            <w:vAlign w:val="center"/>
          </w:tcPr>
          <w:p w14:paraId="10C92EA9">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桶装贮存</w:t>
            </w:r>
          </w:p>
        </w:tc>
        <w:tc>
          <w:tcPr>
            <w:tcW w:w="792" w:type="dxa"/>
            <w:vAlign w:val="center"/>
          </w:tcPr>
          <w:p w14:paraId="33052083">
            <w:pPr>
              <w:jc w:val="center"/>
              <w:rPr>
                <w:rFonts w:ascii="Times New Roman" w:hAnsi="Times New Roman" w:cs="Times New Roman"/>
                <w:color w:val="auto"/>
                <w:kern w:val="0"/>
                <w:szCs w:val="21"/>
              </w:rPr>
            </w:pPr>
            <w:r>
              <w:rPr>
                <w:rFonts w:ascii="Times New Roman" w:hAnsi="Times New Roman" w:cs="Times New Roman"/>
                <w:color w:val="auto"/>
                <w:kern w:val="0"/>
                <w:szCs w:val="21"/>
              </w:rPr>
              <w:t>2t</w:t>
            </w:r>
          </w:p>
        </w:tc>
        <w:tc>
          <w:tcPr>
            <w:tcW w:w="1314" w:type="dxa"/>
            <w:vAlign w:val="center"/>
          </w:tcPr>
          <w:p w14:paraId="14F103B2">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半年</w:t>
            </w:r>
          </w:p>
        </w:tc>
        <w:tc>
          <w:tcPr>
            <w:tcW w:w="1495" w:type="dxa"/>
            <w:vAlign w:val="center"/>
          </w:tcPr>
          <w:p w14:paraId="4228E36F">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6294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4B05F10B">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喷枪清洗废水</w:t>
            </w:r>
          </w:p>
        </w:tc>
        <w:tc>
          <w:tcPr>
            <w:tcW w:w="1067" w:type="dxa"/>
            <w:vAlign w:val="center"/>
          </w:tcPr>
          <w:p w14:paraId="47CC4886">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HW09</w:t>
            </w:r>
          </w:p>
        </w:tc>
        <w:tc>
          <w:tcPr>
            <w:tcW w:w="1268" w:type="dxa"/>
            <w:vAlign w:val="center"/>
          </w:tcPr>
          <w:p w14:paraId="46FC667B">
            <w:pPr>
              <w:jc w:val="center"/>
              <w:rPr>
                <w:rFonts w:ascii="Times New Roman" w:hAnsi="Times New Roman" w:eastAsia="宋体" w:cs="Times New Roman"/>
                <w:color w:val="0000FF"/>
                <w:szCs w:val="21"/>
              </w:rPr>
            </w:pPr>
            <w:r>
              <w:rPr>
                <w:rFonts w:ascii="Times New Roman" w:hAnsi="Times New Roman" w:eastAsia="宋体" w:cs="Times New Roman"/>
                <w:szCs w:val="21"/>
              </w:rPr>
              <w:t>900-007-09</w:t>
            </w:r>
          </w:p>
        </w:tc>
        <w:tc>
          <w:tcPr>
            <w:tcW w:w="1339" w:type="dxa"/>
            <w:vAlign w:val="center"/>
          </w:tcPr>
          <w:p w14:paraId="0358C68D">
            <w:pPr>
              <w:jc w:val="center"/>
              <w:rPr>
                <w:rFonts w:ascii="Times New Roman" w:hAnsi="Times New Roman" w:eastAsia="宋体" w:cs="Times New Roman"/>
                <w:color w:val="0000FF"/>
                <w:szCs w:val="21"/>
              </w:rPr>
            </w:pPr>
            <w:r>
              <w:rPr>
                <w:rFonts w:hint="eastAsia" w:ascii="Times New Roman" w:hAnsi="Times New Roman" w:cs="Times New Roman"/>
                <w:szCs w:val="21"/>
              </w:rPr>
              <w:t>0.2</w:t>
            </w:r>
          </w:p>
        </w:tc>
        <w:tc>
          <w:tcPr>
            <w:tcW w:w="1101" w:type="dxa"/>
            <w:vAlign w:val="center"/>
          </w:tcPr>
          <w:p w14:paraId="1909C249">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1周</w:t>
            </w:r>
          </w:p>
        </w:tc>
        <w:tc>
          <w:tcPr>
            <w:tcW w:w="760" w:type="dxa"/>
            <w:vMerge w:val="continue"/>
            <w:vAlign w:val="center"/>
          </w:tcPr>
          <w:p w14:paraId="06CD769B">
            <w:pPr>
              <w:jc w:val="center"/>
              <w:rPr>
                <w:rFonts w:ascii="Times New Roman" w:hAnsi="Times New Roman" w:eastAsia="宋体" w:cs="Times New Roman"/>
                <w:color w:val="0000FF"/>
                <w:szCs w:val="21"/>
              </w:rPr>
            </w:pPr>
          </w:p>
        </w:tc>
        <w:tc>
          <w:tcPr>
            <w:tcW w:w="848" w:type="dxa"/>
            <w:vMerge w:val="continue"/>
            <w:vAlign w:val="center"/>
          </w:tcPr>
          <w:p w14:paraId="2A81A787">
            <w:pPr>
              <w:jc w:val="center"/>
              <w:rPr>
                <w:rFonts w:ascii="Times New Roman" w:hAnsi="Times New Roman" w:eastAsia="宋体" w:cs="Times New Roman"/>
                <w:color w:val="0000FF"/>
                <w:szCs w:val="21"/>
              </w:rPr>
            </w:pPr>
          </w:p>
        </w:tc>
        <w:tc>
          <w:tcPr>
            <w:tcW w:w="1983" w:type="dxa"/>
            <w:vAlign w:val="center"/>
          </w:tcPr>
          <w:p w14:paraId="045B7AC3">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桶装贮存</w:t>
            </w:r>
          </w:p>
        </w:tc>
        <w:tc>
          <w:tcPr>
            <w:tcW w:w="792" w:type="dxa"/>
            <w:vAlign w:val="center"/>
          </w:tcPr>
          <w:p w14:paraId="083E0608">
            <w:pPr>
              <w:jc w:val="center"/>
              <w:rPr>
                <w:rFonts w:ascii="Times New Roman" w:hAnsi="Times New Roman" w:cs="Times New Roman"/>
                <w:color w:val="auto"/>
                <w:kern w:val="0"/>
                <w:szCs w:val="21"/>
              </w:rPr>
            </w:pPr>
            <w:r>
              <w:rPr>
                <w:rFonts w:ascii="Times New Roman" w:hAnsi="Times New Roman" w:cs="Times New Roman"/>
                <w:color w:val="auto"/>
                <w:kern w:val="0"/>
                <w:szCs w:val="21"/>
              </w:rPr>
              <w:t>1t</w:t>
            </w:r>
          </w:p>
        </w:tc>
        <w:tc>
          <w:tcPr>
            <w:tcW w:w="1314" w:type="dxa"/>
            <w:vAlign w:val="center"/>
          </w:tcPr>
          <w:p w14:paraId="7B9054FA">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半年</w:t>
            </w:r>
          </w:p>
        </w:tc>
        <w:tc>
          <w:tcPr>
            <w:tcW w:w="1495" w:type="dxa"/>
            <w:vAlign w:val="center"/>
          </w:tcPr>
          <w:p w14:paraId="014BB962">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448C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62C09668">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废催化剂</w:t>
            </w:r>
          </w:p>
        </w:tc>
        <w:tc>
          <w:tcPr>
            <w:tcW w:w="1067" w:type="dxa"/>
            <w:vAlign w:val="center"/>
          </w:tcPr>
          <w:p w14:paraId="7D7AE284">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HW49</w:t>
            </w:r>
          </w:p>
        </w:tc>
        <w:tc>
          <w:tcPr>
            <w:tcW w:w="1268" w:type="dxa"/>
            <w:vAlign w:val="center"/>
          </w:tcPr>
          <w:p w14:paraId="73B5A95A">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900-041-49</w:t>
            </w:r>
          </w:p>
        </w:tc>
        <w:tc>
          <w:tcPr>
            <w:tcW w:w="1339" w:type="dxa"/>
            <w:vAlign w:val="center"/>
          </w:tcPr>
          <w:p w14:paraId="1A6B0CD8">
            <w:pPr>
              <w:jc w:val="center"/>
              <w:rPr>
                <w:rFonts w:ascii="Times New Roman" w:hAnsi="Times New Roman" w:eastAsia="宋体" w:cs="Times New Roman"/>
                <w:color w:val="0000FF"/>
                <w:szCs w:val="21"/>
              </w:rPr>
            </w:pPr>
            <w:r>
              <w:rPr>
                <w:rFonts w:hint="eastAsia" w:ascii="Times New Roman" w:hAnsi="Times New Roman" w:cs="Times New Roman"/>
                <w:szCs w:val="21"/>
              </w:rPr>
              <w:t>0.33</w:t>
            </w:r>
          </w:p>
        </w:tc>
        <w:tc>
          <w:tcPr>
            <w:tcW w:w="1101" w:type="dxa"/>
            <w:vAlign w:val="center"/>
          </w:tcPr>
          <w:p w14:paraId="4007D8C8">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5年</w:t>
            </w:r>
          </w:p>
        </w:tc>
        <w:tc>
          <w:tcPr>
            <w:tcW w:w="760" w:type="dxa"/>
            <w:vMerge w:val="continue"/>
            <w:vAlign w:val="center"/>
          </w:tcPr>
          <w:p w14:paraId="24D0F1C1">
            <w:pPr>
              <w:jc w:val="center"/>
              <w:rPr>
                <w:rFonts w:ascii="Times New Roman" w:hAnsi="Times New Roman" w:eastAsia="宋体" w:cs="Times New Roman"/>
                <w:color w:val="0000FF"/>
                <w:szCs w:val="21"/>
              </w:rPr>
            </w:pPr>
          </w:p>
        </w:tc>
        <w:tc>
          <w:tcPr>
            <w:tcW w:w="848" w:type="dxa"/>
            <w:vMerge w:val="continue"/>
            <w:vAlign w:val="center"/>
          </w:tcPr>
          <w:p w14:paraId="44225666">
            <w:pPr>
              <w:jc w:val="center"/>
              <w:rPr>
                <w:rFonts w:ascii="Times New Roman" w:hAnsi="Times New Roman" w:eastAsia="宋体" w:cs="Times New Roman"/>
                <w:color w:val="0000FF"/>
                <w:szCs w:val="21"/>
              </w:rPr>
            </w:pPr>
          </w:p>
        </w:tc>
        <w:tc>
          <w:tcPr>
            <w:tcW w:w="1983" w:type="dxa"/>
            <w:vAlign w:val="center"/>
          </w:tcPr>
          <w:p w14:paraId="1E8A15F9">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袋装贮存</w:t>
            </w:r>
          </w:p>
        </w:tc>
        <w:tc>
          <w:tcPr>
            <w:tcW w:w="792" w:type="dxa"/>
            <w:vAlign w:val="center"/>
          </w:tcPr>
          <w:p w14:paraId="7D39CD23">
            <w:pPr>
              <w:jc w:val="center"/>
              <w:rPr>
                <w:rFonts w:ascii="Times New Roman" w:hAnsi="Times New Roman" w:cs="Times New Roman"/>
                <w:color w:val="auto"/>
                <w:kern w:val="0"/>
                <w:szCs w:val="21"/>
              </w:rPr>
            </w:pPr>
            <w:r>
              <w:rPr>
                <w:rFonts w:ascii="Times New Roman" w:hAnsi="Times New Roman" w:cs="Times New Roman"/>
                <w:color w:val="auto"/>
                <w:kern w:val="0"/>
                <w:szCs w:val="21"/>
              </w:rPr>
              <w:t>0.5t</w:t>
            </w:r>
          </w:p>
        </w:tc>
        <w:tc>
          <w:tcPr>
            <w:tcW w:w="1314" w:type="dxa"/>
            <w:vAlign w:val="center"/>
          </w:tcPr>
          <w:p w14:paraId="2DF7DBBB">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半年</w:t>
            </w:r>
          </w:p>
        </w:tc>
        <w:tc>
          <w:tcPr>
            <w:tcW w:w="1495" w:type="dxa"/>
            <w:vAlign w:val="center"/>
          </w:tcPr>
          <w:p w14:paraId="0ED8827A">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239D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05F75B77">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废机油</w:t>
            </w:r>
          </w:p>
        </w:tc>
        <w:tc>
          <w:tcPr>
            <w:tcW w:w="1067" w:type="dxa"/>
            <w:vAlign w:val="center"/>
          </w:tcPr>
          <w:p w14:paraId="7BA1307D">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HW08</w:t>
            </w:r>
          </w:p>
        </w:tc>
        <w:tc>
          <w:tcPr>
            <w:tcW w:w="1268" w:type="dxa"/>
            <w:vAlign w:val="center"/>
          </w:tcPr>
          <w:p w14:paraId="4CD6D77B">
            <w:pPr>
              <w:jc w:val="center"/>
              <w:rPr>
                <w:rFonts w:ascii="Times New Roman" w:hAnsi="Times New Roman" w:eastAsia="宋体" w:cs="Times New Roman"/>
                <w:color w:val="0000FF"/>
                <w:szCs w:val="21"/>
              </w:rPr>
            </w:pPr>
            <w:r>
              <w:rPr>
                <w:rFonts w:ascii="Times New Roman" w:hAnsi="Times New Roman" w:eastAsia="宋体" w:cs="Times New Roman"/>
                <w:szCs w:val="21"/>
              </w:rPr>
              <w:t>900-217-08</w:t>
            </w:r>
          </w:p>
        </w:tc>
        <w:tc>
          <w:tcPr>
            <w:tcW w:w="1339" w:type="dxa"/>
            <w:vAlign w:val="center"/>
          </w:tcPr>
          <w:p w14:paraId="130FBC38">
            <w:pPr>
              <w:jc w:val="center"/>
              <w:rPr>
                <w:rFonts w:ascii="Times New Roman" w:hAnsi="Times New Roman" w:eastAsia="宋体" w:cs="Times New Roman"/>
                <w:color w:val="0000FF"/>
                <w:szCs w:val="21"/>
              </w:rPr>
            </w:pPr>
            <w:r>
              <w:rPr>
                <w:rFonts w:hint="eastAsia" w:ascii="Times New Roman" w:hAnsi="Times New Roman" w:cs="Times New Roman"/>
                <w:szCs w:val="21"/>
              </w:rPr>
              <w:t>0.1</w:t>
            </w:r>
          </w:p>
        </w:tc>
        <w:tc>
          <w:tcPr>
            <w:tcW w:w="1101" w:type="dxa"/>
            <w:vAlign w:val="center"/>
          </w:tcPr>
          <w:p w14:paraId="01D1757E">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半年</w:t>
            </w:r>
          </w:p>
        </w:tc>
        <w:tc>
          <w:tcPr>
            <w:tcW w:w="760" w:type="dxa"/>
            <w:vMerge w:val="continue"/>
            <w:vAlign w:val="center"/>
          </w:tcPr>
          <w:p w14:paraId="784F3A7D">
            <w:pPr>
              <w:jc w:val="center"/>
              <w:rPr>
                <w:rFonts w:ascii="Times New Roman" w:hAnsi="Times New Roman" w:eastAsia="宋体" w:cs="Times New Roman"/>
                <w:color w:val="0000FF"/>
                <w:szCs w:val="21"/>
              </w:rPr>
            </w:pPr>
          </w:p>
        </w:tc>
        <w:tc>
          <w:tcPr>
            <w:tcW w:w="848" w:type="dxa"/>
            <w:vMerge w:val="continue"/>
            <w:vAlign w:val="center"/>
          </w:tcPr>
          <w:p w14:paraId="688FC6AE">
            <w:pPr>
              <w:jc w:val="center"/>
              <w:rPr>
                <w:rFonts w:ascii="Times New Roman" w:hAnsi="Times New Roman" w:eastAsia="宋体" w:cs="Times New Roman"/>
                <w:color w:val="0000FF"/>
                <w:szCs w:val="21"/>
              </w:rPr>
            </w:pPr>
          </w:p>
        </w:tc>
        <w:tc>
          <w:tcPr>
            <w:tcW w:w="1983" w:type="dxa"/>
            <w:vAlign w:val="center"/>
          </w:tcPr>
          <w:p w14:paraId="138BF3B5">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桶装贮存</w:t>
            </w:r>
          </w:p>
        </w:tc>
        <w:tc>
          <w:tcPr>
            <w:tcW w:w="792" w:type="dxa"/>
            <w:vAlign w:val="center"/>
          </w:tcPr>
          <w:p w14:paraId="45AC5FFC">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0.5t</w:t>
            </w:r>
          </w:p>
        </w:tc>
        <w:tc>
          <w:tcPr>
            <w:tcW w:w="1314" w:type="dxa"/>
            <w:vAlign w:val="center"/>
          </w:tcPr>
          <w:p w14:paraId="62886ACD">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半年</w:t>
            </w:r>
          </w:p>
        </w:tc>
        <w:tc>
          <w:tcPr>
            <w:tcW w:w="1495" w:type="dxa"/>
            <w:vAlign w:val="center"/>
          </w:tcPr>
          <w:p w14:paraId="7B01D386">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r w14:paraId="3806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vAlign w:val="center"/>
          </w:tcPr>
          <w:p w14:paraId="602B803E">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废过滤棉（含漆渣）</w:t>
            </w:r>
          </w:p>
        </w:tc>
        <w:tc>
          <w:tcPr>
            <w:tcW w:w="1067" w:type="dxa"/>
            <w:vAlign w:val="center"/>
          </w:tcPr>
          <w:p w14:paraId="1C040934">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HW49</w:t>
            </w:r>
          </w:p>
        </w:tc>
        <w:tc>
          <w:tcPr>
            <w:tcW w:w="1268" w:type="dxa"/>
            <w:vAlign w:val="center"/>
          </w:tcPr>
          <w:p w14:paraId="327FB529">
            <w:pPr>
              <w:jc w:val="center"/>
              <w:rPr>
                <w:rFonts w:ascii="Times New Roman" w:hAnsi="Times New Roman" w:eastAsia="宋体" w:cs="Times New Roman"/>
                <w:color w:val="0000FF"/>
                <w:szCs w:val="21"/>
              </w:rPr>
            </w:pPr>
            <w:r>
              <w:rPr>
                <w:rFonts w:hint="eastAsia" w:ascii="Times New Roman" w:hAnsi="Times New Roman" w:eastAsia="宋体" w:cs="Times New Roman"/>
                <w:szCs w:val="21"/>
              </w:rPr>
              <w:t>900-041-49</w:t>
            </w:r>
          </w:p>
        </w:tc>
        <w:tc>
          <w:tcPr>
            <w:tcW w:w="1339" w:type="dxa"/>
            <w:vAlign w:val="center"/>
          </w:tcPr>
          <w:p w14:paraId="0250EC64">
            <w:pPr>
              <w:jc w:val="center"/>
              <w:rPr>
                <w:rFonts w:ascii="Times New Roman" w:hAnsi="Times New Roman" w:eastAsia="宋体" w:cs="Times New Roman"/>
                <w:color w:val="0000FF"/>
                <w:szCs w:val="21"/>
              </w:rPr>
            </w:pPr>
            <w:r>
              <w:rPr>
                <w:rFonts w:hint="eastAsia" w:ascii="Times New Roman" w:hAnsi="Times New Roman" w:cs="Times New Roman"/>
                <w:szCs w:val="21"/>
              </w:rPr>
              <w:t>0.5</w:t>
            </w:r>
          </w:p>
        </w:tc>
        <w:tc>
          <w:tcPr>
            <w:tcW w:w="1101" w:type="dxa"/>
            <w:vAlign w:val="center"/>
          </w:tcPr>
          <w:p w14:paraId="6B2C6D3D">
            <w:pPr>
              <w:jc w:val="center"/>
              <w:rPr>
                <w:rFonts w:ascii="Times New Roman" w:hAnsi="Times New Roman" w:eastAsia="宋体" w:cs="Times New Roman"/>
                <w:color w:val="0000FF"/>
                <w:szCs w:val="21"/>
              </w:rPr>
            </w:pPr>
            <w:r>
              <w:rPr>
                <w:rFonts w:hint="eastAsia" w:ascii="Times New Roman" w:hAnsi="Times New Roman" w:eastAsia="宋体" w:cs="Times New Roman"/>
                <w:bCs/>
                <w:kern w:val="0"/>
                <w:szCs w:val="21"/>
              </w:rPr>
              <w:t>1月</w:t>
            </w:r>
          </w:p>
        </w:tc>
        <w:tc>
          <w:tcPr>
            <w:tcW w:w="760" w:type="dxa"/>
            <w:vMerge w:val="continue"/>
            <w:vAlign w:val="center"/>
          </w:tcPr>
          <w:p w14:paraId="1B601BAC">
            <w:pPr>
              <w:jc w:val="center"/>
              <w:rPr>
                <w:rFonts w:ascii="Times New Roman" w:hAnsi="Times New Roman" w:eastAsia="宋体" w:cs="Times New Roman"/>
                <w:color w:val="0000FF"/>
                <w:szCs w:val="21"/>
              </w:rPr>
            </w:pPr>
          </w:p>
        </w:tc>
        <w:tc>
          <w:tcPr>
            <w:tcW w:w="848" w:type="dxa"/>
            <w:vMerge w:val="continue"/>
            <w:vAlign w:val="center"/>
          </w:tcPr>
          <w:p w14:paraId="6A5B28FB">
            <w:pPr>
              <w:jc w:val="center"/>
              <w:rPr>
                <w:rFonts w:ascii="Times New Roman" w:hAnsi="Times New Roman" w:eastAsia="宋体" w:cs="Times New Roman"/>
                <w:color w:val="0000FF"/>
                <w:szCs w:val="21"/>
              </w:rPr>
            </w:pPr>
          </w:p>
        </w:tc>
        <w:tc>
          <w:tcPr>
            <w:tcW w:w="1983" w:type="dxa"/>
            <w:vAlign w:val="center"/>
          </w:tcPr>
          <w:p w14:paraId="66F19237">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袋装贮存</w:t>
            </w:r>
          </w:p>
        </w:tc>
        <w:tc>
          <w:tcPr>
            <w:tcW w:w="792" w:type="dxa"/>
            <w:vAlign w:val="center"/>
          </w:tcPr>
          <w:p w14:paraId="0CF50835">
            <w:pPr>
              <w:jc w:val="center"/>
              <w:rPr>
                <w:rFonts w:ascii="Times New Roman" w:hAnsi="Times New Roman" w:cs="Times New Roman"/>
                <w:color w:val="auto"/>
                <w:kern w:val="0"/>
                <w:szCs w:val="21"/>
              </w:rPr>
            </w:pPr>
            <w:r>
              <w:rPr>
                <w:rFonts w:ascii="Times New Roman" w:hAnsi="Times New Roman" w:cs="Times New Roman"/>
                <w:color w:val="auto"/>
                <w:kern w:val="0"/>
                <w:szCs w:val="21"/>
              </w:rPr>
              <w:t>1t</w:t>
            </w:r>
          </w:p>
        </w:tc>
        <w:tc>
          <w:tcPr>
            <w:tcW w:w="1314" w:type="dxa"/>
            <w:vAlign w:val="center"/>
          </w:tcPr>
          <w:p w14:paraId="5D9C4BBF">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半年</w:t>
            </w:r>
          </w:p>
        </w:tc>
        <w:tc>
          <w:tcPr>
            <w:tcW w:w="1495" w:type="dxa"/>
            <w:vAlign w:val="center"/>
          </w:tcPr>
          <w:p w14:paraId="57FFB51D">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是</w:t>
            </w:r>
          </w:p>
        </w:tc>
      </w:tr>
    </w:tbl>
    <w:p w14:paraId="0FCCE992"/>
    <w:p w14:paraId="3084C253">
      <w:pPr>
        <w:spacing w:line="360" w:lineRule="auto"/>
        <w:ind w:firstLine="420" w:firstLineChars="200"/>
      </w:pPr>
    </w:p>
    <w:p w14:paraId="354020BE">
      <w:pPr>
        <w:pStyle w:val="39"/>
        <w:sectPr>
          <w:headerReference r:id="rId23" w:type="default"/>
          <w:pgSz w:w="16838" w:h="11906" w:orient="landscape"/>
          <w:pgMar w:top="1800" w:right="1440" w:bottom="1800" w:left="1440" w:header="851" w:footer="992" w:gutter="0"/>
          <w:pgNumType w:fmt="decimal"/>
          <w:cols w:space="425" w:num="1"/>
          <w:docGrid w:type="lines" w:linePitch="312" w:charSpace="0"/>
        </w:sectPr>
      </w:pPr>
    </w:p>
    <w:p w14:paraId="1F4A39D6">
      <w:pPr>
        <w:pStyle w:val="4"/>
        <w:numPr>
          <w:ilvl w:val="2"/>
          <w:numId w:val="75"/>
        </w:numPr>
        <w:tabs>
          <w:tab w:val="clear" w:pos="0"/>
        </w:tabs>
        <w:adjustRightInd w:val="0"/>
        <w:snapToGrid w:val="0"/>
      </w:pPr>
      <w:r>
        <w:rPr>
          <w:rFonts w:hint="eastAsia"/>
        </w:rPr>
        <w:t>运输过程的污染防治措施</w:t>
      </w:r>
    </w:p>
    <w:p w14:paraId="41ADFF60">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厂内运输过程中，通过使用的运输工具将危险废物从厂区内产生工艺环节运输到危险废物仓库。运输危险废物时保持密闭状态，由于厂内运输距离较短，因此运输过程对周围环境影响较小。</w:t>
      </w:r>
    </w:p>
    <w:p w14:paraId="3ACCA863">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在厂外收集贮存和运输过程</w:t>
      </w:r>
      <w:r>
        <w:rPr>
          <w:rFonts w:hint="eastAsia" w:ascii="Times New Roman" w:hAnsi="Times New Roman" w:eastAsia="宋体" w:cs="Times New Roman"/>
          <w:bCs/>
          <w:color w:val="000000" w:themeColor="text1"/>
          <w:kern w:val="0"/>
          <w:sz w:val="24"/>
          <w14:textFill>
            <w14:solidFill>
              <w14:schemeClr w14:val="tx1"/>
            </w14:solidFill>
          </w14:textFill>
        </w:rPr>
        <w:t>须按照《危险废物收集贮存运输技术规范》（HJ2025）中相关要求执行。</w:t>
      </w:r>
      <w:r>
        <w:rPr>
          <w:rFonts w:hint="eastAsia" w:ascii="Times New Roman" w:hAnsi="Times New Roman" w:eastAsia="宋体" w:cs="Times New Roman"/>
          <w:color w:val="000000" w:themeColor="text1"/>
          <w:sz w:val="24"/>
          <w14:textFill>
            <w14:solidFill>
              <w14:schemeClr w14:val="tx1"/>
            </w14:solidFill>
          </w14:textFill>
        </w:rPr>
        <w:t>本项目危险废物运输过程应采取以下措施：</w:t>
      </w:r>
    </w:p>
    <w:p w14:paraId="4843BB83">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（1）危险废物运输应有持有危险废物经营许可证的单位按照其许可证的经营范围组织实施，承担危险废物运输的单位应获得交通运输部门颁发的危险货物运输资质。</w:t>
      </w:r>
    </w:p>
    <w:p w14:paraId="10C87F73">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（2）危险废物公路运输应按照《道路危险货物运输管理规定》（交通部令[</w:t>
      </w:r>
      <w:r>
        <w:rPr>
          <w:rFonts w:ascii="Times New Roman" w:hAnsi="Times New Roman" w:eastAsia="宋体" w:cs="Times New Roman"/>
          <w:sz w:val="24"/>
        </w:rPr>
        <w:t>2005]</w:t>
      </w:r>
      <w:r>
        <w:rPr>
          <w:rFonts w:hint="eastAsia" w:ascii="Times New Roman" w:hAnsi="Times New Roman" w:eastAsia="宋体" w:cs="Times New Roman"/>
          <w:sz w:val="24"/>
        </w:rPr>
        <w:t>第</w:t>
      </w:r>
      <w:r>
        <w:rPr>
          <w:rFonts w:ascii="Times New Roman" w:hAnsi="Times New Roman" w:eastAsia="宋体" w:cs="Times New Roman"/>
          <w:sz w:val="24"/>
        </w:rPr>
        <w:t>9</w:t>
      </w:r>
      <w:r>
        <w:rPr>
          <w:rFonts w:hint="eastAsia" w:ascii="Times New Roman" w:hAnsi="Times New Roman" w:eastAsia="宋体" w:cs="Times New Roman"/>
          <w:sz w:val="24"/>
        </w:rPr>
        <w:t>号）、JT</w:t>
      </w:r>
      <w:r>
        <w:rPr>
          <w:rFonts w:ascii="Times New Roman" w:hAnsi="Times New Roman" w:eastAsia="宋体" w:cs="Times New Roman"/>
          <w:sz w:val="24"/>
        </w:rPr>
        <w:t>617</w:t>
      </w:r>
      <w:r>
        <w:rPr>
          <w:rFonts w:hint="eastAsia" w:ascii="Times New Roman" w:hAnsi="Times New Roman" w:eastAsia="宋体" w:cs="Times New Roman"/>
          <w:sz w:val="24"/>
        </w:rPr>
        <w:t>以及JT</w:t>
      </w:r>
      <w:r>
        <w:rPr>
          <w:rFonts w:ascii="Times New Roman" w:hAnsi="Times New Roman" w:eastAsia="宋体" w:cs="Times New Roman"/>
          <w:sz w:val="24"/>
        </w:rPr>
        <w:t>618</w:t>
      </w:r>
      <w:r>
        <w:rPr>
          <w:rFonts w:hint="eastAsia" w:ascii="Times New Roman" w:hAnsi="Times New Roman" w:eastAsia="宋体" w:cs="Times New Roman"/>
          <w:sz w:val="24"/>
        </w:rPr>
        <w:t>执行；危险废物铁路运输应按《铁路危险废物运输管理规则》（铁运[</w:t>
      </w:r>
      <w:r>
        <w:rPr>
          <w:rFonts w:ascii="Times New Roman" w:hAnsi="Times New Roman" w:eastAsia="宋体" w:cs="Times New Roman"/>
          <w:sz w:val="24"/>
        </w:rPr>
        <w:t>2006]79</w:t>
      </w:r>
      <w:r>
        <w:rPr>
          <w:rFonts w:hint="eastAsia" w:ascii="Times New Roman" w:hAnsi="Times New Roman" w:eastAsia="宋体" w:cs="Times New Roman"/>
          <w:sz w:val="24"/>
        </w:rPr>
        <w:t>号）规定执行；危险废物水路运输应按《水路危险货物运输规则》（交通部令[</w:t>
      </w:r>
      <w:r>
        <w:rPr>
          <w:rFonts w:ascii="Times New Roman" w:hAnsi="Times New Roman" w:eastAsia="宋体" w:cs="Times New Roman"/>
          <w:sz w:val="24"/>
        </w:rPr>
        <w:t>1996</w:t>
      </w:r>
      <w:r>
        <w:rPr>
          <w:rFonts w:hint="eastAsia" w:ascii="Times New Roman" w:hAnsi="Times New Roman" w:eastAsia="宋体" w:cs="Times New Roman"/>
          <w:sz w:val="24"/>
        </w:rPr>
        <w:t>年</w:t>
      </w:r>
      <w:r>
        <w:rPr>
          <w:rFonts w:ascii="Times New Roman" w:hAnsi="Times New Roman" w:eastAsia="宋体" w:cs="Times New Roman"/>
          <w:sz w:val="24"/>
        </w:rPr>
        <w:t>]</w:t>
      </w:r>
      <w:r>
        <w:rPr>
          <w:rFonts w:hint="eastAsia" w:ascii="Times New Roman" w:hAnsi="Times New Roman" w:eastAsia="宋体" w:cs="Times New Roman"/>
          <w:sz w:val="24"/>
        </w:rPr>
        <w:t>第1</w:t>
      </w:r>
      <w:r>
        <w:rPr>
          <w:rFonts w:ascii="Times New Roman" w:hAnsi="Times New Roman" w:eastAsia="宋体" w:cs="Times New Roman"/>
          <w:sz w:val="24"/>
        </w:rPr>
        <w:t>0</w:t>
      </w:r>
      <w:r>
        <w:rPr>
          <w:rFonts w:hint="eastAsia" w:ascii="Times New Roman" w:hAnsi="Times New Roman" w:eastAsia="宋体" w:cs="Times New Roman"/>
          <w:sz w:val="24"/>
        </w:rPr>
        <w:t>号）规定执行。</w:t>
      </w:r>
    </w:p>
    <w:p w14:paraId="5ADCED76">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（3）废弃化学品的运输应执行《危险化学品安全管理条例》有关运输的规定。</w:t>
      </w:r>
    </w:p>
    <w:p w14:paraId="46946BC6">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（4）运输单位承运危险废物时，应在危险废物包装上按照GB</w:t>
      </w:r>
      <w:r>
        <w:rPr>
          <w:rFonts w:ascii="Times New Roman" w:hAnsi="Times New Roman" w:eastAsia="宋体" w:cs="Times New Roman"/>
          <w:sz w:val="24"/>
        </w:rPr>
        <w:t>18597</w:t>
      </w:r>
      <w:r>
        <w:rPr>
          <w:rFonts w:hint="eastAsia" w:ascii="Times New Roman" w:hAnsi="Times New Roman" w:eastAsia="宋体" w:cs="Times New Roman"/>
          <w:sz w:val="24"/>
        </w:rPr>
        <w:t>附录A设置标志。</w:t>
      </w:r>
    </w:p>
    <w:p w14:paraId="4EB7BE5A">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（5）危险废物公路运输时，运输车辆应按GB</w:t>
      </w:r>
      <w:r>
        <w:rPr>
          <w:rFonts w:ascii="Times New Roman" w:hAnsi="Times New Roman" w:eastAsia="宋体" w:cs="Times New Roman"/>
          <w:sz w:val="24"/>
        </w:rPr>
        <w:t>13392</w:t>
      </w:r>
      <w:r>
        <w:rPr>
          <w:rFonts w:hint="eastAsia" w:ascii="Times New Roman" w:hAnsi="Times New Roman" w:eastAsia="宋体" w:cs="Times New Roman"/>
          <w:sz w:val="24"/>
        </w:rPr>
        <w:t>设置车辆标志。铁路运输和水路运输危险废物时应在集装箱外按GB</w:t>
      </w:r>
      <w:r>
        <w:rPr>
          <w:rFonts w:ascii="Times New Roman" w:hAnsi="Times New Roman" w:eastAsia="宋体" w:cs="Times New Roman"/>
          <w:sz w:val="24"/>
        </w:rPr>
        <w:t>910</w:t>
      </w:r>
      <w:r>
        <w:rPr>
          <w:rFonts w:hint="eastAsia" w:ascii="Times New Roman" w:hAnsi="Times New Roman" w:eastAsia="宋体" w:cs="Times New Roman"/>
          <w:sz w:val="24"/>
        </w:rPr>
        <w:t>规定悬挂标志。</w:t>
      </w:r>
    </w:p>
    <w:p w14:paraId="556B1369">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（6）危险废物运输时的中转、装卸过程应遵守的技术要求包括：</w:t>
      </w:r>
      <w:r>
        <w:rPr>
          <w:rFonts w:hint="eastAsia" w:ascii="宋体" w:hAnsi="宋体" w:eastAsia="宋体" w:cs="Times New Roman"/>
          <w:sz w:val="24"/>
        </w:rPr>
        <w:t>①</w:t>
      </w:r>
      <w:r>
        <w:rPr>
          <w:rFonts w:hint="eastAsia" w:ascii="Times New Roman" w:hAnsi="Times New Roman" w:eastAsia="宋体" w:cs="Times New Roman"/>
          <w:sz w:val="24"/>
        </w:rPr>
        <w:t>卸载区的工作人员应熟悉废物的危险特性，并配备适当的个人防护装备，装卸剧毒废物应配备特殊的防护装备；</w:t>
      </w:r>
      <w:r>
        <w:rPr>
          <w:rFonts w:hint="eastAsia" w:ascii="宋体" w:hAnsi="宋体" w:eastAsia="宋体" w:cs="Times New Roman"/>
          <w:sz w:val="24"/>
        </w:rPr>
        <w:t>②</w:t>
      </w:r>
      <w:r>
        <w:rPr>
          <w:rFonts w:hint="eastAsia" w:ascii="Times New Roman" w:hAnsi="Times New Roman" w:eastAsia="宋体" w:cs="Times New Roman"/>
          <w:sz w:val="24"/>
        </w:rPr>
        <w:t>卸载区应配备必要的消防设备和设施。并设置明显的指示标志；</w:t>
      </w:r>
      <w:r>
        <w:rPr>
          <w:rFonts w:hint="eastAsia" w:ascii="宋体" w:hAnsi="宋体" w:eastAsia="宋体" w:cs="Times New Roman"/>
          <w:sz w:val="24"/>
        </w:rPr>
        <w:t>③</w:t>
      </w:r>
      <w:r>
        <w:rPr>
          <w:rFonts w:hint="eastAsia" w:ascii="Times New Roman" w:hAnsi="Times New Roman" w:eastAsia="宋体" w:cs="Times New Roman"/>
          <w:sz w:val="24"/>
        </w:rPr>
        <w:t>危险废物装卸区应设置隔离设施，液态废物卸载区应设置收集槽和缓冲罐。</w:t>
      </w:r>
    </w:p>
    <w:p w14:paraId="4E54EE82">
      <w:pPr>
        <w:pStyle w:val="4"/>
        <w:numPr>
          <w:ilvl w:val="2"/>
          <w:numId w:val="75"/>
        </w:numPr>
        <w:tabs>
          <w:tab w:val="clear" w:pos="0"/>
        </w:tabs>
        <w:adjustRightInd w:val="0"/>
        <w:snapToGrid w:val="0"/>
      </w:pPr>
      <w:r>
        <w:rPr>
          <w:rFonts w:hint="eastAsia"/>
        </w:rPr>
        <w:t>危险废物处置的可行性</w:t>
      </w:r>
    </w:p>
    <w:p w14:paraId="2745DC74">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color w:val="000000" w:themeColor="text1"/>
          <w:sz w:val="24"/>
          <w14:textFill>
            <w14:solidFill>
              <w14:schemeClr w14:val="tx1"/>
            </w14:solidFill>
          </w14:textFill>
        </w:rPr>
        <w:t>本项目产生的</w:t>
      </w:r>
      <w:r>
        <w:rPr>
          <w:rFonts w:hint="eastAsia" w:ascii="Times New Roman" w:hAnsi="Times New Roman" w:eastAsia="宋体" w:cs="Times New Roman"/>
          <w:bCs/>
          <w:kern w:val="0"/>
          <w:sz w:val="24"/>
        </w:rPr>
        <w:t>废破损包装桶（废油漆桶、废胶桶、稀释剂桶）、水帘漆渣、油磨漆渣、污水处理中产生的絮状沉淀物、废活性炭、喷枪清洗废水、废催化剂、废机油、废过滤棉（含漆渣），分别交由相应资质单位处理。</w:t>
      </w:r>
    </w:p>
    <w:p w14:paraId="33D9F95F">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sz w:val="24"/>
        </w:rPr>
        <w:t>危险废物拟委托的处理、处置单位须是按照相关要求履行了环保手续，并取得了相应类别的危废许可证。危险废物的处理、处置措施须正常运转，并有足够的余量接收本项目的危险废物。采用焚烧处置的本项目危险废物的须满足《危险废物焚烧污染控制标准》（GB18484）；采用填埋处置本项目危险废物的须满足《危险废物填埋污染控制标准》（GB18598）；采用水泥窑协同处置本项目危险废物的须满足《水泥窑协同处置固体废物污染控制标准》（GB30485）；采用其他方式处理、处置本项目危险废物的须满足相应的控制标准。</w:t>
      </w:r>
    </w:p>
    <w:p w14:paraId="4942DAA2">
      <w:pPr>
        <w:pStyle w:val="3"/>
        <w:numPr>
          <w:ilvl w:val="1"/>
          <w:numId w:val="75"/>
        </w:numPr>
        <w:tabs>
          <w:tab w:val="clear" w:pos="0"/>
        </w:tabs>
        <w:adjustRightInd w:val="0"/>
        <w:snapToGrid w:val="0"/>
      </w:pPr>
      <w:bookmarkStart w:id="285" w:name="_Toc16499"/>
      <w:r>
        <w:rPr>
          <w:rFonts w:hint="eastAsia"/>
        </w:rPr>
        <w:t>地下水污染防治措施</w:t>
      </w:r>
      <w:bookmarkEnd w:id="285"/>
    </w:p>
    <w:p w14:paraId="7DEF15AA">
      <w:pPr>
        <w:pStyle w:val="4"/>
        <w:numPr>
          <w:ilvl w:val="2"/>
          <w:numId w:val="75"/>
        </w:numPr>
        <w:tabs>
          <w:tab w:val="clear" w:pos="0"/>
        </w:tabs>
        <w:adjustRightInd w:val="0"/>
        <w:snapToGrid w:val="0"/>
      </w:pPr>
      <w:r>
        <w:rPr>
          <w:rFonts w:hint="eastAsia"/>
        </w:rPr>
        <w:t>地下水环境保护要求及控制原则</w:t>
      </w:r>
    </w:p>
    <w:p w14:paraId="3A2F211B">
      <w:pPr>
        <w:tabs>
          <w:tab w:val="left" w:pos="7350"/>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生产厂房、仓库以及厂区内的化粪池、生产废水处理设施等可能产生的污染源，如果不采取合理的防治措施，废水中的污染物有可能渗入地下水，从而影响地下水环境。因此，必须制定相应的地下水环境保护措施，进行综合环境管理。本项目地下水污染防治措施按照“源头控制、分区防控、污染监控、应急响应”相结合的原则，从污染物的产生、入渗、扩散、应急响应进行控制。</w:t>
      </w:r>
    </w:p>
    <w:p w14:paraId="3D9D0E00">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工程生产运行过程中要建立健全地下水保护与污染防治的措施与方法；必须采取必要监测制度，一旦发现地下水遭受污染，就应及时采取措施，防微杜渐；尽量减少污染物进入地下含水层的机会和数量。</w:t>
      </w:r>
    </w:p>
    <w:p w14:paraId="06982BE9">
      <w:pPr>
        <w:pStyle w:val="4"/>
        <w:numPr>
          <w:ilvl w:val="2"/>
          <w:numId w:val="75"/>
        </w:numPr>
        <w:tabs>
          <w:tab w:val="clear" w:pos="0"/>
        </w:tabs>
        <w:adjustRightInd w:val="0"/>
        <w:snapToGrid w:val="0"/>
      </w:pPr>
      <w:r>
        <w:rPr>
          <w:rFonts w:hint="eastAsia"/>
        </w:rPr>
        <w:t>源头控制措施</w:t>
      </w:r>
    </w:p>
    <w:p w14:paraId="63B66FC9">
      <w:pPr>
        <w:adjustRightInd w:val="0"/>
        <w:snapToGrid w:val="0"/>
        <w:spacing w:line="360" w:lineRule="auto"/>
        <w:ind w:firstLine="480" w:firstLineChars="200"/>
        <w:rPr>
          <w:rFonts w:eastAsia="宋体"/>
        </w:rPr>
      </w:pPr>
      <w:r>
        <w:rPr>
          <w:rFonts w:hint="eastAsia" w:ascii="Times New Roman" w:hAnsi="Times New Roman" w:eastAsia="宋体" w:cs="Times New Roman"/>
          <w:sz w:val="24"/>
        </w:rPr>
        <w:t>对于地下水污染防治首先进行源头控制，主要包括提出实施清洁生产及各类废物循环利用的具体方案，减少污染物的排放量；提出工艺、管道、设备、污水储存及处理构筑物应采取的控制措施防止污染物的跑、冒、滴、漏，将污染物泄漏的环境风险事故降到最低限度。本项目应对可能造成地下水污染的装置或设施所在位置及周边进行防渗。管线敷设尽量采用“可视化”原则，即管道尽可能地上敷设，做到污染物“早发现、早处理”，减少由于埋地管道泄漏而造成的地下水污染。</w:t>
      </w:r>
    </w:p>
    <w:p w14:paraId="3A1B32AE">
      <w:pPr>
        <w:pStyle w:val="4"/>
        <w:numPr>
          <w:ilvl w:val="2"/>
          <w:numId w:val="75"/>
        </w:numPr>
        <w:tabs>
          <w:tab w:val="clear" w:pos="0"/>
        </w:tabs>
        <w:adjustRightInd w:val="0"/>
        <w:snapToGrid w:val="0"/>
      </w:pPr>
      <w:r>
        <w:rPr>
          <w:rFonts w:hint="eastAsia"/>
        </w:rPr>
        <w:t>分区防控措施</w:t>
      </w:r>
    </w:p>
    <w:p w14:paraId="0CD5A32E">
      <w:pPr>
        <w:adjustRightInd w:val="0"/>
        <w:snapToGri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根据导则，按照场地天然包气带防污性能、污染控制难易程度及污染物类型，将全场进行分区防治，将建设场地划分为重点防渗区、一般防渗区和简单防渗区，防渗设计应根据污染防治分区采取相应的防渗方案。</w:t>
      </w:r>
    </w:p>
    <w:p w14:paraId="63D0CC83">
      <w:pPr>
        <w:adjustRightInd w:val="0"/>
        <w:snapToGri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重点防渗区：是指对地下水环境有污染的物料或污染物泄漏后，难以及时发现和处理的区域或部位，主要包括：</w:t>
      </w:r>
      <w:r>
        <w:rPr>
          <w:rFonts w:hint="eastAsia" w:ascii="Times New Roman" w:hAnsi="Times New Roman" w:eastAsia="宋体" w:cs="Times New Roman"/>
          <w:b/>
          <w:bCs/>
          <w:sz w:val="24"/>
          <w:u w:val="single"/>
        </w:rPr>
        <w:t>生产车间2F、生产废水处理站、危废暂存间等。</w:t>
      </w:r>
    </w:p>
    <w:p w14:paraId="46A3741D">
      <w:pPr>
        <w:adjustRightInd w:val="0"/>
        <w:snapToGrid w:val="0"/>
        <w:spacing w:line="360" w:lineRule="auto"/>
        <w:ind w:firstLine="482" w:firstLineChars="200"/>
        <w:rPr>
          <w:rFonts w:ascii="Times New Roman" w:hAnsi="Times New Roman" w:eastAsia="宋体" w:cs="Times New Roman"/>
          <w:b/>
          <w:bCs/>
          <w:sz w:val="24"/>
          <w:u w:val="single"/>
        </w:rPr>
      </w:pPr>
      <w:r>
        <w:rPr>
          <w:rFonts w:hint="eastAsia" w:ascii="Times New Roman" w:hAnsi="Times New Roman" w:eastAsia="宋体" w:cs="Times New Roman"/>
          <w:b/>
          <w:bCs/>
          <w:sz w:val="24"/>
          <w:u w:val="single"/>
        </w:rPr>
        <w:t>一般防渗区</w:t>
      </w:r>
      <w:r>
        <w:rPr>
          <w:rFonts w:ascii="Times New Roman" w:hAnsi="Times New Roman" w:eastAsia="宋体" w:cs="Times New Roman"/>
          <w:b/>
          <w:bCs/>
          <w:sz w:val="24"/>
          <w:u w:val="single"/>
        </w:rPr>
        <w:t>：是指对地下水环境有污染的物料或污染物泄漏后，不能及时发现和处理的区域或部位，主要包括：</w:t>
      </w:r>
      <w:r>
        <w:rPr>
          <w:rFonts w:hint="eastAsia" w:ascii="Times New Roman" w:hAnsi="Times New Roman" w:eastAsia="宋体" w:cs="Times New Roman"/>
          <w:b/>
          <w:bCs/>
          <w:sz w:val="24"/>
          <w:u w:val="single"/>
        </w:rPr>
        <w:t>生产车间1F、一般工业固废间</w:t>
      </w:r>
      <w:r>
        <w:rPr>
          <w:rFonts w:ascii="Times New Roman" w:hAnsi="Times New Roman" w:eastAsia="宋体" w:cs="Times New Roman"/>
          <w:b/>
          <w:bCs/>
          <w:sz w:val="24"/>
          <w:u w:val="single"/>
        </w:rPr>
        <w:t>等。</w:t>
      </w:r>
    </w:p>
    <w:p w14:paraId="50301B6B">
      <w:pPr>
        <w:adjustRightInd w:val="0"/>
        <w:snapToGri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简单防渗区：</w:t>
      </w:r>
      <w:r>
        <w:rPr>
          <w:rFonts w:hint="eastAsia" w:ascii="Times New Roman" w:hAnsi="Times New Roman" w:eastAsia="宋体" w:cs="Times New Roman"/>
          <w:b/>
          <w:bCs/>
          <w:sz w:val="24"/>
          <w:u w:val="single"/>
        </w:rPr>
        <w:t>厂区内除重点防渗区和一般防渗区外的其他区域</w:t>
      </w:r>
      <w:r>
        <w:rPr>
          <w:rFonts w:ascii="Times New Roman" w:hAnsi="Times New Roman" w:eastAsia="宋体" w:cs="Times New Roman"/>
          <w:b/>
          <w:bCs/>
          <w:sz w:val="24"/>
          <w:u w:val="single"/>
        </w:rPr>
        <w:t>。</w:t>
      </w:r>
    </w:p>
    <w:p w14:paraId="04215D66">
      <w:pPr>
        <w:adjustRightInd w:val="0"/>
        <w:snapToGri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本项目防渗要求设计详见</w:t>
      </w:r>
      <w:r>
        <w:rPr>
          <w:rFonts w:hint="eastAsia" w:ascii="Times New Roman" w:hAnsi="Times New Roman" w:eastAsia="宋体" w:cs="Times New Roman"/>
          <w:b/>
          <w:bCs/>
          <w:sz w:val="24"/>
          <w:u w:val="single"/>
        </w:rPr>
        <w:t>下</w:t>
      </w:r>
      <w:r>
        <w:rPr>
          <w:rFonts w:ascii="Times New Roman" w:hAnsi="Times New Roman" w:eastAsia="宋体" w:cs="Times New Roman"/>
          <w:b/>
          <w:bCs/>
          <w:sz w:val="24"/>
          <w:u w:val="single"/>
        </w:rPr>
        <w:t>表。</w:t>
      </w:r>
    </w:p>
    <w:p w14:paraId="1948918E">
      <w:pPr>
        <w:adjustRightInd w:val="0"/>
        <w:snapToGrid w:val="0"/>
        <w:spacing w:line="360" w:lineRule="auto"/>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表6.</w:t>
      </w:r>
      <w:r>
        <w:rPr>
          <w:rFonts w:hint="eastAsia" w:ascii="Times New Roman" w:hAnsi="Times New Roman" w:eastAsia="宋体" w:cs="Times New Roman"/>
          <w:b/>
          <w:bCs/>
          <w:szCs w:val="21"/>
          <w:u w:val="single"/>
        </w:rPr>
        <w:t>6-</w:t>
      </w:r>
      <w:r>
        <w:rPr>
          <w:rFonts w:ascii="Times New Roman" w:hAnsi="Times New Roman" w:eastAsia="宋体" w:cs="Times New Roman"/>
          <w:b/>
          <w:bCs/>
          <w:szCs w:val="21"/>
          <w:u w:val="single"/>
        </w:rPr>
        <w:t>1  项目防渗措施要求一览表</w:t>
      </w:r>
    </w:p>
    <w:tbl>
      <w:tblPr>
        <w:tblStyle w:val="3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522"/>
        <w:gridCol w:w="3645"/>
      </w:tblGrid>
      <w:tr w14:paraId="0931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Align w:val="center"/>
          </w:tcPr>
          <w:p w14:paraId="3CE93CC7">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分区类别</w:t>
            </w:r>
          </w:p>
        </w:tc>
        <w:tc>
          <w:tcPr>
            <w:tcW w:w="3522" w:type="dxa"/>
            <w:vAlign w:val="center"/>
          </w:tcPr>
          <w:p w14:paraId="43A5EE71">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污染防治区域及部位</w:t>
            </w:r>
          </w:p>
        </w:tc>
        <w:tc>
          <w:tcPr>
            <w:tcW w:w="3645" w:type="dxa"/>
            <w:vAlign w:val="center"/>
          </w:tcPr>
          <w:p w14:paraId="6BD1381B">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防渗技术要求</w:t>
            </w:r>
          </w:p>
        </w:tc>
      </w:tr>
      <w:tr w14:paraId="082D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Align w:val="center"/>
          </w:tcPr>
          <w:p w14:paraId="74B20596">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重点</w:t>
            </w:r>
          </w:p>
          <w:p w14:paraId="7CD576B6">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防渗区</w:t>
            </w:r>
          </w:p>
        </w:tc>
        <w:tc>
          <w:tcPr>
            <w:tcW w:w="3522" w:type="dxa"/>
            <w:vAlign w:val="center"/>
          </w:tcPr>
          <w:p w14:paraId="2889CFF0">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生产车间2F、生产废水处理站、危废暂存间</w:t>
            </w:r>
          </w:p>
        </w:tc>
        <w:tc>
          <w:tcPr>
            <w:tcW w:w="3645" w:type="dxa"/>
            <w:vAlign w:val="center"/>
          </w:tcPr>
          <w:p w14:paraId="4B942D47">
            <w:pPr>
              <w:widowControl/>
              <w:jc w:val="center"/>
              <w:rPr>
                <w:rFonts w:ascii="Times New Roman" w:hAnsi="Times New Roman" w:eastAsia="宋体" w:cs="Times New Roman"/>
                <w:b/>
                <w:bCs/>
                <w:szCs w:val="21"/>
                <w:u w:val="single"/>
              </w:rPr>
            </w:pPr>
            <w:r>
              <w:rPr>
                <w:rFonts w:ascii="Times New Roman" w:hAnsi="Times New Roman" w:cs="Times New Roman"/>
                <w:b/>
                <w:bCs/>
                <w:kern w:val="0"/>
                <w:szCs w:val="21"/>
                <w:u w:val="single"/>
              </w:rPr>
              <w:t>等效</w:t>
            </w:r>
            <w:r>
              <w:rPr>
                <w:rFonts w:hint="eastAsia" w:ascii="Times New Roman" w:hAnsi="Times New Roman" w:cs="Times New Roman"/>
                <w:b/>
                <w:bCs/>
                <w:kern w:val="0"/>
                <w:szCs w:val="21"/>
                <w:u w:val="single"/>
              </w:rPr>
              <w:t>黏土</w:t>
            </w:r>
            <w:r>
              <w:rPr>
                <w:rFonts w:ascii="Times New Roman" w:hAnsi="Times New Roman" w:cs="Times New Roman"/>
                <w:b/>
                <w:bCs/>
                <w:kern w:val="0"/>
                <w:szCs w:val="21"/>
                <w:u w:val="single"/>
              </w:rPr>
              <w:t>防渗层Mb≥6.0m，K≤1.</w:t>
            </w:r>
            <w:r>
              <w:rPr>
                <w:rFonts w:hint="eastAsia" w:ascii="Times New Roman" w:hAnsi="Times New Roman" w:cs="Times New Roman"/>
                <w:b/>
                <w:bCs/>
                <w:kern w:val="0"/>
                <w:szCs w:val="21"/>
                <w:u w:val="single"/>
              </w:rPr>
              <w:t>0</w:t>
            </w:r>
            <w:r>
              <w:rPr>
                <w:rFonts w:ascii="Times New Roman" w:hAnsi="Times New Roman" w:cs="Times New Roman"/>
                <w:b/>
                <w:bCs/>
                <w:kern w:val="0"/>
                <w:szCs w:val="21"/>
                <w:u w:val="single"/>
              </w:rPr>
              <w:t>×10</w:t>
            </w:r>
            <w:r>
              <w:rPr>
                <w:rFonts w:ascii="Times New Roman" w:hAnsi="Times New Roman" w:cs="Times New Roman"/>
                <w:b/>
                <w:bCs/>
                <w:kern w:val="0"/>
                <w:szCs w:val="21"/>
                <w:u w:val="single"/>
                <w:vertAlign w:val="superscript"/>
              </w:rPr>
              <w:t>-7</w:t>
            </w:r>
            <w:r>
              <w:rPr>
                <w:rFonts w:ascii="Times New Roman" w:hAnsi="Times New Roman" w:cs="Times New Roman"/>
                <w:b/>
                <w:bCs/>
                <w:kern w:val="0"/>
                <w:szCs w:val="21"/>
                <w:u w:val="single"/>
              </w:rPr>
              <w:t>cm/s；或参照GB18598执行</w:t>
            </w:r>
          </w:p>
        </w:tc>
      </w:tr>
      <w:tr w14:paraId="569D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Align w:val="center"/>
          </w:tcPr>
          <w:p w14:paraId="02EF495E">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一般</w:t>
            </w:r>
          </w:p>
          <w:p w14:paraId="6FE94761">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防渗区</w:t>
            </w:r>
          </w:p>
        </w:tc>
        <w:tc>
          <w:tcPr>
            <w:tcW w:w="3522" w:type="dxa"/>
            <w:vAlign w:val="center"/>
          </w:tcPr>
          <w:p w14:paraId="5F026225">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生产车间1F、一般工业固废间等</w:t>
            </w:r>
          </w:p>
        </w:tc>
        <w:tc>
          <w:tcPr>
            <w:tcW w:w="3645" w:type="dxa"/>
            <w:vAlign w:val="center"/>
          </w:tcPr>
          <w:p w14:paraId="272E636F">
            <w:pPr>
              <w:widowControl/>
              <w:jc w:val="center"/>
              <w:rPr>
                <w:rFonts w:ascii="Times New Roman" w:hAnsi="Times New Roman" w:eastAsia="宋体" w:cs="Times New Roman"/>
                <w:b/>
                <w:bCs/>
                <w:szCs w:val="21"/>
                <w:u w:val="single"/>
              </w:rPr>
            </w:pPr>
            <w:r>
              <w:rPr>
                <w:rFonts w:ascii="Times New Roman" w:hAnsi="Times New Roman" w:cs="Times New Roman"/>
                <w:b/>
                <w:bCs/>
                <w:kern w:val="0"/>
                <w:szCs w:val="21"/>
                <w:u w:val="single"/>
              </w:rPr>
              <w:t>等效</w:t>
            </w:r>
            <w:r>
              <w:rPr>
                <w:rFonts w:hint="eastAsia" w:ascii="Times New Roman" w:hAnsi="Times New Roman" w:cs="Times New Roman"/>
                <w:b/>
                <w:bCs/>
                <w:kern w:val="0"/>
                <w:szCs w:val="21"/>
                <w:u w:val="single"/>
              </w:rPr>
              <w:t>黏土</w:t>
            </w:r>
            <w:r>
              <w:rPr>
                <w:rFonts w:ascii="Times New Roman" w:hAnsi="Times New Roman" w:cs="Times New Roman"/>
                <w:b/>
                <w:bCs/>
                <w:kern w:val="0"/>
                <w:szCs w:val="21"/>
                <w:u w:val="single"/>
              </w:rPr>
              <w:t>防渗层Mb≥1.5m，K≤1.0×10</w:t>
            </w:r>
            <w:r>
              <w:rPr>
                <w:rFonts w:ascii="Times New Roman" w:hAnsi="Times New Roman" w:cs="Times New Roman"/>
                <w:b/>
                <w:bCs/>
                <w:kern w:val="0"/>
                <w:szCs w:val="21"/>
                <w:u w:val="single"/>
                <w:vertAlign w:val="superscript"/>
              </w:rPr>
              <w:t>-7</w:t>
            </w:r>
            <w:r>
              <w:rPr>
                <w:rFonts w:ascii="Times New Roman" w:hAnsi="Times New Roman" w:cs="Times New Roman"/>
                <w:b/>
                <w:bCs/>
                <w:kern w:val="0"/>
                <w:szCs w:val="21"/>
                <w:u w:val="single"/>
              </w:rPr>
              <w:t>cm/s；或参照GB</w:t>
            </w:r>
            <w:r>
              <w:rPr>
                <w:rFonts w:hint="eastAsia" w:ascii="Times New Roman" w:hAnsi="Times New Roman" w:cs="Times New Roman"/>
                <w:b/>
                <w:bCs/>
                <w:kern w:val="0"/>
                <w:szCs w:val="21"/>
                <w:u w:val="single"/>
              </w:rPr>
              <w:t>16889</w:t>
            </w:r>
            <w:r>
              <w:rPr>
                <w:rFonts w:ascii="Times New Roman" w:hAnsi="Times New Roman" w:cs="Times New Roman"/>
                <w:b/>
                <w:bCs/>
                <w:kern w:val="0"/>
                <w:szCs w:val="21"/>
                <w:u w:val="single"/>
              </w:rPr>
              <w:t>执行</w:t>
            </w:r>
          </w:p>
        </w:tc>
      </w:tr>
      <w:tr w14:paraId="3452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Align w:val="center"/>
          </w:tcPr>
          <w:p w14:paraId="105BBD48">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简单</w:t>
            </w:r>
          </w:p>
          <w:p w14:paraId="7EF87C9D">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防渗区</w:t>
            </w:r>
          </w:p>
        </w:tc>
        <w:tc>
          <w:tcPr>
            <w:tcW w:w="3522" w:type="dxa"/>
            <w:vAlign w:val="center"/>
          </w:tcPr>
          <w:p w14:paraId="292459A1">
            <w:pPr>
              <w:jc w:val="center"/>
              <w:rPr>
                <w:rFonts w:ascii="Times New Roman" w:hAnsi="Times New Roman" w:eastAsia="宋体" w:cs="Times New Roman"/>
                <w:b/>
                <w:bCs/>
                <w:szCs w:val="21"/>
                <w:u w:val="single"/>
              </w:rPr>
            </w:pPr>
            <w:r>
              <w:rPr>
                <w:rFonts w:hint="eastAsia" w:ascii="Times New Roman" w:hAnsi="Times New Roman" w:eastAsia="宋体" w:cs="Times New Roman"/>
                <w:b/>
                <w:bCs/>
                <w:szCs w:val="21"/>
                <w:u w:val="single"/>
              </w:rPr>
              <w:t>厂区内除重点防渗区和一般防渗区外的其他区域</w:t>
            </w:r>
          </w:p>
        </w:tc>
        <w:tc>
          <w:tcPr>
            <w:tcW w:w="3645" w:type="dxa"/>
            <w:vAlign w:val="center"/>
          </w:tcPr>
          <w:p w14:paraId="21EA77B8">
            <w:pPr>
              <w:jc w:val="center"/>
              <w:rPr>
                <w:rFonts w:ascii="Times New Roman" w:hAnsi="Times New Roman" w:eastAsia="宋体" w:cs="Times New Roman"/>
                <w:b/>
                <w:bCs/>
                <w:szCs w:val="21"/>
                <w:u w:val="single"/>
              </w:rPr>
            </w:pPr>
            <w:r>
              <w:rPr>
                <w:rFonts w:ascii="Times New Roman" w:hAnsi="Times New Roman" w:eastAsia="宋体" w:cs="Times New Roman"/>
                <w:b/>
                <w:bCs/>
                <w:szCs w:val="21"/>
                <w:u w:val="single"/>
              </w:rPr>
              <w:t>一般地面硬化</w:t>
            </w:r>
          </w:p>
        </w:tc>
      </w:tr>
    </w:tbl>
    <w:p w14:paraId="3E3E24AF">
      <w:pPr>
        <w:adjustRightInd w:val="0"/>
        <w:snapToGri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本项目防渗措施如下：</w:t>
      </w:r>
    </w:p>
    <w:p w14:paraId="01C4CFC7">
      <w:pPr>
        <w:adjustRightInd w:val="0"/>
        <w:snapToGri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（1）重点防渗区防渗措施：</w:t>
      </w:r>
    </w:p>
    <w:p w14:paraId="77D3826E">
      <w:pPr>
        <w:adjustRightInd w:val="0"/>
        <w:snapToGrid w:val="0"/>
        <w:spacing w:line="360" w:lineRule="auto"/>
        <w:ind w:firstLine="482" w:firstLineChars="200"/>
        <w:rPr>
          <w:rFonts w:ascii="Times New Roman" w:hAnsi="Times New Roman" w:eastAsia="宋体" w:cs="Times New Roman"/>
          <w:b/>
          <w:bCs/>
          <w:sz w:val="24"/>
          <w:highlight w:val="yellow"/>
          <w:u w:val="single"/>
        </w:rPr>
      </w:pPr>
      <w:r>
        <w:rPr>
          <w:rFonts w:ascii="Times New Roman" w:hAnsi="Times New Roman" w:eastAsia="宋体" w:cs="Times New Roman"/>
          <w:b/>
          <w:bCs/>
          <w:sz w:val="24"/>
          <w:u w:val="single"/>
        </w:rPr>
        <w:t>生产车间2F、生产废水处理站、危废暂存间等可能产生持久性有机污染物或含重金属污染物的区域应严格按照《环境影响评价</w:t>
      </w:r>
      <w:r>
        <w:rPr>
          <w:rFonts w:hint="eastAsia" w:ascii="Times New Roman" w:hAnsi="Times New Roman" w:eastAsia="宋体" w:cs="Times New Roman"/>
          <w:b/>
          <w:bCs/>
          <w:sz w:val="24"/>
          <w:u w:val="single"/>
        </w:rPr>
        <w:t>技术</w:t>
      </w:r>
      <w:r>
        <w:rPr>
          <w:rFonts w:ascii="Times New Roman" w:hAnsi="Times New Roman" w:eastAsia="宋体" w:cs="Times New Roman"/>
          <w:b/>
          <w:bCs/>
          <w:sz w:val="24"/>
          <w:u w:val="single"/>
        </w:rPr>
        <w:t>导则—地</w:t>
      </w:r>
      <w:r>
        <w:rPr>
          <w:rFonts w:ascii="Times New Roman" w:hAnsi="Times New Roman" w:eastAsia="宋体" w:cs="Times New Roman"/>
          <w:b/>
          <w:bCs/>
          <w:color w:val="000000" w:themeColor="text1"/>
          <w:sz w:val="24"/>
          <w:u w:val="single"/>
          <w14:textFill>
            <w14:solidFill>
              <w14:schemeClr w14:val="tx1"/>
            </w14:solidFill>
          </w14:textFill>
        </w:rPr>
        <w:t>下水环境》（HJ610-2016）中地下水污染防渗分区对照表的有关要求执行；</w:t>
      </w:r>
      <w:r>
        <w:rPr>
          <w:rFonts w:hint="eastAsia" w:ascii="Times New Roman" w:hAnsi="Times New Roman" w:eastAsia="宋体" w:cs="Times New Roman"/>
          <w:b/>
          <w:bCs/>
          <w:color w:val="000000" w:themeColor="text1"/>
          <w:sz w:val="24"/>
          <w:u w:val="single"/>
          <w14:textFill>
            <w14:solidFill>
              <w14:schemeClr w14:val="tx1"/>
            </w14:solidFill>
          </w14:textFill>
        </w:rPr>
        <w:t>危险废物仓库</w:t>
      </w:r>
      <w:r>
        <w:rPr>
          <w:rFonts w:ascii="Times New Roman" w:hAnsi="Times New Roman" w:eastAsia="宋体" w:cs="Times New Roman"/>
          <w:b/>
          <w:bCs/>
          <w:color w:val="000000" w:themeColor="text1"/>
          <w:sz w:val="24"/>
          <w:u w:val="single"/>
          <w14:textFill>
            <w14:solidFill>
              <w14:schemeClr w14:val="tx1"/>
            </w14:solidFill>
          </w14:textFill>
        </w:rPr>
        <w:t>还需满足《危险废物贮存污染控制标准》（GB18597-20</w:t>
      </w:r>
      <w:r>
        <w:rPr>
          <w:rFonts w:hint="eastAsia" w:ascii="Times New Roman" w:hAnsi="Times New Roman" w:eastAsia="宋体" w:cs="Times New Roman"/>
          <w:b/>
          <w:bCs/>
          <w:color w:val="000000" w:themeColor="text1"/>
          <w:sz w:val="24"/>
          <w:u w:val="single"/>
          <w14:textFill>
            <w14:solidFill>
              <w14:schemeClr w14:val="tx1"/>
            </w14:solidFill>
          </w14:textFill>
        </w:rPr>
        <w:t>23</w:t>
      </w:r>
      <w:r>
        <w:rPr>
          <w:rFonts w:ascii="Times New Roman" w:hAnsi="Times New Roman" w:eastAsia="宋体" w:cs="Times New Roman"/>
          <w:b/>
          <w:bCs/>
          <w:color w:val="000000" w:themeColor="text1"/>
          <w:sz w:val="24"/>
          <w:u w:val="single"/>
          <w14:textFill>
            <w14:solidFill>
              <w14:schemeClr w14:val="tx1"/>
            </w14:solidFill>
          </w14:textFill>
        </w:rPr>
        <w:t>）。包括：1）危险废物暂存场等危险废物贮存设施，建设截污沟，危险废</w:t>
      </w:r>
      <w:r>
        <w:rPr>
          <w:rFonts w:ascii="Times New Roman" w:hAnsi="Times New Roman" w:eastAsia="宋体" w:cs="Times New Roman"/>
          <w:b/>
          <w:bCs/>
          <w:sz w:val="24"/>
          <w:u w:val="single"/>
        </w:rPr>
        <w:t>物贮存设施的地面与裙脚必须用坚固、防渗的材料建造，建筑材料与危险废物兼容（即不相互反应）；2）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ascii="Times New Roman" w:hAnsi="Times New Roman" w:eastAsia="宋体" w:cs="Times New Roman"/>
          <w:b/>
          <w:bCs/>
          <w:sz w:val="24"/>
          <w:u w:val="single"/>
          <w:vertAlign w:val="superscript"/>
        </w:rPr>
        <w:t>-7</w:t>
      </w:r>
      <w:r>
        <w:rPr>
          <w:rFonts w:ascii="Times New Roman" w:hAnsi="Times New Roman" w:eastAsia="宋体" w:cs="Times New Roman"/>
          <w:b/>
          <w:bCs/>
          <w:sz w:val="24"/>
          <w:u w:val="single"/>
        </w:rPr>
        <w:t xml:space="preserve"> cm/s），或至少2 mm厚高密度聚乙烯膜等人工防渗材料（渗透系数不大于10</w:t>
      </w:r>
      <w:r>
        <w:rPr>
          <w:rFonts w:ascii="Times New Roman" w:hAnsi="Times New Roman" w:eastAsia="宋体" w:cs="Times New Roman"/>
          <w:b/>
          <w:bCs/>
          <w:sz w:val="24"/>
          <w:u w:val="single"/>
          <w:vertAlign w:val="superscript"/>
        </w:rPr>
        <w:t>-10</w:t>
      </w:r>
      <w:r>
        <w:rPr>
          <w:rFonts w:ascii="Times New Roman" w:hAnsi="Times New Roman" w:eastAsia="宋体" w:cs="Times New Roman"/>
          <w:b/>
          <w:bCs/>
          <w:sz w:val="24"/>
          <w:u w:val="single"/>
        </w:rPr>
        <w:t xml:space="preserve"> cm/s），或其他防渗性能等效的材料。</w:t>
      </w:r>
    </w:p>
    <w:p w14:paraId="77F1A4CD">
      <w:pPr>
        <w:adjustRightInd w:val="0"/>
        <w:snapToGri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（2）一般防渗区防渗措施</w:t>
      </w:r>
    </w:p>
    <w:p w14:paraId="3A24F5BC">
      <w:pPr>
        <w:adjustRightInd w:val="0"/>
        <w:snapToGri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一般防渗区采用混凝土硬化地面，敷设环氧树脂（渗透系数≤1.0×10</w:t>
      </w:r>
      <w:r>
        <w:rPr>
          <w:rFonts w:ascii="Times New Roman" w:hAnsi="Times New Roman" w:eastAsia="宋体" w:cs="Times New Roman"/>
          <w:b/>
          <w:bCs/>
          <w:sz w:val="24"/>
          <w:u w:val="single"/>
          <w:vertAlign w:val="superscript"/>
        </w:rPr>
        <w:t>-7</w:t>
      </w:r>
      <w:r>
        <w:rPr>
          <w:rFonts w:ascii="Times New Roman" w:hAnsi="Times New Roman" w:eastAsia="宋体" w:cs="Times New Roman"/>
          <w:b/>
          <w:bCs/>
          <w:sz w:val="24"/>
          <w:u w:val="single"/>
        </w:rPr>
        <w:t>cm/s）。</w:t>
      </w:r>
    </w:p>
    <w:p w14:paraId="227BDB03">
      <w:pPr>
        <w:adjustRightInd w:val="0"/>
        <w:snapToGri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（3）简单防渗区防渗措施</w:t>
      </w:r>
    </w:p>
    <w:p w14:paraId="0F475C31">
      <w:pPr>
        <w:adjustRightInd w:val="0"/>
        <w:snapToGrid w:val="0"/>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rPr>
        <w:t>简单防渗区采用铺设混凝土的硬化地面。</w:t>
      </w:r>
    </w:p>
    <w:p w14:paraId="4FBF7D9F">
      <w:pPr>
        <w:pStyle w:val="4"/>
        <w:numPr>
          <w:ilvl w:val="2"/>
          <w:numId w:val="75"/>
        </w:numPr>
        <w:tabs>
          <w:tab w:val="clear" w:pos="0"/>
        </w:tabs>
        <w:adjustRightInd w:val="0"/>
        <w:snapToGrid w:val="0"/>
      </w:pPr>
      <w:r>
        <w:rPr>
          <w:rFonts w:hint="eastAsia"/>
        </w:rPr>
        <w:t>环境管理措施</w:t>
      </w:r>
    </w:p>
    <w:p w14:paraId="4BD7B1E1">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（1）管理措施</w:t>
      </w:r>
    </w:p>
    <w:p w14:paraId="404923C1">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Times New Roman"/>
          <w:sz w:val="24"/>
        </w:rPr>
        <w:t>①</w:t>
      </w:r>
      <w:r>
        <w:rPr>
          <w:rFonts w:hint="eastAsia" w:ascii="Times New Roman" w:hAnsi="Times New Roman" w:eastAsia="宋体" w:cs="Times New Roman"/>
          <w:sz w:val="24"/>
        </w:rPr>
        <w:t>防止地下水受到污染是环境保护管理部门的主要职责之一。公司应设立专门环境保护管理部门，由专人负责防止地下水污染管理工作。</w:t>
      </w:r>
    </w:p>
    <w:p w14:paraId="68C37A08">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Times New Roman"/>
          <w:sz w:val="24"/>
        </w:rPr>
        <w:t>②</w:t>
      </w:r>
      <w:r>
        <w:rPr>
          <w:rFonts w:hint="eastAsia" w:ascii="Times New Roman" w:hAnsi="Times New Roman" w:eastAsia="宋体" w:cs="Times New Roman"/>
          <w:sz w:val="24"/>
        </w:rPr>
        <w:t>公司环境保护管理部门应委托具有地下水监测资质的单位负责地下水监测工作，并按要求及时分析整理原始资料、监测报告的编写工作。</w:t>
      </w:r>
    </w:p>
    <w:p w14:paraId="64DCF8F9">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Times New Roman"/>
          <w:sz w:val="24"/>
        </w:rPr>
        <w:t>③</w:t>
      </w:r>
      <w:r>
        <w:rPr>
          <w:rFonts w:hint="eastAsia" w:ascii="Times New Roman" w:hAnsi="Times New Roman" w:eastAsia="宋体" w:cs="Times New Roman"/>
          <w:sz w:val="24"/>
        </w:rPr>
        <w:t>建立地下水监测数据数据库，与项目区环境管理系统相联系。</w:t>
      </w:r>
    </w:p>
    <w:p w14:paraId="3DC6B4B8">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Times New Roman"/>
          <w:sz w:val="24"/>
        </w:rPr>
        <w:t>④</w:t>
      </w:r>
      <w:r>
        <w:rPr>
          <w:rFonts w:hint="eastAsia" w:ascii="Times New Roman" w:hAnsi="Times New Roman" w:eastAsia="宋体" w:cs="Times New Roman"/>
          <w:sz w:val="24"/>
        </w:rPr>
        <w:t>根据实际情况，按事故的性质、类型、影响范围、严重后果分等级地制订相应的预案。在制定预案时要根据本厂环境污染事故潜在威胁的情况，认真细致地考虑各项影响因素，适当的时候组织有关部门、人员进行演练，不断补充完善。</w:t>
      </w:r>
    </w:p>
    <w:p w14:paraId="7A5DC656">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（2）技术措施</w:t>
      </w:r>
    </w:p>
    <w:p w14:paraId="5C85C9A1">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Times New Roman"/>
          <w:sz w:val="24"/>
        </w:rPr>
        <w:t>①</w:t>
      </w:r>
      <w:r>
        <w:rPr>
          <w:rFonts w:hint="eastAsia" w:ascii="Times New Roman" w:hAnsi="Times New Roman" w:eastAsia="宋体" w:cs="Times New Roman"/>
          <w:sz w:val="24"/>
        </w:rPr>
        <w:t>按照《地下水环境监测技术规范》</w:t>
      </w:r>
      <w:r>
        <w:rPr>
          <w:rFonts w:ascii="Times New Roman" w:hAnsi="Times New Roman" w:eastAsia="宋体" w:cs="Times New Roman"/>
          <w:sz w:val="24"/>
        </w:rPr>
        <w:t>HJ</w:t>
      </w:r>
      <w:r>
        <w:rPr>
          <w:rFonts w:hint="eastAsia" w:ascii="Times New Roman" w:hAnsi="Times New Roman" w:eastAsia="宋体" w:cs="Times New Roman"/>
          <w:sz w:val="24"/>
        </w:rPr>
        <w:t xml:space="preserve"> </w:t>
      </w:r>
      <w:r>
        <w:rPr>
          <w:rFonts w:ascii="Times New Roman" w:hAnsi="Times New Roman" w:eastAsia="宋体" w:cs="Times New Roman"/>
          <w:sz w:val="24"/>
        </w:rPr>
        <w:t>164-20</w:t>
      </w:r>
      <w:r>
        <w:rPr>
          <w:rFonts w:hint="eastAsia" w:ascii="Times New Roman" w:hAnsi="Times New Roman" w:eastAsia="宋体" w:cs="Times New Roman"/>
          <w:sz w:val="24"/>
        </w:rPr>
        <w:t>20要求，及时上报监测数据和有关表格。</w:t>
      </w:r>
    </w:p>
    <w:p w14:paraId="01B3D9DD">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Times New Roman"/>
          <w:sz w:val="24"/>
        </w:rPr>
        <w:t>②</w:t>
      </w:r>
      <w:r>
        <w:rPr>
          <w:rFonts w:hint="eastAsia" w:ascii="Times New Roman" w:hAnsi="Times New Roman" w:eastAsia="宋体" w:cs="Times New Roman"/>
          <w:sz w:val="24"/>
        </w:rPr>
        <w:t>在日常例行监测中，一旦发现地下水水质监测数据异常，应尽快核查数据，确保数据的正确性。并将核查过的监测数据通告厂安全环保部门，由专人负责对数据进行分析、核实，并密切关注生产设施的运行情况，为防止地下水污染采取措施提供正确的依据。应采取的措施如下：了解全厂生产是否出现异常情况，出现异常情况的装置、原因。加大监测密度，如监测频率由每半年一次临时加密为每天一次或更多，连续多天，分析变化动向。</w:t>
      </w:r>
    </w:p>
    <w:p w14:paraId="3F2349C3">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（3）定期编写地下水动态监测报告。</w:t>
      </w:r>
    </w:p>
    <w:p w14:paraId="2D83B892">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（4）定期对危废暂存间地面、一般固废暂存间地面、厂区生产废水处理站的水处理构筑物及法兰、阀门、管道等进行检查。</w:t>
      </w:r>
    </w:p>
    <w:p w14:paraId="67638654">
      <w:pPr>
        <w:pStyle w:val="4"/>
        <w:numPr>
          <w:ilvl w:val="2"/>
          <w:numId w:val="75"/>
        </w:numPr>
        <w:tabs>
          <w:tab w:val="clear" w:pos="0"/>
        </w:tabs>
        <w:adjustRightInd w:val="0"/>
        <w:snapToGrid w:val="0"/>
      </w:pPr>
      <w:r>
        <w:rPr>
          <w:rFonts w:hint="eastAsia"/>
        </w:rPr>
        <w:t>应急处置</w:t>
      </w:r>
    </w:p>
    <w:p w14:paraId="6E3143E0">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一旦发现地下水发生异常情况，按照应急预案马上采取紧急措施。</w:t>
      </w:r>
    </w:p>
    <w:p w14:paraId="3A383B13">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①当确定发生地下水异常情况时，按照制订的地下水应急预案，在第一时间内尽快上报主管领导，通知当地生态环境局、附近居民等地下水潜在用户，密切关注地下水水质变化情况。</w:t>
      </w:r>
    </w:p>
    <w:p w14:paraId="2A590C87">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组织专业队伍对事故现场进行调查、监测，查找环境事故发生地点、分析事故原因，尽量将紧急事件局部化，如可能应予以消除，采取包括切断生产装置或设施等措施，对污水进行封闭、截流，防止事故的扩散、蔓延及连锁反应，尽量缩小地下水污染事故对人和财产的影响。</w:t>
      </w:r>
    </w:p>
    <w:p w14:paraId="3BB3CEA8">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③当通过监测发现对周围地下水造成污染时，根据观测井的反馈信息，控制污染区地下水流场，防止污染物扩散。地下水排水系统是根据建设项目对地下水可能产生影响而采取的被动防范措施，是建设项目环境工程的重要组成部分。当地下水污染事件发生后，启动地下水排水应急系统，通过厂区下游抽水井抽出污水送污水处理厂集中处理，可有效抑制污染物向下游扩散速度，控制污染范围，使地下水质量得到尽快恢复。当发现厂区内</w:t>
      </w:r>
      <w:r>
        <w:rPr>
          <w:rFonts w:hint="eastAsia" w:ascii="Times New Roman" w:hAnsi="Times New Roman" w:eastAsia="宋体" w:cs="Times New Roman"/>
          <w:sz w:val="24"/>
        </w:rPr>
        <w:t>地下水</w:t>
      </w:r>
      <w:r>
        <w:rPr>
          <w:rFonts w:ascii="Times New Roman" w:hAnsi="Times New Roman" w:eastAsia="宋体" w:cs="Times New Roman"/>
          <w:sz w:val="24"/>
        </w:rPr>
        <w:t>受到污染时，首先确定污染的大致范围。根据污染的范围，启动相应的应急排水井，抽出污水送污水处理厂集中处理。</w:t>
      </w:r>
    </w:p>
    <w:p w14:paraId="65E0DF00">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④对事故后果进行评估，并制定防止类似事件发生的措施。</w:t>
      </w:r>
    </w:p>
    <w:p w14:paraId="20641344">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⑤如果自身力量无法应对污染事故，应立即请求社会应急力量协助处理。</w:t>
      </w:r>
    </w:p>
    <w:p w14:paraId="284C5673">
      <w:pPr>
        <w:pStyle w:val="3"/>
        <w:numPr>
          <w:ilvl w:val="1"/>
          <w:numId w:val="75"/>
        </w:numPr>
        <w:tabs>
          <w:tab w:val="clear" w:pos="0"/>
        </w:tabs>
        <w:adjustRightInd w:val="0"/>
        <w:snapToGrid w:val="0"/>
      </w:pPr>
      <w:bookmarkStart w:id="286" w:name="_Toc21148"/>
      <w:r>
        <w:rPr>
          <w:rFonts w:hint="eastAsia"/>
        </w:rPr>
        <w:t>土壤污染防治措施</w:t>
      </w:r>
      <w:bookmarkEnd w:id="286"/>
    </w:p>
    <w:p w14:paraId="43D59281">
      <w:pPr>
        <w:pStyle w:val="4"/>
        <w:numPr>
          <w:ilvl w:val="2"/>
          <w:numId w:val="75"/>
        </w:numPr>
        <w:tabs>
          <w:tab w:val="clear" w:pos="0"/>
        </w:tabs>
        <w:adjustRightInd w:val="0"/>
        <w:snapToGrid w:val="0"/>
      </w:pPr>
      <w:r>
        <w:rPr>
          <w:rFonts w:hint="eastAsia"/>
        </w:rPr>
        <w:t>源头控制措施</w:t>
      </w:r>
    </w:p>
    <w:p w14:paraId="491DB955">
      <w:pPr>
        <w:adjustRightInd w:val="0"/>
        <w:snapToGrid w:val="0"/>
        <w:spacing w:line="360" w:lineRule="auto"/>
        <w:ind w:firstLine="480"/>
        <w:rPr>
          <w:rFonts w:ascii="Times New Roman" w:hAnsi="Times New Roman" w:eastAsia="宋体" w:cs="Times New Roman"/>
          <w:sz w:val="24"/>
          <w:szCs w:val="22"/>
        </w:rPr>
      </w:pPr>
      <w:r>
        <w:rPr>
          <w:rFonts w:ascii="Times New Roman" w:hAnsi="Times New Roman" w:eastAsia="宋体" w:cs="Times New Roman"/>
          <w:sz w:val="24"/>
        </w:rPr>
        <w:t>土壤污染主要来自废水、废气、固体废物污染，重在预防，污染后的修复成分十分高昂。为有效防治土壤环境污染，</w:t>
      </w:r>
      <w:r>
        <w:rPr>
          <w:rFonts w:ascii="Times New Roman" w:hAnsi="Times New Roman" w:eastAsia="宋体" w:cs="Times New Roman"/>
          <w:sz w:val="24"/>
          <w:szCs w:val="22"/>
        </w:rPr>
        <w:t>根据《环境影响评价技术导则 土壤环境》（HJ964-2018）要求，项目运营期应采取以下防治措施：</w:t>
      </w:r>
    </w:p>
    <w:p w14:paraId="08171A9D">
      <w:pPr>
        <w:pStyle w:val="4"/>
        <w:numPr>
          <w:ilvl w:val="2"/>
          <w:numId w:val="75"/>
        </w:numPr>
        <w:tabs>
          <w:tab w:val="clear" w:pos="0"/>
        </w:tabs>
        <w:adjustRightInd w:val="0"/>
        <w:snapToGrid w:val="0"/>
      </w:pPr>
      <w:r>
        <w:rPr>
          <w:rFonts w:hint="eastAsia"/>
        </w:rPr>
        <w:t>过程控制措施</w:t>
      </w:r>
    </w:p>
    <w:p w14:paraId="614CDE7A">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本项目壤污染过程防控措施如下：</w:t>
      </w:r>
    </w:p>
    <w:p w14:paraId="524152EE">
      <w:pPr>
        <w:numPr>
          <w:ilvl w:val="0"/>
          <w:numId w:val="79"/>
        </w:numPr>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厂区内设置容积</w:t>
      </w:r>
      <w:r>
        <w:rPr>
          <w:rFonts w:hint="eastAsia" w:ascii="Times New Roman" w:hAnsi="Times New Roman" w:eastAsia="宋体" w:cs="Times New Roman"/>
          <w:sz w:val="24"/>
        </w:rPr>
        <w:t>30m</w:t>
      </w:r>
      <w:r>
        <w:rPr>
          <w:rFonts w:ascii="Times New Roman" w:hAnsi="Times New Roman" w:eastAsia="宋体" w:cs="Times New Roman"/>
          <w:sz w:val="24"/>
          <w:vertAlign w:val="superscript"/>
        </w:rPr>
        <w:t>3</w:t>
      </w:r>
      <w:r>
        <w:rPr>
          <w:rFonts w:ascii="Times New Roman" w:hAnsi="Times New Roman" w:eastAsia="宋体" w:cs="Times New Roman"/>
          <w:sz w:val="24"/>
        </w:rPr>
        <w:t>的事故水池，事故状态下产生的事故废水暂贮存于事故水池；</w:t>
      </w:r>
    </w:p>
    <w:p w14:paraId="7FF41518">
      <w:pPr>
        <w:numPr>
          <w:ilvl w:val="0"/>
          <w:numId w:val="79"/>
        </w:numPr>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做好设备的维护、检修，杜绝跑、冒、滴、漏现象，同时，加强污染物产生主要环节的安全防护、报警措施，以便及时发现事故隐患，采取有效的应对措施；</w:t>
      </w:r>
    </w:p>
    <w:p w14:paraId="5EC33ACC">
      <w:pPr>
        <w:numPr>
          <w:ilvl w:val="0"/>
          <w:numId w:val="79"/>
        </w:numPr>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项目涉及入渗途径影响的，对可能污染土壤的区域地面进行防渗处理，防止洒落地面的污染物渗入地下，采取分区防渗，分区防控措施与地下水一致，生产过程中的各种物料及污染物均与天然土壤隔离，不会通过裸露区渗入到土壤中</w:t>
      </w:r>
      <w:r>
        <w:rPr>
          <w:rFonts w:hint="eastAsia" w:ascii="Times New Roman" w:hAnsi="Times New Roman" w:eastAsia="宋体" w:cs="Times New Roman"/>
          <w:sz w:val="24"/>
        </w:rPr>
        <w:t>；</w:t>
      </w:r>
    </w:p>
    <w:p w14:paraId="7768357F">
      <w:pPr>
        <w:numPr>
          <w:ilvl w:val="0"/>
          <w:numId w:val="79"/>
        </w:numPr>
        <w:adjustRightInd w:val="0"/>
        <w:snapToGrid w:val="0"/>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生产车间</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rPr>
        <w:t>F、生产废水处理站、危废暂存间等作为重点防渗区，生产车间</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rPr>
        <w:t>F、一般工业固废间等作为一般防渗区，其他区域作为简单防渗区。</w:t>
      </w:r>
    </w:p>
    <w:p w14:paraId="0075B982">
      <w:pPr>
        <w:pStyle w:val="4"/>
        <w:numPr>
          <w:ilvl w:val="2"/>
          <w:numId w:val="75"/>
        </w:numPr>
        <w:tabs>
          <w:tab w:val="clear" w:pos="0"/>
        </w:tabs>
        <w:adjustRightInd w:val="0"/>
        <w:snapToGrid w:val="0"/>
      </w:pPr>
      <w:r>
        <w:rPr>
          <w:rFonts w:hint="eastAsia"/>
        </w:rPr>
        <w:t>保障措施</w:t>
      </w:r>
    </w:p>
    <w:p w14:paraId="1635115C">
      <w:pPr>
        <w:pStyle w:val="39"/>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严格执行</w:t>
      </w:r>
      <w:r>
        <w:rPr>
          <w:rFonts w:ascii="Times New Roman" w:hAnsi="Times New Roman" w:cs="Times New Roman"/>
          <w:color w:val="auto"/>
        </w:rPr>
        <w:t>《环境影响评价</w:t>
      </w:r>
      <w:r>
        <w:rPr>
          <w:rFonts w:hint="eastAsia" w:ascii="Times New Roman" w:hAnsi="Times New Roman" w:cs="Times New Roman"/>
          <w:color w:val="auto"/>
        </w:rPr>
        <w:t>技术</w:t>
      </w:r>
      <w:r>
        <w:rPr>
          <w:rFonts w:ascii="Times New Roman" w:hAnsi="Times New Roman" w:cs="Times New Roman"/>
          <w:color w:val="auto"/>
        </w:rPr>
        <w:t>导则—地下水环境》（HJ610-2016）中地下水污染防渗分区对照表的有关要求执行</w:t>
      </w:r>
      <w:r>
        <w:rPr>
          <w:rFonts w:hint="eastAsia" w:ascii="Times New Roman" w:hAnsi="Times New Roman" w:cs="Times New Roman"/>
          <w:color w:val="auto"/>
        </w:rPr>
        <w:t>。严格执行保障措施后，项目运行期间产生的污染物不会渗漏至土壤层。</w:t>
      </w:r>
    </w:p>
    <w:p w14:paraId="401221C8">
      <w:pPr>
        <w:pStyle w:val="4"/>
        <w:numPr>
          <w:ilvl w:val="2"/>
          <w:numId w:val="75"/>
        </w:numPr>
        <w:tabs>
          <w:tab w:val="clear" w:pos="0"/>
        </w:tabs>
        <w:adjustRightInd w:val="0"/>
        <w:snapToGrid w:val="0"/>
      </w:pPr>
      <w:r>
        <w:rPr>
          <w:rFonts w:hint="eastAsia"/>
        </w:rPr>
        <w:t>跟踪监测</w:t>
      </w:r>
    </w:p>
    <w:p w14:paraId="59369C5F">
      <w:pPr>
        <w:adjustRightInd w:val="0"/>
        <w:snapToGrid w:val="0"/>
        <w:spacing w:line="360" w:lineRule="auto"/>
        <w:ind w:firstLine="480"/>
      </w:pPr>
      <w:r>
        <w:rPr>
          <w:rFonts w:ascii="Times New Roman" w:hAnsi="Times New Roman" w:eastAsia="宋体" w:cs="Times New Roman"/>
          <w:sz w:val="24"/>
        </w:rPr>
        <w:t>本项目土壤环境影响评价工作等级为</w:t>
      </w:r>
      <w:r>
        <w:rPr>
          <w:rFonts w:hint="eastAsia" w:ascii="Times New Roman" w:hAnsi="Times New Roman" w:eastAsia="宋体" w:cs="Times New Roman"/>
          <w:sz w:val="24"/>
        </w:rPr>
        <w:t>二</w:t>
      </w:r>
      <w:r>
        <w:rPr>
          <w:rFonts w:ascii="Times New Roman" w:hAnsi="Times New Roman" w:eastAsia="宋体" w:cs="Times New Roman"/>
          <w:sz w:val="24"/>
        </w:rPr>
        <w:t>级，根据《环境影响评价技术导则 土壤环境（试行）》（HJ964-2018）规定，项目需</w:t>
      </w:r>
      <w:r>
        <w:rPr>
          <w:rFonts w:ascii="Times New Roman" w:hAnsi="Times New Roman" w:eastAsia="宋体" w:cs="Times New Roman"/>
          <w:sz w:val="24"/>
          <w:szCs w:val="22"/>
        </w:rPr>
        <w:t>制定跟踪监测计划、建立跟踪监测制度，</w:t>
      </w:r>
      <w:r>
        <w:rPr>
          <w:rFonts w:ascii="Times New Roman" w:hAnsi="Times New Roman" w:eastAsia="宋体" w:cs="Times New Roman"/>
          <w:sz w:val="24"/>
        </w:rPr>
        <w:t>每</w:t>
      </w:r>
      <w:r>
        <w:rPr>
          <w:rFonts w:hint="eastAsia" w:ascii="Times New Roman" w:hAnsi="Times New Roman" w:eastAsia="宋体" w:cs="Times New Roman"/>
          <w:sz w:val="24"/>
        </w:rPr>
        <w:t>5</w:t>
      </w:r>
      <w:r>
        <w:rPr>
          <w:rFonts w:ascii="Times New Roman" w:hAnsi="Times New Roman" w:eastAsia="宋体" w:cs="Times New Roman"/>
          <w:sz w:val="24"/>
        </w:rPr>
        <w:t>年开展一次</w:t>
      </w:r>
      <w:r>
        <w:rPr>
          <w:rFonts w:ascii="Times New Roman" w:hAnsi="Times New Roman" w:eastAsia="宋体" w:cs="Times New Roman"/>
          <w:sz w:val="24"/>
          <w:szCs w:val="22"/>
        </w:rPr>
        <w:t>土壤环境跟踪监测，以便及时发现问题，采取措施。</w:t>
      </w:r>
    </w:p>
    <w:p w14:paraId="155F18DE">
      <w:pPr>
        <w:pStyle w:val="39"/>
        <w:snapToGrid w:val="0"/>
        <w:spacing w:line="360" w:lineRule="auto"/>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表6.</w:t>
      </w:r>
      <w:r>
        <w:rPr>
          <w:rFonts w:hint="eastAsia" w:ascii="Times New Roman" w:hAnsi="Times New Roman" w:cs="Times New Roman"/>
          <w:b/>
          <w:bCs/>
          <w:color w:val="000000" w:themeColor="text1"/>
          <w:sz w:val="21"/>
          <w:szCs w:val="21"/>
          <w14:textFill>
            <w14:solidFill>
              <w14:schemeClr w14:val="tx1"/>
            </w14:solidFill>
          </w14:textFill>
        </w:rPr>
        <w:t>7</w:t>
      </w:r>
      <w:r>
        <w:rPr>
          <w:rFonts w:ascii="Times New Roman" w:hAnsi="Times New Roman" w:cs="Times New Roman"/>
          <w:b/>
          <w:bCs/>
          <w:color w:val="000000" w:themeColor="text1"/>
          <w:sz w:val="21"/>
          <w:szCs w:val="21"/>
          <w14:textFill>
            <w14:solidFill>
              <w14:schemeClr w14:val="tx1"/>
            </w14:solidFill>
          </w14:textFill>
        </w:rPr>
        <w:t>-1  土壤跟踪监测</w:t>
      </w:r>
    </w:p>
    <w:tbl>
      <w:tblPr>
        <w:tblStyle w:val="30"/>
        <w:tblW w:w="8336"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1144"/>
        <w:gridCol w:w="989"/>
        <w:gridCol w:w="887"/>
        <w:gridCol w:w="5316"/>
      </w:tblGrid>
      <w:tr w14:paraId="2FCC8AD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blHeader/>
          <w:jc w:val="center"/>
        </w:trPr>
        <w:tc>
          <w:tcPr>
            <w:tcW w:w="1144" w:type="dxa"/>
            <w:vAlign w:val="center"/>
          </w:tcPr>
          <w:p w14:paraId="798B83B4">
            <w:pPr>
              <w:pStyle w:val="60"/>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989" w:type="dxa"/>
            <w:vAlign w:val="center"/>
          </w:tcPr>
          <w:p w14:paraId="4854CDC3">
            <w:pPr>
              <w:pStyle w:val="60"/>
              <w:rPr>
                <w:color w:val="000000" w:themeColor="text1"/>
                <w14:textFill>
                  <w14:solidFill>
                    <w14:schemeClr w14:val="tx1"/>
                  </w14:solidFill>
                </w14:textFill>
              </w:rPr>
            </w:pPr>
            <w:r>
              <w:rPr>
                <w:color w:val="000000" w:themeColor="text1"/>
                <w14:textFill>
                  <w14:solidFill>
                    <w14:schemeClr w14:val="tx1"/>
                  </w14:solidFill>
                </w14:textFill>
              </w:rPr>
              <w:t>监测指标</w:t>
            </w:r>
          </w:p>
        </w:tc>
        <w:tc>
          <w:tcPr>
            <w:tcW w:w="887" w:type="dxa"/>
            <w:vAlign w:val="center"/>
          </w:tcPr>
          <w:p w14:paraId="630D44F3">
            <w:pPr>
              <w:pStyle w:val="60"/>
              <w:rPr>
                <w:color w:val="000000" w:themeColor="text1"/>
                <w14:textFill>
                  <w14:solidFill>
                    <w14:schemeClr w14:val="tx1"/>
                  </w14:solidFill>
                </w14:textFill>
              </w:rPr>
            </w:pPr>
            <w:r>
              <w:rPr>
                <w:color w:val="000000" w:themeColor="text1"/>
                <w14:textFill>
                  <w14:solidFill>
                    <w14:schemeClr w14:val="tx1"/>
                  </w14:solidFill>
                </w14:textFill>
              </w:rPr>
              <w:t>监测频次</w:t>
            </w:r>
          </w:p>
        </w:tc>
        <w:tc>
          <w:tcPr>
            <w:tcW w:w="5316" w:type="dxa"/>
            <w:vAlign w:val="center"/>
          </w:tcPr>
          <w:p w14:paraId="3E028F59">
            <w:pPr>
              <w:pStyle w:val="60"/>
              <w:rPr>
                <w:color w:val="000000" w:themeColor="text1"/>
                <w14:textFill>
                  <w14:solidFill>
                    <w14:schemeClr w14:val="tx1"/>
                  </w14:solidFill>
                </w14:textFill>
              </w:rPr>
            </w:pPr>
            <w:r>
              <w:rPr>
                <w:color w:val="000000" w:themeColor="text1"/>
                <w14:textFill>
                  <w14:solidFill>
                    <w14:schemeClr w14:val="tx1"/>
                  </w14:solidFill>
                </w14:textFill>
              </w:rPr>
              <w:t>执行环境质量标准</w:t>
            </w:r>
          </w:p>
        </w:tc>
      </w:tr>
      <w:tr w14:paraId="1DD7EDE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144" w:type="dxa"/>
            <w:vAlign w:val="center"/>
          </w:tcPr>
          <w:p w14:paraId="16A6645B">
            <w:pPr>
              <w:pStyle w:val="60"/>
              <w:rPr>
                <w:color w:val="000000" w:themeColor="text1"/>
                <w14:textFill>
                  <w14:solidFill>
                    <w14:schemeClr w14:val="tx1"/>
                  </w14:solidFill>
                </w14:textFill>
              </w:rPr>
            </w:pPr>
            <w:r>
              <w:rPr>
                <w:color w:val="000000" w:themeColor="text1"/>
                <w:szCs w:val="21"/>
                <w14:textFill>
                  <w14:solidFill>
                    <w14:schemeClr w14:val="tx1"/>
                  </w14:solidFill>
                </w14:textFill>
              </w:rPr>
              <w:t>生产废水处理站</w:t>
            </w:r>
          </w:p>
        </w:tc>
        <w:tc>
          <w:tcPr>
            <w:tcW w:w="989" w:type="dxa"/>
            <w:vMerge w:val="restart"/>
            <w:vAlign w:val="center"/>
          </w:tcPr>
          <w:p w14:paraId="269D02A8">
            <w:pPr>
              <w:pStyle w:val="60"/>
              <w:rPr>
                <w:color w:val="000000" w:themeColor="text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p</w:t>
            </w:r>
            <w:r>
              <w:rPr>
                <w:rFonts w:hint="eastAsia"/>
                <w:color w:val="000000" w:themeColor="text1"/>
                <w:kern w:val="0"/>
                <w:szCs w:val="21"/>
                <w:lang w:val="en-US"/>
                <w14:textFill>
                  <w14:solidFill>
                    <w14:schemeClr w14:val="tx1"/>
                  </w14:solidFill>
                </w14:textFill>
              </w:rPr>
              <w:t>H+45项</w:t>
            </w:r>
          </w:p>
        </w:tc>
        <w:tc>
          <w:tcPr>
            <w:tcW w:w="887" w:type="dxa"/>
            <w:vMerge w:val="restart"/>
            <w:vAlign w:val="center"/>
          </w:tcPr>
          <w:p w14:paraId="32C017B0">
            <w:pPr>
              <w:pStyle w:val="60"/>
              <w:rPr>
                <w:color w:val="000000" w:themeColor="text1"/>
                <w14:textFill>
                  <w14:solidFill>
                    <w14:schemeClr w14:val="tx1"/>
                  </w14:solidFill>
                </w14:textFill>
              </w:rPr>
            </w:pPr>
            <w:r>
              <w:rPr>
                <w:rFonts w:hint="eastAsia"/>
                <w:color w:val="000000" w:themeColor="text1"/>
                <w14:textFill>
                  <w14:solidFill>
                    <w14:schemeClr w14:val="tx1"/>
                  </w14:solidFill>
                </w14:textFill>
              </w:rPr>
              <w:t>每</w:t>
            </w:r>
            <w:r>
              <w:rPr>
                <w:rFonts w:hint="eastAsia"/>
                <w:color w:val="000000" w:themeColor="text1"/>
                <w:lang w:val="en-US"/>
                <w14:textFill>
                  <w14:solidFill>
                    <w14:schemeClr w14:val="tx1"/>
                  </w14:solidFill>
                </w14:textFill>
              </w:rPr>
              <w:t>5</w:t>
            </w:r>
            <w:r>
              <w:rPr>
                <w:rFonts w:hint="eastAsia"/>
                <w:color w:val="000000" w:themeColor="text1"/>
                <w14:textFill>
                  <w14:solidFill>
                    <w14:schemeClr w14:val="tx1"/>
                  </w14:solidFill>
                </w14:textFill>
              </w:rPr>
              <w:t>年一次</w:t>
            </w:r>
          </w:p>
        </w:tc>
        <w:tc>
          <w:tcPr>
            <w:tcW w:w="5316" w:type="dxa"/>
            <w:vAlign w:val="center"/>
          </w:tcPr>
          <w:p w14:paraId="676668A6">
            <w:pPr>
              <w:pStyle w:val="60"/>
              <w:rPr>
                <w:color w:val="000000" w:themeColor="text1"/>
                <w14:textFill>
                  <w14:solidFill>
                    <w14:schemeClr w14:val="tx1"/>
                  </w14:solidFill>
                </w14:textFill>
              </w:rPr>
            </w:pPr>
            <w:r>
              <w:rPr>
                <w:color w:val="000000" w:themeColor="text1"/>
                <w:spacing w:val="8"/>
                <w14:textFill>
                  <w14:solidFill>
                    <w14:schemeClr w14:val="tx1"/>
                  </w14:solidFill>
                </w14:textFill>
              </w:rPr>
              <w:t>《土壤环境质量标准 建设用地土壤污染风险管控标准》（GB 36600-2018）中的第二类用地筛选值</w:t>
            </w:r>
          </w:p>
        </w:tc>
      </w:tr>
      <w:tr w14:paraId="5B78A31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7" w:hRule="atLeast"/>
          <w:jc w:val="center"/>
        </w:trPr>
        <w:tc>
          <w:tcPr>
            <w:tcW w:w="1144" w:type="dxa"/>
            <w:vAlign w:val="center"/>
          </w:tcPr>
          <w:p w14:paraId="761AD97E">
            <w:pPr>
              <w:pStyle w:val="60"/>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西北侧村庄</w:t>
            </w:r>
          </w:p>
        </w:tc>
        <w:tc>
          <w:tcPr>
            <w:tcW w:w="989" w:type="dxa"/>
            <w:vMerge w:val="continue"/>
            <w:vAlign w:val="center"/>
          </w:tcPr>
          <w:p w14:paraId="2802F247">
            <w:pPr>
              <w:pStyle w:val="60"/>
              <w:rPr>
                <w:color w:val="000000" w:themeColor="text1"/>
                <w:highlight w:val="yellow"/>
                <w14:textFill>
                  <w14:solidFill>
                    <w14:schemeClr w14:val="tx1"/>
                  </w14:solidFill>
                </w14:textFill>
              </w:rPr>
            </w:pPr>
          </w:p>
        </w:tc>
        <w:tc>
          <w:tcPr>
            <w:tcW w:w="887" w:type="dxa"/>
            <w:vMerge w:val="continue"/>
            <w:vAlign w:val="center"/>
          </w:tcPr>
          <w:p w14:paraId="5B8C62CF">
            <w:pPr>
              <w:pStyle w:val="60"/>
              <w:rPr>
                <w:color w:val="000000" w:themeColor="text1"/>
                <w:highlight w:val="yellow"/>
                <w14:textFill>
                  <w14:solidFill>
                    <w14:schemeClr w14:val="tx1"/>
                  </w14:solidFill>
                </w14:textFill>
              </w:rPr>
            </w:pPr>
          </w:p>
        </w:tc>
        <w:tc>
          <w:tcPr>
            <w:tcW w:w="5316" w:type="dxa"/>
            <w:vMerge w:val="restart"/>
            <w:vAlign w:val="center"/>
          </w:tcPr>
          <w:p w14:paraId="66EE0E91">
            <w:pPr>
              <w:pStyle w:val="60"/>
              <w:rPr>
                <w:color w:val="000000" w:themeColor="text1"/>
                <w:spacing w:val="8"/>
                <w14:textFill>
                  <w14:solidFill>
                    <w14:schemeClr w14:val="tx1"/>
                  </w14:solidFill>
                </w14:textFill>
              </w:rPr>
            </w:pPr>
            <w:r>
              <w:rPr>
                <w:color w:val="000000" w:themeColor="text1"/>
                <w:spacing w:val="8"/>
                <w14:textFill>
                  <w14:solidFill>
                    <w14:schemeClr w14:val="tx1"/>
                  </w14:solidFill>
                </w14:textFill>
              </w:rPr>
              <w:t>《土壤环境质量标准 建设用地土壤污染风险管控标准》（GB 36600-2018）中的第</w:t>
            </w:r>
            <w:r>
              <w:rPr>
                <w:rFonts w:hint="eastAsia"/>
                <w:color w:val="000000" w:themeColor="text1"/>
                <w:spacing w:val="8"/>
                <w14:textFill>
                  <w14:solidFill>
                    <w14:schemeClr w14:val="tx1"/>
                  </w14:solidFill>
                </w14:textFill>
              </w:rPr>
              <w:t>一</w:t>
            </w:r>
            <w:r>
              <w:rPr>
                <w:color w:val="000000" w:themeColor="text1"/>
                <w:spacing w:val="8"/>
                <w14:textFill>
                  <w14:solidFill>
                    <w14:schemeClr w14:val="tx1"/>
                  </w14:solidFill>
                </w14:textFill>
              </w:rPr>
              <w:t>类用地筛选值</w:t>
            </w:r>
          </w:p>
        </w:tc>
      </w:tr>
      <w:tr w14:paraId="423E657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144" w:type="dxa"/>
            <w:vAlign w:val="center"/>
          </w:tcPr>
          <w:p w14:paraId="75EA8A66">
            <w:pPr>
              <w:pStyle w:val="60"/>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东南侧村庄</w:t>
            </w:r>
          </w:p>
        </w:tc>
        <w:tc>
          <w:tcPr>
            <w:tcW w:w="989" w:type="dxa"/>
            <w:vMerge w:val="continue"/>
            <w:vAlign w:val="center"/>
          </w:tcPr>
          <w:p w14:paraId="78D35403">
            <w:pPr>
              <w:pStyle w:val="60"/>
              <w:rPr>
                <w:color w:val="000000" w:themeColor="text1"/>
                <w14:textFill>
                  <w14:solidFill>
                    <w14:schemeClr w14:val="tx1"/>
                  </w14:solidFill>
                </w14:textFill>
              </w:rPr>
            </w:pPr>
          </w:p>
        </w:tc>
        <w:tc>
          <w:tcPr>
            <w:tcW w:w="887" w:type="dxa"/>
            <w:vMerge w:val="continue"/>
            <w:vAlign w:val="center"/>
          </w:tcPr>
          <w:p w14:paraId="4B1F3135">
            <w:pPr>
              <w:pStyle w:val="60"/>
              <w:rPr>
                <w:color w:val="000000" w:themeColor="text1"/>
                <w14:textFill>
                  <w14:solidFill>
                    <w14:schemeClr w14:val="tx1"/>
                  </w14:solidFill>
                </w14:textFill>
              </w:rPr>
            </w:pPr>
          </w:p>
        </w:tc>
        <w:tc>
          <w:tcPr>
            <w:tcW w:w="5316" w:type="dxa"/>
            <w:vMerge w:val="continue"/>
            <w:vAlign w:val="center"/>
          </w:tcPr>
          <w:p w14:paraId="292BC48E">
            <w:pPr>
              <w:pStyle w:val="60"/>
              <w:rPr>
                <w:color w:val="000000" w:themeColor="text1"/>
                <w:spacing w:val="8"/>
                <w14:textFill>
                  <w14:solidFill>
                    <w14:schemeClr w14:val="tx1"/>
                  </w14:solidFill>
                </w14:textFill>
              </w:rPr>
            </w:pPr>
          </w:p>
        </w:tc>
      </w:tr>
    </w:tbl>
    <w:p w14:paraId="41A7CA87">
      <w:pPr>
        <w:pStyle w:val="3"/>
        <w:numPr>
          <w:ilvl w:val="1"/>
          <w:numId w:val="75"/>
        </w:numPr>
        <w:tabs>
          <w:tab w:val="clear" w:pos="0"/>
        </w:tabs>
      </w:pPr>
      <w:bookmarkStart w:id="287" w:name="_Toc4432"/>
      <w:r>
        <w:rPr>
          <w:rFonts w:hint="eastAsia"/>
        </w:rPr>
        <w:t>环保投资</w:t>
      </w:r>
      <w:bookmarkEnd w:id="287"/>
    </w:p>
    <w:p w14:paraId="289FAE2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本项目所需环保投资约</w:t>
      </w:r>
      <w:r>
        <w:rPr>
          <w:rFonts w:hint="eastAsia" w:ascii="Times New Roman" w:hAnsi="Times New Roman" w:eastAsia="宋体" w:cs="Times New Roman"/>
          <w:sz w:val="24"/>
        </w:rPr>
        <w:t>193</w:t>
      </w:r>
      <w:r>
        <w:rPr>
          <w:rFonts w:ascii="Times New Roman" w:hAnsi="Times New Roman" w:eastAsia="宋体" w:cs="Times New Roman"/>
          <w:sz w:val="24"/>
        </w:rPr>
        <w:t>万元，占总投资的</w:t>
      </w:r>
      <w:r>
        <w:rPr>
          <w:rFonts w:hint="eastAsia" w:ascii="Times New Roman" w:hAnsi="Times New Roman" w:eastAsia="宋体" w:cs="Times New Roman"/>
          <w:sz w:val="24"/>
        </w:rPr>
        <w:t>4.83</w:t>
      </w:r>
      <w:r>
        <w:rPr>
          <w:rFonts w:ascii="Times New Roman" w:hAnsi="Times New Roman" w:eastAsia="宋体" w:cs="Times New Roman"/>
          <w:sz w:val="24"/>
        </w:rPr>
        <w:t>%，项目应采取的污染防治措施及其投资概算见</w:t>
      </w:r>
      <w:r>
        <w:rPr>
          <w:rFonts w:hint="eastAsia" w:ascii="Times New Roman" w:hAnsi="Times New Roman" w:eastAsia="宋体" w:cs="Times New Roman"/>
          <w:sz w:val="24"/>
        </w:rPr>
        <w:t>下</w:t>
      </w:r>
      <w:r>
        <w:rPr>
          <w:rFonts w:ascii="Times New Roman" w:hAnsi="Times New Roman" w:eastAsia="宋体" w:cs="Times New Roman"/>
          <w:sz w:val="24"/>
        </w:rPr>
        <w:t>表</w:t>
      </w:r>
      <w:r>
        <w:rPr>
          <w:rFonts w:hint="eastAsia" w:ascii="Times New Roman" w:hAnsi="Times New Roman" w:eastAsia="宋体" w:cs="Times New Roman"/>
          <w:sz w:val="24"/>
        </w:rPr>
        <w:t>。</w:t>
      </w:r>
    </w:p>
    <w:p w14:paraId="524AEF1A"/>
    <w:p w14:paraId="79AD0388"/>
    <w:p w14:paraId="4D9114A5">
      <w:pPr>
        <w:sectPr>
          <w:headerReference r:id="rId24" w:type="default"/>
          <w:pgSz w:w="11906" w:h="16838"/>
          <w:pgMar w:top="1440" w:right="1800" w:bottom="1440" w:left="1800" w:header="851" w:footer="992" w:gutter="0"/>
          <w:pgNumType w:fmt="decimal"/>
          <w:cols w:space="425" w:num="1"/>
          <w:docGrid w:type="lines" w:linePitch="312" w:charSpace="0"/>
        </w:sectPr>
      </w:pPr>
    </w:p>
    <w:p w14:paraId="5F7F1BF5">
      <w:pPr>
        <w:spacing w:before="156" w:beforeLines="50"/>
        <w:jc w:val="center"/>
        <w:rPr>
          <w:rFonts w:ascii="Times New Roman" w:hAnsi="Times New Roman" w:eastAsia="宋体" w:cs="Times New Roman"/>
          <w:b/>
          <w:bCs/>
          <w:szCs w:val="21"/>
        </w:rPr>
      </w:pPr>
      <w:r>
        <w:rPr>
          <w:rFonts w:ascii="Times New Roman" w:hAnsi="Times New Roman" w:eastAsia="宋体" w:cs="Times New Roman"/>
          <w:b/>
          <w:bCs/>
          <w:szCs w:val="21"/>
        </w:rPr>
        <w:t>表6.</w:t>
      </w:r>
      <w:r>
        <w:rPr>
          <w:rFonts w:hint="eastAsia" w:ascii="Times New Roman" w:hAnsi="Times New Roman" w:eastAsia="宋体" w:cs="Times New Roman"/>
          <w:b/>
          <w:bCs/>
          <w:szCs w:val="21"/>
        </w:rPr>
        <w:t>8</w:t>
      </w:r>
      <w:r>
        <w:rPr>
          <w:rFonts w:ascii="Times New Roman" w:hAnsi="Times New Roman" w:eastAsia="宋体" w:cs="Times New Roman"/>
          <w:b/>
          <w:bCs/>
          <w:szCs w:val="21"/>
        </w:rPr>
        <w:t>-1  污染防治措施及其投资</w:t>
      </w:r>
      <w:r>
        <w:rPr>
          <w:rFonts w:hint="eastAsia" w:ascii="Times New Roman" w:hAnsi="Times New Roman" w:eastAsia="宋体" w:cs="Times New Roman"/>
          <w:b/>
          <w:bCs/>
          <w:szCs w:val="21"/>
        </w:rPr>
        <w:t>估算</w:t>
      </w:r>
      <w:r>
        <w:rPr>
          <w:rFonts w:ascii="Times New Roman" w:hAnsi="Times New Roman" w:eastAsia="宋体" w:cs="Times New Roman"/>
          <w:b/>
          <w:bCs/>
          <w:szCs w:val="21"/>
        </w:rPr>
        <w:t>一览表</w:t>
      </w:r>
    </w:p>
    <w:tbl>
      <w:tblPr>
        <w:tblStyle w:val="30"/>
        <w:tblW w:w="14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655"/>
        <w:gridCol w:w="135"/>
        <w:gridCol w:w="1663"/>
        <w:gridCol w:w="1847"/>
        <w:gridCol w:w="2486"/>
        <w:gridCol w:w="5947"/>
        <w:gridCol w:w="996"/>
      </w:tblGrid>
      <w:tr w14:paraId="5F91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15" w:type="dxa"/>
            <w:vAlign w:val="center"/>
          </w:tcPr>
          <w:p w14:paraId="39B03271">
            <w:pPr>
              <w:jc w:val="center"/>
              <w:rPr>
                <w:rFonts w:ascii="Times New Roman" w:hAnsi="Times New Roman" w:cs="Times New Roman"/>
                <w:szCs w:val="21"/>
              </w:rPr>
            </w:pPr>
            <w:r>
              <w:rPr>
                <w:rFonts w:ascii="Times New Roman" w:hAnsi="Times New Roman" w:cs="Times New Roman"/>
                <w:szCs w:val="21"/>
              </w:rPr>
              <w:t>类别</w:t>
            </w:r>
          </w:p>
        </w:tc>
        <w:tc>
          <w:tcPr>
            <w:tcW w:w="4300" w:type="dxa"/>
            <w:gridSpan w:val="4"/>
            <w:vAlign w:val="center"/>
          </w:tcPr>
          <w:p w14:paraId="25C2F154">
            <w:pPr>
              <w:jc w:val="center"/>
              <w:rPr>
                <w:rFonts w:ascii="Times New Roman" w:hAnsi="Times New Roman" w:cs="Times New Roman"/>
                <w:szCs w:val="21"/>
              </w:rPr>
            </w:pPr>
            <w:r>
              <w:rPr>
                <w:rFonts w:ascii="Times New Roman" w:hAnsi="Times New Roman" w:cs="Times New Roman"/>
                <w:szCs w:val="21"/>
              </w:rPr>
              <w:t>污染源</w:t>
            </w:r>
          </w:p>
        </w:tc>
        <w:tc>
          <w:tcPr>
            <w:tcW w:w="2486" w:type="dxa"/>
            <w:vAlign w:val="center"/>
          </w:tcPr>
          <w:p w14:paraId="2856E9B2">
            <w:pPr>
              <w:jc w:val="center"/>
              <w:rPr>
                <w:rFonts w:ascii="Times New Roman" w:hAnsi="Times New Roman" w:cs="Times New Roman"/>
                <w:szCs w:val="21"/>
              </w:rPr>
            </w:pPr>
            <w:r>
              <w:rPr>
                <w:rFonts w:ascii="Times New Roman" w:hAnsi="Times New Roman" w:cs="Times New Roman"/>
                <w:szCs w:val="21"/>
              </w:rPr>
              <w:t>治理措施</w:t>
            </w:r>
          </w:p>
        </w:tc>
        <w:tc>
          <w:tcPr>
            <w:tcW w:w="5947" w:type="dxa"/>
            <w:vAlign w:val="center"/>
          </w:tcPr>
          <w:p w14:paraId="02202E42">
            <w:pPr>
              <w:jc w:val="center"/>
              <w:rPr>
                <w:rFonts w:ascii="Times New Roman" w:hAnsi="Times New Roman" w:cs="Times New Roman"/>
                <w:szCs w:val="21"/>
              </w:rPr>
            </w:pPr>
            <w:r>
              <w:rPr>
                <w:rFonts w:ascii="Times New Roman" w:hAnsi="Times New Roman" w:cs="Times New Roman"/>
                <w:szCs w:val="21"/>
              </w:rPr>
              <w:t>治理效果</w:t>
            </w:r>
          </w:p>
        </w:tc>
        <w:tc>
          <w:tcPr>
            <w:tcW w:w="996" w:type="dxa"/>
            <w:vAlign w:val="center"/>
          </w:tcPr>
          <w:p w14:paraId="15769ACF">
            <w:pPr>
              <w:jc w:val="center"/>
              <w:rPr>
                <w:rFonts w:ascii="Times New Roman" w:hAnsi="Times New Roman" w:cs="Times New Roman"/>
                <w:szCs w:val="21"/>
              </w:rPr>
            </w:pPr>
            <w:r>
              <w:rPr>
                <w:rFonts w:ascii="Times New Roman" w:hAnsi="Times New Roman" w:cs="Times New Roman"/>
                <w:szCs w:val="21"/>
              </w:rPr>
              <w:t>投资（万元）</w:t>
            </w:r>
          </w:p>
        </w:tc>
      </w:tr>
      <w:tr w14:paraId="3146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15" w:type="dxa"/>
            <w:vMerge w:val="restart"/>
            <w:vAlign w:val="center"/>
          </w:tcPr>
          <w:p w14:paraId="744953C4">
            <w:pPr>
              <w:jc w:val="center"/>
              <w:rPr>
                <w:rFonts w:ascii="Times New Roman" w:hAnsi="Times New Roman" w:cs="Times New Roman"/>
                <w:bCs/>
                <w:szCs w:val="21"/>
              </w:rPr>
            </w:pPr>
            <w:r>
              <w:rPr>
                <w:rFonts w:ascii="Times New Roman" w:hAnsi="Times New Roman" w:cs="Times New Roman"/>
                <w:bCs/>
                <w:szCs w:val="21"/>
              </w:rPr>
              <w:t>废气</w:t>
            </w:r>
          </w:p>
        </w:tc>
        <w:tc>
          <w:tcPr>
            <w:tcW w:w="655" w:type="dxa"/>
            <w:vMerge w:val="restart"/>
            <w:vAlign w:val="center"/>
          </w:tcPr>
          <w:p w14:paraId="0F1E22E3">
            <w:pPr>
              <w:jc w:val="center"/>
              <w:rPr>
                <w:rFonts w:ascii="Times New Roman" w:hAnsi="Times New Roman" w:cs="Times New Roman"/>
                <w:bCs/>
                <w:szCs w:val="21"/>
              </w:rPr>
            </w:pPr>
            <w:r>
              <w:rPr>
                <w:rFonts w:ascii="Times New Roman" w:hAnsi="Times New Roman" w:cs="Times New Roman"/>
                <w:bCs/>
                <w:szCs w:val="21"/>
              </w:rPr>
              <w:t>有组织</w:t>
            </w:r>
          </w:p>
        </w:tc>
        <w:tc>
          <w:tcPr>
            <w:tcW w:w="1798" w:type="dxa"/>
            <w:gridSpan w:val="2"/>
            <w:vAlign w:val="center"/>
          </w:tcPr>
          <w:p w14:paraId="35E649AD">
            <w:pPr>
              <w:jc w:val="center"/>
              <w:rPr>
                <w:rFonts w:ascii="Times New Roman" w:hAnsi="Times New Roman" w:eastAsia="宋体" w:cs="Times New Roman"/>
                <w:bCs/>
                <w:szCs w:val="21"/>
              </w:rPr>
            </w:pPr>
            <w:r>
              <w:rPr>
                <w:rFonts w:hint="eastAsia" w:ascii="Times New Roman" w:hAnsi="Times New Roman" w:eastAsia="宋体" w:cs="Times New Roman"/>
                <w:szCs w:val="21"/>
              </w:rPr>
              <w:t>木加工</w:t>
            </w:r>
          </w:p>
        </w:tc>
        <w:tc>
          <w:tcPr>
            <w:tcW w:w="1847" w:type="dxa"/>
            <w:vAlign w:val="center"/>
          </w:tcPr>
          <w:p w14:paraId="54321C8C">
            <w:pPr>
              <w:jc w:val="center"/>
              <w:rPr>
                <w:rFonts w:ascii="Times New Roman" w:hAnsi="Times New Roman" w:eastAsia="宋体" w:cs="Times New Roman"/>
                <w:szCs w:val="21"/>
              </w:rPr>
            </w:pPr>
            <w:r>
              <w:rPr>
                <w:rFonts w:hint="eastAsia" w:cs="Times New Roman"/>
                <w:szCs w:val="21"/>
              </w:rPr>
              <w:t>颗粒物</w:t>
            </w:r>
          </w:p>
        </w:tc>
        <w:tc>
          <w:tcPr>
            <w:tcW w:w="2486" w:type="dxa"/>
            <w:vAlign w:val="center"/>
          </w:tcPr>
          <w:p w14:paraId="790C817C">
            <w:pPr>
              <w:jc w:val="center"/>
              <w:rPr>
                <w:rFonts w:ascii="Times New Roman" w:hAnsi="Times New Roman" w:cs="Times New Roman"/>
                <w:bCs/>
                <w:szCs w:val="21"/>
              </w:rPr>
            </w:pPr>
            <w:r>
              <w:rPr>
                <w:rFonts w:ascii="Times New Roman" w:hAnsi="Times New Roman" w:cs="Times New Roman"/>
              </w:rPr>
              <w:t>集气罩</w:t>
            </w:r>
            <w:r>
              <w:rPr>
                <w:rFonts w:hint="eastAsia" w:ascii="Times New Roman" w:hAnsi="Times New Roman" w:cs="Times New Roman"/>
              </w:rPr>
              <w:t>（负压）</w:t>
            </w:r>
            <w:r>
              <w:rPr>
                <w:rFonts w:ascii="Times New Roman" w:hAnsi="Times New Roman" w:cs="Times New Roman"/>
              </w:rPr>
              <w:t>+</w:t>
            </w:r>
            <w:r>
              <w:rPr>
                <w:rFonts w:hint="eastAsia" w:ascii="Times New Roman" w:hAnsi="Times New Roman" w:cs="Times New Roman"/>
              </w:rPr>
              <w:t>中央除尘系统</w:t>
            </w:r>
            <w:r>
              <w:rPr>
                <w:rFonts w:ascii="Times New Roman" w:hAnsi="Times New Roman" w:cs="Times New Roman"/>
              </w:rPr>
              <w:t>+15m排气筒（DA001）</w:t>
            </w:r>
          </w:p>
        </w:tc>
        <w:tc>
          <w:tcPr>
            <w:tcW w:w="5947" w:type="dxa"/>
            <w:vMerge w:val="restart"/>
            <w:vAlign w:val="center"/>
          </w:tcPr>
          <w:p w14:paraId="3642C21D">
            <w:pPr>
              <w:jc w:val="center"/>
              <w:rPr>
                <w:rFonts w:ascii="Times New Roman" w:hAnsi="Times New Roman" w:cs="Times New Roman"/>
                <w:bCs/>
                <w:szCs w:val="21"/>
              </w:rPr>
            </w:pPr>
            <w:r>
              <w:rPr>
                <w:rFonts w:hint="eastAsia" w:ascii="Times New Roman" w:hAnsi="Times New Roman" w:cs="Times New Roman"/>
                <w:szCs w:val="21"/>
              </w:rPr>
              <w:t>《大气污染物综合排放标准》（GB16297-1996）表2二级标准（颗粒物：15m排气筒，浓度≤120mg/m</w:t>
            </w:r>
            <w:r>
              <w:rPr>
                <w:rFonts w:hint="eastAsia" w:ascii="Times New Roman" w:hAnsi="Times New Roman" w:cs="Times New Roman"/>
                <w:szCs w:val="21"/>
                <w:vertAlign w:val="superscript"/>
              </w:rPr>
              <w:t>3</w:t>
            </w:r>
            <w:r>
              <w:rPr>
                <w:rFonts w:hint="eastAsia" w:ascii="Times New Roman" w:hAnsi="Times New Roman" w:cs="Times New Roman"/>
                <w:szCs w:val="21"/>
              </w:rPr>
              <w:t>，速率≤3.5kg/h），同时满足</w:t>
            </w:r>
            <w:r>
              <w:rPr>
                <w:rFonts w:hint="eastAsia" w:ascii="Times New Roman" w:hAnsi="Times New Roman"/>
                <w:szCs w:val="21"/>
              </w:rPr>
              <w:t>《重污染天气重点行业应急减排措施制定技术指南（2020年修订版）》的函》（环办大气函〔2020〕340号）家具行业绩效分级指标（A级）（PM：10</w:t>
            </w:r>
            <w:r>
              <w:rPr>
                <w:rFonts w:ascii="Times New Roman" w:hAnsi="Times New Roman"/>
                <w:szCs w:val="21"/>
              </w:rPr>
              <w:t>mg/m</w:t>
            </w:r>
            <w:r>
              <w:rPr>
                <w:rFonts w:ascii="Times New Roman" w:hAnsi="Times New Roman"/>
                <w:szCs w:val="21"/>
                <w:vertAlign w:val="superscript"/>
              </w:rPr>
              <w:t>3</w:t>
            </w:r>
            <w:r>
              <w:rPr>
                <w:rFonts w:hint="eastAsia" w:ascii="Times New Roman" w:hAnsi="Times New Roman"/>
                <w:szCs w:val="21"/>
              </w:rPr>
              <w:t>）</w:t>
            </w:r>
          </w:p>
        </w:tc>
        <w:tc>
          <w:tcPr>
            <w:tcW w:w="996" w:type="dxa"/>
            <w:vAlign w:val="center"/>
          </w:tcPr>
          <w:p w14:paraId="0C757FDA">
            <w:pPr>
              <w:jc w:val="center"/>
              <w:rPr>
                <w:rFonts w:ascii="Times New Roman" w:hAnsi="Times New Roman" w:cs="Times New Roman"/>
                <w:bCs/>
                <w:szCs w:val="21"/>
              </w:rPr>
            </w:pPr>
            <w:r>
              <w:rPr>
                <w:rFonts w:hint="eastAsia" w:ascii="Times New Roman" w:hAnsi="Times New Roman" w:cs="Times New Roman"/>
                <w:bCs/>
                <w:szCs w:val="21"/>
              </w:rPr>
              <w:t>30</w:t>
            </w:r>
          </w:p>
        </w:tc>
      </w:tr>
      <w:tr w14:paraId="1FA0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15" w:type="dxa"/>
            <w:vMerge w:val="continue"/>
            <w:vAlign w:val="center"/>
          </w:tcPr>
          <w:p w14:paraId="6D322B57">
            <w:pPr>
              <w:jc w:val="center"/>
              <w:rPr>
                <w:rFonts w:ascii="Times New Roman" w:hAnsi="Times New Roman" w:cs="Times New Roman"/>
                <w:bCs/>
                <w:szCs w:val="21"/>
              </w:rPr>
            </w:pPr>
          </w:p>
        </w:tc>
        <w:tc>
          <w:tcPr>
            <w:tcW w:w="655" w:type="dxa"/>
            <w:vMerge w:val="continue"/>
            <w:vAlign w:val="center"/>
          </w:tcPr>
          <w:p w14:paraId="5DF480E8">
            <w:pPr>
              <w:jc w:val="center"/>
              <w:rPr>
                <w:rFonts w:ascii="Times New Roman" w:hAnsi="Times New Roman" w:cs="Times New Roman"/>
                <w:bCs/>
                <w:szCs w:val="21"/>
              </w:rPr>
            </w:pPr>
          </w:p>
        </w:tc>
        <w:tc>
          <w:tcPr>
            <w:tcW w:w="1798" w:type="dxa"/>
            <w:gridSpan w:val="2"/>
            <w:vAlign w:val="center"/>
          </w:tcPr>
          <w:p w14:paraId="78A3B6BF">
            <w:pPr>
              <w:jc w:val="center"/>
              <w:rPr>
                <w:rFonts w:ascii="Times New Roman" w:hAnsi="Times New Roman" w:eastAsia="宋体" w:cs="Times New Roman"/>
                <w:bCs/>
                <w:szCs w:val="21"/>
              </w:rPr>
            </w:pPr>
            <w:r>
              <w:rPr>
                <w:rFonts w:hint="eastAsia"/>
                <w:szCs w:val="21"/>
              </w:rPr>
              <w:t>修正、油磨</w:t>
            </w:r>
          </w:p>
        </w:tc>
        <w:tc>
          <w:tcPr>
            <w:tcW w:w="1847" w:type="dxa"/>
            <w:vAlign w:val="center"/>
          </w:tcPr>
          <w:p w14:paraId="0E687328">
            <w:pPr>
              <w:jc w:val="center"/>
              <w:rPr>
                <w:rFonts w:cs="Times New Roman"/>
                <w:szCs w:val="21"/>
              </w:rPr>
            </w:pPr>
            <w:r>
              <w:rPr>
                <w:rFonts w:hint="eastAsia" w:cs="Times New Roman"/>
                <w:szCs w:val="21"/>
              </w:rPr>
              <w:t>颗粒物</w:t>
            </w:r>
          </w:p>
        </w:tc>
        <w:tc>
          <w:tcPr>
            <w:tcW w:w="2486" w:type="dxa"/>
            <w:vAlign w:val="center"/>
          </w:tcPr>
          <w:p w14:paraId="652EC434">
            <w:pPr>
              <w:jc w:val="center"/>
              <w:rPr>
                <w:rFonts w:ascii="Times New Roman" w:hAnsi="Times New Roman" w:cs="Times New Roman"/>
              </w:rPr>
            </w:pPr>
            <w:r>
              <w:rPr>
                <w:rFonts w:hint="eastAsia" w:ascii="Times New Roman" w:hAnsi="Times New Roman" w:cs="Times New Roman"/>
                <w:szCs w:val="21"/>
              </w:rPr>
              <w:t>负压</w:t>
            </w:r>
            <w:r>
              <w:rPr>
                <w:rFonts w:ascii="Times New Roman" w:hAnsi="Times New Roman" w:cs="Times New Roman"/>
                <w:szCs w:val="21"/>
              </w:rPr>
              <w:t>脉冲布袋除尘器</w:t>
            </w:r>
          </w:p>
        </w:tc>
        <w:tc>
          <w:tcPr>
            <w:tcW w:w="5947" w:type="dxa"/>
            <w:vMerge w:val="continue"/>
            <w:vAlign w:val="center"/>
          </w:tcPr>
          <w:p w14:paraId="0A4635B3">
            <w:pPr>
              <w:jc w:val="center"/>
              <w:rPr>
                <w:rFonts w:ascii="Times New Roman" w:hAnsi="Times New Roman" w:eastAsia="宋体" w:cs="Times New Roman"/>
                <w:szCs w:val="21"/>
              </w:rPr>
            </w:pPr>
          </w:p>
        </w:tc>
        <w:tc>
          <w:tcPr>
            <w:tcW w:w="996" w:type="dxa"/>
            <w:vAlign w:val="center"/>
          </w:tcPr>
          <w:p w14:paraId="3A43B62B">
            <w:pPr>
              <w:jc w:val="center"/>
              <w:rPr>
                <w:rFonts w:ascii="Times New Roman" w:hAnsi="Times New Roman" w:cs="Times New Roman"/>
                <w:bCs/>
                <w:szCs w:val="21"/>
              </w:rPr>
            </w:pPr>
            <w:r>
              <w:rPr>
                <w:rFonts w:hint="eastAsia" w:ascii="Times New Roman" w:hAnsi="Times New Roman" w:cs="Times New Roman"/>
                <w:bCs/>
                <w:szCs w:val="21"/>
              </w:rPr>
              <w:t>10</w:t>
            </w:r>
          </w:p>
        </w:tc>
      </w:tr>
      <w:tr w14:paraId="5A73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515" w:type="dxa"/>
            <w:vMerge w:val="continue"/>
            <w:vAlign w:val="center"/>
          </w:tcPr>
          <w:p w14:paraId="4D2184DA">
            <w:pPr>
              <w:jc w:val="center"/>
              <w:rPr>
                <w:rFonts w:ascii="Times New Roman" w:hAnsi="Times New Roman" w:cs="Times New Roman"/>
                <w:bCs/>
                <w:szCs w:val="21"/>
              </w:rPr>
            </w:pPr>
          </w:p>
        </w:tc>
        <w:tc>
          <w:tcPr>
            <w:tcW w:w="655" w:type="dxa"/>
            <w:vMerge w:val="continue"/>
            <w:vAlign w:val="center"/>
          </w:tcPr>
          <w:p w14:paraId="23BD85A8">
            <w:pPr>
              <w:jc w:val="center"/>
              <w:rPr>
                <w:rFonts w:ascii="Times New Roman" w:hAnsi="Times New Roman" w:cs="Times New Roman"/>
                <w:bCs/>
                <w:szCs w:val="21"/>
              </w:rPr>
            </w:pPr>
          </w:p>
        </w:tc>
        <w:tc>
          <w:tcPr>
            <w:tcW w:w="1798" w:type="dxa"/>
            <w:gridSpan w:val="2"/>
            <w:vMerge w:val="restart"/>
            <w:vAlign w:val="center"/>
          </w:tcPr>
          <w:p w14:paraId="04C4BEF2">
            <w:pPr>
              <w:jc w:val="center"/>
              <w:rPr>
                <w:rFonts w:ascii="Times New Roman" w:hAnsi="Times New Roman" w:cs="Times New Roman"/>
                <w:bCs/>
                <w:szCs w:val="21"/>
              </w:rPr>
            </w:pPr>
            <w:r>
              <w:rPr>
                <w:szCs w:val="21"/>
              </w:rPr>
              <w:t>拼板冷压、封边、热压、擦色、</w:t>
            </w:r>
            <w:r>
              <w:rPr>
                <w:rFonts w:hint="eastAsia"/>
                <w:szCs w:val="21"/>
                <w:lang w:val="en-US" w:eastAsia="zh-CN"/>
              </w:rPr>
              <w:t>喷</w:t>
            </w:r>
            <w:r>
              <w:rPr>
                <w:szCs w:val="21"/>
              </w:rPr>
              <w:t>漆房（含</w:t>
            </w:r>
            <w:r>
              <w:rPr>
                <w:rFonts w:hint="eastAsia" w:ascii="Times New Roman" w:hAnsi="Times New Roman" w:eastAsia="宋体" w:cs="Times New Roman"/>
                <w:color w:val="000000" w:themeColor="text1"/>
                <w:szCs w:val="21"/>
                <w14:textFill>
                  <w14:solidFill>
                    <w14:schemeClr w14:val="tx1"/>
                  </w14:solidFill>
                </w14:textFill>
              </w:rPr>
              <w:t>调漆、</w:t>
            </w:r>
            <w:r>
              <w:rPr>
                <w:szCs w:val="21"/>
              </w:rPr>
              <w:t>晾干）废气</w:t>
            </w:r>
          </w:p>
        </w:tc>
        <w:tc>
          <w:tcPr>
            <w:tcW w:w="1847" w:type="dxa"/>
            <w:vAlign w:val="center"/>
          </w:tcPr>
          <w:p w14:paraId="3AFC3C72">
            <w:pPr>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2486" w:type="dxa"/>
            <w:vMerge w:val="restart"/>
            <w:vAlign w:val="center"/>
          </w:tcPr>
          <w:p w14:paraId="78DC91D6">
            <w:pPr>
              <w:pStyle w:val="15"/>
              <w:autoSpaceDE w:val="0"/>
              <w:autoSpaceDN w:val="0"/>
              <w:jc w:val="center"/>
              <w:rPr>
                <w:rFonts w:ascii="Times New Roman" w:hAnsi="Times New Roman" w:eastAsia="宋体" w:cs="Times New Roman"/>
                <w:szCs w:val="21"/>
              </w:rPr>
            </w:pPr>
            <w:r>
              <w:rPr>
                <w:rFonts w:ascii="Times New Roman" w:hAnsi="Times New Roman" w:cs="Times New Roman"/>
                <w:color w:val="000000" w:themeColor="text1"/>
                <w:szCs w:val="21"/>
                <w14:textFill>
                  <w14:solidFill>
                    <w14:schemeClr w14:val="tx1"/>
                  </w14:solidFill>
                </w14:textFill>
              </w:rPr>
              <w:t>水幕帘</w:t>
            </w:r>
            <w:r>
              <w:rPr>
                <w:rFonts w:hint="eastAsia" w:ascii="Times New Roman" w:hAnsi="Times New Roman" w:cs="Times New Roman"/>
                <w:color w:val="000000" w:themeColor="text1"/>
                <w:szCs w:val="21"/>
                <w14:textFill>
                  <w14:solidFill>
                    <w14:schemeClr w14:val="tx1"/>
                  </w14:solidFill>
                </w14:textFill>
              </w:rPr>
              <w:t>+漆雾过滤器+</w:t>
            </w:r>
            <w:r>
              <w:rPr>
                <w:rFonts w:ascii="Times New Roman" w:hAnsi="Times New Roman" w:cs="Times New Roman"/>
                <w:color w:val="000000"/>
                <w:kern w:val="0"/>
                <w:szCs w:val="21"/>
              </w:rPr>
              <w:t>活性炭吸附—脱附催化燃烧</w:t>
            </w:r>
            <w:r>
              <w:rPr>
                <w:rFonts w:ascii="Times New Roman" w:hAnsi="Times New Roman" w:cs="Times New Roman"/>
              </w:rPr>
              <w:t>+15m排气筒（DA00</w:t>
            </w:r>
            <w:r>
              <w:rPr>
                <w:rFonts w:hint="eastAsia" w:ascii="Times New Roman" w:hAnsi="Times New Roman" w:cs="Times New Roman"/>
                <w:lang w:val="en-US" w:eastAsia="zh-CN"/>
              </w:rPr>
              <w:t>2</w:t>
            </w:r>
            <w:r>
              <w:rPr>
                <w:rFonts w:ascii="Times New Roman" w:hAnsi="Times New Roman" w:cs="Times New Roman"/>
              </w:rPr>
              <w:t>）</w:t>
            </w:r>
          </w:p>
        </w:tc>
        <w:tc>
          <w:tcPr>
            <w:tcW w:w="5947" w:type="dxa"/>
            <w:vMerge w:val="restart"/>
            <w:vAlign w:val="center"/>
          </w:tcPr>
          <w:p w14:paraId="04F5C09D">
            <w:pPr>
              <w:jc w:val="center"/>
              <w:rPr>
                <w:rFonts w:ascii="Times New Roman" w:hAnsi="Times New Roman" w:cs="Times New Roman"/>
                <w:bCs/>
                <w:w w:val="90"/>
                <w:szCs w:val="21"/>
              </w:rPr>
            </w:pPr>
            <w:r>
              <w:rPr>
                <w:rFonts w:ascii="Times New Roman" w:hAnsi="Times New Roman"/>
                <w:szCs w:val="21"/>
              </w:rPr>
              <w:t>《大气污染物综合排放标准》（GB16297-1996）二级标准</w:t>
            </w:r>
            <w:r>
              <w:rPr>
                <w:rFonts w:hint="eastAsia" w:ascii="Times New Roman" w:hAnsi="Times New Roman" w:cs="Times New Roman"/>
                <w:szCs w:val="21"/>
              </w:rPr>
              <w:t>（颗粒物：15m排气筒，浓度≤120</w:t>
            </w: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，速率≤</w:t>
            </w:r>
            <w:r>
              <w:rPr>
                <w:rFonts w:hint="eastAsia" w:ascii="Times New Roman" w:hAnsi="Times New Roman" w:cs="Times New Roman"/>
                <w:szCs w:val="21"/>
              </w:rPr>
              <w:t>3.5</w:t>
            </w:r>
            <w:r>
              <w:rPr>
                <w:rFonts w:ascii="Times New Roman" w:hAnsi="Times New Roman" w:cs="Times New Roman"/>
                <w:szCs w:val="21"/>
              </w:rPr>
              <w:t>kg/h</w:t>
            </w:r>
            <w:r>
              <w:rPr>
                <w:rFonts w:hint="eastAsia" w:ascii="Times New Roman" w:hAnsi="Times New Roman" w:cs="Times New Roman"/>
                <w:szCs w:val="21"/>
              </w:rPr>
              <w:t>；甲苯：15m排气筒，浓度≤40</w:t>
            </w: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，速率≤</w:t>
            </w:r>
            <w:r>
              <w:rPr>
                <w:rFonts w:hint="eastAsia" w:ascii="Times New Roman" w:hAnsi="Times New Roman" w:cs="Times New Roman"/>
                <w:szCs w:val="21"/>
              </w:rPr>
              <w:t>3.1</w:t>
            </w:r>
            <w:r>
              <w:rPr>
                <w:rFonts w:ascii="Times New Roman" w:hAnsi="Times New Roman" w:cs="Times New Roman"/>
                <w:szCs w:val="21"/>
              </w:rPr>
              <w:t>kg/h</w:t>
            </w:r>
            <w:r>
              <w:rPr>
                <w:rFonts w:hint="eastAsia" w:ascii="Times New Roman" w:hAnsi="Times New Roman" w:cs="Times New Roman"/>
                <w:szCs w:val="21"/>
              </w:rPr>
              <w:t>；二甲苯：15m排气筒，浓度≤70</w:t>
            </w: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，速率≤</w:t>
            </w:r>
            <w:r>
              <w:rPr>
                <w:rFonts w:hint="eastAsia" w:ascii="Times New Roman" w:hAnsi="Times New Roman" w:cs="Times New Roman"/>
                <w:szCs w:val="21"/>
              </w:rPr>
              <w:t>1.0</w:t>
            </w:r>
            <w:r>
              <w:rPr>
                <w:rFonts w:ascii="Times New Roman" w:hAnsi="Times New Roman" w:cs="Times New Roman"/>
                <w:szCs w:val="21"/>
              </w:rPr>
              <w:t>kg/h</w:t>
            </w:r>
            <w:r>
              <w:rPr>
                <w:rFonts w:hint="eastAsia" w:ascii="Times New Roman" w:hAnsi="Times New Roman" w:cs="Times New Roman"/>
                <w:szCs w:val="21"/>
              </w:rPr>
              <w:t>；非甲烷总烃：15m排气筒，浓度≤120</w:t>
            </w: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，速率≤</w:t>
            </w:r>
            <w:r>
              <w:rPr>
                <w:rFonts w:hint="eastAsia" w:ascii="Times New Roman" w:hAnsi="Times New Roman" w:cs="Times New Roman"/>
                <w:szCs w:val="21"/>
              </w:rPr>
              <w:t>10</w:t>
            </w:r>
            <w:r>
              <w:rPr>
                <w:rFonts w:ascii="Times New Roman" w:hAnsi="Times New Roman" w:cs="Times New Roman"/>
                <w:szCs w:val="21"/>
              </w:rPr>
              <w:t>kg/h</w:t>
            </w:r>
            <w:r>
              <w:rPr>
                <w:rFonts w:hint="eastAsia" w:ascii="Times New Roman" w:hAnsi="Times New Roman" w:cs="Times New Roman"/>
                <w:szCs w:val="21"/>
              </w:rPr>
              <w:t>）</w:t>
            </w:r>
            <w:r>
              <w:rPr>
                <w:rFonts w:ascii="Times New Roman" w:hAnsi="Times New Roman"/>
                <w:szCs w:val="21"/>
              </w:rPr>
              <w:t>、《工业涂装工序挥发性有机物排放标准》（DB41/1951-2020）</w:t>
            </w:r>
            <w:r>
              <w:rPr>
                <w:rFonts w:hint="eastAsia" w:ascii="Times New Roman" w:hAnsi="Times New Roman"/>
                <w:szCs w:val="21"/>
              </w:rPr>
              <w:t>（</w:t>
            </w:r>
            <w:r>
              <w:rPr>
                <w:rFonts w:ascii="Times New Roman" w:hAnsi="Times New Roman"/>
                <w:szCs w:val="21"/>
              </w:rPr>
              <w:t>非甲烷总烃50mg/m</w:t>
            </w:r>
            <w:r>
              <w:rPr>
                <w:rFonts w:ascii="Times New Roman" w:hAnsi="Times New Roman"/>
                <w:szCs w:val="21"/>
                <w:vertAlign w:val="superscript"/>
              </w:rPr>
              <w:t>3</w:t>
            </w:r>
            <w:r>
              <w:rPr>
                <w:rFonts w:ascii="Times New Roman" w:hAnsi="Times New Roman"/>
                <w:szCs w:val="21"/>
              </w:rPr>
              <w:t>、甲苯与二甲苯合计20mg/m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《河南省环境污染防治攻坚战领导小组办公室文件》（豫环攻坚办</w:t>
            </w:r>
            <w:r>
              <w:rPr>
                <w:rFonts w:hint="eastAsia" w:ascii="Times New Roman" w:hAnsi="Times New Roman"/>
                <w:szCs w:val="21"/>
              </w:rPr>
              <w:t>〔2017〕</w:t>
            </w:r>
            <w:r>
              <w:rPr>
                <w:rFonts w:ascii="Times New Roman" w:hAnsi="Times New Roman"/>
                <w:szCs w:val="21"/>
              </w:rPr>
              <w:t>162号）关于全省开展工业企业挥发性有机物专项治理工作中排放建议值的通知（家具制造业非甲烷总烃</w:t>
            </w:r>
            <w:r>
              <w:rPr>
                <w:rFonts w:hint="eastAsia" w:ascii="Times New Roman" w:hAnsi="Times New Roman"/>
                <w:szCs w:val="21"/>
              </w:rPr>
              <w:t>6</w:t>
            </w:r>
            <w:r>
              <w:rPr>
                <w:rFonts w:ascii="Times New Roman" w:hAnsi="Times New Roman"/>
                <w:szCs w:val="21"/>
              </w:rPr>
              <w:t>0mg/m</w:t>
            </w:r>
            <w:r>
              <w:rPr>
                <w:rFonts w:ascii="Times New Roman" w:hAnsi="Times New Roman"/>
                <w:szCs w:val="21"/>
                <w:vertAlign w:val="superscript"/>
              </w:rPr>
              <w:t>3</w:t>
            </w:r>
            <w:r>
              <w:rPr>
                <w:rFonts w:ascii="Times New Roman" w:hAnsi="Times New Roman"/>
                <w:szCs w:val="21"/>
              </w:rPr>
              <w:t>、甲苯与二甲苯合计20mg/m</w:t>
            </w:r>
            <w:r>
              <w:rPr>
                <w:rFonts w:ascii="Times New Roman" w:hAnsi="Times New Roman"/>
                <w:szCs w:val="21"/>
                <w:vertAlign w:val="superscript"/>
              </w:rPr>
              <w:t>3</w:t>
            </w:r>
            <w:r>
              <w:rPr>
                <w:rFonts w:ascii="Times New Roman" w:hAnsi="Times New Roman"/>
                <w:szCs w:val="21"/>
              </w:rPr>
              <w:t>）</w:t>
            </w:r>
            <w:r>
              <w:rPr>
                <w:rFonts w:hint="eastAsia" w:ascii="Times New Roman" w:hAnsi="Times New Roman"/>
                <w:szCs w:val="21"/>
              </w:rPr>
              <w:t>以及《重污染天气重点行业应急减排措施制定技术指南（2020年修订版）》的函》（环办大气函〔2020〕340号）家具行业绩效分级指标（A级）（PM：10</w:t>
            </w:r>
            <w:r>
              <w:rPr>
                <w:rFonts w:ascii="Times New Roman" w:hAnsi="Times New Roman"/>
                <w:szCs w:val="21"/>
              </w:rPr>
              <w:t>mg/m</w:t>
            </w:r>
            <w:r>
              <w:rPr>
                <w:rFonts w:ascii="Times New Roman" w:hAnsi="Times New Roman"/>
                <w:szCs w:val="21"/>
                <w:vertAlign w:val="superscript"/>
              </w:rPr>
              <w:t>3</w:t>
            </w:r>
            <w:r>
              <w:rPr>
                <w:rFonts w:hint="eastAsia" w:ascii="Times New Roman" w:hAnsi="Times New Roman"/>
                <w:szCs w:val="21"/>
              </w:rPr>
              <w:t>；NMHC：20</w:t>
            </w:r>
            <w:r>
              <w:rPr>
                <w:rFonts w:ascii="Times New Roman" w:hAnsi="Times New Roman"/>
                <w:szCs w:val="21"/>
              </w:rPr>
              <w:t>mg/m</w:t>
            </w:r>
            <w:r>
              <w:rPr>
                <w:rFonts w:ascii="Times New Roman" w:hAnsi="Times New Roman"/>
                <w:szCs w:val="21"/>
                <w:vertAlign w:val="superscript"/>
              </w:rPr>
              <w:t>3</w:t>
            </w:r>
            <w:r>
              <w:rPr>
                <w:rFonts w:hint="eastAsia" w:ascii="Times New Roman" w:hAnsi="Times New Roman"/>
                <w:szCs w:val="21"/>
              </w:rPr>
              <w:t>）</w:t>
            </w:r>
          </w:p>
        </w:tc>
        <w:tc>
          <w:tcPr>
            <w:tcW w:w="996" w:type="dxa"/>
            <w:vMerge w:val="restart"/>
            <w:vAlign w:val="center"/>
          </w:tcPr>
          <w:p w14:paraId="024A8343">
            <w:pPr>
              <w:jc w:val="center"/>
              <w:rPr>
                <w:rFonts w:ascii="Times New Roman" w:hAnsi="Times New Roman" w:eastAsia="宋体" w:cs="Times New Roman"/>
                <w:bCs/>
                <w:szCs w:val="21"/>
              </w:rPr>
            </w:pPr>
            <w:r>
              <w:rPr>
                <w:rFonts w:hint="eastAsia" w:ascii="Times New Roman" w:hAnsi="Times New Roman" w:eastAsia="宋体" w:cs="Times New Roman"/>
                <w:bCs/>
                <w:szCs w:val="21"/>
              </w:rPr>
              <w:t>50</w:t>
            </w:r>
          </w:p>
        </w:tc>
      </w:tr>
      <w:tr w14:paraId="49A2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515" w:type="dxa"/>
            <w:vMerge w:val="continue"/>
            <w:vAlign w:val="center"/>
          </w:tcPr>
          <w:p w14:paraId="53482948">
            <w:pPr>
              <w:jc w:val="center"/>
              <w:rPr>
                <w:rFonts w:ascii="Times New Roman" w:hAnsi="Times New Roman" w:cs="Times New Roman"/>
                <w:bCs/>
                <w:szCs w:val="21"/>
              </w:rPr>
            </w:pPr>
          </w:p>
        </w:tc>
        <w:tc>
          <w:tcPr>
            <w:tcW w:w="655" w:type="dxa"/>
            <w:vMerge w:val="continue"/>
            <w:vAlign w:val="center"/>
          </w:tcPr>
          <w:p w14:paraId="1C4C8BE1">
            <w:pPr>
              <w:jc w:val="center"/>
              <w:rPr>
                <w:rFonts w:ascii="Times New Roman" w:hAnsi="Times New Roman" w:cs="Times New Roman"/>
                <w:bCs/>
                <w:szCs w:val="21"/>
              </w:rPr>
            </w:pPr>
          </w:p>
        </w:tc>
        <w:tc>
          <w:tcPr>
            <w:tcW w:w="1798" w:type="dxa"/>
            <w:gridSpan w:val="2"/>
            <w:vMerge w:val="continue"/>
            <w:vAlign w:val="center"/>
          </w:tcPr>
          <w:p w14:paraId="6969172E">
            <w:pPr>
              <w:jc w:val="center"/>
              <w:rPr>
                <w:szCs w:val="21"/>
              </w:rPr>
            </w:pPr>
          </w:p>
        </w:tc>
        <w:tc>
          <w:tcPr>
            <w:tcW w:w="1847" w:type="dxa"/>
            <w:vAlign w:val="center"/>
          </w:tcPr>
          <w:p w14:paraId="4C062582">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苯</w:t>
            </w:r>
          </w:p>
        </w:tc>
        <w:tc>
          <w:tcPr>
            <w:tcW w:w="2486" w:type="dxa"/>
            <w:vMerge w:val="continue"/>
            <w:vAlign w:val="center"/>
          </w:tcPr>
          <w:p w14:paraId="46369448">
            <w:pPr>
              <w:pStyle w:val="15"/>
              <w:autoSpaceDE w:val="0"/>
              <w:autoSpaceDN w:val="0"/>
              <w:jc w:val="center"/>
              <w:rPr>
                <w:rFonts w:ascii="Times New Roman" w:hAnsi="Times New Roman" w:cs="Times New Roman"/>
                <w:color w:val="000000" w:themeColor="text1"/>
                <w:szCs w:val="21"/>
                <w14:textFill>
                  <w14:solidFill>
                    <w14:schemeClr w14:val="tx1"/>
                  </w14:solidFill>
                </w14:textFill>
              </w:rPr>
            </w:pPr>
          </w:p>
        </w:tc>
        <w:tc>
          <w:tcPr>
            <w:tcW w:w="5947" w:type="dxa"/>
            <w:vMerge w:val="continue"/>
            <w:vAlign w:val="center"/>
          </w:tcPr>
          <w:p w14:paraId="1A4F3B6E">
            <w:pPr>
              <w:jc w:val="center"/>
              <w:rPr>
                <w:rFonts w:ascii="Times New Roman" w:hAnsi="Times New Roman"/>
                <w:szCs w:val="21"/>
              </w:rPr>
            </w:pPr>
          </w:p>
        </w:tc>
        <w:tc>
          <w:tcPr>
            <w:tcW w:w="996" w:type="dxa"/>
            <w:vMerge w:val="continue"/>
            <w:vAlign w:val="center"/>
          </w:tcPr>
          <w:p w14:paraId="5674B0B6">
            <w:pPr>
              <w:jc w:val="center"/>
              <w:rPr>
                <w:rFonts w:hint="eastAsia" w:ascii="Times New Roman" w:hAnsi="Times New Roman" w:eastAsia="宋体" w:cs="Times New Roman"/>
                <w:bCs/>
                <w:szCs w:val="21"/>
              </w:rPr>
            </w:pPr>
          </w:p>
        </w:tc>
      </w:tr>
      <w:tr w14:paraId="3303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dxa"/>
            <w:vMerge w:val="continue"/>
            <w:vAlign w:val="center"/>
          </w:tcPr>
          <w:p w14:paraId="0612C92F">
            <w:pPr>
              <w:jc w:val="center"/>
              <w:rPr>
                <w:rFonts w:ascii="Times New Roman" w:hAnsi="Times New Roman" w:cs="Times New Roman"/>
                <w:bCs/>
                <w:szCs w:val="21"/>
              </w:rPr>
            </w:pPr>
          </w:p>
        </w:tc>
        <w:tc>
          <w:tcPr>
            <w:tcW w:w="655" w:type="dxa"/>
            <w:vMerge w:val="continue"/>
            <w:vAlign w:val="center"/>
          </w:tcPr>
          <w:p w14:paraId="021E5EB1">
            <w:pPr>
              <w:jc w:val="center"/>
              <w:rPr>
                <w:rFonts w:ascii="Times New Roman" w:hAnsi="Times New Roman" w:cs="Times New Roman"/>
                <w:bCs/>
                <w:szCs w:val="21"/>
              </w:rPr>
            </w:pPr>
          </w:p>
        </w:tc>
        <w:tc>
          <w:tcPr>
            <w:tcW w:w="1798" w:type="dxa"/>
            <w:gridSpan w:val="2"/>
            <w:vMerge w:val="continue"/>
            <w:vAlign w:val="center"/>
          </w:tcPr>
          <w:p w14:paraId="3C49DEB2">
            <w:pPr>
              <w:jc w:val="center"/>
              <w:rPr>
                <w:rFonts w:ascii="Times New Roman" w:hAnsi="Times New Roman" w:cs="Times New Roman"/>
                <w:bCs/>
                <w:szCs w:val="21"/>
              </w:rPr>
            </w:pPr>
          </w:p>
        </w:tc>
        <w:tc>
          <w:tcPr>
            <w:tcW w:w="1847" w:type="dxa"/>
            <w:vAlign w:val="center"/>
          </w:tcPr>
          <w:p w14:paraId="65B4B1AC">
            <w:pPr>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甲苯</w:t>
            </w:r>
          </w:p>
        </w:tc>
        <w:tc>
          <w:tcPr>
            <w:tcW w:w="2486" w:type="dxa"/>
            <w:vMerge w:val="continue"/>
            <w:vAlign w:val="center"/>
          </w:tcPr>
          <w:p w14:paraId="5BFB5C8C">
            <w:pPr>
              <w:pStyle w:val="15"/>
              <w:autoSpaceDE w:val="0"/>
              <w:autoSpaceDN w:val="0"/>
              <w:jc w:val="center"/>
              <w:rPr>
                <w:rFonts w:ascii="Times New Roman" w:hAnsi="Times New Roman" w:eastAsia="宋体" w:cs="Times New Roman"/>
                <w:szCs w:val="21"/>
              </w:rPr>
            </w:pPr>
          </w:p>
        </w:tc>
        <w:tc>
          <w:tcPr>
            <w:tcW w:w="5947" w:type="dxa"/>
            <w:vMerge w:val="continue"/>
            <w:vAlign w:val="center"/>
          </w:tcPr>
          <w:p w14:paraId="31239048">
            <w:pPr>
              <w:jc w:val="center"/>
              <w:rPr>
                <w:rFonts w:ascii="Times New Roman" w:hAnsi="Times New Roman" w:cs="Times New Roman"/>
                <w:bCs/>
                <w:w w:val="90"/>
                <w:szCs w:val="21"/>
              </w:rPr>
            </w:pPr>
          </w:p>
        </w:tc>
        <w:tc>
          <w:tcPr>
            <w:tcW w:w="996" w:type="dxa"/>
            <w:vMerge w:val="continue"/>
            <w:vAlign w:val="center"/>
          </w:tcPr>
          <w:p w14:paraId="03D44FD6">
            <w:pPr>
              <w:jc w:val="center"/>
              <w:rPr>
                <w:rFonts w:ascii="Times New Roman" w:hAnsi="Times New Roman" w:cs="Times New Roman"/>
                <w:bCs/>
                <w:szCs w:val="21"/>
              </w:rPr>
            </w:pPr>
          </w:p>
        </w:tc>
      </w:tr>
      <w:tr w14:paraId="5CFD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15" w:type="dxa"/>
            <w:vMerge w:val="continue"/>
            <w:vAlign w:val="center"/>
          </w:tcPr>
          <w:p w14:paraId="5474978B">
            <w:pPr>
              <w:jc w:val="center"/>
              <w:rPr>
                <w:rFonts w:ascii="Times New Roman" w:hAnsi="Times New Roman" w:cs="Times New Roman"/>
                <w:bCs/>
                <w:szCs w:val="21"/>
              </w:rPr>
            </w:pPr>
          </w:p>
        </w:tc>
        <w:tc>
          <w:tcPr>
            <w:tcW w:w="655" w:type="dxa"/>
            <w:vMerge w:val="continue"/>
            <w:vAlign w:val="center"/>
          </w:tcPr>
          <w:p w14:paraId="0525349F">
            <w:pPr>
              <w:jc w:val="center"/>
              <w:rPr>
                <w:rFonts w:ascii="Times New Roman" w:hAnsi="Times New Roman" w:cs="Times New Roman"/>
                <w:bCs/>
                <w:szCs w:val="21"/>
              </w:rPr>
            </w:pPr>
          </w:p>
        </w:tc>
        <w:tc>
          <w:tcPr>
            <w:tcW w:w="1798" w:type="dxa"/>
            <w:gridSpan w:val="2"/>
            <w:vMerge w:val="continue"/>
            <w:vAlign w:val="center"/>
          </w:tcPr>
          <w:p w14:paraId="698D2BDE">
            <w:pPr>
              <w:jc w:val="center"/>
              <w:rPr>
                <w:rFonts w:ascii="Times New Roman" w:hAnsi="Times New Roman" w:cs="Times New Roman"/>
                <w:bCs/>
                <w:szCs w:val="21"/>
              </w:rPr>
            </w:pPr>
          </w:p>
        </w:tc>
        <w:tc>
          <w:tcPr>
            <w:tcW w:w="1847" w:type="dxa"/>
            <w:vAlign w:val="center"/>
          </w:tcPr>
          <w:p w14:paraId="43BC0F24">
            <w:pPr>
              <w:widowControl/>
              <w:contextualSpacing/>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二甲苯</w:t>
            </w:r>
          </w:p>
        </w:tc>
        <w:tc>
          <w:tcPr>
            <w:tcW w:w="2486" w:type="dxa"/>
            <w:vMerge w:val="continue"/>
            <w:vAlign w:val="center"/>
          </w:tcPr>
          <w:p w14:paraId="7201982C">
            <w:pPr>
              <w:pStyle w:val="15"/>
              <w:autoSpaceDE w:val="0"/>
              <w:autoSpaceDN w:val="0"/>
              <w:jc w:val="center"/>
              <w:rPr>
                <w:rFonts w:ascii="Times New Roman" w:hAnsi="Times New Roman" w:eastAsia="宋体" w:cs="Times New Roman"/>
                <w:szCs w:val="21"/>
              </w:rPr>
            </w:pPr>
          </w:p>
        </w:tc>
        <w:tc>
          <w:tcPr>
            <w:tcW w:w="5947" w:type="dxa"/>
            <w:vMerge w:val="continue"/>
            <w:vAlign w:val="center"/>
          </w:tcPr>
          <w:p w14:paraId="12AE41C3">
            <w:pPr>
              <w:jc w:val="center"/>
              <w:rPr>
                <w:rFonts w:ascii="Times New Roman" w:hAnsi="Times New Roman" w:cs="Times New Roman"/>
                <w:bCs/>
                <w:w w:val="90"/>
                <w:szCs w:val="21"/>
              </w:rPr>
            </w:pPr>
          </w:p>
        </w:tc>
        <w:tc>
          <w:tcPr>
            <w:tcW w:w="996" w:type="dxa"/>
            <w:vMerge w:val="continue"/>
            <w:vAlign w:val="center"/>
          </w:tcPr>
          <w:p w14:paraId="1EB29513">
            <w:pPr>
              <w:jc w:val="center"/>
              <w:rPr>
                <w:rFonts w:ascii="Times New Roman" w:hAnsi="Times New Roman" w:cs="Times New Roman"/>
                <w:bCs/>
                <w:szCs w:val="21"/>
              </w:rPr>
            </w:pPr>
          </w:p>
        </w:tc>
      </w:tr>
      <w:tr w14:paraId="2BE8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5" w:type="dxa"/>
            <w:vMerge w:val="continue"/>
            <w:vAlign w:val="center"/>
          </w:tcPr>
          <w:p w14:paraId="6471E806">
            <w:pPr>
              <w:jc w:val="center"/>
              <w:rPr>
                <w:rFonts w:ascii="Times New Roman" w:hAnsi="Times New Roman" w:cs="Times New Roman"/>
                <w:bCs/>
                <w:szCs w:val="21"/>
              </w:rPr>
            </w:pPr>
          </w:p>
        </w:tc>
        <w:tc>
          <w:tcPr>
            <w:tcW w:w="655" w:type="dxa"/>
            <w:vMerge w:val="continue"/>
            <w:vAlign w:val="center"/>
          </w:tcPr>
          <w:p w14:paraId="5D46AB9E">
            <w:pPr>
              <w:jc w:val="center"/>
              <w:rPr>
                <w:rFonts w:ascii="Times New Roman" w:hAnsi="Times New Roman" w:cs="Times New Roman"/>
                <w:bCs/>
                <w:szCs w:val="21"/>
              </w:rPr>
            </w:pPr>
          </w:p>
        </w:tc>
        <w:tc>
          <w:tcPr>
            <w:tcW w:w="1798" w:type="dxa"/>
            <w:gridSpan w:val="2"/>
            <w:vMerge w:val="continue"/>
            <w:vAlign w:val="center"/>
          </w:tcPr>
          <w:p w14:paraId="366B3E28">
            <w:pPr>
              <w:jc w:val="center"/>
              <w:rPr>
                <w:rFonts w:ascii="Times New Roman" w:hAnsi="Times New Roman" w:cs="Times New Roman"/>
                <w:bCs/>
                <w:szCs w:val="21"/>
              </w:rPr>
            </w:pPr>
          </w:p>
        </w:tc>
        <w:tc>
          <w:tcPr>
            <w:tcW w:w="1847" w:type="dxa"/>
            <w:tcBorders>
              <w:bottom w:val="single" w:color="000000" w:sz="4" w:space="0"/>
            </w:tcBorders>
            <w:vAlign w:val="center"/>
          </w:tcPr>
          <w:p w14:paraId="79A88396">
            <w:pPr>
              <w:widowControl/>
              <w:contextualSpacing/>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非甲烷总烃</w:t>
            </w:r>
          </w:p>
        </w:tc>
        <w:tc>
          <w:tcPr>
            <w:tcW w:w="2486" w:type="dxa"/>
            <w:vMerge w:val="continue"/>
            <w:tcBorders>
              <w:bottom w:val="single" w:color="000000" w:sz="4" w:space="0"/>
            </w:tcBorders>
            <w:vAlign w:val="center"/>
          </w:tcPr>
          <w:p w14:paraId="17293DBF">
            <w:pPr>
              <w:pStyle w:val="15"/>
              <w:autoSpaceDE w:val="0"/>
              <w:autoSpaceDN w:val="0"/>
              <w:jc w:val="center"/>
              <w:rPr>
                <w:rFonts w:ascii="Times New Roman" w:hAnsi="Times New Roman" w:eastAsia="宋体" w:cs="Times New Roman"/>
                <w:szCs w:val="21"/>
              </w:rPr>
            </w:pPr>
          </w:p>
        </w:tc>
        <w:tc>
          <w:tcPr>
            <w:tcW w:w="5947" w:type="dxa"/>
            <w:vMerge w:val="continue"/>
            <w:vAlign w:val="center"/>
          </w:tcPr>
          <w:p w14:paraId="2F406AAA">
            <w:pPr>
              <w:jc w:val="center"/>
              <w:rPr>
                <w:rFonts w:ascii="Times New Roman" w:hAnsi="Times New Roman" w:cs="Times New Roman"/>
                <w:bCs/>
                <w:w w:val="90"/>
                <w:szCs w:val="21"/>
              </w:rPr>
            </w:pPr>
          </w:p>
        </w:tc>
        <w:tc>
          <w:tcPr>
            <w:tcW w:w="996" w:type="dxa"/>
            <w:vMerge w:val="continue"/>
            <w:tcBorders>
              <w:bottom w:val="single" w:color="000000" w:sz="4" w:space="0"/>
            </w:tcBorders>
            <w:vAlign w:val="center"/>
          </w:tcPr>
          <w:p w14:paraId="2CE1ECBD">
            <w:pPr>
              <w:jc w:val="center"/>
              <w:rPr>
                <w:rFonts w:ascii="Times New Roman" w:hAnsi="Times New Roman" w:cs="Times New Roman"/>
                <w:bCs/>
                <w:szCs w:val="21"/>
              </w:rPr>
            </w:pPr>
          </w:p>
        </w:tc>
      </w:tr>
      <w:tr w14:paraId="3E5F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dxa"/>
            <w:vMerge w:val="continue"/>
            <w:vAlign w:val="center"/>
          </w:tcPr>
          <w:p w14:paraId="7ACB7F80">
            <w:pPr>
              <w:jc w:val="center"/>
              <w:rPr>
                <w:rFonts w:ascii="Times New Roman" w:hAnsi="Times New Roman" w:cs="Times New Roman"/>
                <w:bCs/>
                <w:szCs w:val="21"/>
              </w:rPr>
            </w:pPr>
          </w:p>
        </w:tc>
        <w:tc>
          <w:tcPr>
            <w:tcW w:w="655" w:type="dxa"/>
            <w:vAlign w:val="center"/>
          </w:tcPr>
          <w:p w14:paraId="03F63A69">
            <w:pPr>
              <w:jc w:val="center"/>
              <w:rPr>
                <w:rFonts w:ascii="Times New Roman" w:hAnsi="Times New Roman" w:cs="Times New Roman"/>
                <w:bCs/>
                <w:szCs w:val="21"/>
              </w:rPr>
            </w:pPr>
            <w:r>
              <w:rPr>
                <w:rFonts w:ascii="Times New Roman" w:hAnsi="Times New Roman" w:cs="Times New Roman"/>
                <w:bCs/>
                <w:szCs w:val="21"/>
              </w:rPr>
              <w:t>无组织</w:t>
            </w:r>
          </w:p>
        </w:tc>
        <w:tc>
          <w:tcPr>
            <w:tcW w:w="1798" w:type="dxa"/>
            <w:gridSpan w:val="2"/>
            <w:vAlign w:val="center"/>
          </w:tcPr>
          <w:p w14:paraId="37C96A5C">
            <w:pPr>
              <w:jc w:val="center"/>
              <w:rPr>
                <w:rFonts w:ascii="Times New Roman" w:hAnsi="Times New Roman" w:eastAsia="宋体" w:cs="Times New Roman"/>
                <w:bCs/>
                <w:szCs w:val="21"/>
              </w:rPr>
            </w:pPr>
            <w:r>
              <w:rPr>
                <w:rFonts w:hint="eastAsia" w:ascii="Times New Roman" w:hAnsi="Times New Roman" w:eastAsia="宋体" w:cs="Times New Roman"/>
                <w:bCs/>
                <w:szCs w:val="21"/>
              </w:rPr>
              <w:t>无组织废气</w:t>
            </w:r>
          </w:p>
        </w:tc>
        <w:tc>
          <w:tcPr>
            <w:tcW w:w="1847" w:type="dxa"/>
            <w:vAlign w:val="center"/>
          </w:tcPr>
          <w:p w14:paraId="31F207A8">
            <w:pPr>
              <w:jc w:val="center"/>
              <w:rPr>
                <w:rFonts w:ascii="Times New Roman" w:hAnsi="Times New Roman" w:eastAsia="宋体" w:cs="Times New Roman"/>
                <w:szCs w:val="21"/>
                <w:lang w:bidi="ar"/>
              </w:rPr>
            </w:pPr>
            <w:r>
              <w:rPr>
                <w:rFonts w:hint="eastAsia" w:cs="Times New Roman"/>
                <w:szCs w:val="21"/>
              </w:rPr>
              <w:t>颗粒物、</w:t>
            </w:r>
            <w:r>
              <w:rPr>
                <w:rFonts w:hint="eastAsia" w:cs="Times New Roman"/>
                <w:szCs w:val="21"/>
                <w:lang w:val="en-US" w:eastAsia="zh-CN"/>
              </w:rPr>
              <w:t>苯、</w:t>
            </w:r>
            <w:r>
              <w:rPr>
                <w:rFonts w:hint="eastAsia" w:cs="Times New Roman"/>
                <w:szCs w:val="21"/>
              </w:rPr>
              <w:t>甲苯、二甲苯、非甲烷总烃</w:t>
            </w:r>
          </w:p>
        </w:tc>
        <w:tc>
          <w:tcPr>
            <w:tcW w:w="2486" w:type="dxa"/>
            <w:tcBorders>
              <w:bottom w:val="single" w:color="000000" w:sz="4" w:space="0"/>
            </w:tcBorders>
            <w:vAlign w:val="center"/>
          </w:tcPr>
          <w:p w14:paraId="74EE1505">
            <w:pPr>
              <w:jc w:val="center"/>
              <w:rPr>
                <w:rFonts w:ascii="Times New Roman" w:hAnsi="Times New Roman" w:cs="Times New Roman"/>
                <w:szCs w:val="21"/>
              </w:rPr>
            </w:pPr>
            <w:r>
              <w:rPr>
                <w:rFonts w:hint="eastAsia" w:ascii="Times New Roman" w:hAnsi="Times New Roman" w:eastAsia="宋体" w:cs="Times New Roman"/>
                <w:szCs w:val="21"/>
              </w:rPr>
              <w:t>车间围墙阻挡</w:t>
            </w:r>
          </w:p>
        </w:tc>
        <w:tc>
          <w:tcPr>
            <w:tcW w:w="5947" w:type="dxa"/>
            <w:tcBorders>
              <w:bottom w:val="single" w:color="000000" w:sz="4" w:space="0"/>
            </w:tcBorders>
            <w:vAlign w:val="center"/>
          </w:tcPr>
          <w:p w14:paraId="797474BB">
            <w:pPr>
              <w:jc w:val="center"/>
              <w:rPr>
                <w:rFonts w:ascii="Times New Roman" w:hAnsi="Times New Roman"/>
                <w:szCs w:val="21"/>
              </w:rPr>
            </w:pPr>
            <w:r>
              <w:rPr>
                <w:rFonts w:ascii="Times New Roman" w:hAnsi="Times New Roman" w:cs="Times New Roman"/>
                <w:szCs w:val="21"/>
              </w:rPr>
              <w:t>《大气污染物综合排放标准》（GB16297-1996）表2二级标准</w:t>
            </w:r>
            <w:r>
              <w:rPr>
                <w:rFonts w:hint="eastAsia" w:ascii="Times New Roman" w:hAnsi="Times New Roman" w:cs="Times New Roman"/>
                <w:szCs w:val="21"/>
              </w:rPr>
              <w:t>（颗粒物1.0</w:t>
            </w:r>
            <w:r>
              <w:rPr>
                <w:rFonts w:ascii="Times New Roman" w:hAnsi="Times New Roman"/>
                <w:szCs w:val="21"/>
              </w:rPr>
              <w:t>mg/m</w:t>
            </w:r>
            <w:r>
              <w:rPr>
                <w:rFonts w:ascii="Times New Roman" w:hAnsi="Times New Roman"/>
                <w:szCs w:val="21"/>
                <w:vertAlign w:val="superscript"/>
              </w:rPr>
              <w:t>3</w:t>
            </w:r>
            <w:r>
              <w:rPr>
                <w:rFonts w:hint="eastAsia" w:ascii="Times New Roman" w:hAnsi="Times New Roman" w:cs="Times New Roman"/>
                <w:szCs w:val="21"/>
              </w:rPr>
              <w:t>）</w:t>
            </w:r>
            <w:r>
              <w:rPr>
                <w:rFonts w:ascii="Times New Roman" w:hAnsi="Times New Roman" w:cs="Times New Roman"/>
                <w:szCs w:val="21"/>
              </w:rPr>
              <w:t>、《关于全省开展工业企业挥发性有机物专项治理工作中排放建议值的通知》（豫环攻坚办〔2017〕162）建议值、《挥发性有机物无组织排放控制标准》（GB37822-2019）特别排放限值中的较严格值（非甲烷总烃无组织排放限值：2.0mg/m</w:t>
            </w:r>
            <w:r>
              <w:rPr>
                <w:rFonts w:ascii="Times New Roman" w:hAnsi="Times New Roman" w:cs="Times New Roman"/>
                <w:szCs w:val="21"/>
                <w:vertAlign w:val="superscript"/>
              </w:rPr>
              <w:t>3</w:t>
            </w:r>
            <w:r>
              <w:rPr>
                <w:rFonts w:ascii="Times New Roman" w:hAnsi="Times New Roman" w:cs="Times New Roman"/>
                <w:szCs w:val="21"/>
              </w:rPr>
              <w:t>；企业边界浓度限值：甲苯：0.6mg/m</w:t>
            </w:r>
            <w:r>
              <w:rPr>
                <w:rFonts w:ascii="Times New Roman" w:hAnsi="Times New Roman" w:cs="Times New Roman"/>
                <w:szCs w:val="21"/>
                <w:vertAlign w:val="superscript"/>
              </w:rPr>
              <w:t>3</w:t>
            </w:r>
            <w:r>
              <w:rPr>
                <w:rFonts w:ascii="Times New Roman" w:hAnsi="Times New Roman" w:cs="Times New Roman"/>
                <w:szCs w:val="21"/>
              </w:rPr>
              <w:t>、二甲苯：0.2mg/m</w:t>
            </w:r>
            <w:r>
              <w:rPr>
                <w:rFonts w:ascii="Times New Roman" w:hAnsi="Times New Roman" w:cs="Times New Roman"/>
                <w:szCs w:val="21"/>
                <w:vertAlign w:val="superscript"/>
              </w:rPr>
              <w:t>3</w:t>
            </w:r>
            <w:r>
              <w:rPr>
                <w:rFonts w:ascii="Times New Roman" w:hAnsi="Times New Roman" w:cs="Times New Roman"/>
                <w:szCs w:val="21"/>
              </w:rPr>
              <w:t>）</w:t>
            </w:r>
          </w:p>
        </w:tc>
        <w:tc>
          <w:tcPr>
            <w:tcW w:w="996" w:type="dxa"/>
            <w:vAlign w:val="center"/>
          </w:tcPr>
          <w:p w14:paraId="59AFFBBE">
            <w:pPr>
              <w:jc w:val="center"/>
              <w:rPr>
                <w:rFonts w:ascii="Times New Roman" w:hAnsi="Times New Roman" w:eastAsia="宋体" w:cs="Times New Roman"/>
                <w:bCs/>
                <w:szCs w:val="21"/>
              </w:rPr>
            </w:pPr>
            <w:r>
              <w:rPr>
                <w:rFonts w:hint="eastAsia" w:ascii="Times New Roman" w:hAnsi="Times New Roman" w:cs="Times New Roman"/>
                <w:bCs/>
                <w:szCs w:val="21"/>
              </w:rPr>
              <w:t>1</w:t>
            </w:r>
          </w:p>
        </w:tc>
      </w:tr>
      <w:tr w14:paraId="663D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dxa"/>
            <w:vAlign w:val="center"/>
          </w:tcPr>
          <w:p w14:paraId="78125E9E">
            <w:pPr>
              <w:jc w:val="center"/>
              <w:rPr>
                <w:rFonts w:ascii="Times New Roman" w:hAnsi="Times New Roman" w:cs="Times New Roman"/>
                <w:bCs/>
                <w:szCs w:val="21"/>
              </w:rPr>
            </w:pPr>
            <w:r>
              <w:rPr>
                <w:rFonts w:ascii="Times New Roman" w:hAnsi="Times New Roman" w:cs="Times New Roman"/>
                <w:bCs/>
                <w:szCs w:val="21"/>
              </w:rPr>
              <w:t>废水</w:t>
            </w:r>
          </w:p>
        </w:tc>
        <w:tc>
          <w:tcPr>
            <w:tcW w:w="4300" w:type="dxa"/>
            <w:gridSpan w:val="4"/>
            <w:vAlign w:val="center"/>
          </w:tcPr>
          <w:p w14:paraId="49343D6B">
            <w:pPr>
              <w:jc w:val="center"/>
              <w:rPr>
                <w:rFonts w:ascii="Times New Roman" w:hAnsi="Times New Roman" w:cs="Times New Roman"/>
                <w:szCs w:val="21"/>
              </w:rPr>
            </w:pPr>
            <w:r>
              <w:rPr>
                <w:rFonts w:hint="eastAsia" w:ascii="Times New Roman" w:hAnsi="Times New Roman" w:eastAsia="宋体" w:cs="Times New Roman"/>
                <w:szCs w:val="21"/>
              </w:rPr>
              <w:t>生活污水、水帘废水</w:t>
            </w:r>
          </w:p>
        </w:tc>
        <w:tc>
          <w:tcPr>
            <w:tcW w:w="2486" w:type="dxa"/>
            <w:vAlign w:val="center"/>
          </w:tcPr>
          <w:p w14:paraId="6C673D2A">
            <w:pPr>
              <w:jc w:val="center"/>
              <w:rPr>
                <w:rFonts w:ascii="Times New Roman" w:hAnsi="Times New Roman" w:cs="Times New Roman"/>
                <w:szCs w:val="21"/>
              </w:rPr>
            </w:pPr>
            <w:r>
              <w:rPr>
                <w:rFonts w:hint="eastAsia" w:ascii="Times New Roman" w:hAnsi="Times New Roman" w:eastAsia="宋体" w:cs="Times New Roman"/>
                <w:szCs w:val="21"/>
              </w:rPr>
              <w:t>生活污水经化粪池、水帘废水经混凝沉淀+</w:t>
            </w:r>
            <w:r>
              <w:rPr>
                <w:rFonts w:ascii="Times New Roman" w:hAnsi="Times New Roman" w:cs="Times New Roman"/>
                <w:color w:val="000000"/>
                <w:szCs w:val="21"/>
              </w:rPr>
              <w:t>fenton氧化处理</w:t>
            </w:r>
          </w:p>
        </w:tc>
        <w:tc>
          <w:tcPr>
            <w:tcW w:w="5947" w:type="dxa"/>
            <w:vAlign w:val="center"/>
          </w:tcPr>
          <w:p w14:paraId="1371E541">
            <w:pPr>
              <w:jc w:val="center"/>
              <w:rPr>
                <w:rFonts w:ascii="Times New Roman" w:hAnsi="Times New Roman" w:cs="Times New Roman"/>
                <w:bCs/>
                <w:szCs w:val="21"/>
              </w:rPr>
            </w:pPr>
            <w:r>
              <w:rPr>
                <w:rFonts w:ascii="Times New Roman" w:hAnsi="Times New Roman" w:cs="Times New Roman"/>
                <w:bCs/>
                <w:szCs w:val="21"/>
              </w:rPr>
              <w:t>满足</w:t>
            </w:r>
            <w:r>
              <w:rPr>
                <w:rFonts w:hint="eastAsia" w:ascii="Times New Roman" w:hAnsi="Times New Roman" w:cs="Times New Roman"/>
                <w:bCs/>
                <w:szCs w:val="21"/>
              </w:rPr>
              <w:t>清丰中州水务有限公司第二污水处理厂接收</w:t>
            </w:r>
            <w:r>
              <w:rPr>
                <w:rFonts w:ascii="Times New Roman" w:hAnsi="Times New Roman" w:cs="Times New Roman"/>
                <w:bCs/>
                <w:szCs w:val="21"/>
              </w:rPr>
              <w:t>标准</w:t>
            </w:r>
            <w:r>
              <w:rPr>
                <w:rFonts w:hint="eastAsia" w:ascii="Times New Roman" w:hAnsi="Times New Roman" w:cs="Times New Roman"/>
                <w:bCs/>
                <w:szCs w:val="21"/>
              </w:rPr>
              <w:t>和《污水综合排放标准》（GB8978-1996）表4三级标准限值</w:t>
            </w:r>
          </w:p>
        </w:tc>
        <w:tc>
          <w:tcPr>
            <w:tcW w:w="996" w:type="dxa"/>
            <w:vAlign w:val="center"/>
          </w:tcPr>
          <w:p w14:paraId="1ED7D940">
            <w:pPr>
              <w:jc w:val="center"/>
              <w:rPr>
                <w:rFonts w:ascii="Times New Roman" w:hAnsi="Times New Roman" w:eastAsia="宋体" w:cs="Times New Roman"/>
                <w:bCs/>
                <w:szCs w:val="21"/>
              </w:rPr>
            </w:pPr>
            <w:r>
              <w:rPr>
                <w:rFonts w:hint="eastAsia" w:ascii="Times New Roman" w:hAnsi="Times New Roman" w:eastAsia="宋体" w:cs="Times New Roman"/>
                <w:bCs/>
                <w:szCs w:val="21"/>
              </w:rPr>
              <w:t>20</w:t>
            </w:r>
          </w:p>
        </w:tc>
      </w:tr>
      <w:tr w14:paraId="4BAF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Align w:val="center"/>
          </w:tcPr>
          <w:p w14:paraId="2671A994">
            <w:r>
              <w:t>噪声</w:t>
            </w:r>
          </w:p>
        </w:tc>
        <w:tc>
          <w:tcPr>
            <w:tcW w:w="4300" w:type="dxa"/>
            <w:gridSpan w:val="4"/>
            <w:vAlign w:val="center"/>
          </w:tcPr>
          <w:p w14:paraId="481FC4E3">
            <w:r>
              <w:rPr>
                <w:rFonts w:hint="eastAsia"/>
              </w:rPr>
              <w:t>精密推台锯、砂光机、封边机、空压机、木线机、排钻、侧孔机、立铣机、打砂机</w:t>
            </w:r>
            <w:r>
              <w:t>等</w:t>
            </w:r>
          </w:p>
        </w:tc>
        <w:tc>
          <w:tcPr>
            <w:tcW w:w="2486" w:type="dxa"/>
            <w:vAlign w:val="center"/>
          </w:tcPr>
          <w:p w14:paraId="4474002D">
            <w:pPr>
              <w:adjustRightInd w:val="0"/>
              <w:snapToGrid w:val="0"/>
              <w:jc w:val="center"/>
              <w:rPr>
                <w:rFonts w:ascii="Times New Roman" w:hAnsi="Times New Roman" w:cs="Times New Roman"/>
                <w:szCs w:val="21"/>
              </w:rPr>
            </w:pPr>
            <w:r>
              <w:rPr>
                <w:rFonts w:ascii="Times New Roman" w:hAnsi="Times New Roman" w:cs="Times New Roman"/>
                <w:szCs w:val="21"/>
              </w:rPr>
              <w:t>建筑隔声、基础减振</w:t>
            </w:r>
          </w:p>
        </w:tc>
        <w:tc>
          <w:tcPr>
            <w:tcW w:w="5947" w:type="dxa"/>
            <w:vAlign w:val="center"/>
          </w:tcPr>
          <w:p w14:paraId="022A7179">
            <w:pPr>
              <w:adjustRightInd w:val="0"/>
              <w:snapToGrid w:val="0"/>
              <w:jc w:val="center"/>
              <w:rPr>
                <w:rFonts w:ascii="Times New Roman" w:hAnsi="Times New Roman" w:cs="Times New Roman"/>
                <w:szCs w:val="21"/>
              </w:rPr>
            </w:pPr>
            <w:r>
              <w:rPr>
                <w:rFonts w:ascii="Times New Roman" w:hAnsi="Times New Roman" w:cs="Times New Roman"/>
                <w:szCs w:val="21"/>
              </w:rPr>
              <w:t>《工业企业厂界环境噪声排放标准》(GB12348-2008)</w:t>
            </w:r>
            <w:r>
              <w:rPr>
                <w:rFonts w:hint="eastAsia" w:ascii="Times New Roman" w:hAnsi="Times New Roman" w:cs="Times New Roman"/>
                <w:szCs w:val="21"/>
              </w:rPr>
              <w:t>3</w:t>
            </w:r>
            <w:r>
              <w:rPr>
                <w:rFonts w:ascii="Times New Roman" w:hAnsi="Times New Roman" w:cs="Times New Roman"/>
                <w:szCs w:val="21"/>
              </w:rPr>
              <w:t>类</w:t>
            </w:r>
          </w:p>
        </w:tc>
        <w:tc>
          <w:tcPr>
            <w:tcW w:w="996" w:type="dxa"/>
            <w:vAlign w:val="center"/>
          </w:tcPr>
          <w:p w14:paraId="5C51E8A1">
            <w:pPr>
              <w:jc w:val="center"/>
              <w:rPr>
                <w:rFonts w:ascii="Times New Roman" w:hAnsi="Times New Roman" w:cs="Times New Roman"/>
                <w:bCs/>
                <w:szCs w:val="21"/>
              </w:rPr>
            </w:pPr>
            <w:r>
              <w:rPr>
                <w:rFonts w:hint="eastAsia" w:ascii="Times New Roman" w:hAnsi="Times New Roman" w:cs="Times New Roman"/>
                <w:bCs/>
                <w:szCs w:val="21"/>
              </w:rPr>
              <w:t>2</w:t>
            </w:r>
          </w:p>
        </w:tc>
      </w:tr>
      <w:tr w14:paraId="13DF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dxa"/>
            <w:vMerge w:val="restart"/>
            <w:vAlign w:val="center"/>
          </w:tcPr>
          <w:p w14:paraId="3DCA0040">
            <w:pPr>
              <w:jc w:val="center"/>
              <w:rPr>
                <w:rFonts w:ascii="Times New Roman" w:hAnsi="Times New Roman" w:cs="Times New Roman"/>
                <w:bCs/>
                <w:szCs w:val="21"/>
              </w:rPr>
            </w:pPr>
            <w:r>
              <w:rPr>
                <w:rFonts w:ascii="Times New Roman" w:hAnsi="Times New Roman" w:cs="Times New Roman"/>
                <w:bCs/>
                <w:szCs w:val="21"/>
              </w:rPr>
              <w:t>固废</w:t>
            </w:r>
          </w:p>
        </w:tc>
        <w:tc>
          <w:tcPr>
            <w:tcW w:w="790" w:type="dxa"/>
            <w:gridSpan w:val="2"/>
            <w:vAlign w:val="center"/>
          </w:tcPr>
          <w:p w14:paraId="0028A468">
            <w:pPr>
              <w:pStyle w:val="63"/>
              <w:spacing w:line="240" w:lineRule="auto"/>
              <w:ind w:firstLine="0" w:firstLineChars="0"/>
              <w:jc w:val="center"/>
              <w:rPr>
                <w:rFonts w:ascii="Times New Roman" w:hAnsi="Times New Roman"/>
                <w:sz w:val="21"/>
                <w:szCs w:val="21"/>
              </w:rPr>
            </w:pPr>
            <w:r>
              <w:rPr>
                <w:rFonts w:ascii="Times New Roman" w:hAnsi="Times New Roman"/>
                <w:sz w:val="21"/>
                <w:szCs w:val="21"/>
              </w:rPr>
              <w:t>一般固废</w:t>
            </w:r>
          </w:p>
        </w:tc>
        <w:tc>
          <w:tcPr>
            <w:tcW w:w="3510" w:type="dxa"/>
            <w:gridSpan w:val="2"/>
            <w:vAlign w:val="center"/>
          </w:tcPr>
          <w:p w14:paraId="0B48E4DA">
            <w:pPr>
              <w:jc w:val="center"/>
              <w:rPr>
                <w:rFonts w:ascii="Times New Roman" w:hAnsi="Times New Roman" w:cs="Times New Roman"/>
                <w:bCs/>
                <w:szCs w:val="21"/>
              </w:rPr>
            </w:pPr>
            <w:r>
              <w:rPr>
                <w:rFonts w:ascii="Times New Roman" w:hAnsi="Times New Roman" w:cs="Times New Roman"/>
                <w:bCs/>
                <w:szCs w:val="21"/>
              </w:rPr>
              <w:t>木材加工过程中产生的木屑、废边角废料、废包装材料、除尘器收集的粉尘</w:t>
            </w:r>
          </w:p>
        </w:tc>
        <w:tc>
          <w:tcPr>
            <w:tcW w:w="8433" w:type="dxa"/>
            <w:gridSpan w:val="2"/>
            <w:vAlign w:val="center"/>
          </w:tcPr>
          <w:p w14:paraId="3B5DC54C">
            <w:pPr>
              <w:jc w:val="center"/>
              <w:rPr>
                <w:rFonts w:ascii="Times New Roman" w:hAnsi="Times New Roman" w:cs="Times New Roman"/>
                <w:bCs/>
                <w:szCs w:val="21"/>
              </w:rPr>
            </w:pPr>
            <w:r>
              <w:rPr>
                <w:rFonts w:ascii="Times New Roman" w:hAnsi="Times New Roman" w:cs="Times New Roman"/>
                <w:szCs w:val="21"/>
              </w:rPr>
              <w:t>设置一般固废暂存间（</w:t>
            </w:r>
            <w:r>
              <w:rPr>
                <w:rFonts w:hint="eastAsia" w:ascii="Times New Roman" w:hAnsi="Times New Roman" w:cs="Times New Roman"/>
                <w:szCs w:val="21"/>
              </w:rPr>
              <w:t>10</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Cs w:val="21"/>
              </w:rPr>
              <w:t>）</w:t>
            </w:r>
          </w:p>
        </w:tc>
        <w:tc>
          <w:tcPr>
            <w:tcW w:w="996" w:type="dxa"/>
            <w:vAlign w:val="center"/>
          </w:tcPr>
          <w:p w14:paraId="2C0F2113">
            <w:pPr>
              <w:jc w:val="center"/>
              <w:rPr>
                <w:rFonts w:ascii="Times New Roman" w:hAnsi="Times New Roman" w:eastAsia="宋体" w:cs="Times New Roman"/>
                <w:bCs/>
                <w:szCs w:val="21"/>
              </w:rPr>
            </w:pPr>
            <w:r>
              <w:rPr>
                <w:rFonts w:hint="eastAsia" w:ascii="Times New Roman" w:hAnsi="Times New Roman" w:cs="Times New Roman"/>
                <w:bCs/>
                <w:szCs w:val="21"/>
              </w:rPr>
              <w:t>1</w:t>
            </w:r>
          </w:p>
        </w:tc>
      </w:tr>
      <w:tr w14:paraId="000A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dxa"/>
            <w:vMerge w:val="continue"/>
            <w:vAlign w:val="center"/>
          </w:tcPr>
          <w:p w14:paraId="763915D2">
            <w:pPr>
              <w:jc w:val="center"/>
              <w:rPr>
                <w:rFonts w:ascii="Times New Roman" w:hAnsi="Times New Roman" w:cs="Times New Roman"/>
                <w:bCs/>
                <w:szCs w:val="21"/>
              </w:rPr>
            </w:pPr>
          </w:p>
        </w:tc>
        <w:tc>
          <w:tcPr>
            <w:tcW w:w="790" w:type="dxa"/>
            <w:gridSpan w:val="2"/>
            <w:vAlign w:val="center"/>
          </w:tcPr>
          <w:p w14:paraId="42943FD5">
            <w:pPr>
              <w:pStyle w:val="63"/>
              <w:spacing w:line="240" w:lineRule="auto"/>
              <w:ind w:firstLine="0" w:firstLineChars="0"/>
              <w:jc w:val="center"/>
              <w:rPr>
                <w:rFonts w:ascii="Times New Roman" w:hAnsi="Times New Roman"/>
                <w:sz w:val="21"/>
                <w:szCs w:val="21"/>
              </w:rPr>
            </w:pPr>
            <w:r>
              <w:rPr>
                <w:rFonts w:hint="eastAsia" w:ascii="Times New Roman" w:hAnsi="Times New Roman"/>
                <w:sz w:val="21"/>
                <w:szCs w:val="21"/>
              </w:rPr>
              <w:t>危险废物</w:t>
            </w:r>
          </w:p>
        </w:tc>
        <w:tc>
          <w:tcPr>
            <w:tcW w:w="3510" w:type="dxa"/>
            <w:gridSpan w:val="2"/>
            <w:vAlign w:val="center"/>
          </w:tcPr>
          <w:p w14:paraId="72ACCC14">
            <w:pPr>
              <w:pStyle w:val="63"/>
              <w:spacing w:line="240" w:lineRule="auto"/>
              <w:ind w:firstLine="0" w:firstLineChars="0"/>
              <w:jc w:val="center"/>
              <w:rPr>
                <w:rFonts w:ascii="Times New Roman" w:hAnsi="Times New Roman"/>
                <w:sz w:val="21"/>
                <w:szCs w:val="21"/>
              </w:rPr>
            </w:pPr>
            <w:r>
              <w:rPr>
                <w:rFonts w:hint="eastAsia" w:ascii="Times New Roman" w:hAnsi="Times New Roman"/>
                <w:sz w:val="21"/>
                <w:szCs w:val="21"/>
              </w:rPr>
              <w:t>废破损包装桶（废油漆桶、废胶桶、稀释剂桶）、水帘漆渣、油磨漆渣、污水处理中产生的絮状沉淀物、废活性炭、喷枪清洗废水、废催化剂、废机油、废过滤棉（含漆渣），分别交由相应资质单位处理</w:t>
            </w:r>
          </w:p>
        </w:tc>
        <w:tc>
          <w:tcPr>
            <w:tcW w:w="8433" w:type="dxa"/>
            <w:gridSpan w:val="2"/>
            <w:vAlign w:val="center"/>
          </w:tcPr>
          <w:p w14:paraId="5E5C082C">
            <w:pPr>
              <w:jc w:val="center"/>
              <w:rPr>
                <w:rFonts w:ascii="Times New Roman" w:hAnsi="Times New Roman" w:eastAsia="宋体" w:cs="Times New Roman"/>
                <w:bCs/>
                <w:szCs w:val="21"/>
              </w:rPr>
            </w:pPr>
            <w:r>
              <w:rPr>
                <w:rFonts w:hint="eastAsia" w:ascii="Times New Roman" w:hAnsi="Times New Roman" w:cs="Times New Roman"/>
                <w:bCs/>
                <w:szCs w:val="21"/>
              </w:rPr>
              <w:t>设置危险废物暂存间（30m</w:t>
            </w:r>
            <w:r>
              <w:rPr>
                <w:rFonts w:hint="eastAsia" w:ascii="Times New Roman" w:hAnsi="Times New Roman" w:cs="Times New Roman"/>
                <w:bCs/>
                <w:szCs w:val="21"/>
                <w:vertAlign w:val="superscript"/>
              </w:rPr>
              <w:t>2</w:t>
            </w:r>
            <w:r>
              <w:rPr>
                <w:rFonts w:hint="eastAsia" w:ascii="Times New Roman" w:hAnsi="Times New Roman" w:cs="Times New Roman"/>
                <w:bCs/>
                <w:szCs w:val="21"/>
              </w:rPr>
              <w:t>）</w:t>
            </w:r>
          </w:p>
        </w:tc>
        <w:tc>
          <w:tcPr>
            <w:tcW w:w="996" w:type="dxa"/>
            <w:vAlign w:val="center"/>
          </w:tcPr>
          <w:p w14:paraId="2A178B19">
            <w:pPr>
              <w:jc w:val="center"/>
              <w:rPr>
                <w:rFonts w:ascii="Times New Roman" w:hAnsi="Times New Roman" w:eastAsia="宋体" w:cs="Times New Roman"/>
                <w:bCs/>
                <w:szCs w:val="21"/>
              </w:rPr>
            </w:pPr>
            <w:r>
              <w:rPr>
                <w:rFonts w:hint="eastAsia" w:ascii="Times New Roman" w:hAnsi="Times New Roman" w:cs="Times New Roman"/>
                <w:bCs/>
                <w:szCs w:val="21"/>
              </w:rPr>
              <w:t>10</w:t>
            </w:r>
          </w:p>
        </w:tc>
      </w:tr>
      <w:tr w14:paraId="0B65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dxa"/>
            <w:vMerge w:val="continue"/>
            <w:vAlign w:val="center"/>
          </w:tcPr>
          <w:p w14:paraId="0582E09F">
            <w:pPr>
              <w:jc w:val="center"/>
              <w:rPr>
                <w:rFonts w:ascii="Times New Roman" w:hAnsi="Times New Roman" w:cs="Times New Roman"/>
                <w:bCs/>
                <w:szCs w:val="21"/>
              </w:rPr>
            </w:pPr>
          </w:p>
        </w:tc>
        <w:tc>
          <w:tcPr>
            <w:tcW w:w="4300" w:type="dxa"/>
            <w:gridSpan w:val="4"/>
            <w:vAlign w:val="center"/>
          </w:tcPr>
          <w:p w14:paraId="091974A1">
            <w:pPr>
              <w:pStyle w:val="63"/>
              <w:spacing w:line="240" w:lineRule="auto"/>
              <w:ind w:firstLine="0" w:firstLineChars="0"/>
              <w:jc w:val="center"/>
              <w:rPr>
                <w:rFonts w:ascii="Times New Roman" w:hAnsi="Times New Roman"/>
                <w:sz w:val="21"/>
                <w:szCs w:val="21"/>
              </w:rPr>
            </w:pPr>
            <w:r>
              <w:rPr>
                <w:rFonts w:ascii="Times New Roman" w:hAnsi="Times New Roman"/>
                <w:sz w:val="21"/>
                <w:szCs w:val="21"/>
              </w:rPr>
              <w:t>生活垃圾</w:t>
            </w:r>
          </w:p>
        </w:tc>
        <w:tc>
          <w:tcPr>
            <w:tcW w:w="8433" w:type="dxa"/>
            <w:gridSpan w:val="2"/>
            <w:vAlign w:val="center"/>
          </w:tcPr>
          <w:p w14:paraId="2C9276CB">
            <w:pPr>
              <w:jc w:val="center"/>
              <w:rPr>
                <w:rFonts w:ascii="Times New Roman" w:hAnsi="Times New Roman" w:cs="Times New Roman"/>
                <w:bCs/>
                <w:szCs w:val="21"/>
              </w:rPr>
            </w:pPr>
            <w:r>
              <w:rPr>
                <w:rFonts w:ascii="Times New Roman" w:hAnsi="Times New Roman" w:cs="Times New Roman"/>
                <w:szCs w:val="21"/>
              </w:rPr>
              <w:t>环卫部门定期外运处置</w:t>
            </w:r>
          </w:p>
        </w:tc>
        <w:tc>
          <w:tcPr>
            <w:tcW w:w="996" w:type="dxa"/>
            <w:vAlign w:val="center"/>
          </w:tcPr>
          <w:p w14:paraId="58DAC7B5">
            <w:pPr>
              <w:jc w:val="center"/>
              <w:rPr>
                <w:rFonts w:ascii="Times New Roman" w:hAnsi="Times New Roman" w:cs="Times New Roman"/>
                <w:bCs/>
                <w:szCs w:val="21"/>
              </w:rPr>
            </w:pPr>
            <w:r>
              <w:rPr>
                <w:rFonts w:ascii="Times New Roman" w:hAnsi="Times New Roman" w:cs="Times New Roman"/>
                <w:bCs/>
                <w:szCs w:val="21"/>
              </w:rPr>
              <w:t>/</w:t>
            </w:r>
          </w:p>
        </w:tc>
      </w:tr>
      <w:tr w14:paraId="65C3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4815" w:type="dxa"/>
            <w:gridSpan w:val="5"/>
            <w:vAlign w:val="center"/>
          </w:tcPr>
          <w:p w14:paraId="341BD330">
            <w:pPr>
              <w:jc w:val="center"/>
              <w:rPr>
                <w:rFonts w:ascii="Times New Roman" w:hAnsi="Times New Roman" w:cs="Times New Roman"/>
                <w:bCs/>
                <w:szCs w:val="21"/>
              </w:rPr>
            </w:pPr>
            <w:r>
              <w:rPr>
                <w:rFonts w:ascii="Times New Roman" w:hAnsi="Times New Roman" w:cs="Times New Roman"/>
                <w:bCs/>
                <w:szCs w:val="21"/>
              </w:rPr>
              <w:t>防渗措施</w:t>
            </w:r>
          </w:p>
        </w:tc>
        <w:tc>
          <w:tcPr>
            <w:tcW w:w="8433" w:type="dxa"/>
            <w:gridSpan w:val="2"/>
            <w:vAlign w:val="center"/>
          </w:tcPr>
          <w:p w14:paraId="76377D39">
            <w:pPr>
              <w:jc w:val="center"/>
              <w:rPr>
                <w:rFonts w:ascii="Times New Roman" w:hAnsi="Times New Roman" w:cs="Times New Roman"/>
                <w:bCs/>
                <w:szCs w:val="21"/>
              </w:rPr>
            </w:pPr>
            <w:r>
              <w:rPr>
                <w:rFonts w:ascii="Times New Roman" w:hAnsi="Times New Roman" w:cs="Times New Roman"/>
                <w:bCs/>
                <w:szCs w:val="21"/>
              </w:rPr>
              <w:t>一般污染防治区的防渗性能应与1.5m厚粘土层(渗透系数1.0×10</w:t>
            </w:r>
            <w:r>
              <w:rPr>
                <w:rFonts w:ascii="Times New Roman" w:hAnsi="Times New Roman" w:cs="Times New Roman"/>
                <w:bCs/>
                <w:szCs w:val="21"/>
                <w:vertAlign w:val="superscript"/>
              </w:rPr>
              <w:t>-7</w:t>
            </w:r>
            <w:r>
              <w:rPr>
                <w:rFonts w:ascii="Times New Roman" w:hAnsi="Times New Roman" w:cs="Times New Roman"/>
                <w:bCs/>
                <w:szCs w:val="21"/>
              </w:rPr>
              <w:t>cm/s)等效；重点污染防治区的防渗性能应与6.0m厚粘土层(渗透系数1.0×10</w:t>
            </w:r>
            <w:r>
              <w:rPr>
                <w:rFonts w:ascii="Times New Roman" w:hAnsi="Times New Roman" w:cs="Times New Roman"/>
                <w:bCs/>
                <w:szCs w:val="21"/>
                <w:vertAlign w:val="superscript"/>
              </w:rPr>
              <w:t>-</w:t>
            </w:r>
            <w:r>
              <w:rPr>
                <w:rFonts w:hint="eastAsia" w:ascii="Times New Roman" w:hAnsi="Times New Roman" w:cs="Times New Roman"/>
                <w:bCs/>
                <w:szCs w:val="21"/>
                <w:vertAlign w:val="superscript"/>
              </w:rPr>
              <w:t>7</w:t>
            </w:r>
            <w:r>
              <w:rPr>
                <w:rFonts w:ascii="Times New Roman" w:hAnsi="Times New Roman" w:cs="Times New Roman"/>
                <w:bCs/>
                <w:szCs w:val="21"/>
              </w:rPr>
              <w:t>cm/s)等效</w:t>
            </w:r>
          </w:p>
        </w:tc>
        <w:tc>
          <w:tcPr>
            <w:tcW w:w="996" w:type="dxa"/>
            <w:vAlign w:val="center"/>
          </w:tcPr>
          <w:p w14:paraId="7EEAD73E">
            <w:pPr>
              <w:jc w:val="center"/>
              <w:rPr>
                <w:rFonts w:ascii="Times New Roman" w:hAnsi="Times New Roman" w:cs="Times New Roman"/>
                <w:bCs/>
                <w:szCs w:val="21"/>
              </w:rPr>
            </w:pPr>
            <w:r>
              <w:rPr>
                <w:rFonts w:hint="eastAsia" w:ascii="Times New Roman" w:hAnsi="Times New Roman" w:cs="Times New Roman"/>
                <w:bCs/>
                <w:szCs w:val="21"/>
              </w:rPr>
              <w:t>10</w:t>
            </w:r>
          </w:p>
        </w:tc>
      </w:tr>
      <w:tr w14:paraId="35E8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15" w:type="dxa"/>
            <w:gridSpan w:val="5"/>
            <w:vAlign w:val="center"/>
          </w:tcPr>
          <w:p w14:paraId="463A0052">
            <w:pPr>
              <w:pStyle w:val="64"/>
              <w:spacing w:line="240" w:lineRule="auto"/>
              <w:rPr>
                <w:color w:val="auto"/>
                <w:szCs w:val="21"/>
              </w:rPr>
            </w:pPr>
            <w:r>
              <w:rPr>
                <w:color w:val="auto"/>
                <w:szCs w:val="21"/>
              </w:rPr>
              <w:t>环境管理</w:t>
            </w:r>
          </w:p>
        </w:tc>
        <w:tc>
          <w:tcPr>
            <w:tcW w:w="8433" w:type="dxa"/>
            <w:gridSpan w:val="2"/>
            <w:vAlign w:val="center"/>
          </w:tcPr>
          <w:p w14:paraId="4619034D">
            <w:pPr>
              <w:pStyle w:val="64"/>
              <w:spacing w:line="240" w:lineRule="auto"/>
              <w:rPr>
                <w:color w:val="auto"/>
                <w:szCs w:val="21"/>
              </w:rPr>
            </w:pPr>
            <w:r>
              <w:rPr>
                <w:color w:val="auto"/>
                <w:szCs w:val="21"/>
              </w:rPr>
              <w:t>设置规范化排污口</w:t>
            </w:r>
          </w:p>
        </w:tc>
        <w:tc>
          <w:tcPr>
            <w:tcW w:w="996" w:type="dxa"/>
            <w:vAlign w:val="center"/>
          </w:tcPr>
          <w:p w14:paraId="2812BCA0">
            <w:pPr>
              <w:jc w:val="center"/>
              <w:rPr>
                <w:rFonts w:ascii="Times New Roman" w:hAnsi="Times New Roman" w:cs="Times New Roman"/>
                <w:bCs/>
                <w:szCs w:val="21"/>
              </w:rPr>
            </w:pPr>
            <w:r>
              <w:rPr>
                <w:rFonts w:hint="eastAsia" w:ascii="Times New Roman" w:hAnsi="Times New Roman" w:cs="Times New Roman"/>
                <w:bCs/>
                <w:szCs w:val="21"/>
              </w:rPr>
              <w:t>4</w:t>
            </w:r>
          </w:p>
        </w:tc>
      </w:tr>
      <w:tr w14:paraId="0754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15" w:type="dxa"/>
            <w:gridSpan w:val="5"/>
            <w:vAlign w:val="center"/>
          </w:tcPr>
          <w:p w14:paraId="34EF9DB0">
            <w:pPr>
              <w:jc w:val="center"/>
              <w:rPr>
                <w:rFonts w:ascii="Times New Roman" w:hAnsi="Times New Roman" w:cs="Times New Roman"/>
                <w:bCs/>
                <w:szCs w:val="21"/>
              </w:rPr>
            </w:pPr>
            <w:r>
              <w:rPr>
                <w:rFonts w:ascii="Times New Roman" w:hAnsi="Times New Roman" w:cs="Times New Roman"/>
                <w:bCs/>
                <w:szCs w:val="21"/>
              </w:rPr>
              <w:t>环境风险防范措施</w:t>
            </w:r>
          </w:p>
        </w:tc>
        <w:tc>
          <w:tcPr>
            <w:tcW w:w="8433" w:type="dxa"/>
            <w:gridSpan w:val="2"/>
            <w:vAlign w:val="center"/>
          </w:tcPr>
          <w:p w14:paraId="049ACB8D">
            <w:pPr>
              <w:jc w:val="center"/>
              <w:rPr>
                <w:rFonts w:ascii="Times New Roman" w:hAnsi="Times New Roman" w:cs="Times New Roman"/>
                <w:bCs/>
                <w:szCs w:val="21"/>
              </w:rPr>
            </w:pPr>
            <w:r>
              <w:rPr>
                <w:rFonts w:ascii="Times New Roman" w:hAnsi="Times New Roman" w:eastAsia="宋体" w:cs="Times New Roman"/>
                <w:szCs w:val="21"/>
              </w:rPr>
              <w:t>设一个</w:t>
            </w:r>
            <w:r>
              <w:rPr>
                <w:rFonts w:hint="eastAsia" w:ascii="Times New Roman" w:hAnsi="Times New Roman" w:eastAsia="宋体" w:cs="Times New Roman"/>
                <w:szCs w:val="21"/>
              </w:rPr>
              <w:t>3</w:t>
            </w:r>
            <w:r>
              <w:rPr>
                <w:rFonts w:ascii="Times New Roman" w:hAnsi="Times New Roman" w:eastAsia="宋体" w:cs="Times New Roman"/>
                <w:szCs w:val="21"/>
              </w:rPr>
              <w:t>0m</w:t>
            </w:r>
            <w:r>
              <w:rPr>
                <w:rFonts w:ascii="Times New Roman" w:hAnsi="Times New Roman" w:eastAsia="宋体" w:cs="Times New Roman"/>
                <w:szCs w:val="21"/>
                <w:vertAlign w:val="superscript"/>
              </w:rPr>
              <w:t>3</w:t>
            </w:r>
            <w:r>
              <w:rPr>
                <w:rFonts w:ascii="Times New Roman" w:hAnsi="Times New Roman" w:eastAsia="宋体" w:cs="Times New Roman"/>
                <w:szCs w:val="21"/>
              </w:rPr>
              <w:t>的应急事故污水池、环境风险应急预案、应急设施、物资，有效防范环境风险，对突发事件进行有效的应急处置。</w:t>
            </w:r>
          </w:p>
        </w:tc>
        <w:tc>
          <w:tcPr>
            <w:tcW w:w="996" w:type="dxa"/>
            <w:vAlign w:val="center"/>
          </w:tcPr>
          <w:p w14:paraId="679A4449">
            <w:pPr>
              <w:jc w:val="center"/>
              <w:rPr>
                <w:rFonts w:ascii="Times New Roman" w:hAnsi="Times New Roman" w:cs="Times New Roman"/>
                <w:bCs/>
                <w:szCs w:val="21"/>
              </w:rPr>
            </w:pPr>
            <w:r>
              <w:rPr>
                <w:rFonts w:hint="eastAsia" w:ascii="Times New Roman" w:hAnsi="Times New Roman" w:cs="Times New Roman"/>
                <w:bCs/>
                <w:szCs w:val="21"/>
              </w:rPr>
              <w:t>5</w:t>
            </w:r>
          </w:p>
        </w:tc>
      </w:tr>
      <w:tr w14:paraId="1440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48" w:type="dxa"/>
            <w:gridSpan w:val="7"/>
            <w:vAlign w:val="center"/>
          </w:tcPr>
          <w:p w14:paraId="16897098">
            <w:pPr>
              <w:jc w:val="center"/>
              <w:rPr>
                <w:rFonts w:ascii="Times New Roman" w:hAnsi="Times New Roman" w:cs="Times New Roman"/>
                <w:bCs/>
                <w:szCs w:val="21"/>
              </w:rPr>
            </w:pPr>
            <w:r>
              <w:rPr>
                <w:rFonts w:ascii="Times New Roman" w:hAnsi="Times New Roman" w:cs="Times New Roman"/>
                <w:bCs/>
                <w:szCs w:val="21"/>
              </w:rPr>
              <w:t>合计</w:t>
            </w:r>
          </w:p>
        </w:tc>
        <w:tc>
          <w:tcPr>
            <w:tcW w:w="996" w:type="dxa"/>
            <w:vAlign w:val="center"/>
          </w:tcPr>
          <w:p w14:paraId="58D3A300">
            <w:pPr>
              <w:jc w:val="center"/>
              <w:rPr>
                <w:rFonts w:ascii="Times New Roman" w:hAnsi="Times New Roman" w:eastAsia="宋体" w:cs="Times New Roman"/>
                <w:bCs/>
                <w:szCs w:val="21"/>
              </w:rPr>
            </w:pPr>
            <w:r>
              <w:rPr>
                <w:rFonts w:hint="eastAsia" w:ascii="Times New Roman" w:hAnsi="Times New Roman" w:eastAsia="宋体" w:cs="Times New Roman"/>
                <w:bCs/>
                <w:szCs w:val="21"/>
              </w:rPr>
              <w:t>193</w:t>
            </w:r>
          </w:p>
        </w:tc>
      </w:tr>
    </w:tbl>
    <w:p w14:paraId="18935F51"/>
    <w:p w14:paraId="18AF27AB"/>
    <w:p w14:paraId="232517CF">
      <w:pPr>
        <w:sectPr>
          <w:headerReference r:id="rId25" w:type="default"/>
          <w:pgSz w:w="16838" w:h="11906" w:orient="landscape"/>
          <w:pgMar w:top="1800" w:right="1440" w:bottom="1800" w:left="1440" w:header="851" w:footer="992" w:gutter="0"/>
          <w:pgNumType w:fmt="decimal"/>
          <w:cols w:space="425" w:num="1"/>
          <w:docGrid w:type="lines" w:linePitch="312" w:charSpace="0"/>
        </w:sectPr>
      </w:pPr>
    </w:p>
    <w:p w14:paraId="74F9DCAD">
      <w:pPr>
        <w:spacing w:line="360" w:lineRule="auto"/>
      </w:pPr>
    </w:p>
    <w:p w14:paraId="538F2490">
      <w:pPr>
        <w:pStyle w:val="2"/>
        <w:numPr>
          <w:ilvl w:val="0"/>
          <w:numId w:val="75"/>
        </w:numPr>
        <w:tabs>
          <w:tab w:val="clear" w:pos="0"/>
        </w:tabs>
        <w:rPr>
          <w:sz w:val="40"/>
          <w:szCs w:val="40"/>
        </w:rPr>
      </w:pPr>
      <w:bookmarkStart w:id="288" w:name="_Toc18392"/>
      <w:r>
        <w:rPr>
          <w:rFonts w:hint="eastAsia"/>
          <w:sz w:val="40"/>
          <w:szCs w:val="40"/>
        </w:rPr>
        <w:t>环境风险评价</w:t>
      </w:r>
      <w:bookmarkEnd w:id="288"/>
    </w:p>
    <w:p w14:paraId="1105A3E3">
      <w:pPr>
        <w:spacing w:line="360" w:lineRule="auto"/>
      </w:pPr>
    </w:p>
    <w:p w14:paraId="733322D2">
      <w:pPr>
        <w:pStyle w:val="3"/>
        <w:numPr>
          <w:ilvl w:val="1"/>
          <w:numId w:val="80"/>
        </w:numPr>
        <w:tabs>
          <w:tab w:val="clear" w:pos="0"/>
        </w:tabs>
        <w:adjustRightInd w:val="0"/>
        <w:snapToGrid w:val="0"/>
      </w:pPr>
      <w:bookmarkStart w:id="289" w:name="_Toc5572"/>
      <w:r>
        <w:rPr>
          <w:rFonts w:hint="eastAsia"/>
        </w:rPr>
        <w:t>评价依据</w:t>
      </w:r>
      <w:bookmarkEnd w:id="289"/>
    </w:p>
    <w:p w14:paraId="05C61EBC">
      <w:pPr>
        <w:pStyle w:val="4"/>
        <w:numPr>
          <w:ilvl w:val="2"/>
          <w:numId w:val="81"/>
        </w:numPr>
        <w:tabs>
          <w:tab w:val="clear" w:pos="0"/>
        </w:tabs>
        <w:adjustRightInd w:val="0"/>
        <w:snapToGrid w:val="0"/>
      </w:pPr>
      <w:r>
        <w:rPr>
          <w:rFonts w:hint="eastAsia"/>
        </w:rPr>
        <w:t>风险调查</w:t>
      </w:r>
    </w:p>
    <w:p w14:paraId="5CD583AF">
      <w:pPr>
        <w:pStyle w:val="93"/>
        <w:autoSpaceDE w:val="0"/>
        <w:autoSpaceDN w:val="0"/>
        <w:adjustRightInd w:val="0"/>
        <w:snapToGrid w:val="0"/>
        <w:spacing w:line="360" w:lineRule="auto"/>
        <w:ind w:firstLine="480"/>
        <w:rPr>
          <w:rFonts w:ascii="Times New Roman" w:hAnsi="Times New Roman" w:cs="Times New Roman"/>
          <w:sz w:val="24"/>
          <w:szCs w:val="24"/>
        </w:rPr>
      </w:pPr>
      <w:bookmarkStart w:id="290" w:name="_Toc57626658"/>
      <w:r>
        <w:rPr>
          <w:rFonts w:ascii="Times New Roman" w:hAnsi="Times New Roman" w:cs="Times New Roman"/>
          <w:sz w:val="24"/>
          <w:szCs w:val="24"/>
        </w:rPr>
        <w:t>（1）识别的原则和重点</w:t>
      </w:r>
      <w:bookmarkEnd w:id="290"/>
    </w:p>
    <w:p w14:paraId="18DA3289">
      <w:pPr>
        <w:pStyle w:val="93"/>
        <w:autoSpaceDE w:val="0"/>
        <w:autoSpaceDN w:val="0"/>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本项目的环境风险评价依据HJ169-2018中4.1条和4.2.2条的规定，确定风险识别的原则如下：可能发生的突发性事件或事故（一般不包括人为破坏及自然灾害），引起有毒有害和易燃易爆等物质泄漏对环境造成的影响；选择生产、加工、运输、使用或贮存中涉及到的主要化学品，按《建设项目环境风险评价技术导则》（HJ169-2018）附录B，进行物质危险性判定。</w:t>
      </w:r>
    </w:p>
    <w:p w14:paraId="6E5C489A">
      <w:pPr>
        <w:pStyle w:val="93"/>
        <w:autoSpaceDE w:val="0"/>
        <w:autoSpaceDN w:val="0"/>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按上述原则，风险识别的重点是：选择项目生产、加工、使用或贮运中的主要化学品，就其可能发生的泄漏对厂界外部造成的影响进行分析。</w:t>
      </w:r>
    </w:p>
    <w:p w14:paraId="44AC0378">
      <w:pPr>
        <w:pStyle w:val="93"/>
        <w:autoSpaceDE w:val="0"/>
        <w:autoSpaceDN w:val="0"/>
        <w:adjustRightInd w:val="0"/>
        <w:snapToGrid w:val="0"/>
        <w:spacing w:line="360" w:lineRule="auto"/>
        <w:ind w:firstLine="480"/>
        <w:rPr>
          <w:rFonts w:ascii="Times New Roman" w:hAnsi="Times New Roman" w:cs="Times New Roman"/>
          <w:color w:val="auto"/>
          <w:sz w:val="24"/>
          <w:szCs w:val="24"/>
        </w:rPr>
      </w:pPr>
      <w:bookmarkStart w:id="291" w:name="_Toc57626659"/>
      <w:r>
        <w:rPr>
          <w:rFonts w:ascii="Times New Roman" w:hAnsi="Times New Roman" w:cs="Times New Roman"/>
          <w:sz w:val="24"/>
          <w:szCs w:val="24"/>
        </w:rPr>
        <w:t>（2）风险物质</w:t>
      </w:r>
      <w:bookmarkEnd w:id="291"/>
      <w:r>
        <w:rPr>
          <w:rFonts w:ascii="Times New Roman" w:hAnsi="Times New Roman" w:cs="Times New Roman"/>
          <w:sz w:val="24"/>
          <w:szCs w:val="24"/>
        </w:rPr>
        <w:t>识别</w:t>
      </w:r>
    </w:p>
    <w:p w14:paraId="35A0897C">
      <w:pPr>
        <w:adjustRightInd w:val="0"/>
        <w:snapToGrid w:val="0"/>
        <w:spacing w:line="360" w:lineRule="auto"/>
        <w:ind w:firstLine="480"/>
        <w:rPr>
          <w:rFonts w:ascii="Times New Roman" w:hAnsi="Times New Roman" w:eastAsia="宋体" w:cs="Times New Roman"/>
          <w:sz w:val="24"/>
        </w:rPr>
      </w:pPr>
      <w:r>
        <w:rPr>
          <w:rFonts w:ascii="Times New Roman" w:hAnsi="Times New Roman" w:cs="Times New Roman"/>
          <w:color w:val="auto"/>
          <w:sz w:val="24"/>
        </w:rPr>
        <w:t>根据建设项目危险物质数量和分布情况、生产工艺特点，</w:t>
      </w:r>
      <w:r>
        <w:rPr>
          <w:rFonts w:ascii="Times New Roman" w:hAnsi="Times New Roman" w:eastAsia="宋体" w:cs="Times New Roman"/>
          <w:color w:val="auto"/>
          <w:sz w:val="24"/>
        </w:rPr>
        <w:t>风险物质识别</w:t>
      </w:r>
      <w:r>
        <w:rPr>
          <w:rFonts w:hint="eastAsia" w:ascii="Times New Roman" w:hAnsi="Times New Roman" w:eastAsia="宋体" w:cs="Times New Roman"/>
          <w:color w:val="auto"/>
          <w:sz w:val="24"/>
        </w:rPr>
        <w:t>包括</w:t>
      </w:r>
      <w:r>
        <w:rPr>
          <w:rFonts w:ascii="Times New Roman" w:hAnsi="Times New Roman" w:eastAsia="宋体" w:cs="Times New Roman"/>
          <w:color w:val="auto"/>
          <w:sz w:val="24"/>
        </w:rPr>
        <w:t>：主要原材料及辅助材料、燃料、中间产品、最终产品以及“三废”</w:t>
      </w:r>
      <w:r>
        <w:rPr>
          <w:rFonts w:hint="eastAsia" w:ascii="Times New Roman" w:hAnsi="Times New Roman" w:eastAsia="宋体" w:cs="Times New Roman"/>
          <w:color w:val="auto"/>
          <w:sz w:val="24"/>
        </w:rPr>
        <w:t>、土壤中</w:t>
      </w:r>
      <w:r>
        <w:rPr>
          <w:rFonts w:ascii="Times New Roman" w:hAnsi="Times New Roman" w:eastAsia="宋体" w:cs="Times New Roman"/>
          <w:color w:val="auto"/>
          <w:sz w:val="24"/>
        </w:rPr>
        <w:t>污染物</w:t>
      </w:r>
      <w:r>
        <w:rPr>
          <w:rFonts w:ascii="Times New Roman" w:hAnsi="Times New Roman" w:eastAsia="宋体" w:cs="Times New Roman"/>
          <w:sz w:val="24"/>
        </w:rPr>
        <w:t>等。目的是确定环境风险因子。</w:t>
      </w:r>
    </w:p>
    <w:p w14:paraId="46626A9D">
      <w:pPr>
        <w:pStyle w:val="17"/>
        <w:numPr>
          <w:ilvl w:val="0"/>
          <w:numId w:val="82"/>
        </w:numPr>
        <w:jc w:val="center"/>
        <w:rPr>
          <w:rFonts w:hint="default" w:ascii="Times New Roman" w:hAnsi="Times New Roman" w:cs="Times New Roman"/>
        </w:rPr>
      </w:pPr>
      <w:r>
        <w:rPr>
          <w:lang w:val="zh-CN"/>
        </w:rPr>
        <w:t xml:space="preserve"> </w:t>
      </w:r>
      <w:r>
        <w:rPr>
          <w:rFonts w:hint="default" w:ascii="Times New Roman" w:hAnsi="Times New Roman" w:cs="Times New Roman" w:eastAsiaTheme="minorEastAsia"/>
          <w:b/>
          <w:color w:val="auto"/>
          <w:kern w:val="2"/>
          <w:sz w:val="21"/>
          <w:szCs w:val="21"/>
          <w:highlight w:val="none"/>
          <w:lang w:val="zh-CN" w:eastAsia="zh-CN" w:bidi="ar-SA"/>
        </w:rPr>
        <w:t>苯理化性质一览表</w:t>
      </w:r>
    </w:p>
    <w:tbl>
      <w:tblPr>
        <w:tblStyle w:val="30"/>
        <w:tblW w:w="884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55"/>
        <w:gridCol w:w="1648"/>
        <w:gridCol w:w="1998"/>
        <w:gridCol w:w="3939"/>
      </w:tblGrid>
      <w:tr w14:paraId="63E8FE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1255" w:type="dxa"/>
            <w:tcBorders>
              <w:tl2br w:val="nil"/>
              <w:tr2bl w:val="nil"/>
            </w:tcBorders>
            <w:vAlign w:val="center"/>
          </w:tcPr>
          <w:p w14:paraId="5B161B64">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中文名</w:t>
            </w:r>
          </w:p>
        </w:tc>
        <w:tc>
          <w:tcPr>
            <w:tcW w:w="1648" w:type="dxa"/>
            <w:tcBorders>
              <w:tl2br w:val="nil"/>
              <w:tr2bl w:val="nil"/>
            </w:tcBorders>
            <w:vAlign w:val="center"/>
          </w:tcPr>
          <w:p w14:paraId="02132C67">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甲苯</w:t>
            </w:r>
          </w:p>
        </w:tc>
        <w:tc>
          <w:tcPr>
            <w:tcW w:w="1998" w:type="dxa"/>
            <w:tcBorders>
              <w:tl2br w:val="nil"/>
              <w:tr2bl w:val="nil"/>
            </w:tcBorders>
            <w:vAlign w:val="center"/>
          </w:tcPr>
          <w:p w14:paraId="0122DEF4">
            <w:pPr>
              <w:ind w:firstLine="422"/>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CAS号</w:t>
            </w:r>
          </w:p>
        </w:tc>
        <w:tc>
          <w:tcPr>
            <w:tcW w:w="3939" w:type="dxa"/>
            <w:tcBorders>
              <w:tl2br w:val="nil"/>
              <w:tr2bl w:val="nil"/>
            </w:tcBorders>
            <w:vAlign w:val="center"/>
          </w:tcPr>
          <w:p w14:paraId="472DD08B">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71-43-2</w:t>
            </w:r>
          </w:p>
        </w:tc>
      </w:tr>
      <w:tr w14:paraId="656159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1255" w:type="dxa"/>
            <w:tcBorders>
              <w:tl2br w:val="nil"/>
              <w:tr2bl w:val="nil"/>
            </w:tcBorders>
            <w:vAlign w:val="center"/>
          </w:tcPr>
          <w:p w14:paraId="239AA6A8">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分子式</w:t>
            </w:r>
          </w:p>
        </w:tc>
        <w:tc>
          <w:tcPr>
            <w:tcW w:w="1648" w:type="dxa"/>
            <w:tcBorders>
              <w:tl2br w:val="nil"/>
              <w:tr2bl w:val="nil"/>
            </w:tcBorders>
            <w:vAlign w:val="center"/>
          </w:tcPr>
          <w:p w14:paraId="70EA9E55">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C</w:t>
            </w:r>
            <w:r>
              <w:rPr>
                <w:rFonts w:hint="default" w:ascii="Times New Roman" w:hAnsi="Times New Roman" w:cs="Times New Roman"/>
                <w:bCs/>
                <w:color w:val="000000" w:themeColor="text1"/>
                <w:szCs w:val="21"/>
                <w:vertAlign w:val="subscript"/>
                <w:lang w:val="en-US" w:eastAsia="zh-CN"/>
                <w14:textFill>
                  <w14:solidFill>
                    <w14:schemeClr w14:val="tx1"/>
                  </w14:solidFill>
                </w14:textFill>
              </w:rPr>
              <w:t>6</w:t>
            </w:r>
            <w:r>
              <w:rPr>
                <w:rFonts w:hint="default" w:ascii="Times New Roman" w:hAnsi="Times New Roman" w:cs="Times New Roman"/>
                <w:bCs/>
                <w:color w:val="000000" w:themeColor="text1"/>
                <w:szCs w:val="21"/>
                <w:lang w:val="en-US" w:eastAsia="zh-CN"/>
                <w14:textFill>
                  <w14:solidFill>
                    <w14:schemeClr w14:val="tx1"/>
                  </w14:solidFill>
                </w14:textFill>
              </w:rPr>
              <w:t>H</w:t>
            </w:r>
            <w:r>
              <w:rPr>
                <w:rFonts w:hint="default" w:ascii="Times New Roman" w:hAnsi="Times New Roman" w:cs="Times New Roman"/>
                <w:bCs/>
                <w:color w:val="000000" w:themeColor="text1"/>
                <w:szCs w:val="21"/>
                <w:vertAlign w:val="subscript"/>
                <w:lang w:val="en-US" w:eastAsia="zh-CN"/>
                <w14:textFill>
                  <w14:solidFill>
                    <w14:schemeClr w14:val="tx1"/>
                  </w14:solidFill>
                </w14:textFill>
              </w:rPr>
              <w:t>6</w:t>
            </w:r>
          </w:p>
        </w:tc>
        <w:tc>
          <w:tcPr>
            <w:tcW w:w="1998" w:type="dxa"/>
            <w:tcBorders>
              <w:tl2br w:val="nil"/>
              <w:tr2bl w:val="nil"/>
            </w:tcBorders>
            <w:vAlign w:val="center"/>
          </w:tcPr>
          <w:p w14:paraId="717DD6FF">
            <w:pPr>
              <w:ind w:firstLine="42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性状</w:t>
            </w:r>
          </w:p>
        </w:tc>
        <w:tc>
          <w:tcPr>
            <w:tcW w:w="3939" w:type="dxa"/>
            <w:tcBorders>
              <w:tl2br w:val="nil"/>
              <w:tr2bl w:val="nil"/>
            </w:tcBorders>
            <w:vAlign w:val="center"/>
          </w:tcPr>
          <w:p w14:paraId="4ADB4D1B">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无色液体</w:t>
            </w:r>
          </w:p>
        </w:tc>
      </w:tr>
      <w:tr w14:paraId="64DE05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255" w:type="dxa"/>
            <w:tcBorders>
              <w:tl2br w:val="nil"/>
              <w:tr2bl w:val="nil"/>
            </w:tcBorders>
            <w:vAlign w:val="center"/>
          </w:tcPr>
          <w:p w14:paraId="2080D109">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分子量</w:t>
            </w:r>
          </w:p>
        </w:tc>
        <w:tc>
          <w:tcPr>
            <w:tcW w:w="1648" w:type="dxa"/>
            <w:tcBorders>
              <w:tl2br w:val="nil"/>
              <w:tr2bl w:val="nil"/>
            </w:tcBorders>
            <w:vAlign w:val="center"/>
          </w:tcPr>
          <w:p w14:paraId="24BF28D6">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78.11</w:t>
            </w:r>
          </w:p>
        </w:tc>
        <w:tc>
          <w:tcPr>
            <w:tcW w:w="1998" w:type="dxa"/>
            <w:tcBorders>
              <w:tl2br w:val="nil"/>
              <w:tr2bl w:val="nil"/>
            </w:tcBorders>
            <w:vAlign w:val="center"/>
          </w:tcPr>
          <w:p w14:paraId="10E57438">
            <w:pPr>
              <w:ind w:firstLine="420"/>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水溶性</w:t>
            </w:r>
          </w:p>
        </w:tc>
        <w:tc>
          <w:tcPr>
            <w:tcW w:w="3939" w:type="dxa"/>
            <w:tcBorders>
              <w:tl2br w:val="nil"/>
              <w:tr2bl w:val="nil"/>
            </w:tcBorders>
            <w:vAlign w:val="center"/>
          </w:tcPr>
          <w:p w14:paraId="69398844">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0.18g/100ml</w:t>
            </w:r>
          </w:p>
        </w:tc>
      </w:tr>
      <w:tr w14:paraId="5B2DF2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255" w:type="dxa"/>
            <w:tcBorders>
              <w:tl2br w:val="nil"/>
              <w:tr2bl w:val="nil"/>
            </w:tcBorders>
            <w:vAlign w:val="center"/>
          </w:tcPr>
          <w:p w14:paraId="45975CC6">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沸点</w:t>
            </w:r>
          </w:p>
        </w:tc>
        <w:tc>
          <w:tcPr>
            <w:tcW w:w="1648" w:type="dxa"/>
            <w:tcBorders>
              <w:tl2br w:val="nil"/>
              <w:tr2bl w:val="nil"/>
            </w:tcBorders>
            <w:vAlign w:val="center"/>
          </w:tcPr>
          <w:p w14:paraId="123E9A4A">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80.1</w:t>
            </w:r>
            <w:r>
              <w:rPr>
                <w:rFonts w:hint="default" w:ascii="Times New Roman" w:hAnsi="Times New Roman" w:cs="Times New Roman"/>
                <w:bCs/>
                <w:color w:val="000000" w:themeColor="text1"/>
                <w:szCs w:val="21"/>
                <w14:textFill>
                  <w14:solidFill>
                    <w14:schemeClr w14:val="tx1"/>
                  </w14:solidFill>
                </w14:textFill>
              </w:rPr>
              <w:t>℃</w:t>
            </w:r>
          </w:p>
        </w:tc>
        <w:tc>
          <w:tcPr>
            <w:tcW w:w="1998" w:type="dxa"/>
            <w:tcBorders>
              <w:tl2br w:val="nil"/>
              <w:tr2bl w:val="nil"/>
            </w:tcBorders>
            <w:vAlign w:val="center"/>
          </w:tcPr>
          <w:p w14:paraId="5CF1D4C5">
            <w:pPr>
              <w:ind w:firstLine="42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密度</w:t>
            </w:r>
          </w:p>
        </w:tc>
        <w:tc>
          <w:tcPr>
            <w:tcW w:w="3939" w:type="dxa"/>
            <w:tcBorders>
              <w:tl2br w:val="nil"/>
              <w:tr2bl w:val="nil"/>
            </w:tcBorders>
            <w:vAlign w:val="center"/>
          </w:tcPr>
          <w:p w14:paraId="6E516C81">
            <w:pPr>
              <w:ind w:firstLine="420"/>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（g/</w:t>
            </w:r>
            <w:r>
              <w:rPr>
                <w:rFonts w:hint="default" w:ascii="Times New Roman" w:hAnsi="Times New Roman" w:cs="Times New Roman"/>
                <w:bCs/>
                <w:color w:val="000000" w:themeColor="text1"/>
                <w:szCs w:val="21"/>
                <w:lang w:val="en-US" w:eastAsia="zh-CN"/>
                <w14:textFill>
                  <w14:solidFill>
                    <w14:schemeClr w14:val="tx1"/>
                  </w14:solidFill>
                </w14:textFill>
              </w:rPr>
              <w:t>cm</w:t>
            </w:r>
            <w:r>
              <w:rPr>
                <w:rFonts w:hint="default" w:ascii="Times New Roman" w:hAnsi="Times New Roman" w:cs="Times New Roman"/>
                <w:bCs/>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bCs/>
                <w:color w:val="000000" w:themeColor="text1"/>
                <w:szCs w:val="21"/>
                <w14:textFill>
                  <w14:solidFill>
                    <w14:schemeClr w14:val="tx1"/>
                  </w14:solidFill>
                </w14:textFill>
              </w:rPr>
              <w:t>,20℃）：</w:t>
            </w:r>
            <w:r>
              <w:rPr>
                <w:rFonts w:hint="default" w:ascii="Times New Roman" w:hAnsi="Times New Roman" w:cs="Times New Roman"/>
                <w:bCs/>
                <w:color w:val="000000" w:themeColor="text1"/>
                <w:szCs w:val="21"/>
                <w:lang w:val="en-US" w:eastAsia="zh-CN"/>
                <w14:textFill>
                  <w14:solidFill>
                    <w14:schemeClr w14:val="tx1"/>
                  </w14:solidFill>
                </w14:textFill>
              </w:rPr>
              <w:t>0.8765</w:t>
            </w:r>
          </w:p>
        </w:tc>
      </w:tr>
      <w:tr w14:paraId="35C795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255" w:type="dxa"/>
            <w:tcBorders>
              <w:tl2br w:val="nil"/>
              <w:tr2bl w:val="nil"/>
            </w:tcBorders>
            <w:vAlign w:val="center"/>
          </w:tcPr>
          <w:p w14:paraId="04E2E935">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熔点</w:t>
            </w:r>
          </w:p>
        </w:tc>
        <w:tc>
          <w:tcPr>
            <w:tcW w:w="1648" w:type="dxa"/>
            <w:tcBorders>
              <w:tl2br w:val="nil"/>
              <w:tr2bl w:val="nil"/>
            </w:tcBorders>
            <w:vAlign w:val="center"/>
          </w:tcPr>
          <w:p w14:paraId="3108D76B">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5.5</w:t>
            </w:r>
            <w:r>
              <w:rPr>
                <w:rFonts w:hint="default" w:ascii="Times New Roman" w:hAnsi="Times New Roman" w:cs="Times New Roman"/>
                <w:bCs/>
                <w:color w:val="000000" w:themeColor="text1"/>
                <w:szCs w:val="21"/>
                <w14:textFill>
                  <w14:solidFill>
                    <w14:schemeClr w14:val="tx1"/>
                  </w14:solidFill>
                </w14:textFill>
              </w:rPr>
              <w:t>℃</w:t>
            </w:r>
          </w:p>
        </w:tc>
        <w:tc>
          <w:tcPr>
            <w:tcW w:w="1998" w:type="dxa"/>
            <w:tcBorders>
              <w:tl2br w:val="nil"/>
              <w:tr2bl w:val="nil"/>
            </w:tcBorders>
            <w:vAlign w:val="center"/>
          </w:tcPr>
          <w:p w14:paraId="494A12F9">
            <w:pPr>
              <w:ind w:firstLine="42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引燃温度</w:t>
            </w:r>
          </w:p>
        </w:tc>
        <w:tc>
          <w:tcPr>
            <w:tcW w:w="3939" w:type="dxa"/>
            <w:tcBorders>
              <w:tl2br w:val="nil"/>
              <w:tr2bl w:val="nil"/>
            </w:tcBorders>
            <w:vAlign w:val="center"/>
          </w:tcPr>
          <w:p w14:paraId="6EA586E4">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353℃</w:t>
            </w:r>
          </w:p>
        </w:tc>
      </w:tr>
      <w:tr w14:paraId="739616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255" w:type="dxa"/>
            <w:tcBorders>
              <w:tl2br w:val="nil"/>
              <w:tr2bl w:val="nil"/>
            </w:tcBorders>
            <w:vAlign w:val="center"/>
          </w:tcPr>
          <w:p w14:paraId="191C5145">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稳定性</w:t>
            </w:r>
          </w:p>
        </w:tc>
        <w:tc>
          <w:tcPr>
            <w:tcW w:w="1648" w:type="dxa"/>
            <w:tcBorders>
              <w:tl2br w:val="nil"/>
              <w:tr2bl w:val="nil"/>
            </w:tcBorders>
            <w:vAlign w:val="center"/>
          </w:tcPr>
          <w:p w14:paraId="02F56BF4">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稳定</w:t>
            </w:r>
          </w:p>
        </w:tc>
        <w:tc>
          <w:tcPr>
            <w:tcW w:w="1998" w:type="dxa"/>
            <w:tcBorders>
              <w:tl2br w:val="nil"/>
              <w:tr2bl w:val="nil"/>
            </w:tcBorders>
            <w:vAlign w:val="center"/>
          </w:tcPr>
          <w:p w14:paraId="2DBCB11B">
            <w:pPr>
              <w:ind w:firstLine="42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闪点</w:t>
            </w:r>
          </w:p>
        </w:tc>
        <w:tc>
          <w:tcPr>
            <w:tcW w:w="3939" w:type="dxa"/>
            <w:tcBorders>
              <w:tl2br w:val="nil"/>
              <w:tr2bl w:val="nil"/>
            </w:tcBorders>
            <w:vAlign w:val="center"/>
          </w:tcPr>
          <w:p w14:paraId="6C501A60">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-11</w:t>
            </w:r>
            <w:r>
              <w:rPr>
                <w:rFonts w:hint="default" w:ascii="Times New Roman" w:hAnsi="Times New Roman" w:cs="Times New Roman"/>
                <w:bCs/>
                <w:color w:val="000000" w:themeColor="text1"/>
                <w:szCs w:val="21"/>
                <w14:textFill>
                  <w14:solidFill>
                    <w14:schemeClr w14:val="tx1"/>
                  </w14:solidFill>
                </w14:textFill>
              </w:rPr>
              <w:t>℃</w:t>
            </w:r>
          </w:p>
        </w:tc>
      </w:tr>
      <w:tr w14:paraId="5F9150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255" w:type="dxa"/>
            <w:tcBorders>
              <w:tl2br w:val="nil"/>
              <w:tr2bl w:val="nil"/>
            </w:tcBorders>
            <w:vAlign w:val="center"/>
          </w:tcPr>
          <w:p w14:paraId="24C1EE9D">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燃烧性</w:t>
            </w:r>
          </w:p>
        </w:tc>
        <w:tc>
          <w:tcPr>
            <w:tcW w:w="1648" w:type="dxa"/>
            <w:tcBorders>
              <w:tl2br w:val="nil"/>
              <w:tr2bl w:val="nil"/>
            </w:tcBorders>
            <w:vAlign w:val="center"/>
          </w:tcPr>
          <w:p w14:paraId="02D92698">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易燃</w:t>
            </w:r>
          </w:p>
        </w:tc>
        <w:tc>
          <w:tcPr>
            <w:tcW w:w="1998" w:type="dxa"/>
            <w:tcBorders>
              <w:tl2br w:val="nil"/>
              <w:tr2bl w:val="nil"/>
            </w:tcBorders>
            <w:vAlign w:val="center"/>
          </w:tcPr>
          <w:p w14:paraId="1C8A5E37">
            <w:pPr>
              <w:ind w:firstLine="42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蒸气压</w:t>
            </w:r>
          </w:p>
        </w:tc>
        <w:tc>
          <w:tcPr>
            <w:tcW w:w="3939" w:type="dxa"/>
            <w:tcBorders>
              <w:tl2br w:val="nil"/>
              <w:tr2bl w:val="nil"/>
            </w:tcBorders>
            <w:vAlign w:val="center"/>
          </w:tcPr>
          <w:p w14:paraId="15B1D888">
            <w:pPr>
              <w:jc w:val="center"/>
              <w:rPr>
                <w:rFonts w:hint="default" w:ascii="Times New Roman" w:hAnsi="Times New Roman" w:cs="Times New Roman" w:eastAsiaTheme="minorEastAsia"/>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w:t>
            </w:r>
          </w:p>
        </w:tc>
      </w:tr>
      <w:tr w14:paraId="39D9AC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1255" w:type="dxa"/>
            <w:tcBorders>
              <w:tl2br w:val="nil"/>
              <w:tr2bl w:val="nil"/>
            </w:tcBorders>
            <w:vAlign w:val="center"/>
          </w:tcPr>
          <w:p w14:paraId="3435FCF3">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毒性危害</w:t>
            </w:r>
          </w:p>
        </w:tc>
        <w:tc>
          <w:tcPr>
            <w:tcW w:w="7585" w:type="dxa"/>
            <w:gridSpan w:val="3"/>
            <w:tcBorders>
              <w:tl2br w:val="nil"/>
              <w:tr2bl w:val="nil"/>
            </w:tcBorders>
            <w:vAlign w:val="center"/>
          </w:tcPr>
          <w:p w14:paraId="78196B3E">
            <w:pPr>
              <w:ind w:firstLine="42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急性毒性：口服-大鼠LD50:930毫克/公斤</w:t>
            </w:r>
            <w:r>
              <w:rPr>
                <w:rFonts w:hint="eastAsia"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口服-小鼠LD50:4700毫克/公斤</w:t>
            </w:r>
            <w:r>
              <w:rPr>
                <w:rFonts w:hint="eastAsia"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溶剂苯</w:t>
            </w:r>
            <w:r>
              <w:rPr>
                <w:rFonts w:hint="eastAsia" w:ascii="Times New Roman" w:hAnsi="Times New Roman" w:cs="Times New Roman"/>
                <w:bCs/>
                <w:color w:val="000000" w:themeColor="text1"/>
                <w:szCs w:val="21"/>
                <w:lang w:eastAsia="zh-CN"/>
                <w14:textFill>
                  <w14:solidFill>
                    <w14:schemeClr w14:val="tx1"/>
                  </w14:solidFill>
                </w14:textFill>
              </w:rPr>
              <w:t>）</w:t>
            </w:r>
          </w:p>
        </w:tc>
      </w:tr>
      <w:tr w14:paraId="2B8285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3" w:hRule="atLeast"/>
          <w:jc w:val="center"/>
        </w:trPr>
        <w:tc>
          <w:tcPr>
            <w:tcW w:w="1255" w:type="dxa"/>
            <w:tcBorders>
              <w:tl2br w:val="nil"/>
              <w:tr2bl w:val="nil"/>
            </w:tcBorders>
            <w:vAlign w:val="center"/>
          </w:tcPr>
          <w:p w14:paraId="0A3364F7">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用途</w:t>
            </w:r>
          </w:p>
        </w:tc>
        <w:tc>
          <w:tcPr>
            <w:tcW w:w="7585" w:type="dxa"/>
            <w:gridSpan w:val="3"/>
            <w:tcBorders>
              <w:tl2br w:val="nil"/>
              <w:tr2bl w:val="nil"/>
            </w:tcBorders>
            <w:vAlign w:val="center"/>
          </w:tcPr>
          <w:p w14:paraId="1E348CB9">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用作合成</w:t>
            </w:r>
            <w:r>
              <w:rPr>
                <w:rFonts w:hint="default" w:ascii="Times New Roman" w:hAnsi="Times New Roman" w:cs="Times New Roman"/>
                <w:bCs/>
                <w:color w:val="000000" w:themeColor="text1"/>
                <w:szCs w:val="21"/>
                <w14:textFill>
                  <w14:solidFill>
                    <w14:schemeClr w14:val="tx1"/>
                  </w14:solidFill>
                </w14:textFill>
              </w:rPr>
              <w:fldChar w:fldCharType="begin"/>
            </w:r>
            <w:r>
              <w:rPr>
                <w:rFonts w:hint="default" w:ascii="Times New Roman" w:hAnsi="Times New Roman" w:cs="Times New Roman"/>
                <w:bCs/>
                <w:color w:val="000000" w:themeColor="text1"/>
                <w:szCs w:val="21"/>
                <w14:textFill>
                  <w14:solidFill>
                    <w14:schemeClr w14:val="tx1"/>
                  </w14:solidFill>
                </w14:textFill>
              </w:rPr>
              <w:instrText xml:space="preserve"> HYPERLINK "https://baike.so.com/doc/1423526-1504748.html" \t "https://baike.so.com/doc/_blank" </w:instrText>
            </w:r>
            <w:r>
              <w:rPr>
                <w:rFonts w:hint="default" w:ascii="Times New Roman" w:hAnsi="Times New Roman" w:cs="Times New Roman"/>
                <w:bCs/>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21"/>
                <w14:textFill>
                  <w14:solidFill>
                    <w14:schemeClr w14:val="tx1"/>
                  </w14:solidFill>
                </w14:textFill>
              </w:rPr>
              <w:t>染料</w:t>
            </w:r>
            <w:r>
              <w:rPr>
                <w:rFonts w:hint="default" w:ascii="Times New Roman" w:hAnsi="Times New Roman" w:cs="Times New Roman"/>
                <w:bCs/>
                <w:color w:val="000000" w:themeColor="text1"/>
                <w:szCs w:val="21"/>
                <w14:textFill>
                  <w14:solidFill>
                    <w14:schemeClr w14:val="tx1"/>
                  </w14:solidFill>
                </w14:textFill>
              </w:rPr>
              <w:fldChar w:fldCharType="end"/>
            </w:r>
            <w:r>
              <w:rPr>
                <w:rFonts w:hint="default" w:ascii="Times New Roman" w:hAnsi="Times New Roman" w:cs="Times New Roman"/>
                <w:bCs/>
                <w:color w:val="000000" w:themeColor="text1"/>
                <w:szCs w:val="21"/>
                <w14:textFill>
                  <w14:solidFill>
                    <w14:schemeClr w14:val="tx1"/>
                  </w14:solidFill>
                </w14:textFill>
              </w:rPr>
              <w:t>、合成</w:t>
            </w:r>
            <w:r>
              <w:rPr>
                <w:rFonts w:hint="default" w:ascii="Times New Roman" w:hAnsi="Times New Roman" w:cs="Times New Roman"/>
                <w:bCs/>
                <w:color w:val="000000" w:themeColor="text1"/>
                <w:szCs w:val="21"/>
                <w14:textFill>
                  <w14:solidFill>
                    <w14:schemeClr w14:val="tx1"/>
                  </w14:solidFill>
                </w14:textFill>
              </w:rPr>
              <w:fldChar w:fldCharType="begin"/>
            </w:r>
            <w:r>
              <w:rPr>
                <w:rFonts w:hint="default" w:ascii="Times New Roman" w:hAnsi="Times New Roman" w:cs="Times New Roman"/>
                <w:bCs/>
                <w:color w:val="000000" w:themeColor="text1"/>
                <w:szCs w:val="21"/>
                <w14:textFill>
                  <w14:solidFill>
                    <w14:schemeClr w14:val="tx1"/>
                  </w14:solidFill>
                </w14:textFill>
              </w:rPr>
              <w:instrText xml:space="preserve"> HYPERLINK "https://baike.so.com/doc/5053391-5280545.html" \t "https://baike.so.com/doc/_blank" </w:instrText>
            </w:r>
            <w:r>
              <w:rPr>
                <w:rFonts w:hint="default" w:ascii="Times New Roman" w:hAnsi="Times New Roman" w:cs="Times New Roman"/>
                <w:bCs/>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21"/>
                <w14:textFill>
                  <w14:solidFill>
                    <w14:schemeClr w14:val="tx1"/>
                  </w14:solidFill>
                </w14:textFill>
              </w:rPr>
              <w:t>橡胶</w:t>
            </w:r>
            <w:r>
              <w:rPr>
                <w:rFonts w:hint="default" w:ascii="Times New Roman" w:hAnsi="Times New Roman" w:cs="Times New Roman"/>
                <w:bCs/>
                <w:color w:val="000000" w:themeColor="text1"/>
                <w:szCs w:val="21"/>
                <w14:textFill>
                  <w14:solidFill>
                    <w14:schemeClr w14:val="tx1"/>
                  </w14:solidFill>
                </w14:textFill>
              </w:rPr>
              <w:fldChar w:fldCharType="end"/>
            </w:r>
            <w:r>
              <w:rPr>
                <w:rFonts w:hint="default" w:ascii="Times New Roman" w:hAnsi="Times New Roman" w:cs="Times New Roman"/>
                <w:bCs/>
                <w:color w:val="000000" w:themeColor="text1"/>
                <w:szCs w:val="21"/>
                <w14:textFill>
                  <w14:solidFill>
                    <w14:schemeClr w14:val="tx1"/>
                  </w14:solidFill>
                </w14:textFill>
              </w:rPr>
              <w:t>、合成</w:t>
            </w:r>
            <w:r>
              <w:rPr>
                <w:rFonts w:hint="default" w:ascii="Times New Roman" w:hAnsi="Times New Roman" w:cs="Times New Roman"/>
                <w:bCs/>
                <w:color w:val="000000" w:themeColor="text1"/>
                <w:szCs w:val="21"/>
                <w14:textFill>
                  <w14:solidFill>
                    <w14:schemeClr w14:val="tx1"/>
                  </w14:solidFill>
                </w14:textFill>
              </w:rPr>
              <w:fldChar w:fldCharType="begin"/>
            </w:r>
            <w:r>
              <w:rPr>
                <w:rFonts w:hint="default" w:ascii="Times New Roman" w:hAnsi="Times New Roman" w:cs="Times New Roman"/>
                <w:bCs/>
                <w:color w:val="000000" w:themeColor="text1"/>
                <w:szCs w:val="21"/>
                <w14:textFill>
                  <w14:solidFill>
                    <w14:schemeClr w14:val="tx1"/>
                  </w14:solidFill>
                </w14:textFill>
              </w:rPr>
              <w:instrText xml:space="preserve"> HYPERLINK "https://baike.so.com/doc/703586-744632.html" \t "https://baike.so.com/doc/_blank" </w:instrText>
            </w:r>
            <w:r>
              <w:rPr>
                <w:rFonts w:hint="default" w:ascii="Times New Roman" w:hAnsi="Times New Roman" w:cs="Times New Roman"/>
                <w:bCs/>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21"/>
                <w14:textFill>
                  <w14:solidFill>
                    <w14:schemeClr w14:val="tx1"/>
                  </w14:solidFill>
                </w14:textFill>
              </w:rPr>
              <w:t>树脂</w:t>
            </w:r>
            <w:r>
              <w:rPr>
                <w:rFonts w:hint="default" w:ascii="Times New Roman" w:hAnsi="Times New Roman" w:cs="Times New Roman"/>
                <w:bCs/>
                <w:color w:val="000000" w:themeColor="text1"/>
                <w:szCs w:val="21"/>
                <w14:textFill>
                  <w14:solidFill>
                    <w14:schemeClr w14:val="tx1"/>
                  </w14:solidFill>
                </w14:textFill>
              </w:rPr>
              <w:fldChar w:fldCharType="end"/>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fldChar w:fldCharType="begin"/>
            </w:r>
            <w:r>
              <w:rPr>
                <w:rFonts w:hint="default" w:ascii="Times New Roman" w:hAnsi="Times New Roman" w:cs="Times New Roman"/>
                <w:bCs/>
                <w:color w:val="000000" w:themeColor="text1"/>
                <w:szCs w:val="21"/>
                <w14:textFill>
                  <w14:solidFill>
                    <w14:schemeClr w14:val="tx1"/>
                  </w14:solidFill>
                </w14:textFill>
              </w:rPr>
              <w:instrText xml:space="preserve"> HYPERLINK "https://baike.so.com/doc/5568407-5783572.html" \t "https://baike.so.com/doc/_blank" </w:instrText>
            </w:r>
            <w:r>
              <w:rPr>
                <w:rFonts w:hint="default" w:ascii="Times New Roman" w:hAnsi="Times New Roman" w:cs="Times New Roman"/>
                <w:bCs/>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21"/>
                <w14:textFill>
                  <w14:solidFill>
                    <w14:schemeClr w14:val="tx1"/>
                  </w14:solidFill>
                </w14:textFill>
              </w:rPr>
              <w:t>合成纤维</w:t>
            </w:r>
            <w:r>
              <w:rPr>
                <w:rFonts w:hint="default" w:ascii="Times New Roman" w:hAnsi="Times New Roman" w:cs="Times New Roman"/>
                <w:bCs/>
                <w:color w:val="000000" w:themeColor="text1"/>
                <w:szCs w:val="21"/>
                <w14:textFill>
                  <w14:solidFill>
                    <w14:schemeClr w14:val="tx1"/>
                  </w14:solidFill>
                </w14:textFill>
              </w:rPr>
              <w:fldChar w:fldCharType="end"/>
            </w:r>
            <w:r>
              <w:rPr>
                <w:rFonts w:hint="default" w:ascii="Times New Roman" w:hAnsi="Times New Roman" w:cs="Times New Roman"/>
                <w:bCs/>
                <w:color w:val="000000" w:themeColor="text1"/>
                <w:szCs w:val="21"/>
                <w14:textFill>
                  <w14:solidFill>
                    <w14:schemeClr w14:val="tx1"/>
                  </w14:solidFill>
                </w14:textFill>
              </w:rPr>
              <w:t>、合成谷物、</w:t>
            </w:r>
            <w:r>
              <w:rPr>
                <w:rFonts w:hint="default" w:ascii="Times New Roman" w:hAnsi="Times New Roman" w:cs="Times New Roman"/>
                <w:bCs/>
                <w:color w:val="000000" w:themeColor="text1"/>
                <w:szCs w:val="21"/>
                <w14:textFill>
                  <w14:solidFill>
                    <w14:schemeClr w14:val="tx1"/>
                  </w14:solidFill>
                </w14:textFill>
              </w:rPr>
              <w:fldChar w:fldCharType="begin"/>
            </w:r>
            <w:r>
              <w:rPr>
                <w:rFonts w:hint="default" w:ascii="Times New Roman" w:hAnsi="Times New Roman" w:cs="Times New Roman"/>
                <w:bCs/>
                <w:color w:val="000000" w:themeColor="text1"/>
                <w:szCs w:val="21"/>
                <w14:textFill>
                  <w14:solidFill>
                    <w14:schemeClr w14:val="tx1"/>
                  </w14:solidFill>
                </w14:textFill>
              </w:rPr>
              <w:instrText xml:space="preserve"> HYPERLINK "https://baike.so.com/doc/3100926-3268431.html" \t "https://baike.so.com/doc/_blank" </w:instrText>
            </w:r>
            <w:r>
              <w:rPr>
                <w:rFonts w:hint="default" w:ascii="Times New Roman" w:hAnsi="Times New Roman" w:cs="Times New Roman"/>
                <w:bCs/>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21"/>
                <w14:textFill>
                  <w14:solidFill>
                    <w14:schemeClr w14:val="tx1"/>
                  </w14:solidFill>
                </w14:textFill>
              </w:rPr>
              <w:t>塑料</w:t>
            </w:r>
            <w:r>
              <w:rPr>
                <w:rFonts w:hint="default" w:ascii="Times New Roman" w:hAnsi="Times New Roman" w:cs="Times New Roman"/>
                <w:bCs/>
                <w:color w:val="000000" w:themeColor="text1"/>
                <w:szCs w:val="21"/>
                <w14:textFill>
                  <w14:solidFill>
                    <w14:schemeClr w14:val="tx1"/>
                  </w14:solidFill>
                </w14:textFill>
              </w:rPr>
              <w:fldChar w:fldCharType="end"/>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fldChar w:fldCharType="begin"/>
            </w:r>
            <w:r>
              <w:rPr>
                <w:rFonts w:hint="default" w:ascii="Times New Roman" w:hAnsi="Times New Roman" w:cs="Times New Roman"/>
                <w:bCs/>
                <w:color w:val="000000" w:themeColor="text1"/>
                <w:szCs w:val="21"/>
                <w14:textFill>
                  <w14:solidFill>
                    <w14:schemeClr w14:val="tx1"/>
                  </w14:solidFill>
                </w14:textFill>
              </w:rPr>
              <w:instrText xml:space="preserve"> HYPERLINK "https://baike.so.com/doc/2572053-2716133.html" \t "https://baike.so.com/doc/_blank" </w:instrText>
            </w:r>
            <w:r>
              <w:rPr>
                <w:rFonts w:hint="default" w:ascii="Times New Roman" w:hAnsi="Times New Roman" w:cs="Times New Roman"/>
                <w:bCs/>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21"/>
                <w14:textFill>
                  <w14:solidFill>
                    <w14:schemeClr w14:val="tx1"/>
                  </w14:solidFill>
                </w14:textFill>
              </w:rPr>
              <w:t>医药</w:t>
            </w:r>
            <w:r>
              <w:rPr>
                <w:rFonts w:hint="default" w:ascii="Times New Roman" w:hAnsi="Times New Roman" w:cs="Times New Roman"/>
                <w:bCs/>
                <w:color w:val="000000" w:themeColor="text1"/>
                <w:szCs w:val="21"/>
                <w14:textFill>
                  <w14:solidFill>
                    <w14:schemeClr w14:val="tx1"/>
                  </w14:solidFill>
                </w14:textFill>
              </w:rPr>
              <w:fldChar w:fldCharType="end"/>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fldChar w:fldCharType="begin"/>
            </w:r>
            <w:r>
              <w:rPr>
                <w:rFonts w:hint="default" w:ascii="Times New Roman" w:hAnsi="Times New Roman" w:cs="Times New Roman"/>
                <w:bCs/>
                <w:color w:val="000000" w:themeColor="text1"/>
                <w:szCs w:val="21"/>
                <w14:textFill>
                  <w14:solidFill>
                    <w14:schemeClr w14:val="tx1"/>
                  </w14:solidFill>
                </w14:textFill>
              </w:rPr>
              <w:instrText xml:space="preserve"> HYPERLINK "https://baike.so.com/doc/1218627-1289033.html" \t "https://baike.so.com/doc/_blank" </w:instrText>
            </w:r>
            <w:r>
              <w:rPr>
                <w:rFonts w:hint="default" w:ascii="Times New Roman" w:hAnsi="Times New Roman" w:cs="Times New Roman"/>
                <w:bCs/>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21"/>
                <w14:textFill>
                  <w14:solidFill>
                    <w14:schemeClr w14:val="tx1"/>
                  </w14:solidFill>
                </w14:textFill>
              </w:rPr>
              <w:t>农药</w:t>
            </w:r>
            <w:r>
              <w:rPr>
                <w:rFonts w:hint="default" w:ascii="Times New Roman" w:hAnsi="Times New Roman" w:cs="Times New Roman"/>
                <w:bCs/>
                <w:color w:val="000000" w:themeColor="text1"/>
                <w:szCs w:val="21"/>
                <w14:textFill>
                  <w14:solidFill>
                    <w14:schemeClr w14:val="tx1"/>
                  </w14:solidFill>
                </w14:textFill>
              </w:rPr>
              <w:fldChar w:fldCharType="end"/>
            </w:r>
            <w:r>
              <w:rPr>
                <w:rFonts w:hint="default" w:ascii="Times New Roman" w:hAnsi="Times New Roman" w:cs="Times New Roman"/>
                <w:bCs/>
                <w:color w:val="000000" w:themeColor="text1"/>
                <w:szCs w:val="21"/>
                <w14:textFill>
                  <w14:solidFill>
                    <w14:schemeClr w14:val="tx1"/>
                  </w14:solidFill>
                </w14:textFill>
              </w:rPr>
              <w:t>、照相胶片以及石油化工制品的重要原料</w:t>
            </w:r>
          </w:p>
        </w:tc>
      </w:tr>
      <w:tr w14:paraId="01085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8840" w:type="dxa"/>
            <w:gridSpan w:val="4"/>
            <w:tcBorders>
              <w:tl2br w:val="nil"/>
              <w:tr2bl w:val="nil"/>
            </w:tcBorders>
            <w:vAlign w:val="center"/>
          </w:tcPr>
          <w:p w14:paraId="52FCE9EA">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油漆</w:t>
            </w:r>
            <w:r>
              <w:rPr>
                <w:rFonts w:hint="default" w:ascii="Times New Roman" w:hAnsi="Times New Roman" w:cs="Times New Roman"/>
                <w:bCs/>
                <w:color w:val="000000" w:themeColor="text1"/>
                <w:szCs w:val="21"/>
                <w14:textFill>
                  <w14:solidFill>
                    <w14:schemeClr w14:val="tx1"/>
                  </w14:solidFill>
                </w14:textFill>
              </w:rPr>
              <w:t>中含有苯</w:t>
            </w:r>
          </w:p>
        </w:tc>
      </w:tr>
    </w:tbl>
    <w:p w14:paraId="13F5A3B3">
      <w:pPr>
        <w:pStyle w:val="17"/>
        <w:numPr>
          <w:ilvl w:val="0"/>
          <w:numId w:val="82"/>
        </w:numPr>
        <w:jc w:val="center"/>
      </w:pPr>
      <w:r>
        <w:rPr>
          <w:b/>
          <w:bCs/>
          <w:lang w:val="zh-CN"/>
        </w:rPr>
        <w:t>甲苯理化性质一览表</w:t>
      </w:r>
    </w:p>
    <w:tbl>
      <w:tblPr>
        <w:tblStyle w:val="30"/>
        <w:tblW w:w="884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55"/>
        <w:gridCol w:w="1648"/>
        <w:gridCol w:w="1998"/>
        <w:gridCol w:w="3939"/>
      </w:tblGrid>
      <w:tr w14:paraId="58D315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1255" w:type="dxa"/>
            <w:tcBorders>
              <w:tl2br w:val="nil"/>
              <w:tr2bl w:val="nil"/>
            </w:tcBorders>
            <w:vAlign w:val="center"/>
          </w:tcPr>
          <w:p w14:paraId="66A3768F">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中文名</w:t>
            </w:r>
          </w:p>
        </w:tc>
        <w:tc>
          <w:tcPr>
            <w:tcW w:w="1648" w:type="dxa"/>
            <w:tcBorders>
              <w:tl2br w:val="nil"/>
              <w:tr2bl w:val="nil"/>
            </w:tcBorders>
            <w:vAlign w:val="center"/>
          </w:tcPr>
          <w:p w14:paraId="230EA424">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甲苯</w:t>
            </w:r>
          </w:p>
        </w:tc>
        <w:tc>
          <w:tcPr>
            <w:tcW w:w="1998" w:type="dxa"/>
            <w:tcBorders>
              <w:tl2br w:val="nil"/>
              <w:tr2bl w:val="nil"/>
            </w:tcBorders>
            <w:vAlign w:val="center"/>
          </w:tcPr>
          <w:p w14:paraId="4B914408">
            <w:pPr>
              <w:ind w:firstLine="422"/>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CAS号</w:t>
            </w:r>
          </w:p>
        </w:tc>
        <w:tc>
          <w:tcPr>
            <w:tcW w:w="3939" w:type="dxa"/>
            <w:tcBorders>
              <w:tl2br w:val="nil"/>
              <w:tr2bl w:val="nil"/>
            </w:tcBorders>
            <w:vAlign w:val="center"/>
          </w:tcPr>
          <w:p w14:paraId="1D889B0F">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108-88-3</w:t>
            </w:r>
          </w:p>
        </w:tc>
      </w:tr>
      <w:tr w14:paraId="2A2A7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1255" w:type="dxa"/>
            <w:tcBorders>
              <w:tl2br w:val="nil"/>
              <w:tr2bl w:val="nil"/>
            </w:tcBorders>
            <w:vAlign w:val="center"/>
          </w:tcPr>
          <w:p w14:paraId="672F50FB">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分子式</w:t>
            </w:r>
          </w:p>
        </w:tc>
        <w:tc>
          <w:tcPr>
            <w:tcW w:w="1648" w:type="dxa"/>
            <w:tcBorders>
              <w:tl2br w:val="nil"/>
              <w:tr2bl w:val="nil"/>
            </w:tcBorders>
            <w:vAlign w:val="center"/>
          </w:tcPr>
          <w:p w14:paraId="1A501337">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C</w:t>
            </w:r>
            <w:r>
              <w:rPr>
                <w:rFonts w:ascii="Times New Roman" w:hAnsi="Times New Roman" w:cs="Times New Roman"/>
                <w:bCs/>
                <w:color w:val="000000" w:themeColor="text1"/>
                <w:szCs w:val="21"/>
                <w:vertAlign w:val="subscript"/>
                <w14:textFill>
                  <w14:solidFill>
                    <w14:schemeClr w14:val="tx1"/>
                  </w14:solidFill>
                </w14:textFill>
              </w:rPr>
              <w:t>7</w:t>
            </w:r>
            <w:r>
              <w:rPr>
                <w:rFonts w:ascii="Times New Roman" w:hAnsi="Times New Roman" w:cs="Times New Roman"/>
                <w:bCs/>
                <w:color w:val="000000" w:themeColor="text1"/>
                <w:szCs w:val="21"/>
                <w14:textFill>
                  <w14:solidFill>
                    <w14:schemeClr w14:val="tx1"/>
                  </w14:solidFill>
                </w14:textFill>
              </w:rPr>
              <w:t>H</w:t>
            </w:r>
            <w:r>
              <w:rPr>
                <w:rFonts w:ascii="Times New Roman" w:hAnsi="Times New Roman" w:cs="Times New Roman"/>
                <w:bCs/>
                <w:color w:val="000000" w:themeColor="text1"/>
                <w:szCs w:val="21"/>
                <w:vertAlign w:val="subscript"/>
                <w14:textFill>
                  <w14:solidFill>
                    <w14:schemeClr w14:val="tx1"/>
                  </w14:solidFill>
                </w14:textFill>
              </w:rPr>
              <w:t>8</w:t>
            </w:r>
          </w:p>
        </w:tc>
        <w:tc>
          <w:tcPr>
            <w:tcW w:w="1998" w:type="dxa"/>
            <w:tcBorders>
              <w:tl2br w:val="nil"/>
              <w:tr2bl w:val="nil"/>
            </w:tcBorders>
            <w:vAlign w:val="center"/>
          </w:tcPr>
          <w:p w14:paraId="39636D40">
            <w:pPr>
              <w:ind w:firstLine="42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性状</w:t>
            </w:r>
          </w:p>
        </w:tc>
        <w:tc>
          <w:tcPr>
            <w:tcW w:w="3939" w:type="dxa"/>
            <w:tcBorders>
              <w:tl2br w:val="nil"/>
              <w:tr2bl w:val="nil"/>
            </w:tcBorders>
            <w:vAlign w:val="center"/>
          </w:tcPr>
          <w:p w14:paraId="08CF8A7D">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无色澄清液体</w:t>
            </w:r>
          </w:p>
        </w:tc>
      </w:tr>
      <w:tr w14:paraId="156FD0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255" w:type="dxa"/>
            <w:tcBorders>
              <w:tl2br w:val="nil"/>
              <w:tr2bl w:val="nil"/>
            </w:tcBorders>
            <w:vAlign w:val="center"/>
          </w:tcPr>
          <w:p w14:paraId="01E8BF04">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分子量</w:t>
            </w:r>
          </w:p>
        </w:tc>
        <w:tc>
          <w:tcPr>
            <w:tcW w:w="1648" w:type="dxa"/>
            <w:tcBorders>
              <w:tl2br w:val="nil"/>
              <w:tr2bl w:val="nil"/>
            </w:tcBorders>
            <w:vAlign w:val="center"/>
          </w:tcPr>
          <w:p w14:paraId="5194C86E">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92.14</w:t>
            </w:r>
          </w:p>
        </w:tc>
        <w:tc>
          <w:tcPr>
            <w:tcW w:w="1998" w:type="dxa"/>
            <w:tcBorders>
              <w:tl2br w:val="nil"/>
              <w:tr2bl w:val="nil"/>
            </w:tcBorders>
            <w:vAlign w:val="center"/>
          </w:tcPr>
          <w:p w14:paraId="6A071CB6">
            <w:pPr>
              <w:ind w:firstLine="42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溶解性</w:t>
            </w:r>
          </w:p>
        </w:tc>
        <w:tc>
          <w:tcPr>
            <w:tcW w:w="3939" w:type="dxa"/>
            <w:tcBorders>
              <w:tl2br w:val="nil"/>
              <w:tr2bl w:val="nil"/>
            </w:tcBorders>
            <w:vAlign w:val="center"/>
          </w:tcPr>
          <w:p w14:paraId="2A1107A1">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极微溶于水</w:t>
            </w:r>
          </w:p>
        </w:tc>
      </w:tr>
      <w:tr w14:paraId="72A017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255" w:type="dxa"/>
            <w:tcBorders>
              <w:tl2br w:val="nil"/>
              <w:tr2bl w:val="nil"/>
            </w:tcBorders>
            <w:vAlign w:val="center"/>
          </w:tcPr>
          <w:p w14:paraId="23D6F7C1">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沸点</w:t>
            </w:r>
          </w:p>
        </w:tc>
        <w:tc>
          <w:tcPr>
            <w:tcW w:w="1648" w:type="dxa"/>
            <w:tcBorders>
              <w:tl2br w:val="nil"/>
              <w:tr2bl w:val="nil"/>
            </w:tcBorders>
            <w:vAlign w:val="center"/>
          </w:tcPr>
          <w:p w14:paraId="2ED7C7D8">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110.6℃</w:t>
            </w:r>
          </w:p>
        </w:tc>
        <w:tc>
          <w:tcPr>
            <w:tcW w:w="1998" w:type="dxa"/>
            <w:tcBorders>
              <w:tl2br w:val="nil"/>
              <w:tr2bl w:val="nil"/>
            </w:tcBorders>
            <w:vAlign w:val="center"/>
          </w:tcPr>
          <w:p w14:paraId="3508A57C">
            <w:pPr>
              <w:ind w:firstLine="42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密度</w:t>
            </w:r>
          </w:p>
        </w:tc>
        <w:tc>
          <w:tcPr>
            <w:tcW w:w="3939" w:type="dxa"/>
            <w:tcBorders>
              <w:tl2br w:val="nil"/>
              <w:tr2bl w:val="nil"/>
            </w:tcBorders>
            <w:vAlign w:val="center"/>
          </w:tcPr>
          <w:p w14:paraId="61FD669D">
            <w:pPr>
              <w:ind w:firstLine="42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（g/mL,20/4℃）：0.87</w:t>
            </w:r>
          </w:p>
        </w:tc>
      </w:tr>
      <w:tr w14:paraId="1951E4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255" w:type="dxa"/>
            <w:tcBorders>
              <w:tl2br w:val="nil"/>
              <w:tr2bl w:val="nil"/>
            </w:tcBorders>
            <w:vAlign w:val="center"/>
          </w:tcPr>
          <w:p w14:paraId="2A04ED8C">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熔点</w:t>
            </w:r>
          </w:p>
        </w:tc>
        <w:tc>
          <w:tcPr>
            <w:tcW w:w="1648" w:type="dxa"/>
            <w:tcBorders>
              <w:tl2br w:val="nil"/>
              <w:tr2bl w:val="nil"/>
            </w:tcBorders>
            <w:vAlign w:val="center"/>
          </w:tcPr>
          <w:p w14:paraId="6AE2FB3B">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-94.9℃</w:t>
            </w:r>
          </w:p>
        </w:tc>
        <w:tc>
          <w:tcPr>
            <w:tcW w:w="1998" w:type="dxa"/>
            <w:tcBorders>
              <w:tl2br w:val="nil"/>
              <w:tr2bl w:val="nil"/>
            </w:tcBorders>
            <w:vAlign w:val="center"/>
          </w:tcPr>
          <w:p w14:paraId="4573DC82">
            <w:pPr>
              <w:ind w:firstLine="42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引燃温度</w:t>
            </w:r>
          </w:p>
        </w:tc>
        <w:tc>
          <w:tcPr>
            <w:tcW w:w="3939" w:type="dxa"/>
            <w:tcBorders>
              <w:tl2br w:val="nil"/>
              <w:tr2bl w:val="nil"/>
            </w:tcBorders>
            <w:vAlign w:val="center"/>
          </w:tcPr>
          <w:p w14:paraId="408F19B7">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353℃</w:t>
            </w:r>
          </w:p>
        </w:tc>
      </w:tr>
      <w:tr w14:paraId="38BA93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255" w:type="dxa"/>
            <w:tcBorders>
              <w:tl2br w:val="nil"/>
              <w:tr2bl w:val="nil"/>
            </w:tcBorders>
            <w:vAlign w:val="center"/>
          </w:tcPr>
          <w:p w14:paraId="72B8800E">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稳定性</w:t>
            </w:r>
          </w:p>
        </w:tc>
        <w:tc>
          <w:tcPr>
            <w:tcW w:w="1648" w:type="dxa"/>
            <w:tcBorders>
              <w:tl2br w:val="nil"/>
              <w:tr2bl w:val="nil"/>
            </w:tcBorders>
            <w:vAlign w:val="center"/>
          </w:tcPr>
          <w:p w14:paraId="3AFFEF2F">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稳定</w:t>
            </w:r>
          </w:p>
        </w:tc>
        <w:tc>
          <w:tcPr>
            <w:tcW w:w="1998" w:type="dxa"/>
            <w:tcBorders>
              <w:tl2br w:val="nil"/>
              <w:tr2bl w:val="nil"/>
            </w:tcBorders>
            <w:vAlign w:val="center"/>
          </w:tcPr>
          <w:p w14:paraId="07C414E8">
            <w:pPr>
              <w:ind w:firstLine="42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闪点</w:t>
            </w:r>
          </w:p>
        </w:tc>
        <w:tc>
          <w:tcPr>
            <w:tcW w:w="3939" w:type="dxa"/>
            <w:tcBorders>
              <w:tl2br w:val="nil"/>
              <w:tr2bl w:val="nil"/>
            </w:tcBorders>
            <w:vAlign w:val="center"/>
          </w:tcPr>
          <w:p w14:paraId="5D47264E">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w:t>
            </w:r>
          </w:p>
        </w:tc>
      </w:tr>
      <w:tr w14:paraId="4E7B9C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255" w:type="dxa"/>
            <w:tcBorders>
              <w:tl2br w:val="nil"/>
              <w:tr2bl w:val="nil"/>
            </w:tcBorders>
            <w:vAlign w:val="center"/>
          </w:tcPr>
          <w:p w14:paraId="04B83295">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燃烧性</w:t>
            </w:r>
          </w:p>
        </w:tc>
        <w:tc>
          <w:tcPr>
            <w:tcW w:w="1648" w:type="dxa"/>
            <w:tcBorders>
              <w:tl2br w:val="nil"/>
              <w:tr2bl w:val="nil"/>
            </w:tcBorders>
            <w:vAlign w:val="center"/>
          </w:tcPr>
          <w:p w14:paraId="4AB0AEC4">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易燃</w:t>
            </w:r>
          </w:p>
        </w:tc>
        <w:tc>
          <w:tcPr>
            <w:tcW w:w="1998" w:type="dxa"/>
            <w:tcBorders>
              <w:tl2br w:val="nil"/>
              <w:tr2bl w:val="nil"/>
            </w:tcBorders>
            <w:vAlign w:val="center"/>
          </w:tcPr>
          <w:p w14:paraId="2E09BB25">
            <w:pPr>
              <w:ind w:firstLine="42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蒸气压</w:t>
            </w:r>
          </w:p>
        </w:tc>
        <w:tc>
          <w:tcPr>
            <w:tcW w:w="3939" w:type="dxa"/>
            <w:tcBorders>
              <w:tl2br w:val="nil"/>
              <w:tr2bl w:val="nil"/>
            </w:tcBorders>
            <w:vAlign w:val="center"/>
          </w:tcPr>
          <w:p w14:paraId="64381DAB">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4.89kPa/30℃</w:t>
            </w:r>
          </w:p>
        </w:tc>
      </w:tr>
      <w:tr w14:paraId="34FB6A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1255" w:type="dxa"/>
            <w:tcBorders>
              <w:tl2br w:val="nil"/>
              <w:tr2bl w:val="nil"/>
            </w:tcBorders>
            <w:vAlign w:val="center"/>
          </w:tcPr>
          <w:p w14:paraId="79FA6585">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毒性危害</w:t>
            </w:r>
          </w:p>
        </w:tc>
        <w:tc>
          <w:tcPr>
            <w:tcW w:w="7585" w:type="dxa"/>
            <w:gridSpan w:val="3"/>
            <w:tcBorders>
              <w:tl2br w:val="nil"/>
              <w:tr2bl w:val="nil"/>
            </w:tcBorders>
            <w:vAlign w:val="center"/>
          </w:tcPr>
          <w:p w14:paraId="5A44398E">
            <w:pPr>
              <w:ind w:firstLine="42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LD</w:t>
            </w:r>
            <w:r>
              <w:rPr>
                <w:rFonts w:ascii="Times New Roman" w:hAnsi="Times New Roman" w:cs="Times New Roman"/>
                <w:bCs/>
                <w:color w:val="000000" w:themeColor="text1"/>
                <w:szCs w:val="21"/>
                <w:vertAlign w:val="subscript"/>
                <w14:textFill>
                  <w14:solidFill>
                    <w14:schemeClr w14:val="tx1"/>
                  </w14:solidFill>
                </w14:textFill>
              </w:rPr>
              <w:t>50</w:t>
            </w:r>
            <w:r>
              <w:rPr>
                <w:rFonts w:ascii="Times New Roman" w:hAnsi="Times New Roman" w:cs="Times New Roman"/>
                <w:bCs/>
                <w:color w:val="000000" w:themeColor="text1"/>
                <w:szCs w:val="21"/>
                <w14:textFill>
                  <w14:solidFill>
                    <w14:schemeClr w14:val="tx1"/>
                  </w14:solidFill>
                </w14:textFill>
              </w:rPr>
              <w:t>5000mg/kg(大鼠经口)</w:t>
            </w:r>
          </w:p>
        </w:tc>
      </w:tr>
      <w:tr w14:paraId="5E1C9E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3" w:hRule="atLeast"/>
          <w:jc w:val="center"/>
        </w:trPr>
        <w:tc>
          <w:tcPr>
            <w:tcW w:w="1255" w:type="dxa"/>
            <w:tcBorders>
              <w:tl2br w:val="nil"/>
              <w:tr2bl w:val="nil"/>
            </w:tcBorders>
            <w:vAlign w:val="center"/>
          </w:tcPr>
          <w:p w14:paraId="140CE770">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用途</w:t>
            </w:r>
          </w:p>
        </w:tc>
        <w:tc>
          <w:tcPr>
            <w:tcW w:w="7585" w:type="dxa"/>
            <w:gridSpan w:val="3"/>
            <w:tcBorders>
              <w:tl2br w:val="nil"/>
              <w:tr2bl w:val="nil"/>
            </w:tcBorders>
            <w:vAlign w:val="center"/>
          </w:tcPr>
          <w:p w14:paraId="53D4FBFC">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主要用于分子筛脱附和替代氟利昂作发泡剂，用作溶剂，制造人造冰、麻醉剂、合成戊醇、异戊烷等</w:t>
            </w:r>
          </w:p>
        </w:tc>
      </w:tr>
      <w:tr w14:paraId="3CEBCE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3" w:hRule="atLeast"/>
          <w:jc w:val="center"/>
        </w:trPr>
        <w:tc>
          <w:tcPr>
            <w:tcW w:w="1255" w:type="dxa"/>
            <w:tcBorders>
              <w:tl2br w:val="nil"/>
              <w:tr2bl w:val="nil"/>
            </w:tcBorders>
            <w:vAlign w:val="center"/>
          </w:tcPr>
          <w:p w14:paraId="7C2FC93E">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性质与稳定性</w:t>
            </w:r>
          </w:p>
        </w:tc>
        <w:tc>
          <w:tcPr>
            <w:tcW w:w="7585" w:type="dxa"/>
            <w:gridSpan w:val="3"/>
            <w:tcBorders>
              <w:tl2br w:val="nil"/>
              <w:tr2bl w:val="nil"/>
            </w:tcBorders>
            <w:vAlign w:val="center"/>
          </w:tcPr>
          <w:p w14:paraId="00C2985B">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化学性质活泼，与苯相像。可进行氧化、</w:t>
            </w:r>
            <w:r>
              <w:fldChar w:fldCharType="begin"/>
            </w:r>
            <w:r>
              <w:instrText xml:space="preserve"> HYPERLINK "https://baike.so.com/doc/5950608-6163548.html" \t "https://baike.so.com/doc/_blank" </w:instrText>
            </w:r>
            <w:r>
              <w:fldChar w:fldCharType="separate"/>
            </w:r>
            <w:r>
              <w:rPr>
                <w:rFonts w:ascii="Times New Roman" w:hAnsi="Times New Roman" w:cs="Times New Roman"/>
                <w:bCs/>
                <w:color w:val="000000" w:themeColor="text1"/>
                <w:szCs w:val="21"/>
                <w14:textFill>
                  <w14:solidFill>
                    <w14:schemeClr w14:val="tx1"/>
                  </w14:solidFill>
                </w14:textFill>
              </w:rPr>
              <w:t>磺化</w:t>
            </w:r>
            <w:r>
              <w:rPr>
                <w:rFonts w:ascii="Times New Roman" w:hAnsi="Times New Roman" w:cs="Times New Roman"/>
                <w:bCs/>
                <w:color w:val="000000" w:themeColor="text1"/>
                <w:szCs w:val="21"/>
                <w14:textFill>
                  <w14:solidFill>
                    <w14:schemeClr w14:val="tx1"/>
                  </w14:solidFill>
                </w14:textFill>
              </w:rPr>
              <w:fldChar w:fldCharType="end"/>
            </w:r>
            <w:r>
              <w:rPr>
                <w:rFonts w:ascii="Times New Roman" w:hAnsi="Times New Roman" w:cs="Times New Roman"/>
                <w:bCs/>
                <w:color w:val="000000" w:themeColor="text1"/>
                <w:szCs w:val="21"/>
                <w14:textFill>
                  <w14:solidFill>
                    <w14:schemeClr w14:val="tx1"/>
                  </w14:solidFill>
                </w14:textFill>
              </w:rPr>
              <w:t>、硝化和歧化反应，以及侧链氯化反应。甲苯能被氧化成</w:t>
            </w:r>
            <w:r>
              <w:fldChar w:fldCharType="begin"/>
            </w:r>
            <w:r>
              <w:instrText xml:space="preserve"> HYPERLINK "https://baike.so.com/doc/5374974-5611034.html" \t "https://baike.so.com/doc/_blank" </w:instrText>
            </w:r>
            <w:r>
              <w:fldChar w:fldCharType="separate"/>
            </w:r>
            <w:r>
              <w:rPr>
                <w:rFonts w:ascii="Times New Roman" w:hAnsi="Times New Roman" w:cs="Times New Roman"/>
                <w:bCs/>
                <w:color w:val="000000" w:themeColor="text1"/>
                <w:szCs w:val="21"/>
                <w14:textFill>
                  <w14:solidFill>
                    <w14:schemeClr w14:val="tx1"/>
                  </w14:solidFill>
                </w14:textFill>
              </w:rPr>
              <w:t>苯甲酸</w:t>
            </w:r>
            <w:r>
              <w:rPr>
                <w:rFonts w:ascii="Times New Roman" w:hAnsi="Times New Roman" w:cs="Times New Roman"/>
                <w:bCs/>
                <w:color w:val="000000" w:themeColor="text1"/>
                <w:szCs w:val="21"/>
                <w14:textFill>
                  <w14:solidFill>
                    <w14:schemeClr w14:val="tx1"/>
                  </w14:solidFill>
                </w14:textFill>
              </w:rPr>
              <w:fldChar w:fldCharType="end"/>
            </w:r>
            <w:r>
              <w:rPr>
                <w:rFonts w:ascii="Times New Roman" w:hAnsi="Times New Roman" w:cs="Times New Roman"/>
                <w:bCs/>
                <w:color w:val="000000" w:themeColor="text1"/>
                <w:szCs w:val="21"/>
                <w14:textFill>
                  <w14:solidFill>
                    <w14:schemeClr w14:val="tx1"/>
                  </w14:solidFill>
                </w14:textFill>
              </w:rPr>
              <w:t>。</w:t>
            </w:r>
          </w:p>
        </w:tc>
      </w:tr>
      <w:tr w14:paraId="56F9E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8840" w:type="dxa"/>
            <w:gridSpan w:val="4"/>
            <w:tcBorders>
              <w:tl2br w:val="nil"/>
              <w:tr2bl w:val="nil"/>
            </w:tcBorders>
            <w:vAlign w:val="center"/>
          </w:tcPr>
          <w:p w14:paraId="18F276BA">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本项目稀释剂中含有甲苯</w:t>
            </w:r>
          </w:p>
        </w:tc>
      </w:tr>
    </w:tbl>
    <w:p w14:paraId="63D1819B">
      <w:pPr>
        <w:pStyle w:val="17"/>
        <w:numPr>
          <w:ilvl w:val="0"/>
          <w:numId w:val="82"/>
        </w:num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 xml:space="preserve"> </w:t>
      </w:r>
      <w:r>
        <w:rPr>
          <w:rFonts w:ascii="Times New Roman" w:hAnsi="Times New Roman" w:cs="Times New Roman"/>
          <w:b/>
          <w:color w:val="000000" w:themeColor="text1"/>
          <w:szCs w:val="21"/>
          <w:lang w:val="zh-CN"/>
          <w14:textFill>
            <w14:solidFill>
              <w14:schemeClr w14:val="tx1"/>
            </w14:solidFill>
          </w14:textFill>
        </w:rPr>
        <w:t>二甲苯理化性质一览表</w:t>
      </w:r>
    </w:p>
    <w:tbl>
      <w:tblPr>
        <w:tblStyle w:val="30"/>
        <w:tblW w:w="88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51"/>
        <w:gridCol w:w="1359"/>
        <w:gridCol w:w="2003"/>
        <w:gridCol w:w="3947"/>
      </w:tblGrid>
      <w:tr w14:paraId="56D672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51" w:type="dxa"/>
            <w:tcBorders>
              <w:tl2br w:val="nil"/>
              <w:tr2bl w:val="nil"/>
            </w:tcBorders>
            <w:vAlign w:val="center"/>
          </w:tcPr>
          <w:p w14:paraId="30A9F8AF">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中文名</w:t>
            </w:r>
          </w:p>
        </w:tc>
        <w:tc>
          <w:tcPr>
            <w:tcW w:w="1359" w:type="dxa"/>
            <w:tcBorders>
              <w:tl2br w:val="nil"/>
              <w:tr2bl w:val="nil"/>
            </w:tcBorders>
            <w:vAlign w:val="center"/>
          </w:tcPr>
          <w:p w14:paraId="35AC6F81">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二甲苯</w:t>
            </w:r>
          </w:p>
        </w:tc>
        <w:tc>
          <w:tcPr>
            <w:tcW w:w="2003" w:type="dxa"/>
            <w:tcBorders>
              <w:tl2br w:val="nil"/>
              <w:tr2bl w:val="nil"/>
            </w:tcBorders>
            <w:vAlign w:val="center"/>
          </w:tcPr>
          <w:p w14:paraId="114982DA">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CAS号</w:t>
            </w:r>
          </w:p>
        </w:tc>
        <w:tc>
          <w:tcPr>
            <w:tcW w:w="3947" w:type="dxa"/>
            <w:tcBorders>
              <w:tl2br w:val="nil"/>
              <w:tr2bl w:val="nil"/>
            </w:tcBorders>
            <w:vAlign w:val="center"/>
          </w:tcPr>
          <w:p w14:paraId="4670B733">
            <w:pPr>
              <w:jc w:val="center"/>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1330-20-7</w:t>
            </w:r>
          </w:p>
        </w:tc>
      </w:tr>
      <w:tr w14:paraId="20AFC0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1551" w:type="dxa"/>
            <w:tcBorders>
              <w:tl2br w:val="nil"/>
              <w:tr2bl w:val="nil"/>
            </w:tcBorders>
            <w:vAlign w:val="center"/>
          </w:tcPr>
          <w:p w14:paraId="18649E0E">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分子式</w:t>
            </w:r>
          </w:p>
        </w:tc>
        <w:tc>
          <w:tcPr>
            <w:tcW w:w="1359" w:type="dxa"/>
            <w:tcBorders>
              <w:tl2br w:val="nil"/>
              <w:tr2bl w:val="nil"/>
            </w:tcBorders>
            <w:vAlign w:val="center"/>
          </w:tcPr>
          <w:p w14:paraId="53D92859">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C</w:t>
            </w:r>
            <w:r>
              <w:rPr>
                <w:rFonts w:ascii="Times New Roman" w:hAnsi="Times New Roman" w:cs="Times New Roman"/>
                <w:bCs/>
                <w:color w:val="000000" w:themeColor="text1"/>
                <w:szCs w:val="21"/>
                <w:vertAlign w:val="subscript"/>
                <w14:textFill>
                  <w14:solidFill>
                    <w14:schemeClr w14:val="tx1"/>
                  </w14:solidFill>
                </w14:textFill>
              </w:rPr>
              <w:t>8</w:t>
            </w:r>
            <w:r>
              <w:rPr>
                <w:rFonts w:ascii="Times New Roman" w:hAnsi="Times New Roman" w:cs="Times New Roman"/>
                <w:bCs/>
                <w:color w:val="000000" w:themeColor="text1"/>
                <w:szCs w:val="21"/>
                <w14:textFill>
                  <w14:solidFill>
                    <w14:schemeClr w14:val="tx1"/>
                  </w14:solidFill>
                </w14:textFill>
              </w:rPr>
              <w:t>H</w:t>
            </w:r>
            <w:r>
              <w:rPr>
                <w:rFonts w:ascii="Times New Roman" w:hAnsi="Times New Roman" w:cs="Times New Roman"/>
                <w:bCs/>
                <w:color w:val="000000" w:themeColor="text1"/>
                <w:szCs w:val="21"/>
                <w:vertAlign w:val="subscript"/>
                <w14:textFill>
                  <w14:solidFill>
                    <w14:schemeClr w14:val="tx1"/>
                  </w14:solidFill>
                </w14:textFill>
              </w:rPr>
              <w:t>10</w:t>
            </w:r>
          </w:p>
        </w:tc>
        <w:tc>
          <w:tcPr>
            <w:tcW w:w="2003" w:type="dxa"/>
            <w:tcBorders>
              <w:tl2br w:val="nil"/>
              <w:tr2bl w:val="nil"/>
            </w:tcBorders>
            <w:vAlign w:val="center"/>
          </w:tcPr>
          <w:p w14:paraId="52E841EB">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性状</w:t>
            </w:r>
          </w:p>
        </w:tc>
        <w:tc>
          <w:tcPr>
            <w:tcW w:w="3947" w:type="dxa"/>
            <w:tcBorders>
              <w:tl2br w:val="nil"/>
              <w:tr2bl w:val="nil"/>
            </w:tcBorders>
            <w:vAlign w:val="center"/>
          </w:tcPr>
          <w:p w14:paraId="42E061C3">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无色透明液体</w:t>
            </w:r>
          </w:p>
        </w:tc>
      </w:tr>
      <w:tr w14:paraId="2F1EE6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1551" w:type="dxa"/>
            <w:tcBorders>
              <w:tl2br w:val="nil"/>
              <w:tr2bl w:val="nil"/>
            </w:tcBorders>
            <w:vAlign w:val="center"/>
          </w:tcPr>
          <w:p w14:paraId="5A8FAF8D">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分子量</w:t>
            </w:r>
          </w:p>
        </w:tc>
        <w:tc>
          <w:tcPr>
            <w:tcW w:w="1359" w:type="dxa"/>
            <w:tcBorders>
              <w:tl2br w:val="nil"/>
              <w:tr2bl w:val="nil"/>
            </w:tcBorders>
            <w:vAlign w:val="center"/>
          </w:tcPr>
          <w:p w14:paraId="15E59CA7">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106.17</w:t>
            </w:r>
          </w:p>
        </w:tc>
        <w:tc>
          <w:tcPr>
            <w:tcW w:w="2003" w:type="dxa"/>
            <w:tcBorders>
              <w:tl2br w:val="nil"/>
              <w:tr2bl w:val="nil"/>
            </w:tcBorders>
            <w:vAlign w:val="center"/>
          </w:tcPr>
          <w:p w14:paraId="1A2D1D80">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溶解性</w:t>
            </w:r>
          </w:p>
        </w:tc>
        <w:tc>
          <w:tcPr>
            <w:tcW w:w="3947" w:type="dxa"/>
            <w:tcBorders>
              <w:tl2br w:val="nil"/>
              <w:tr2bl w:val="nil"/>
            </w:tcBorders>
            <w:vAlign w:val="center"/>
          </w:tcPr>
          <w:p w14:paraId="35EC4D43">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不溶于水，可混溶于乙醇、乙醚、氯仿等多数有机溶剂</w:t>
            </w:r>
          </w:p>
        </w:tc>
      </w:tr>
      <w:tr w14:paraId="627146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1551" w:type="dxa"/>
            <w:tcBorders>
              <w:tl2br w:val="nil"/>
              <w:tr2bl w:val="nil"/>
            </w:tcBorders>
            <w:vAlign w:val="center"/>
          </w:tcPr>
          <w:p w14:paraId="053FA0C5">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沸点</w:t>
            </w:r>
          </w:p>
        </w:tc>
        <w:tc>
          <w:tcPr>
            <w:tcW w:w="1359" w:type="dxa"/>
            <w:tcBorders>
              <w:tl2br w:val="nil"/>
              <w:tr2bl w:val="nil"/>
            </w:tcBorders>
            <w:vAlign w:val="center"/>
          </w:tcPr>
          <w:p w14:paraId="50F2C3FE">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144.4℃</w:t>
            </w:r>
          </w:p>
        </w:tc>
        <w:tc>
          <w:tcPr>
            <w:tcW w:w="2003" w:type="dxa"/>
            <w:tcBorders>
              <w:tl2br w:val="nil"/>
              <w:tr2bl w:val="nil"/>
            </w:tcBorders>
            <w:vAlign w:val="center"/>
          </w:tcPr>
          <w:p w14:paraId="220B41E6">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密度</w:t>
            </w:r>
          </w:p>
        </w:tc>
        <w:tc>
          <w:tcPr>
            <w:tcW w:w="3947" w:type="dxa"/>
            <w:tcBorders>
              <w:tl2br w:val="nil"/>
              <w:tr2bl w:val="nil"/>
            </w:tcBorders>
            <w:vAlign w:val="center"/>
          </w:tcPr>
          <w:p w14:paraId="01779A6B">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（g/mL，20/4℃）：3.66</w:t>
            </w:r>
          </w:p>
        </w:tc>
      </w:tr>
      <w:tr w14:paraId="284589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1551" w:type="dxa"/>
            <w:tcBorders>
              <w:tl2br w:val="nil"/>
              <w:tr2bl w:val="nil"/>
            </w:tcBorders>
            <w:vAlign w:val="center"/>
          </w:tcPr>
          <w:p w14:paraId="1EB6AF4A">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熔点</w:t>
            </w:r>
          </w:p>
        </w:tc>
        <w:tc>
          <w:tcPr>
            <w:tcW w:w="1359" w:type="dxa"/>
            <w:tcBorders>
              <w:tl2br w:val="nil"/>
              <w:tr2bl w:val="nil"/>
            </w:tcBorders>
            <w:vAlign w:val="center"/>
          </w:tcPr>
          <w:p w14:paraId="3011BB55">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129.8℃</w:t>
            </w:r>
          </w:p>
        </w:tc>
        <w:tc>
          <w:tcPr>
            <w:tcW w:w="2003" w:type="dxa"/>
            <w:tcBorders>
              <w:tl2br w:val="nil"/>
              <w:tr2bl w:val="nil"/>
            </w:tcBorders>
            <w:vAlign w:val="center"/>
          </w:tcPr>
          <w:p w14:paraId="4AD6214E">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饱和蒸气压</w:t>
            </w:r>
          </w:p>
        </w:tc>
        <w:tc>
          <w:tcPr>
            <w:tcW w:w="3947" w:type="dxa"/>
            <w:tcBorders>
              <w:tl2br w:val="nil"/>
              <w:tr2bl w:val="nil"/>
            </w:tcBorders>
            <w:vAlign w:val="center"/>
          </w:tcPr>
          <w:p w14:paraId="44E91782">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1.33KPa（32℃）</w:t>
            </w:r>
          </w:p>
        </w:tc>
      </w:tr>
      <w:tr w14:paraId="75D13E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1551" w:type="dxa"/>
            <w:tcBorders>
              <w:tl2br w:val="nil"/>
              <w:tr2bl w:val="nil"/>
            </w:tcBorders>
            <w:vAlign w:val="center"/>
          </w:tcPr>
          <w:p w14:paraId="39F8578B">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燃烧性</w:t>
            </w:r>
          </w:p>
        </w:tc>
        <w:tc>
          <w:tcPr>
            <w:tcW w:w="1359" w:type="dxa"/>
            <w:tcBorders>
              <w:tl2br w:val="nil"/>
              <w:tr2bl w:val="nil"/>
            </w:tcBorders>
            <w:vAlign w:val="center"/>
          </w:tcPr>
          <w:p w14:paraId="4AE5F698">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易燃</w:t>
            </w:r>
          </w:p>
        </w:tc>
        <w:tc>
          <w:tcPr>
            <w:tcW w:w="2003" w:type="dxa"/>
            <w:tcBorders>
              <w:tl2br w:val="nil"/>
              <w:tr2bl w:val="nil"/>
            </w:tcBorders>
            <w:vAlign w:val="center"/>
          </w:tcPr>
          <w:p w14:paraId="079DB843">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闪点</w:t>
            </w:r>
          </w:p>
        </w:tc>
        <w:tc>
          <w:tcPr>
            <w:tcW w:w="3947" w:type="dxa"/>
            <w:tcBorders>
              <w:tl2br w:val="nil"/>
              <w:tr2bl w:val="nil"/>
            </w:tcBorders>
            <w:vAlign w:val="center"/>
          </w:tcPr>
          <w:p w14:paraId="42499D1F">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25℃</w:t>
            </w:r>
          </w:p>
        </w:tc>
      </w:tr>
      <w:tr w14:paraId="3FB2DD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1551" w:type="dxa"/>
            <w:tcBorders>
              <w:tl2br w:val="nil"/>
              <w:tr2bl w:val="nil"/>
            </w:tcBorders>
            <w:vAlign w:val="center"/>
          </w:tcPr>
          <w:p w14:paraId="65E93E65">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自燃温度</w:t>
            </w:r>
          </w:p>
        </w:tc>
        <w:tc>
          <w:tcPr>
            <w:tcW w:w="1359" w:type="dxa"/>
            <w:tcBorders>
              <w:tl2br w:val="nil"/>
              <w:tr2bl w:val="nil"/>
            </w:tcBorders>
            <w:vAlign w:val="center"/>
          </w:tcPr>
          <w:p w14:paraId="27421DFE">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463℃</w:t>
            </w:r>
          </w:p>
        </w:tc>
        <w:tc>
          <w:tcPr>
            <w:tcW w:w="2003" w:type="dxa"/>
            <w:tcBorders>
              <w:tl2br w:val="nil"/>
              <w:tr2bl w:val="nil"/>
            </w:tcBorders>
            <w:vAlign w:val="center"/>
          </w:tcPr>
          <w:p w14:paraId="49D8953A">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爆炸极限</w:t>
            </w:r>
          </w:p>
        </w:tc>
        <w:tc>
          <w:tcPr>
            <w:tcW w:w="3947" w:type="dxa"/>
            <w:tcBorders>
              <w:tl2br w:val="nil"/>
              <w:tr2bl w:val="nil"/>
            </w:tcBorders>
            <w:vAlign w:val="center"/>
          </w:tcPr>
          <w:p w14:paraId="39A64236">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下限1.%，上限7.0%</w:t>
            </w:r>
          </w:p>
        </w:tc>
      </w:tr>
      <w:tr w14:paraId="728355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1551" w:type="dxa"/>
            <w:tcBorders>
              <w:tl2br w:val="nil"/>
              <w:tr2bl w:val="nil"/>
            </w:tcBorders>
            <w:vAlign w:val="center"/>
          </w:tcPr>
          <w:p w14:paraId="3EF69BCA">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毒性危害</w:t>
            </w:r>
          </w:p>
        </w:tc>
        <w:tc>
          <w:tcPr>
            <w:tcW w:w="7309" w:type="dxa"/>
            <w:gridSpan w:val="3"/>
            <w:tcBorders>
              <w:tl2br w:val="nil"/>
              <w:tr2bl w:val="nil"/>
            </w:tcBorders>
            <w:vAlign w:val="center"/>
          </w:tcPr>
          <w:p w14:paraId="28975011">
            <w:pPr>
              <w:ind w:firstLine="42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LD</w:t>
            </w:r>
            <w:r>
              <w:rPr>
                <w:rFonts w:ascii="Times New Roman" w:hAnsi="Times New Roman" w:cs="Times New Roman"/>
                <w:bCs/>
                <w:color w:val="000000" w:themeColor="text1"/>
                <w:szCs w:val="21"/>
                <w:vertAlign w:val="subscript"/>
                <w14:textFill>
                  <w14:solidFill>
                    <w14:schemeClr w14:val="tx1"/>
                  </w14:solidFill>
                </w14:textFill>
              </w:rPr>
              <w:t>50</w:t>
            </w:r>
            <w:r>
              <w:rPr>
                <w:rFonts w:ascii="Times New Roman" w:hAnsi="Times New Roman" w:cs="Times New Roman"/>
                <w:bCs/>
                <w:color w:val="000000" w:themeColor="text1"/>
                <w:szCs w:val="21"/>
                <w14:textFill>
                  <w14:solidFill>
                    <w14:schemeClr w14:val="tx1"/>
                  </w14:solidFill>
                </w14:textFill>
              </w:rPr>
              <w:t>1364mg/kg(大鼠静脉)</w:t>
            </w:r>
          </w:p>
        </w:tc>
      </w:tr>
      <w:tr w14:paraId="5191C9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1551" w:type="dxa"/>
            <w:tcBorders>
              <w:tl2br w:val="nil"/>
              <w:tr2bl w:val="nil"/>
            </w:tcBorders>
            <w:vAlign w:val="center"/>
          </w:tcPr>
          <w:p w14:paraId="2FA31CDB">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燃烧分解产物</w:t>
            </w:r>
          </w:p>
        </w:tc>
        <w:tc>
          <w:tcPr>
            <w:tcW w:w="7309" w:type="dxa"/>
            <w:gridSpan w:val="3"/>
            <w:tcBorders>
              <w:tl2br w:val="nil"/>
              <w:tr2bl w:val="nil"/>
            </w:tcBorders>
            <w:vAlign w:val="center"/>
          </w:tcPr>
          <w:p w14:paraId="0DE6CBFF">
            <w:pPr>
              <w:ind w:firstLine="42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一氧化碳、二氧化碳</w:t>
            </w:r>
          </w:p>
        </w:tc>
      </w:tr>
      <w:tr w14:paraId="3780B1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3" w:hRule="atLeast"/>
          <w:jc w:val="center"/>
        </w:trPr>
        <w:tc>
          <w:tcPr>
            <w:tcW w:w="1551" w:type="dxa"/>
            <w:tcBorders>
              <w:tl2br w:val="nil"/>
              <w:tr2bl w:val="nil"/>
            </w:tcBorders>
            <w:vAlign w:val="center"/>
          </w:tcPr>
          <w:p w14:paraId="4BB35ABF">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危险特性</w:t>
            </w:r>
          </w:p>
        </w:tc>
        <w:tc>
          <w:tcPr>
            <w:tcW w:w="7309" w:type="dxa"/>
            <w:gridSpan w:val="3"/>
            <w:tcBorders>
              <w:tl2br w:val="nil"/>
              <w:tr2bl w:val="nil"/>
            </w:tcBorders>
            <w:vAlign w:val="center"/>
          </w:tcPr>
          <w:p w14:paraId="4A70C82C">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其蒸汽与空气形成爆炸性混合物，遇明火、高热能引起燃烧爆炸。与氧化剂能发生强烈反应。其蒸汽比空气重，能在较低处扩散到相当远的地方，遇火源引着回燃。若遇高热，容器内压增大，有开裂和爆炸的危险。流速过快，容易产生和积聚静电。</w:t>
            </w:r>
          </w:p>
        </w:tc>
      </w:tr>
      <w:tr w14:paraId="2272D1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8860" w:type="dxa"/>
            <w:gridSpan w:val="4"/>
            <w:tcBorders>
              <w:tl2br w:val="nil"/>
              <w:tr2bl w:val="nil"/>
            </w:tcBorders>
            <w:vAlign w:val="center"/>
          </w:tcPr>
          <w:p w14:paraId="38925CF9">
            <w:pPr>
              <w:ind w:firstLine="42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本项目油漆及稀释剂中均含有二甲苯</w:t>
            </w:r>
          </w:p>
        </w:tc>
      </w:tr>
    </w:tbl>
    <w:p w14:paraId="60F8DCAF">
      <w:pPr>
        <w:pStyle w:val="4"/>
        <w:numPr>
          <w:ilvl w:val="2"/>
          <w:numId w:val="81"/>
        </w:numPr>
        <w:tabs>
          <w:tab w:val="clear" w:pos="0"/>
        </w:tabs>
      </w:pPr>
      <w:r>
        <w:rPr>
          <w:rFonts w:cs="Times New Roman"/>
          <w:color w:val="000000" w:themeColor="text1"/>
          <w:sz w:val="21"/>
          <w:szCs w:val="21"/>
          <w:lang w:val="zh-CN"/>
          <w14:textFill>
            <w14:solidFill>
              <w14:schemeClr w14:val="tx1"/>
            </w14:solidFill>
          </w14:textFill>
        </w:rPr>
        <w:t xml:space="preserve"> </w:t>
      </w:r>
      <w:r>
        <w:rPr>
          <w:rFonts w:hint="eastAsia"/>
        </w:rPr>
        <w:t>风险</w:t>
      </w:r>
      <w:r>
        <w:t>潜势初判</w:t>
      </w:r>
    </w:p>
    <w:p w14:paraId="5D04AB2F">
      <w:pPr>
        <w:spacing w:line="360" w:lineRule="auto"/>
        <w:ind w:firstLine="480" w:firstLineChars="200"/>
        <w:rPr>
          <w:rFonts w:ascii="Times New Roman" w:hAnsi="Times New Roman" w:cs="Times New Roman"/>
          <w:sz w:val="24"/>
        </w:rPr>
      </w:pPr>
      <w:r>
        <w:rPr>
          <w:rFonts w:ascii="Times New Roman" w:hAnsi="Times New Roman" w:cs="Times New Roman"/>
          <w:sz w:val="24"/>
        </w:rPr>
        <w:t>根据《建设项目环境风险评价技术导则》（HJ169－2018），危险物质及工艺系统危害性（P）应根据危险物质数量与临界量的比值（Q）和行业及生产工艺（M）确定。</w:t>
      </w:r>
    </w:p>
    <w:p w14:paraId="21109F90">
      <w:pPr>
        <w:spacing w:line="360" w:lineRule="auto"/>
        <w:ind w:firstLine="480" w:firstLineChars="200"/>
        <w:rPr>
          <w:rFonts w:ascii="Times New Roman" w:hAnsi="Times New Roman" w:cs="Times New Roman"/>
          <w:sz w:val="24"/>
        </w:rPr>
      </w:pPr>
      <w:r>
        <w:rPr>
          <w:rFonts w:ascii="Times New Roman" w:hAnsi="Times New Roman" w:cs="Times New Roman"/>
          <w:sz w:val="24"/>
        </w:rPr>
        <w:t>Q值根据《建设项目环境风险评价技术导则》（HJ169－2018）附录C，Q按下式进行计算：</w:t>
      </w:r>
    </w:p>
    <w:p w14:paraId="6EAE88C0">
      <w:pPr>
        <w:jc w:val="center"/>
        <w:rPr>
          <w:rFonts w:ascii="Times New Roman" w:hAnsi="Times New Roman" w:cs="Times New Roman"/>
          <w:sz w:val="24"/>
        </w:rPr>
      </w:pPr>
      <w:r>
        <w:rPr>
          <w:rFonts w:ascii="Times New Roman" w:hAnsi="Times New Roman" w:eastAsia="CambriaMath" w:cs="Times New Roman"/>
          <w:position w:val="-30"/>
          <w:sz w:val="24"/>
        </w:rPr>
        <w:object>
          <v:shape id="_x0000_i1044" o:spt="75" type="#_x0000_t75" style="height:31.6pt;width:94.75pt;" o:ole="t" filled="f" o:preferrelative="t" stroked="f" coordsize="21600,21600">
            <v:path/>
            <v:fill on="f" focussize="0,0"/>
            <v:stroke on="f" joinstyle="miter"/>
            <v:imagedata r:id="rId84" o:title=""/>
            <o:lock v:ext="edit" aspectratio="t"/>
            <w10:wrap type="none"/>
            <w10:anchorlock/>
          </v:shape>
          <o:OLEObject Type="Embed" ProgID="Equation.KSEE3" ShapeID="_x0000_i1044" DrawAspect="Content" ObjectID="_1468075744" r:id="rId83">
            <o:LockedField>false</o:LockedField>
          </o:OLEObject>
        </w:object>
      </w:r>
    </w:p>
    <w:p w14:paraId="2A3446E5">
      <w:pPr>
        <w:spacing w:line="520" w:lineRule="exact"/>
        <w:ind w:firstLine="480" w:firstLineChars="200"/>
        <w:rPr>
          <w:rFonts w:ascii="Times New Roman" w:hAnsi="Times New Roman" w:cs="Times New Roman"/>
          <w:sz w:val="24"/>
        </w:rPr>
      </w:pPr>
      <w:r>
        <w:rPr>
          <w:rFonts w:ascii="Times New Roman" w:hAnsi="Times New Roman" w:cs="Times New Roman"/>
          <w:sz w:val="24"/>
        </w:rPr>
        <w:t>式中：q1，q2……qn—每种危险物质的最大存在量，t；</w:t>
      </w:r>
    </w:p>
    <w:p w14:paraId="0EA80B42">
      <w:pPr>
        <w:spacing w:line="520" w:lineRule="exact"/>
        <w:ind w:firstLine="480" w:firstLineChars="200"/>
        <w:rPr>
          <w:rFonts w:ascii="Times New Roman" w:hAnsi="Times New Roman" w:cs="Times New Roman"/>
          <w:sz w:val="24"/>
        </w:rPr>
      </w:pPr>
      <w:r>
        <w:rPr>
          <w:rFonts w:ascii="Times New Roman" w:hAnsi="Times New Roman" w:cs="Times New Roman"/>
          <w:sz w:val="24"/>
        </w:rPr>
        <w:t>Q1，Q2…Qn—每种危险物质的临界量，t。</w:t>
      </w:r>
    </w:p>
    <w:p w14:paraId="3ACE6D1B">
      <w:pPr>
        <w:spacing w:line="520" w:lineRule="exact"/>
        <w:ind w:firstLine="480" w:firstLineChars="200"/>
        <w:rPr>
          <w:rFonts w:ascii="Times New Roman" w:hAnsi="Times New Roman" w:cs="Times New Roman"/>
          <w:sz w:val="24"/>
        </w:rPr>
      </w:pPr>
      <w:r>
        <w:rPr>
          <w:rFonts w:ascii="Times New Roman" w:hAnsi="Times New Roman" w:cs="Times New Roman"/>
          <w:sz w:val="24"/>
        </w:rPr>
        <w:t>当Q＜1时，该项目环境风险潜势为I。</w:t>
      </w:r>
    </w:p>
    <w:p w14:paraId="466E9194">
      <w:pPr>
        <w:spacing w:line="520" w:lineRule="exact"/>
        <w:ind w:firstLine="480" w:firstLineChars="200"/>
        <w:rPr>
          <w:rFonts w:ascii="Times New Roman" w:hAnsi="Times New Roman" w:cs="Times New Roman"/>
          <w:sz w:val="24"/>
        </w:rPr>
      </w:pPr>
      <w:r>
        <w:rPr>
          <w:rFonts w:ascii="Times New Roman" w:hAnsi="Times New Roman" w:cs="Times New Roman"/>
          <w:sz w:val="24"/>
        </w:rPr>
        <w:t>当Q≥1时，将Q值划分为：（1）1≤Q＜10；（2）10≤Q＜100；（3）Q≥100。</w:t>
      </w:r>
    </w:p>
    <w:p w14:paraId="07598941">
      <w:pPr>
        <w:spacing w:line="520" w:lineRule="exact"/>
        <w:ind w:firstLine="482" w:firstLineChars="200"/>
        <w:rPr>
          <w:rFonts w:ascii="Times New Roman" w:hAnsi="Times New Roman" w:cs="Times New Roman"/>
          <w:b/>
          <w:bCs/>
          <w:sz w:val="24"/>
          <w:u w:val="single"/>
        </w:rPr>
      </w:pPr>
      <w:r>
        <w:rPr>
          <w:rFonts w:ascii="Times New Roman" w:hAnsi="Times New Roman" w:cs="Times New Roman"/>
          <w:b/>
          <w:bCs/>
          <w:sz w:val="24"/>
          <w:u w:val="single"/>
        </w:rPr>
        <w:t>Q的确定见下表。</w:t>
      </w:r>
    </w:p>
    <w:p w14:paraId="53DBEC3D">
      <w:pPr>
        <w:pStyle w:val="17"/>
        <w:numPr>
          <w:ilvl w:val="0"/>
          <w:numId w:val="82"/>
        </w:numPr>
        <w:jc w:val="center"/>
        <w:rPr>
          <w:rFonts w:ascii="Times New Roman" w:hAnsi="Times New Roman" w:eastAsia="宋体" w:cs="Times New Roman"/>
          <w:b/>
          <w:bCs/>
          <w:szCs w:val="21"/>
          <w:highlight w:val="none"/>
          <w:u w:val="single"/>
        </w:rPr>
      </w:pPr>
      <w:r>
        <w:rPr>
          <w:rFonts w:ascii="Times New Roman" w:hAnsi="Times New Roman" w:eastAsia="宋体" w:cs="Times New Roman"/>
          <w:b/>
          <w:bCs/>
          <w:szCs w:val="21"/>
          <w:highlight w:val="none"/>
          <w:u w:val="single"/>
        </w:rPr>
        <w:t xml:space="preserve"> 建设项目Q值确定表</w:t>
      </w:r>
    </w:p>
    <w:tbl>
      <w:tblPr>
        <w:tblStyle w:val="30"/>
        <w:tblW w:w="83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660"/>
        <w:gridCol w:w="1593"/>
        <w:gridCol w:w="1277"/>
        <w:gridCol w:w="1799"/>
        <w:gridCol w:w="1200"/>
      </w:tblGrid>
      <w:tr w14:paraId="65139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794" w:type="dxa"/>
            <w:vAlign w:val="center"/>
          </w:tcPr>
          <w:p w14:paraId="09362A39">
            <w:pPr>
              <w:pStyle w:val="42"/>
              <w:autoSpaceDE/>
              <w:autoSpaceDN/>
              <w:rPr>
                <w:rFonts w:ascii="Times New Roman" w:hAnsi="Times New Roman" w:eastAsia="宋体" w:cs="Times New Roman"/>
                <w:b/>
                <w:bCs/>
                <w:sz w:val="21"/>
                <w:szCs w:val="21"/>
                <w:u w:val="single"/>
              </w:rPr>
            </w:pPr>
            <w:r>
              <w:rPr>
                <w:rFonts w:ascii="Times New Roman" w:hAnsi="Times New Roman" w:eastAsia="宋体" w:cs="Times New Roman"/>
                <w:b/>
                <w:bCs/>
                <w:sz w:val="21"/>
                <w:szCs w:val="21"/>
                <w:u w:val="single"/>
              </w:rPr>
              <w:t>序号</w:t>
            </w:r>
          </w:p>
        </w:tc>
        <w:tc>
          <w:tcPr>
            <w:tcW w:w="1660" w:type="dxa"/>
            <w:vAlign w:val="center"/>
          </w:tcPr>
          <w:p w14:paraId="6DCBBF3D">
            <w:pPr>
              <w:pStyle w:val="42"/>
              <w:autoSpaceDE/>
              <w:autoSpaceDN/>
              <w:rPr>
                <w:rFonts w:ascii="Times New Roman" w:hAnsi="Times New Roman" w:eastAsia="宋体" w:cs="Times New Roman"/>
                <w:b/>
                <w:bCs/>
                <w:sz w:val="21"/>
                <w:szCs w:val="21"/>
                <w:u w:val="single"/>
              </w:rPr>
            </w:pPr>
            <w:r>
              <w:rPr>
                <w:rFonts w:ascii="Times New Roman" w:hAnsi="Times New Roman" w:eastAsia="宋体" w:cs="Times New Roman"/>
                <w:b/>
                <w:bCs/>
                <w:sz w:val="21"/>
                <w:szCs w:val="21"/>
                <w:u w:val="single"/>
              </w:rPr>
              <w:t>物质名称</w:t>
            </w:r>
          </w:p>
        </w:tc>
        <w:tc>
          <w:tcPr>
            <w:tcW w:w="1593" w:type="dxa"/>
            <w:vAlign w:val="center"/>
          </w:tcPr>
          <w:p w14:paraId="28A30251">
            <w:pPr>
              <w:pStyle w:val="42"/>
              <w:autoSpaceDE/>
              <w:autoSpaceDN/>
              <w:rPr>
                <w:rFonts w:ascii="Times New Roman" w:hAnsi="Times New Roman" w:eastAsia="宋体" w:cs="Times New Roman"/>
                <w:b/>
                <w:bCs/>
                <w:sz w:val="21"/>
                <w:szCs w:val="21"/>
                <w:u w:val="single"/>
              </w:rPr>
            </w:pPr>
            <w:r>
              <w:rPr>
                <w:rFonts w:ascii="Times New Roman" w:hAnsi="Times New Roman" w:eastAsia="宋体" w:cs="Times New Roman"/>
                <w:b/>
                <w:bCs/>
                <w:sz w:val="21"/>
                <w:szCs w:val="21"/>
                <w:u w:val="single"/>
              </w:rPr>
              <w:t>CAS号</w:t>
            </w:r>
          </w:p>
        </w:tc>
        <w:tc>
          <w:tcPr>
            <w:tcW w:w="1277" w:type="dxa"/>
            <w:vAlign w:val="center"/>
          </w:tcPr>
          <w:p w14:paraId="468E2E82">
            <w:pPr>
              <w:pStyle w:val="42"/>
              <w:autoSpaceDE/>
              <w:autoSpaceDN/>
              <w:rPr>
                <w:rFonts w:ascii="Times New Roman" w:hAnsi="Times New Roman" w:eastAsia="宋体" w:cs="Times New Roman"/>
                <w:b/>
                <w:bCs/>
                <w:sz w:val="21"/>
                <w:szCs w:val="21"/>
                <w:u w:val="single"/>
              </w:rPr>
            </w:pPr>
            <w:r>
              <w:rPr>
                <w:rFonts w:ascii="Times New Roman" w:hAnsi="Times New Roman" w:eastAsia="宋体" w:cs="Times New Roman"/>
                <w:b/>
                <w:bCs/>
                <w:sz w:val="21"/>
                <w:szCs w:val="21"/>
                <w:u w:val="single"/>
              </w:rPr>
              <w:t>临界量（t）</w:t>
            </w:r>
          </w:p>
        </w:tc>
        <w:tc>
          <w:tcPr>
            <w:tcW w:w="1799" w:type="dxa"/>
            <w:vAlign w:val="center"/>
          </w:tcPr>
          <w:p w14:paraId="7280A63B">
            <w:pPr>
              <w:pStyle w:val="42"/>
              <w:autoSpaceDE/>
              <w:autoSpaceDN/>
              <w:rPr>
                <w:rFonts w:ascii="Times New Roman" w:hAnsi="Times New Roman" w:eastAsia="宋体" w:cs="Times New Roman"/>
                <w:b/>
                <w:bCs/>
                <w:sz w:val="21"/>
                <w:szCs w:val="21"/>
                <w:u w:val="single"/>
              </w:rPr>
            </w:pPr>
            <w:r>
              <w:rPr>
                <w:rFonts w:ascii="Times New Roman" w:hAnsi="Times New Roman" w:eastAsia="宋体" w:cs="Times New Roman"/>
                <w:b/>
                <w:bCs/>
                <w:sz w:val="21"/>
                <w:szCs w:val="21"/>
                <w:u w:val="single"/>
              </w:rPr>
              <w:t>最大存在</w:t>
            </w:r>
            <w:r>
              <w:rPr>
                <w:rFonts w:ascii="Times New Roman" w:hAnsi="Times New Roman" w:eastAsia="宋体" w:cs="Times New Roman"/>
                <w:b/>
                <w:bCs/>
                <w:spacing w:val="-1"/>
                <w:sz w:val="21"/>
                <w:szCs w:val="21"/>
                <w:u w:val="single"/>
              </w:rPr>
              <w:t>量*（t）</w:t>
            </w:r>
          </w:p>
        </w:tc>
        <w:tc>
          <w:tcPr>
            <w:tcW w:w="1200" w:type="dxa"/>
            <w:vAlign w:val="center"/>
          </w:tcPr>
          <w:p w14:paraId="4F43E026">
            <w:pPr>
              <w:pStyle w:val="42"/>
              <w:autoSpaceDE/>
              <w:autoSpaceDN/>
              <w:rPr>
                <w:rFonts w:ascii="Times New Roman" w:hAnsi="Times New Roman" w:eastAsia="宋体" w:cs="Times New Roman"/>
                <w:b/>
                <w:bCs/>
                <w:sz w:val="21"/>
                <w:szCs w:val="21"/>
                <w:u w:val="single"/>
              </w:rPr>
            </w:pPr>
            <w:r>
              <w:rPr>
                <w:rFonts w:ascii="Times New Roman" w:hAnsi="Times New Roman" w:cs="Times New Roman"/>
                <w:b/>
                <w:bCs/>
                <w:sz w:val="21"/>
                <w:szCs w:val="21"/>
                <w:u w:val="single"/>
              </w:rPr>
              <w:t>Q</w:t>
            </w:r>
          </w:p>
        </w:tc>
      </w:tr>
      <w:tr w14:paraId="5FC6C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 w:hRule="atLeast"/>
        </w:trPr>
        <w:tc>
          <w:tcPr>
            <w:tcW w:w="794" w:type="dxa"/>
            <w:vAlign w:val="center"/>
          </w:tcPr>
          <w:p w14:paraId="2BC006EB">
            <w:pPr>
              <w:pStyle w:val="42"/>
              <w:autoSpaceDE/>
              <w:autoSpaceDN/>
              <w:rPr>
                <w:rFonts w:ascii="Times New Roman" w:hAnsi="Times New Roman" w:eastAsia="宋体" w:cs="Times New Roman"/>
                <w:b/>
                <w:bCs/>
                <w:sz w:val="21"/>
                <w:szCs w:val="21"/>
                <w:u w:val="single"/>
              </w:rPr>
            </w:pPr>
            <w:r>
              <w:rPr>
                <w:rFonts w:ascii="Times New Roman" w:hAnsi="Times New Roman" w:eastAsia="宋体" w:cs="Times New Roman"/>
                <w:b/>
                <w:bCs/>
                <w:sz w:val="21"/>
                <w:szCs w:val="21"/>
                <w:u w:val="single"/>
              </w:rPr>
              <w:t>1</w:t>
            </w:r>
          </w:p>
        </w:tc>
        <w:tc>
          <w:tcPr>
            <w:tcW w:w="1660" w:type="dxa"/>
            <w:vAlign w:val="center"/>
          </w:tcPr>
          <w:p w14:paraId="6C6CCB61">
            <w:pPr>
              <w:snapToGrid w:val="0"/>
              <w:jc w:val="center"/>
              <w:rPr>
                <w:rFonts w:ascii="Times New Roman" w:hAnsi="Times New Roman" w:eastAsia="宋体" w:cs="Times New Roman"/>
                <w:b/>
                <w:bCs/>
                <w:szCs w:val="21"/>
                <w:u w:val="single"/>
              </w:rPr>
            </w:pPr>
            <w:r>
              <w:rPr>
                <w:rFonts w:ascii="Times New Roman" w:hAnsi="Times New Roman" w:cs="Times New Roman"/>
                <w:b/>
                <w:bCs/>
                <w:szCs w:val="21"/>
                <w:u w:val="single"/>
              </w:rPr>
              <w:t>甲苯</w:t>
            </w:r>
          </w:p>
        </w:tc>
        <w:tc>
          <w:tcPr>
            <w:tcW w:w="1593" w:type="dxa"/>
            <w:vAlign w:val="center"/>
          </w:tcPr>
          <w:p w14:paraId="60883CC6">
            <w:pPr>
              <w:snapToGrid w:val="0"/>
              <w:jc w:val="center"/>
              <w:rPr>
                <w:rFonts w:ascii="Times New Roman" w:hAnsi="Times New Roman" w:eastAsia="宋体" w:cs="Times New Roman"/>
                <w:b/>
                <w:bCs/>
                <w:szCs w:val="21"/>
                <w:u w:val="single"/>
              </w:rPr>
            </w:pPr>
            <w:r>
              <w:rPr>
                <w:rFonts w:ascii="Times New Roman" w:hAnsi="Times New Roman" w:cs="Times New Roman"/>
                <w:b/>
                <w:bCs/>
                <w:szCs w:val="21"/>
                <w:u w:val="single"/>
              </w:rPr>
              <w:t>108-88-3</w:t>
            </w:r>
          </w:p>
        </w:tc>
        <w:tc>
          <w:tcPr>
            <w:tcW w:w="1277" w:type="dxa"/>
            <w:vAlign w:val="center"/>
          </w:tcPr>
          <w:p w14:paraId="2AFFEDED">
            <w:pPr>
              <w:snapToGrid w:val="0"/>
              <w:jc w:val="center"/>
              <w:rPr>
                <w:rFonts w:ascii="Times New Roman" w:hAnsi="Times New Roman" w:eastAsia="宋体" w:cs="Times New Roman"/>
                <w:b/>
                <w:bCs/>
                <w:szCs w:val="21"/>
                <w:u w:val="single"/>
              </w:rPr>
            </w:pPr>
            <w:r>
              <w:rPr>
                <w:rFonts w:ascii="Times New Roman" w:hAnsi="Times New Roman" w:cs="Times New Roman"/>
                <w:b/>
                <w:bCs/>
                <w:szCs w:val="21"/>
                <w:u w:val="single"/>
              </w:rPr>
              <w:t>10</w:t>
            </w:r>
          </w:p>
        </w:tc>
        <w:tc>
          <w:tcPr>
            <w:tcW w:w="1799" w:type="dxa"/>
            <w:vAlign w:val="center"/>
          </w:tcPr>
          <w:p w14:paraId="6E2F3F90">
            <w:pPr>
              <w:pStyle w:val="42"/>
              <w:autoSpaceDE/>
              <w:autoSpaceDN/>
              <w:rPr>
                <w:rFonts w:hint="default"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0.158</w:t>
            </w:r>
          </w:p>
        </w:tc>
        <w:tc>
          <w:tcPr>
            <w:tcW w:w="1200" w:type="dxa"/>
            <w:vAlign w:val="center"/>
          </w:tcPr>
          <w:p w14:paraId="3003E939">
            <w:pPr>
              <w:pStyle w:val="42"/>
              <w:autoSpaceDE/>
              <w:autoSpaceDN/>
              <w:rPr>
                <w:rFonts w:hint="default"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rPr>
              <w:t>0.0</w:t>
            </w:r>
            <w:r>
              <w:rPr>
                <w:rFonts w:hint="eastAsia" w:ascii="Times New Roman" w:hAnsi="Times New Roman" w:eastAsia="宋体" w:cs="Times New Roman"/>
                <w:b/>
                <w:bCs/>
                <w:sz w:val="21"/>
                <w:szCs w:val="21"/>
                <w:u w:val="single"/>
                <w:lang w:val="en-US" w:eastAsia="zh-CN"/>
              </w:rPr>
              <w:t>158</w:t>
            </w:r>
          </w:p>
        </w:tc>
      </w:tr>
      <w:tr w14:paraId="36B4E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94" w:type="dxa"/>
            <w:vAlign w:val="center"/>
          </w:tcPr>
          <w:p w14:paraId="71040045">
            <w:pPr>
              <w:pStyle w:val="42"/>
              <w:autoSpaceDE/>
              <w:autoSpaceDN/>
              <w:rPr>
                <w:rFonts w:ascii="Times New Roman" w:hAnsi="Times New Roman" w:eastAsia="宋体" w:cs="Times New Roman"/>
                <w:b/>
                <w:bCs/>
                <w:sz w:val="21"/>
                <w:szCs w:val="21"/>
                <w:u w:val="single"/>
              </w:rPr>
            </w:pPr>
            <w:r>
              <w:rPr>
                <w:rFonts w:hint="eastAsia" w:ascii="Times New Roman" w:hAnsi="Times New Roman" w:eastAsia="宋体" w:cs="Times New Roman"/>
                <w:b/>
                <w:bCs/>
                <w:sz w:val="21"/>
                <w:szCs w:val="21"/>
                <w:u w:val="single"/>
              </w:rPr>
              <w:t>2</w:t>
            </w:r>
          </w:p>
        </w:tc>
        <w:tc>
          <w:tcPr>
            <w:tcW w:w="1660" w:type="dxa"/>
            <w:vAlign w:val="center"/>
          </w:tcPr>
          <w:p w14:paraId="73E78786">
            <w:pPr>
              <w:snapToGrid w:val="0"/>
              <w:jc w:val="center"/>
              <w:rPr>
                <w:rFonts w:ascii="Times New Roman" w:hAnsi="Times New Roman" w:eastAsia="宋体" w:cs="Times New Roman"/>
                <w:b/>
                <w:bCs/>
                <w:szCs w:val="21"/>
                <w:u w:val="single"/>
              </w:rPr>
            </w:pPr>
            <w:r>
              <w:rPr>
                <w:rFonts w:ascii="Times New Roman" w:hAnsi="Times New Roman" w:cs="Times New Roman"/>
                <w:b/>
                <w:bCs/>
                <w:szCs w:val="21"/>
                <w:u w:val="single"/>
              </w:rPr>
              <w:t>二甲苯</w:t>
            </w:r>
          </w:p>
        </w:tc>
        <w:tc>
          <w:tcPr>
            <w:tcW w:w="1593" w:type="dxa"/>
            <w:vAlign w:val="center"/>
          </w:tcPr>
          <w:p w14:paraId="39C6EB6A">
            <w:pPr>
              <w:snapToGrid w:val="0"/>
              <w:jc w:val="center"/>
              <w:rPr>
                <w:rFonts w:ascii="Times New Roman" w:hAnsi="Times New Roman" w:eastAsia="宋体" w:cs="Times New Roman"/>
                <w:b/>
                <w:bCs/>
                <w:szCs w:val="21"/>
                <w:u w:val="single"/>
              </w:rPr>
            </w:pPr>
            <w:r>
              <w:rPr>
                <w:rFonts w:ascii="Times New Roman" w:hAnsi="Times New Roman" w:cs="Times New Roman"/>
                <w:b/>
                <w:bCs/>
                <w:szCs w:val="21"/>
                <w:u w:val="single"/>
              </w:rPr>
              <w:t>1330-20-7</w:t>
            </w:r>
          </w:p>
        </w:tc>
        <w:tc>
          <w:tcPr>
            <w:tcW w:w="1277" w:type="dxa"/>
            <w:vAlign w:val="center"/>
          </w:tcPr>
          <w:p w14:paraId="67CA0179">
            <w:pPr>
              <w:snapToGrid w:val="0"/>
              <w:jc w:val="center"/>
              <w:rPr>
                <w:rFonts w:ascii="Times New Roman" w:hAnsi="Times New Roman" w:eastAsia="宋体" w:cs="Times New Roman"/>
                <w:b/>
                <w:bCs/>
                <w:szCs w:val="21"/>
                <w:u w:val="single"/>
              </w:rPr>
            </w:pPr>
            <w:r>
              <w:rPr>
                <w:rFonts w:ascii="Times New Roman" w:hAnsi="Times New Roman" w:cs="Times New Roman"/>
                <w:b/>
                <w:bCs/>
                <w:szCs w:val="21"/>
                <w:u w:val="single"/>
              </w:rPr>
              <w:t>10</w:t>
            </w:r>
          </w:p>
        </w:tc>
        <w:tc>
          <w:tcPr>
            <w:tcW w:w="1799" w:type="dxa"/>
            <w:vAlign w:val="center"/>
          </w:tcPr>
          <w:p w14:paraId="4213ED3F">
            <w:pPr>
              <w:pStyle w:val="42"/>
              <w:autoSpaceDE/>
              <w:autoSpaceDN/>
              <w:rPr>
                <w:rFonts w:hint="default"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rPr>
              <w:t>0.</w:t>
            </w:r>
            <w:r>
              <w:rPr>
                <w:rFonts w:hint="eastAsia" w:ascii="Times New Roman" w:hAnsi="Times New Roman" w:eastAsia="宋体" w:cs="Times New Roman"/>
                <w:b/>
                <w:bCs/>
                <w:sz w:val="21"/>
                <w:szCs w:val="21"/>
                <w:u w:val="single"/>
                <w:lang w:val="en-US" w:eastAsia="zh-CN"/>
              </w:rPr>
              <w:t>322</w:t>
            </w:r>
          </w:p>
        </w:tc>
        <w:tc>
          <w:tcPr>
            <w:tcW w:w="1200" w:type="dxa"/>
            <w:vAlign w:val="center"/>
          </w:tcPr>
          <w:p w14:paraId="2513DC43">
            <w:pPr>
              <w:pStyle w:val="42"/>
              <w:autoSpaceDE/>
              <w:autoSpaceDN/>
              <w:rPr>
                <w:rFonts w:hint="default"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rPr>
              <w:t>0.0</w:t>
            </w:r>
            <w:r>
              <w:rPr>
                <w:rFonts w:hint="eastAsia" w:ascii="Times New Roman" w:hAnsi="Times New Roman" w:eastAsia="宋体" w:cs="Times New Roman"/>
                <w:b/>
                <w:bCs/>
                <w:sz w:val="21"/>
                <w:szCs w:val="21"/>
                <w:u w:val="single"/>
                <w:lang w:val="en-US" w:eastAsia="zh-CN"/>
              </w:rPr>
              <w:t>322</w:t>
            </w:r>
          </w:p>
        </w:tc>
      </w:tr>
      <w:tr w14:paraId="0BDC7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794" w:type="dxa"/>
            <w:tcBorders>
              <w:top w:val="single" w:color="auto" w:sz="4" w:space="0"/>
              <w:bottom w:val="single" w:color="auto" w:sz="4" w:space="0"/>
            </w:tcBorders>
            <w:vAlign w:val="center"/>
          </w:tcPr>
          <w:p w14:paraId="7BC8A008">
            <w:pPr>
              <w:pStyle w:val="42"/>
              <w:autoSpaceDE/>
              <w:autoSpaceDN/>
              <w:rPr>
                <w:rFonts w:ascii="Times New Roman" w:hAnsi="Times New Roman" w:eastAsia="宋体" w:cs="Times New Roman"/>
                <w:b/>
                <w:bCs/>
                <w:sz w:val="21"/>
                <w:szCs w:val="21"/>
                <w:u w:val="single"/>
              </w:rPr>
            </w:pPr>
            <w:r>
              <w:rPr>
                <w:rFonts w:hint="eastAsia" w:ascii="Times New Roman" w:hAnsi="Times New Roman" w:eastAsia="宋体" w:cs="Times New Roman"/>
                <w:b/>
                <w:bCs/>
                <w:sz w:val="21"/>
                <w:szCs w:val="21"/>
                <w:u w:val="single"/>
              </w:rPr>
              <w:t>3</w:t>
            </w:r>
          </w:p>
        </w:tc>
        <w:tc>
          <w:tcPr>
            <w:tcW w:w="1660" w:type="dxa"/>
            <w:tcBorders>
              <w:top w:val="single" w:color="auto" w:sz="4" w:space="0"/>
              <w:bottom w:val="single" w:color="auto" w:sz="4" w:space="0"/>
            </w:tcBorders>
            <w:vAlign w:val="center"/>
          </w:tcPr>
          <w:p w14:paraId="1CD9F597">
            <w:pPr>
              <w:snapToGrid w:val="0"/>
              <w:jc w:val="center"/>
              <w:rPr>
                <w:rFonts w:ascii="Times New Roman" w:hAnsi="Times New Roman" w:cs="Times New Roman"/>
                <w:b/>
                <w:bCs/>
                <w:szCs w:val="21"/>
                <w:u w:val="single"/>
              </w:rPr>
            </w:pPr>
            <w:r>
              <w:rPr>
                <w:rFonts w:hint="eastAsia" w:ascii="Times New Roman" w:hAnsi="Times New Roman" w:cs="Times New Roman"/>
                <w:b/>
                <w:bCs/>
                <w:szCs w:val="21"/>
                <w:u w:val="single"/>
              </w:rPr>
              <w:t>废机油</w:t>
            </w:r>
          </w:p>
        </w:tc>
        <w:tc>
          <w:tcPr>
            <w:tcW w:w="1593" w:type="dxa"/>
            <w:tcBorders>
              <w:top w:val="single" w:color="auto" w:sz="4" w:space="0"/>
              <w:bottom w:val="single" w:color="auto" w:sz="4" w:space="0"/>
            </w:tcBorders>
            <w:vAlign w:val="center"/>
          </w:tcPr>
          <w:p w14:paraId="2C34CA43">
            <w:pPr>
              <w:snapToGrid w:val="0"/>
              <w:jc w:val="center"/>
              <w:rPr>
                <w:rFonts w:ascii="Times New Roman" w:hAnsi="Times New Roman" w:cs="Times New Roman"/>
                <w:b/>
                <w:bCs/>
                <w:szCs w:val="21"/>
                <w:u w:val="single"/>
              </w:rPr>
            </w:pPr>
            <w:r>
              <w:rPr>
                <w:rFonts w:hint="eastAsia" w:ascii="Times New Roman" w:hAnsi="Times New Roman" w:cs="Times New Roman"/>
                <w:b/>
                <w:bCs/>
                <w:szCs w:val="21"/>
                <w:u w:val="single"/>
              </w:rPr>
              <w:t>/</w:t>
            </w:r>
          </w:p>
        </w:tc>
        <w:tc>
          <w:tcPr>
            <w:tcW w:w="1277" w:type="dxa"/>
            <w:tcBorders>
              <w:top w:val="single" w:color="auto" w:sz="4" w:space="0"/>
              <w:bottom w:val="single" w:color="auto" w:sz="4" w:space="0"/>
            </w:tcBorders>
            <w:vAlign w:val="center"/>
          </w:tcPr>
          <w:p w14:paraId="286416EE">
            <w:pPr>
              <w:snapToGrid w:val="0"/>
              <w:jc w:val="center"/>
              <w:rPr>
                <w:rFonts w:ascii="Times New Roman" w:hAnsi="Times New Roman" w:cs="Times New Roman"/>
                <w:b/>
                <w:bCs/>
                <w:szCs w:val="21"/>
                <w:u w:val="single"/>
              </w:rPr>
            </w:pPr>
            <w:r>
              <w:rPr>
                <w:rFonts w:hint="eastAsia" w:ascii="Times New Roman" w:hAnsi="Times New Roman" w:cs="Times New Roman"/>
                <w:b/>
                <w:bCs/>
                <w:szCs w:val="21"/>
                <w:u w:val="single"/>
              </w:rPr>
              <w:t>2500</w:t>
            </w:r>
          </w:p>
        </w:tc>
        <w:tc>
          <w:tcPr>
            <w:tcW w:w="1799" w:type="dxa"/>
            <w:tcBorders>
              <w:top w:val="single" w:color="auto" w:sz="4" w:space="0"/>
              <w:bottom w:val="single" w:color="auto" w:sz="4" w:space="0"/>
            </w:tcBorders>
            <w:vAlign w:val="center"/>
          </w:tcPr>
          <w:p w14:paraId="406EE5B7">
            <w:pPr>
              <w:pStyle w:val="42"/>
              <w:autoSpaceDE/>
              <w:autoSpaceDN/>
              <w:rPr>
                <w:rFonts w:ascii="Times New Roman" w:hAnsi="Times New Roman" w:eastAsia="宋体" w:cs="Times New Roman"/>
                <w:b/>
                <w:bCs/>
                <w:sz w:val="21"/>
                <w:szCs w:val="21"/>
                <w:u w:val="single"/>
              </w:rPr>
            </w:pPr>
            <w:r>
              <w:rPr>
                <w:rFonts w:hint="eastAsia" w:ascii="Times New Roman" w:hAnsi="Times New Roman" w:cs="Times New Roman"/>
                <w:b/>
                <w:bCs/>
                <w:sz w:val="21"/>
                <w:szCs w:val="21"/>
                <w:u w:val="single"/>
              </w:rPr>
              <w:t>0.1</w:t>
            </w:r>
          </w:p>
        </w:tc>
        <w:tc>
          <w:tcPr>
            <w:tcW w:w="1200" w:type="dxa"/>
            <w:tcBorders>
              <w:top w:val="single" w:color="auto" w:sz="4" w:space="0"/>
              <w:bottom w:val="single" w:color="auto" w:sz="4" w:space="0"/>
            </w:tcBorders>
            <w:vAlign w:val="center"/>
          </w:tcPr>
          <w:p w14:paraId="7EC71177">
            <w:pPr>
              <w:pStyle w:val="42"/>
              <w:autoSpaceDE/>
              <w:autoSpaceDN/>
              <w:rPr>
                <w:rFonts w:ascii="Times New Roman" w:hAnsi="Times New Roman" w:eastAsia="宋体" w:cs="Times New Roman"/>
                <w:b/>
                <w:bCs/>
                <w:sz w:val="21"/>
                <w:szCs w:val="21"/>
                <w:u w:val="single"/>
              </w:rPr>
            </w:pPr>
            <w:r>
              <w:rPr>
                <w:rFonts w:hint="eastAsia" w:ascii="Times New Roman" w:hAnsi="Times New Roman" w:eastAsia="宋体" w:cs="Times New Roman"/>
                <w:b/>
                <w:bCs/>
                <w:sz w:val="21"/>
                <w:szCs w:val="21"/>
                <w:u w:val="single"/>
              </w:rPr>
              <w:t>0.00004</w:t>
            </w:r>
          </w:p>
        </w:tc>
      </w:tr>
      <w:tr w14:paraId="6B4A0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 w:hRule="atLeast"/>
        </w:trPr>
        <w:tc>
          <w:tcPr>
            <w:tcW w:w="794" w:type="dxa"/>
            <w:tcBorders>
              <w:top w:val="single" w:color="auto" w:sz="4" w:space="0"/>
              <w:bottom w:val="single" w:color="auto" w:sz="4" w:space="0"/>
            </w:tcBorders>
            <w:vAlign w:val="center"/>
          </w:tcPr>
          <w:p w14:paraId="5DE900D2">
            <w:pPr>
              <w:pStyle w:val="42"/>
              <w:autoSpaceDE/>
              <w:autoSpaceDN/>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4</w:t>
            </w:r>
          </w:p>
        </w:tc>
        <w:tc>
          <w:tcPr>
            <w:tcW w:w="1660" w:type="dxa"/>
            <w:tcBorders>
              <w:top w:val="single" w:color="auto" w:sz="4" w:space="0"/>
              <w:bottom w:val="single" w:color="auto" w:sz="4" w:space="0"/>
            </w:tcBorders>
            <w:vAlign w:val="center"/>
          </w:tcPr>
          <w:p w14:paraId="5FF2D984">
            <w:pPr>
              <w:snapToGrid w:val="0"/>
              <w:jc w:val="center"/>
              <w:rPr>
                <w:rFonts w:hint="eastAsia" w:ascii="Times New Roman" w:hAnsi="Times New Roman" w:cs="Times New Roman"/>
                <w:b/>
                <w:bCs/>
                <w:color w:val="auto"/>
                <w:szCs w:val="21"/>
                <w:u w:val="single"/>
              </w:rPr>
            </w:pPr>
            <w:r>
              <w:rPr>
                <w:rFonts w:hint="default" w:ascii="Times New Roman" w:hAnsi="Times New Roman" w:eastAsia="宋体" w:cs="Times New Roman"/>
                <w:b/>
                <w:bCs/>
                <w:color w:val="auto"/>
                <w:szCs w:val="21"/>
                <w:highlight w:val="none"/>
                <w:u w:val="single"/>
                <w:lang w:eastAsia="zh-CN"/>
              </w:rPr>
              <w:t>苯</w:t>
            </w:r>
          </w:p>
        </w:tc>
        <w:tc>
          <w:tcPr>
            <w:tcW w:w="1593" w:type="dxa"/>
            <w:tcBorders>
              <w:top w:val="single" w:color="auto" w:sz="4" w:space="0"/>
              <w:bottom w:val="single" w:color="auto" w:sz="4" w:space="0"/>
            </w:tcBorders>
            <w:vAlign w:val="center"/>
          </w:tcPr>
          <w:p w14:paraId="1593F19B">
            <w:pPr>
              <w:snapToGrid w:val="0"/>
              <w:jc w:val="center"/>
              <w:rPr>
                <w:rFonts w:hint="eastAsia" w:ascii="Times New Roman" w:hAnsi="Times New Roman" w:cs="Times New Roman"/>
                <w:b/>
                <w:bCs/>
                <w:color w:val="auto"/>
                <w:szCs w:val="21"/>
                <w:u w:val="single"/>
              </w:rPr>
            </w:pPr>
            <w:r>
              <w:rPr>
                <w:rFonts w:hint="default" w:ascii="Times New Roman" w:hAnsi="Times New Roman" w:cs="Times New Roman"/>
                <w:b/>
                <w:bCs/>
                <w:color w:val="auto"/>
                <w:szCs w:val="21"/>
                <w:u w:val="single"/>
              </w:rPr>
              <w:t>108-88-3</w:t>
            </w:r>
          </w:p>
        </w:tc>
        <w:tc>
          <w:tcPr>
            <w:tcW w:w="1277" w:type="dxa"/>
            <w:tcBorders>
              <w:top w:val="single" w:color="auto" w:sz="4" w:space="0"/>
              <w:bottom w:val="single" w:color="auto" w:sz="4" w:space="0"/>
            </w:tcBorders>
            <w:vAlign w:val="center"/>
          </w:tcPr>
          <w:p w14:paraId="4A74B91D">
            <w:pPr>
              <w:snapToGrid w:val="0"/>
              <w:jc w:val="center"/>
              <w:rPr>
                <w:rFonts w:hint="eastAsia" w:ascii="Times New Roman" w:hAnsi="Times New Roman" w:cs="Times New Roman"/>
                <w:b/>
                <w:bCs/>
                <w:color w:val="auto"/>
                <w:szCs w:val="21"/>
                <w:u w:val="single"/>
              </w:rPr>
            </w:pPr>
            <w:r>
              <w:rPr>
                <w:rFonts w:hint="default" w:ascii="Times New Roman" w:hAnsi="Times New Roman" w:eastAsia="宋体" w:cs="Times New Roman"/>
                <w:b/>
                <w:bCs/>
                <w:color w:val="auto"/>
                <w:szCs w:val="21"/>
                <w:highlight w:val="none"/>
                <w:u w:val="single"/>
                <w:lang w:val="en-US" w:eastAsia="zh-CN"/>
              </w:rPr>
              <w:t>10</w:t>
            </w:r>
          </w:p>
        </w:tc>
        <w:tc>
          <w:tcPr>
            <w:tcW w:w="1799" w:type="dxa"/>
            <w:tcBorders>
              <w:top w:val="single" w:color="auto" w:sz="4" w:space="0"/>
              <w:bottom w:val="single" w:color="auto" w:sz="4" w:space="0"/>
            </w:tcBorders>
            <w:vAlign w:val="center"/>
          </w:tcPr>
          <w:p w14:paraId="345216C8">
            <w:pPr>
              <w:pStyle w:val="42"/>
              <w:autoSpaceDE/>
              <w:autoSpaceDN/>
              <w:rPr>
                <w:rFonts w:hint="default" w:ascii="Times New Roman" w:hAnsi="Times New Roman" w:cs="Times New Roman"/>
                <w:b/>
                <w:bCs/>
                <w:color w:val="auto"/>
                <w:sz w:val="21"/>
                <w:szCs w:val="21"/>
                <w:u w:val="single"/>
                <w:lang w:val="en-US"/>
              </w:rPr>
            </w:pPr>
            <w:r>
              <w:rPr>
                <w:rFonts w:hint="default" w:ascii="Times New Roman" w:hAnsi="Times New Roman" w:eastAsia="宋体" w:cs="Times New Roman"/>
                <w:b/>
                <w:bCs/>
                <w:color w:val="auto"/>
                <w:sz w:val="21"/>
                <w:szCs w:val="21"/>
                <w:highlight w:val="none"/>
                <w:u w:val="single"/>
                <w:lang w:val="en-US" w:eastAsia="zh-CN"/>
              </w:rPr>
              <w:t>0.0</w:t>
            </w:r>
            <w:r>
              <w:rPr>
                <w:rFonts w:hint="eastAsia" w:ascii="Times New Roman" w:hAnsi="Times New Roman" w:eastAsia="宋体" w:cs="Times New Roman"/>
                <w:b/>
                <w:bCs/>
                <w:color w:val="auto"/>
                <w:sz w:val="21"/>
                <w:szCs w:val="21"/>
                <w:highlight w:val="none"/>
                <w:u w:val="single"/>
                <w:lang w:val="en-US" w:eastAsia="zh-CN"/>
              </w:rPr>
              <w:t>06</w:t>
            </w:r>
          </w:p>
        </w:tc>
        <w:tc>
          <w:tcPr>
            <w:tcW w:w="1200" w:type="dxa"/>
            <w:tcBorders>
              <w:top w:val="single" w:color="auto" w:sz="4" w:space="0"/>
              <w:bottom w:val="single" w:color="auto" w:sz="4" w:space="0"/>
            </w:tcBorders>
            <w:vAlign w:val="center"/>
          </w:tcPr>
          <w:p w14:paraId="25CA9E19">
            <w:pPr>
              <w:pStyle w:val="42"/>
              <w:autoSpaceDE/>
              <w:autoSpaceDN/>
              <w:rPr>
                <w:rFonts w:hint="default" w:ascii="Times New Roman" w:hAnsi="Times New Roman" w:eastAsia="宋体" w:cs="Times New Roman"/>
                <w:b/>
                <w:bCs/>
                <w:color w:val="auto"/>
                <w:sz w:val="21"/>
                <w:szCs w:val="21"/>
                <w:u w:val="single"/>
                <w:lang w:val="en-US"/>
              </w:rPr>
            </w:pPr>
            <w:r>
              <w:rPr>
                <w:rFonts w:hint="default" w:ascii="Times New Roman" w:hAnsi="Times New Roman" w:eastAsia="宋体" w:cs="Times New Roman"/>
                <w:b/>
                <w:bCs/>
                <w:color w:val="auto"/>
                <w:sz w:val="21"/>
                <w:szCs w:val="21"/>
                <w:highlight w:val="none"/>
                <w:u w:val="single"/>
                <w:lang w:val="en-US" w:eastAsia="zh-CN"/>
              </w:rPr>
              <w:t>0.00</w:t>
            </w:r>
            <w:r>
              <w:rPr>
                <w:rFonts w:hint="eastAsia" w:ascii="Times New Roman" w:hAnsi="Times New Roman" w:eastAsia="宋体" w:cs="Times New Roman"/>
                <w:b/>
                <w:bCs/>
                <w:color w:val="auto"/>
                <w:sz w:val="21"/>
                <w:szCs w:val="21"/>
                <w:highlight w:val="none"/>
                <w:u w:val="single"/>
                <w:lang w:val="en-US" w:eastAsia="zh-CN"/>
              </w:rPr>
              <w:t>06</w:t>
            </w:r>
          </w:p>
        </w:tc>
      </w:tr>
      <w:tr w14:paraId="71C0B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 w:hRule="atLeast"/>
        </w:trPr>
        <w:tc>
          <w:tcPr>
            <w:tcW w:w="794" w:type="dxa"/>
            <w:tcBorders>
              <w:top w:val="single" w:color="auto" w:sz="4" w:space="0"/>
              <w:bottom w:val="single" w:color="auto" w:sz="4" w:space="0"/>
            </w:tcBorders>
            <w:vAlign w:val="center"/>
          </w:tcPr>
          <w:p w14:paraId="4644C457">
            <w:pPr>
              <w:pStyle w:val="42"/>
              <w:autoSpaceDE/>
              <w:autoSpaceDN/>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5</w:t>
            </w:r>
          </w:p>
        </w:tc>
        <w:tc>
          <w:tcPr>
            <w:tcW w:w="1660" w:type="dxa"/>
            <w:tcBorders>
              <w:top w:val="single" w:color="auto" w:sz="4" w:space="0"/>
              <w:bottom w:val="single" w:color="auto" w:sz="4" w:space="0"/>
            </w:tcBorders>
            <w:vAlign w:val="center"/>
          </w:tcPr>
          <w:p w14:paraId="0429C013">
            <w:pPr>
              <w:snapToGrid w:val="0"/>
              <w:jc w:val="center"/>
              <w:rPr>
                <w:rFonts w:hint="eastAsia"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硫酸</w:t>
            </w:r>
          </w:p>
        </w:tc>
        <w:tc>
          <w:tcPr>
            <w:tcW w:w="1593" w:type="dxa"/>
            <w:tcBorders>
              <w:top w:val="single" w:color="auto" w:sz="4" w:space="0"/>
              <w:bottom w:val="single" w:color="auto" w:sz="4" w:space="0"/>
            </w:tcBorders>
            <w:vAlign w:val="center"/>
          </w:tcPr>
          <w:p w14:paraId="6E9AF3CE">
            <w:pPr>
              <w:snapToGrid w:val="0"/>
              <w:jc w:val="center"/>
              <w:rPr>
                <w:rFonts w:hint="default"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7664-93-9</w:t>
            </w:r>
          </w:p>
        </w:tc>
        <w:tc>
          <w:tcPr>
            <w:tcW w:w="1277" w:type="dxa"/>
            <w:tcBorders>
              <w:top w:val="single" w:color="auto" w:sz="4" w:space="0"/>
              <w:bottom w:val="single" w:color="auto" w:sz="4" w:space="0"/>
            </w:tcBorders>
            <w:vAlign w:val="center"/>
          </w:tcPr>
          <w:p w14:paraId="67F6D126">
            <w:pPr>
              <w:snapToGrid w:val="0"/>
              <w:jc w:val="center"/>
              <w:rPr>
                <w:rFonts w:hint="default"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10</w:t>
            </w:r>
          </w:p>
        </w:tc>
        <w:tc>
          <w:tcPr>
            <w:tcW w:w="1799" w:type="dxa"/>
            <w:tcBorders>
              <w:top w:val="single" w:color="auto" w:sz="4" w:space="0"/>
              <w:bottom w:val="single" w:color="auto" w:sz="4" w:space="0"/>
            </w:tcBorders>
            <w:vAlign w:val="center"/>
          </w:tcPr>
          <w:p w14:paraId="638AEC9F">
            <w:pPr>
              <w:pStyle w:val="42"/>
              <w:autoSpaceDE/>
              <w:autoSpaceDN/>
              <w:rPr>
                <w:rFonts w:hint="default"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0.1</w:t>
            </w:r>
          </w:p>
        </w:tc>
        <w:tc>
          <w:tcPr>
            <w:tcW w:w="1200" w:type="dxa"/>
            <w:tcBorders>
              <w:top w:val="single" w:color="auto" w:sz="4" w:space="0"/>
              <w:bottom w:val="single" w:color="auto" w:sz="4" w:space="0"/>
            </w:tcBorders>
            <w:vAlign w:val="center"/>
          </w:tcPr>
          <w:p w14:paraId="679963DC">
            <w:pPr>
              <w:pStyle w:val="42"/>
              <w:autoSpaceDE/>
              <w:autoSpaceDN/>
              <w:rPr>
                <w:rFonts w:hint="default"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0.01</w:t>
            </w:r>
          </w:p>
        </w:tc>
      </w:tr>
      <w:tr w14:paraId="35FEA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23" w:type="dxa"/>
            <w:gridSpan w:val="5"/>
            <w:vAlign w:val="center"/>
          </w:tcPr>
          <w:p w14:paraId="4825E0AC">
            <w:pPr>
              <w:pStyle w:val="42"/>
              <w:autoSpaceDE/>
              <w:autoSpaceDN/>
              <w:rPr>
                <w:rFonts w:ascii="Times New Roman" w:hAnsi="Times New Roman" w:eastAsia="宋体" w:cs="Times New Roman"/>
                <w:b/>
                <w:bCs/>
                <w:sz w:val="21"/>
                <w:szCs w:val="21"/>
                <w:u w:val="single"/>
              </w:rPr>
            </w:pPr>
            <w:r>
              <w:rPr>
                <w:rFonts w:ascii="Times New Roman" w:hAnsi="Times New Roman" w:eastAsia="宋体" w:cs="Times New Roman"/>
                <w:b/>
                <w:bCs/>
                <w:sz w:val="21"/>
                <w:szCs w:val="21"/>
                <w:u w:val="single"/>
              </w:rPr>
              <w:t>合计</w:t>
            </w:r>
          </w:p>
        </w:tc>
        <w:tc>
          <w:tcPr>
            <w:tcW w:w="1200" w:type="dxa"/>
            <w:vAlign w:val="center"/>
          </w:tcPr>
          <w:p w14:paraId="0728327D">
            <w:pPr>
              <w:pStyle w:val="42"/>
              <w:autoSpaceDE/>
              <w:autoSpaceDN/>
              <w:rPr>
                <w:rFonts w:hint="default"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rPr>
              <w:t>0.0</w:t>
            </w:r>
            <w:r>
              <w:rPr>
                <w:rFonts w:hint="eastAsia" w:ascii="Times New Roman" w:hAnsi="Times New Roman" w:eastAsia="宋体" w:cs="Times New Roman"/>
                <w:b/>
                <w:bCs/>
                <w:sz w:val="21"/>
                <w:szCs w:val="21"/>
                <w:u w:val="single"/>
                <w:lang w:val="en-US" w:eastAsia="zh-CN"/>
              </w:rPr>
              <w:t>5864</w:t>
            </w:r>
          </w:p>
        </w:tc>
      </w:tr>
      <w:tr w14:paraId="50C6B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323" w:type="dxa"/>
            <w:gridSpan w:val="6"/>
            <w:vAlign w:val="center"/>
          </w:tcPr>
          <w:p w14:paraId="68E0F661">
            <w:pPr>
              <w:pStyle w:val="42"/>
              <w:autoSpaceDE/>
              <w:autoSpaceDN/>
              <w:jc w:val="both"/>
              <w:rPr>
                <w:rFonts w:ascii="Times New Roman" w:hAnsi="Times New Roman" w:eastAsia="宋体" w:cs="Times New Roman"/>
                <w:b/>
                <w:bCs/>
                <w:sz w:val="21"/>
                <w:szCs w:val="21"/>
                <w:u w:val="single"/>
              </w:rPr>
            </w:pPr>
            <w:r>
              <w:rPr>
                <w:rFonts w:ascii="Times New Roman" w:hAnsi="Times New Roman" w:eastAsia="宋体" w:cs="Times New Roman"/>
                <w:b/>
                <w:bCs/>
                <w:sz w:val="21"/>
                <w:szCs w:val="21"/>
                <w:u w:val="single"/>
              </w:rPr>
              <w:t>*最大存在量：</w:t>
            </w:r>
            <w:r>
              <w:rPr>
                <w:rFonts w:hint="eastAsia" w:ascii="Times New Roman" w:hAnsi="Times New Roman" w:eastAsia="宋体" w:cs="Times New Roman"/>
                <w:b/>
                <w:bCs/>
                <w:sz w:val="21"/>
                <w:szCs w:val="21"/>
                <w:u w:val="single"/>
                <w:lang w:eastAsia="zh-CN"/>
              </w:rPr>
              <w:t>苯：</w:t>
            </w:r>
            <w:r>
              <w:rPr>
                <w:rFonts w:hint="eastAsia" w:ascii="Times New Roman" w:hAnsi="Times New Roman" w:eastAsia="宋体" w:cs="Times New Roman"/>
                <w:b/>
                <w:bCs/>
                <w:sz w:val="21"/>
                <w:szCs w:val="21"/>
                <w:u w:val="single"/>
                <w:lang w:val="en-US" w:eastAsia="zh-CN"/>
              </w:rPr>
              <w:t>0.01×0.2+0.02×0.2t/a=0.006t/a；甲苯：0.02×0.2+0.02×0.2+0.1×1.5t/a=0.24</w:t>
            </w:r>
            <w:r>
              <w:rPr>
                <w:rFonts w:hint="eastAsia" w:ascii="Times New Roman" w:hAnsi="Times New Roman" w:eastAsia="宋体" w:cs="Times New Roman"/>
                <w:b/>
                <w:bCs/>
                <w:sz w:val="21"/>
                <w:szCs w:val="21"/>
                <w:u w:val="single"/>
              </w:rPr>
              <w:t>t/a</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lang w:val="en-US" w:eastAsia="zh-CN"/>
              </w:rPr>
              <w:t>二甲苯：0.06×0.2+0.05×0.2+0.2×1.5t/a=0.24</w:t>
            </w:r>
            <w:r>
              <w:rPr>
                <w:rFonts w:hint="eastAsia" w:ascii="Times New Roman" w:hAnsi="Times New Roman" w:eastAsia="宋体" w:cs="Times New Roman"/>
                <w:b/>
                <w:bCs/>
                <w:sz w:val="21"/>
                <w:szCs w:val="21"/>
                <w:u w:val="single"/>
              </w:rPr>
              <w:t>t/a。</w:t>
            </w:r>
          </w:p>
        </w:tc>
      </w:tr>
    </w:tbl>
    <w:p w14:paraId="2F023C9C">
      <w:pPr>
        <w:adjustRightInd w:val="0"/>
        <w:snapToGrid w:val="0"/>
        <w:spacing w:line="360" w:lineRule="auto"/>
        <w:rPr>
          <w:rFonts w:ascii="Times New Roman" w:hAnsi="Times New Roman" w:cs="Times New Roman"/>
          <w:b/>
          <w:bCs/>
          <w:sz w:val="24"/>
          <w:u w:val="single"/>
        </w:rPr>
      </w:pPr>
      <w:r>
        <w:rPr>
          <w:rFonts w:hint="eastAsia" w:ascii="Times New Roman" w:hAnsi="Times New Roman" w:cs="Times New Roman"/>
          <w:b/>
          <w:bCs/>
          <w:sz w:val="24"/>
          <w:u w:val="single"/>
        </w:rPr>
        <w:t>注：本项目固废漆渣中含有少量甲苯、二甲苯，含量较少，不再定量分析。</w:t>
      </w:r>
    </w:p>
    <w:p w14:paraId="7381991A">
      <w:pPr>
        <w:adjustRightInd w:val="0"/>
        <w:snapToGrid w:val="0"/>
        <w:spacing w:line="360" w:lineRule="auto"/>
        <w:ind w:firstLine="482" w:firstLineChars="200"/>
        <w:rPr>
          <w:rFonts w:ascii="Times New Roman" w:hAnsi="Times New Roman" w:cs="Times New Roman"/>
          <w:b/>
          <w:bCs/>
          <w:sz w:val="24"/>
          <w:u w:val="single"/>
        </w:rPr>
      </w:pPr>
      <w:r>
        <w:rPr>
          <w:rFonts w:ascii="Times New Roman" w:hAnsi="Times New Roman" w:cs="Times New Roman"/>
          <w:b/>
          <w:bCs/>
          <w:sz w:val="24"/>
          <w:u w:val="single"/>
        </w:rPr>
        <w:t>经计算，本项目Q＜1。该项目环境风险潜势为Ⅰ。</w:t>
      </w:r>
    </w:p>
    <w:p w14:paraId="71896BB0">
      <w:pPr>
        <w:pStyle w:val="4"/>
        <w:numPr>
          <w:ilvl w:val="2"/>
          <w:numId w:val="81"/>
        </w:numPr>
        <w:tabs>
          <w:tab w:val="clear" w:pos="0"/>
        </w:tabs>
        <w:adjustRightInd w:val="0"/>
        <w:snapToGrid w:val="0"/>
      </w:pPr>
      <w:r>
        <w:t>评价等级</w:t>
      </w:r>
    </w:p>
    <w:p w14:paraId="6F30CFA8">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本项目危险物质在事故情形下的环境影响途径主要为大气和地表水，风险潜势为Ⅰ，根据《建设项目环境风险评价技术导则》（HJ169－2018）评价工作等级划分要求，确定本项目评价工作等级为简单分析。</w:t>
      </w:r>
    </w:p>
    <w:p w14:paraId="0A95F50A">
      <w:pPr>
        <w:pStyle w:val="3"/>
        <w:numPr>
          <w:ilvl w:val="1"/>
          <w:numId w:val="80"/>
        </w:numPr>
        <w:tabs>
          <w:tab w:val="clear" w:pos="0"/>
        </w:tabs>
        <w:adjustRightInd w:val="0"/>
        <w:snapToGrid w:val="0"/>
      </w:pPr>
      <w:bookmarkStart w:id="292" w:name="_Toc15137"/>
      <w:r>
        <w:t>环境敏感目标概况</w:t>
      </w:r>
      <w:bookmarkEnd w:id="292"/>
    </w:p>
    <w:p w14:paraId="778A3611">
      <w:pPr>
        <w:pStyle w:val="15"/>
        <w:spacing w:after="0" w:line="360" w:lineRule="auto"/>
        <w:ind w:firstLine="480" w:firstLineChars="200"/>
        <w:rPr>
          <w:rFonts w:ascii="Times New Roman" w:hAnsi="Times New Roman"/>
          <w:sz w:val="24"/>
        </w:rPr>
      </w:pPr>
      <w:r>
        <w:rPr>
          <w:rFonts w:hint="eastAsia" w:ascii="Times New Roman" w:hAnsi="Times New Roman"/>
          <w:sz w:val="24"/>
        </w:rPr>
        <w:t>根据危险物质可能的影响途径，明确环境敏感目标，给出环境敏感目标位分布图，列表明确调查对象、属性、相对方位及距离等信息。</w:t>
      </w:r>
    </w:p>
    <w:p w14:paraId="27ECDEFA">
      <w:pPr>
        <w:numPr>
          <w:ilvl w:val="0"/>
          <w:numId w:val="83"/>
        </w:numPr>
        <w:jc w:val="center"/>
        <w:rPr>
          <w:rFonts w:ascii="Times New Roman" w:hAnsi="Times New Roman" w:cs="Times New Roman"/>
          <w:b/>
          <w:bCs/>
          <w:szCs w:val="21"/>
        </w:rPr>
      </w:pPr>
      <w:r>
        <w:rPr>
          <w:rFonts w:hint="eastAsia" w:ascii="Times New Roman" w:hAnsi="Times New Roman" w:cs="Times New Roman"/>
          <w:b/>
          <w:bCs/>
          <w:szCs w:val="21"/>
        </w:rPr>
        <w:t xml:space="preserve"> </w:t>
      </w:r>
      <w:r>
        <w:rPr>
          <w:rFonts w:ascii="Times New Roman" w:hAnsi="Times New Roman" w:cs="Times New Roman"/>
          <w:b/>
          <w:bCs/>
          <w:szCs w:val="21"/>
        </w:rPr>
        <w:t xml:space="preserve"> 项目厂址周围环境敏感目标分布情况一览表</w:t>
      </w:r>
    </w:p>
    <w:tbl>
      <w:tblPr>
        <w:tblStyle w:val="31"/>
        <w:tblW w:w="8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91"/>
        <w:gridCol w:w="951"/>
        <w:gridCol w:w="1258"/>
        <w:gridCol w:w="1616"/>
        <w:gridCol w:w="1563"/>
      </w:tblGrid>
      <w:tr w14:paraId="40E0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44" w:type="dxa"/>
            <w:vMerge w:val="restart"/>
            <w:tcBorders>
              <w:tl2br w:val="nil"/>
              <w:tr2bl w:val="nil"/>
            </w:tcBorders>
            <w:tcMar>
              <w:top w:w="0" w:type="dxa"/>
              <w:left w:w="0" w:type="dxa"/>
              <w:bottom w:w="0" w:type="dxa"/>
              <w:right w:w="0" w:type="dxa"/>
            </w:tcMar>
            <w:vAlign w:val="center"/>
          </w:tcPr>
          <w:p w14:paraId="7D42EFC4">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类别</w:t>
            </w:r>
          </w:p>
        </w:tc>
        <w:tc>
          <w:tcPr>
            <w:tcW w:w="2291" w:type="dxa"/>
            <w:vMerge w:val="restart"/>
            <w:tcBorders>
              <w:tl2br w:val="nil"/>
              <w:tr2bl w:val="nil"/>
            </w:tcBorders>
            <w:tcMar>
              <w:top w:w="0" w:type="dxa"/>
              <w:left w:w="0" w:type="dxa"/>
              <w:bottom w:w="0" w:type="dxa"/>
              <w:right w:w="0" w:type="dxa"/>
            </w:tcMar>
            <w:vAlign w:val="center"/>
          </w:tcPr>
          <w:p w14:paraId="64F30BDD">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调查对象</w:t>
            </w:r>
          </w:p>
        </w:tc>
        <w:tc>
          <w:tcPr>
            <w:tcW w:w="951" w:type="dxa"/>
            <w:vMerge w:val="restart"/>
            <w:tcBorders>
              <w:tl2br w:val="nil"/>
              <w:tr2bl w:val="nil"/>
            </w:tcBorders>
            <w:tcMar>
              <w:top w:w="0" w:type="dxa"/>
              <w:left w:w="0" w:type="dxa"/>
              <w:bottom w:w="0" w:type="dxa"/>
              <w:right w:w="0" w:type="dxa"/>
            </w:tcMar>
            <w:vAlign w:val="center"/>
          </w:tcPr>
          <w:p w14:paraId="3A31C3DE">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属性</w:t>
            </w:r>
          </w:p>
        </w:tc>
        <w:tc>
          <w:tcPr>
            <w:tcW w:w="1258" w:type="dxa"/>
            <w:vMerge w:val="restart"/>
            <w:tcBorders>
              <w:tl2br w:val="nil"/>
              <w:tr2bl w:val="nil"/>
            </w:tcBorders>
            <w:tcMar>
              <w:top w:w="0" w:type="dxa"/>
              <w:left w:w="0" w:type="dxa"/>
              <w:bottom w:w="0" w:type="dxa"/>
              <w:right w:w="0" w:type="dxa"/>
            </w:tcMar>
            <w:vAlign w:val="center"/>
          </w:tcPr>
          <w:p w14:paraId="6714197E">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相对厂址方位</w:t>
            </w:r>
          </w:p>
        </w:tc>
        <w:tc>
          <w:tcPr>
            <w:tcW w:w="1616" w:type="dxa"/>
            <w:vMerge w:val="restart"/>
            <w:tcBorders>
              <w:tl2br w:val="nil"/>
              <w:tr2bl w:val="nil"/>
            </w:tcBorders>
            <w:tcMar>
              <w:top w:w="0" w:type="dxa"/>
              <w:left w:w="0" w:type="dxa"/>
              <w:bottom w:w="0" w:type="dxa"/>
              <w:right w:w="0" w:type="dxa"/>
            </w:tcMar>
            <w:vAlign w:val="center"/>
          </w:tcPr>
          <w:p w14:paraId="5542C11F">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相对厂界距离</w:t>
            </w:r>
            <w:r>
              <w:rPr>
                <w:rFonts w:hint="eastAsia" w:ascii="Times New Roman" w:hAnsi="Times New Roman" w:eastAsia="宋体" w:cs="Times New Roman"/>
                <w:bCs/>
                <w:color w:val="auto"/>
                <w:szCs w:val="21"/>
                <w:lang w:bidi="ar"/>
              </w:rPr>
              <w:t>（m）</w:t>
            </w:r>
          </w:p>
        </w:tc>
        <w:tc>
          <w:tcPr>
            <w:tcW w:w="1563" w:type="dxa"/>
            <w:vMerge w:val="restart"/>
            <w:tcBorders>
              <w:tl2br w:val="nil"/>
              <w:tr2bl w:val="nil"/>
            </w:tcBorders>
            <w:tcMar>
              <w:top w:w="0" w:type="dxa"/>
              <w:left w:w="0" w:type="dxa"/>
              <w:bottom w:w="0" w:type="dxa"/>
              <w:right w:w="0" w:type="dxa"/>
            </w:tcMar>
            <w:vAlign w:val="center"/>
          </w:tcPr>
          <w:p w14:paraId="6AB883DC">
            <w:pPr>
              <w:jc w:val="center"/>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保护内容（人）</w:t>
            </w:r>
          </w:p>
        </w:tc>
      </w:tr>
      <w:tr w14:paraId="4FF2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44" w:type="dxa"/>
            <w:vMerge w:val="continue"/>
            <w:tcBorders>
              <w:tl2br w:val="nil"/>
              <w:tr2bl w:val="nil"/>
            </w:tcBorders>
            <w:tcMar>
              <w:top w:w="0" w:type="dxa"/>
              <w:left w:w="0" w:type="dxa"/>
              <w:bottom w:w="0" w:type="dxa"/>
              <w:right w:w="0" w:type="dxa"/>
            </w:tcMar>
            <w:vAlign w:val="center"/>
          </w:tcPr>
          <w:p w14:paraId="0135A44B">
            <w:pPr>
              <w:jc w:val="center"/>
              <w:rPr>
                <w:rFonts w:ascii="Times New Roman" w:hAnsi="Times New Roman" w:eastAsia="宋体" w:cs="Times New Roman"/>
                <w:b/>
                <w:color w:val="000000" w:themeColor="text1"/>
                <w:szCs w:val="21"/>
                <w14:textFill>
                  <w14:solidFill>
                    <w14:schemeClr w14:val="tx1"/>
                  </w14:solidFill>
                </w14:textFill>
              </w:rPr>
            </w:pPr>
          </w:p>
        </w:tc>
        <w:tc>
          <w:tcPr>
            <w:tcW w:w="2291" w:type="dxa"/>
            <w:vMerge w:val="continue"/>
            <w:tcBorders>
              <w:tl2br w:val="nil"/>
              <w:tr2bl w:val="nil"/>
            </w:tcBorders>
            <w:tcMar>
              <w:top w:w="0" w:type="dxa"/>
              <w:left w:w="0" w:type="dxa"/>
              <w:bottom w:w="0" w:type="dxa"/>
              <w:right w:w="0" w:type="dxa"/>
            </w:tcMar>
            <w:vAlign w:val="center"/>
          </w:tcPr>
          <w:p w14:paraId="3439BDA3">
            <w:pPr>
              <w:jc w:val="center"/>
              <w:rPr>
                <w:rFonts w:ascii="Times New Roman" w:hAnsi="Times New Roman" w:eastAsia="宋体" w:cs="Times New Roman"/>
                <w:b/>
                <w:color w:val="000000" w:themeColor="text1"/>
                <w:szCs w:val="21"/>
                <w14:textFill>
                  <w14:solidFill>
                    <w14:schemeClr w14:val="tx1"/>
                  </w14:solidFill>
                </w14:textFill>
              </w:rPr>
            </w:pPr>
          </w:p>
        </w:tc>
        <w:tc>
          <w:tcPr>
            <w:tcW w:w="951" w:type="dxa"/>
            <w:vMerge w:val="continue"/>
            <w:tcBorders>
              <w:tl2br w:val="nil"/>
              <w:tr2bl w:val="nil"/>
            </w:tcBorders>
            <w:tcMar>
              <w:top w:w="0" w:type="dxa"/>
              <w:left w:w="0" w:type="dxa"/>
              <w:bottom w:w="0" w:type="dxa"/>
              <w:right w:w="0" w:type="dxa"/>
            </w:tcMar>
            <w:vAlign w:val="center"/>
          </w:tcPr>
          <w:p w14:paraId="7E22C82C">
            <w:pPr>
              <w:jc w:val="center"/>
              <w:rPr>
                <w:rFonts w:ascii="Times New Roman" w:hAnsi="Times New Roman" w:eastAsia="宋体" w:cs="Times New Roman"/>
                <w:b/>
                <w:color w:val="000000" w:themeColor="text1"/>
                <w:szCs w:val="21"/>
                <w14:textFill>
                  <w14:solidFill>
                    <w14:schemeClr w14:val="tx1"/>
                  </w14:solidFill>
                </w14:textFill>
              </w:rPr>
            </w:pPr>
          </w:p>
        </w:tc>
        <w:tc>
          <w:tcPr>
            <w:tcW w:w="1258" w:type="dxa"/>
            <w:vMerge w:val="continue"/>
            <w:tcBorders>
              <w:tl2br w:val="nil"/>
              <w:tr2bl w:val="nil"/>
            </w:tcBorders>
            <w:tcMar>
              <w:top w:w="0" w:type="dxa"/>
              <w:left w:w="0" w:type="dxa"/>
              <w:bottom w:w="0" w:type="dxa"/>
              <w:right w:w="0" w:type="dxa"/>
            </w:tcMar>
            <w:vAlign w:val="center"/>
          </w:tcPr>
          <w:p w14:paraId="24F5EF4E">
            <w:pPr>
              <w:jc w:val="center"/>
              <w:rPr>
                <w:rFonts w:ascii="Times New Roman" w:hAnsi="Times New Roman" w:eastAsia="宋体" w:cs="Times New Roman"/>
                <w:b/>
                <w:color w:val="000000" w:themeColor="text1"/>
                <w:szCs w:val="21"/>
                <w14:textFill>
                  <w14:solidFill>
                    <w14:schemeClr w14:val="tx1"/>
                  </w14:solidFill>
                </w14:textFill>
              </w:rPr>
            </w:pPr>
          </w:p>
        </w:tc>
        <w:tc>
          <w:tcPr>
            <w:tcW w:w="1616" w:type="dxa"/>
            <w:vMerge w:val="continue"/>
            <w:tcBorders>
              <w:tl2br w:val="nil"/>
              <w:tr2bl w:val="nil"/>
            </w:tcBorders>
            <w:tcMar>
              <w:top w:w="0" w:type="dxa"/>
              <w:left w:w="0" w:type="dxa"/>
              <w:bottom w:w="0" w:type="dxa"/>
              <w:right w:w="0" w:type="dxa"/>
            </w:tcMar>
            <w:vAlign w:val="center"/>
          </w:tcPr>
          <w:p w14:paraId="14669995">
            <w:pPr>
              <w:jc w:val="center"/>
              <w:rPr>
                <w:rFonts w:ascii="Times New Roman" w:hAnsi="Times New Roman" w:eastAsia="宋体" w:cs="Times New Roman"/>
                <w:b/>
                <w:color w:val="000000" w:themeColor="text1"/>
                <w:szCs w:val="21"/>
                <w14:textFill>
                  <w14:solidFill>
                    <w14:schemeClr w14:val="tx1"/>
                  </w14:solidFill>
                </w14:textFill>
              </w:rPr>
            </w:pPr>
          </w:p>
        </w:tc>
        <w:tc>
          <w:tcPr>
            <w:tcW w:w="1563" w:type="dxa"/>
            <w:vMerge w:val="continue"/>
            <w:tcBorders>
              <w:tl2br w:val="nil"/>
              <w:tr2bl w:val="nil"/>
            </w:tcBorders>
            <w:tcMar>
              <w:top w:w="0" w:type="dxa"/>
              <w:left w:w="0" w:type="dxa"/>
              <w:bottom w:w="0" w:type="dxa"/>
              <w:right w:w="0" w:type="dxa"/>
            </w:tcMar>
            <w:vAlign w:val="center"/>
          </w:tcPr>
          <w:p w14:paraId="26672C16">
            <w:pPr>
              <w:jc w:val="center"/>
              <w:rPr>
                <w:rFonts w:ascii="Times New Roman" w:hAnsi="Times New Roman" w:eastAsia="宋体" w:cs="Times New Roman"/>
                <w:b/>
                <w:color w:val="000000" w:themeColor="text1"/>
                <w:szCs w:val="21"/>
                <w14:textFill>
                  <w14:solidFill>
                    <w14:schemeClr w14:val="tx1"/>
                  </w14:solidFill>
                </w14:textFill>
              </w:rPr>
            </w:pPr>
          </w:p>
        </w:tc>
      </w:tr>
      <w:tr w14:paraId="0A51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restart"/>
            <w:tcBorders>
              <w:tl2br w:val="nil"/>
              <w:tr2bl w:val="nil"/>
            </w:tcBorders>
            <w:tcMar>
              <w:top w:w="0" w:type="dxa"/>
              <w:left w:w="0" w:type="dxa"/>
              <w:bottom w:w="0" w:type="dxa"/>
              <w:right w:w="0" w:type="dxa"/>
            </w:tcMar>
            <w:vAlign w:val="center"/>
          </w:tcPr>
          <w:p w14:paraId="66824246">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lang w:bidi="ar"/>
                <w14:textFill>
                  <w14:solidFill>
                    <w14:schemeClr w14:val="tx1"/>
                  </w14:solidFill>
                </w14:textFill>
              </w:rPr>
              <w:t>大气环境</w:t>
            </w:r>
          </w:p>
        </w:tc>
        <w:tc>
          <w:tcPr>
            <w:tcW w:w="2291" w:type="dxa"/>
            <w:tcBorders>
              <w:tl2br w:val="nil"/>
              <w:tr2bl w:val="nil"/>
            </w:tcBorders>
            <w:tcMar>
              <w:top w:w="0" w:type="dxa"/>
              <w:left w:w="0" w:type="dxa"/>
              <w:bottom w:w="0" w:type="dxa"/>
              <w:right w:w="0" w:type="dxa"/>
            </w:tcMar>
            <w:vAlign w:val="center"/>
          </w:tcPr>
          <w:p w14:paraId="12AE897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西黄庄村</w:t>
            </w:r>
          </w:p>
        </w:tc>
        <w:tc>
          <w:tcPr>
            <w:tcW w:w="951" w:type="dxa"/>
            <w:tcBorders>
              <w:tl2br w:val="nil"/>
              <w:tr2bl w:val="nil"/>
            </w:tcBorders>
            <w:tcMar>
              <w:top w:w="0" w:type="dxa"/>
              <w:left w:w="0" w:type="dxa"/>
              <w:bottom w:w="0" w:type="dxa"/>
              <w:right w:w="0" w:type="dxa"/>
            </w:tcMar>
            <w:vAlign w:val="center"/>
          </w:tcPr>
          <w:p w14:paraId="2B1EC1A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029CAD2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w:t>
            </w:r>
          </w:p>
        </w:tc>
        <w:tc>
          <w:tcPr>
            <w:tcW w:w="1616" w:type="dxa"/>
            <w:tcBorders>
              <w:tl2br w:val="nil"/>
              <w:tr2bl w:val="nil"/>
            </w:tcBorders>
            <w:tcMar>
              <w:top w:w="0" w:type="dxa"/>
              <w:left w:w="0" w:type="dxa"/>
              <w:bottom w:w="0" w:type="dxa"/>
              <w:right w:w="0" w:type="dxa"/>
            </w:tcMar>
            <w:vAlign w:val="center"/>
          </w:tcPr>
          <w:p w14:paraId="1B15A22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2340</w:t>
            </w:r>
          </w:p>
        </w:tc>
        <w:tc>
          <w:tcPr>
            <w:tcW w:w="1563" w:type="dxa"/>
            <w:tcBorders>
              <w:tl2br w:val="nil"/>
              <w:tr2bl w:val="nil"/>
            </w:tcBorders>
            <w:tcMar>
              <w:top w:w="0" w:type="dxa"/>
              <w:left w:w="0" w:type="dxa"/>
              <w:bottom w:w="0" w:type="dxa"/>
              <w:right w:w="0" w:type="dxa"/>
            </w:tcMar>
            <w:vAlign w:val="center"/>
          </w:tcPr>
          <w:p w14:paraId="7C017A9C">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850</w:t>
            </w:r>
          </w:p>
        </w:tc>
      </w:tr>
      <w:tr w14:paraId="66F6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297BECA6">
            <w:pPr>
              <w:pStyle w:val="18"/>
              <w:adjustRightInd/>
              <w:spacing w:before="0" w:line="240" w:lineRule="auto"/>
              <w:ind w:left="0" w:right="0"/>
              <w:jc w:val="center"/>
              <w:rPr>
                <w:rFonts w:ascii="Times New Roman" w:hAnsi="Times New Roman" w:eastAsia="宋体" w:cs="Times New Roman"/>
                <w:bCs/>
                <w:color w:val="000000" w:themeColor="text1"/>
                <w:sz w:val="21"/>
                <w:szCs w:val="21"/>
                <w:lang w:bidi="ar"/>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2AFF99B8">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清丰县人民医院</w:t>
            </w:r>
          </w:p>
        </w:tc>
        <w:tc>
          <w:tcPr>
            <w:tcW w:w="951" w:type="dxa"/>
            <w:tcBorders>
              <w:tl2br w:val="nil"/>
              <w:tr2bl w:val="nil"/>
            </w:tcBorders>
            <w:tcMar>
              <w:top w:w="0" w:type="dxa"/>
              <w:left w:w="0" w:type="dxa"/>
              <w:bottom w:w="0" w:type="dxa"/>
              <w:right w:w="0" w:type="dxa"/>
            </w:tcMar>
            <w:vAlign w:val="center"/>
          </w:tcPr>
          <w:p w14:paraId="6AC0D4D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医院</w:t>
            </w:r>
          </w:p>
        </w:tc>
        <w:tc>
          <w:tcPr>
            <w:tcW w:w="1258" w:type="dxa"/>
            <w:tcBorders>
              <w:tl2br w:val="nil"/>
              <w:tr2bl w:val="nil"/>
            </w:tcBorders>
            <w:tcMar>
              <w:top w:w="0" w:type="dxa"/>
              <w:left w:w="0" w:type="dxa"/>
              <w:bottom w:w="0" w:type="dxa"/>
              <w:right w:w="0" w:type="dxa"/>
            </w:tcMar>
            <w:vAlign w:val="center"/>
          </w:tcPr>
          <w:p w14:paraId="7913573A">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NW</w:t>
            </w:r>
          </w:p>
        </w:tc>
        <w:tc>
          <w:tcPr>
            <w:tcW w:w="1616" w:type="dxa"/>
            <w:tcBorders>
              <w:tl2br w:val="nil"/>
              <w:tr2bl w:val="nil"/>
            </w:tcBorders>
            <w:tcMar>
              <w:top w:w="0" w:type="dxa"/>
              <w:left w:w="0" w:type="dxa"/>
              <w:bottom w:w="0" w:type="dxa"/>
              <w:right w:w="0" w:type="dxa"/>
            </w:tcMar>
            <w:vAlign w:val="center"/>
          </w:tcPr>
          <w:p w14:paraId="53D66F0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1980</w:t>
            </w:r>
          </w:p>
        </w:tc>
        <w:tc>
          <w:tcPr>
            <w:tcW w:w="1563" w:type="dxa"/>
            <w:tcBorders>
              <w:tl2br w:val="nil"/>
              <w:tr2bl w:val="nil"/>
            </w:tcBorders>
            <w:tcMar>
              <w:top w:w="0" w:type="dxa"/>
              <w:left w:w="0" w:type="dxa"/>
              <w:bottom w:w="0" w:type="dxa"/>
              <w:right w:w="0" w:type="dxa"/>
            </w:tcMar>
            <w:vAlign w:val="center"/>
          </w:tcPr>
          <w:p w14:paraId="19656A8B">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500</w:t>
            </w:r>
          </w:p>
        </w:tc>
      </w:tr>
      <w:tr w14:paraId="7A48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07CE908F">
            <w:pPr>
              <w:pStyle w:val="18"/>
              <w:adjustRightInd/>
              <w:spacing w:before="0" w:line="240" w:lineRule="auto"/>
              <w:ind w:left="0" w:right="0"/>
              <w:jc w:val="center"/>
              <w:rPr>
                <w:rFonts w:ascii="Times New Roman" w:hAnsi="Times New Roman" w:eastAsia="宋体" w:cs="Times New Roman"/>
                <w:bCs/>
                <w:color w:val="000000" w:themeColor="text1"/>
                <w:sz w:val="21"/>
                <w:szCs w:val="21"/>
                <w:lang w:bidi="ar"/>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7515ECE1">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清丰县义和路小学</w:t>
            </w:r>
          </w:p>
        </w:tc>
        <w:tc>
          <w:tcPr>
            <w:tcW w:w="951" w:type="dxa"/>
            <w:tcBorders>
              <w:tl2br w:val="nil"/>
              <w:tr2bl w:val="nil"/>
            </w:tcBorders>
            <w:tcMar>
              <w:top w:w="0" w:type="dxa"/>
              <w:left w:w="0" w:type="dxa"/>
              <w:bottom w:w="0" w:type="dxa"/>
              <w:right w:w="0" w:type="dxa"/>
            </w:tcMar>
            <w:vAlign w:val="center"/>
          </w:tcPr>
          <w:p w14:paraId="3A212E8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学校</w:t>
            </w:r>
          </w:p>
        </w:tc>
        <w:tc>
          <w:tcPr>
            <w:tcW w:w="1258" w:type="dxa"/>
            <w:tcBorders>
              <w:tl2br w:val="nil"/>
              <w:tr2bl w:val="nil"/>
            </w:tcBorders>
            <w:tcMar>
              <w:top w:w="0" w:type="dxa"/>
              <w:left w:w="0" w:type="dxa"/>
              <w:bottom w:w="0" w:type="dxa"/>
              <w:right w:w="0" w:type="dxa"/>
            </w:tcMar>
            <w:vAlign w:val="center"/>
          </w:tcPr>
          <w:p w14:paraId="164E6947">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NW</w:t>
            </w:r>
          </w:p>
        </w:tc>
        <w:tc>
          <w:tcPr>
            <w:tcW w:w="1616" w:type="dxa"/>
            <w:tcBorders>
              <w:tl2br w:val="nil"/>
              <w:tr2bl w:val="nil"/>
            </w:tcBorders>
            <w:tcMar>
              <w:top w:w="0" w:type="dxa"/>
              <w:left w:w="0" w:type="dxa"/>
              <w:bottom w:w="0" w:type="dxa"/>
              <w:right w:w="0" w:type="dxa"/>
            </w:tcMar>
            <w:vAlign w:val="center"/>
          </w:tcPr>
          <w:p w14:paraId="4E5C563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1665</w:t>
            </w:r>
          </w:p>
        </w:tc>
        <w:tc>
          <w:tcPr>
            <w:tcW w:w="1563" w:type="dxa"/>
            <w:tcBorders>
              <w:tl2br w:val="nil"/>
              <w:tr2bl w:val="nil"/>
            </w:tcBorders>
            <w:tcMar>
              <w:top w:w="0" w:type="dxa"/>
              <w:left w:w="0" w:type="dxa"/>
              <w:bottom w:w="0" w:type="dxa"/>
              <w:right w:w="0" w:type="dxa"/>
            </w:tcMar>
            <w:vAlign w:val="center"/>
          </w:tcPr>
          <w:p w14:paraId="264506BD">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750</w:t>
            </w:r>
          </w:p>
        </w:tc>
      </w:tr>
      <w:tr w14:paraId="0C48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48299E34">
            <w:pPr>
              <w:pStyle w:val="18"/>
              <w:adjustRightInd/>
              <w:spacing w:before="0" w:line="240" w:lineRule="auto"/>
              <w:ind w:left="0" w:right="0"/>
              <w:jc w:val="center"/>
              <w:rPr>
                <w:rFonts w:ascii="Times New Roman" w:hAnsi="Times New Roman" w:eastAsia="宋体" w:cs="Times New Roman"/>
                <w:bCs/>
                <w:color w:val="000000" w:themeColor="text1"/>
                <w:sz w:val="21"/>
                <w:szCs w:val="21"/>
                <w:lang w:bidi="ar"/>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1D27D3E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清丰县公安局</w:t>
            </w:r>
          </w:p>
        </w:tc>
        <w:tc>
          <w:tcPr>
            <w:tcW w:w="951" w:type="dxa"/>
            <w:tcBorders>
              <w:tl2br w:val="nil"/>
              <w:tr2bl w:val="nil"/>
            </w:tcBorders>
            <w:tcMar>
              <w:top w:w="0" w:type="dxa"/>
              <w:left w:w="0" w:type="dxa"/>
              <w:bottom w:w="0" w:type="dxa"/>
              <w:right w:w="0" w:type="dxa"/>
            </w:tcMar>
            <w:vAlign w:val="center"/>
          </w:tcPr>
          <w:p w14:paraId="3AF0013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行政办公</w:t>
            </w:r>
          </w:p>
        </w:tc>
        <w:tc>
          <w:tcPr>
            <w:tcW w:w="1258" w:type="dxa"/>
            <w:tcBorders>
              <w:tl2br w:val="nil"/>
              <w:tr2bl w:val="nil"/>
            </w:tcBorders>
            <w:tcMar>
              <w:top w:w="0" w:type="dxa"/>
              <w:left w:w="0" w:type="dxa"/>
              <w:bottom w:w="0" w:type="dxa"/>
              <w:right w:w="0" w:type="dxa"/>
            </w:tcMar>
            <w:vAlign w:val="center"/>
          </w:tcPr>
          <w:p w14:paraId="7D77F903">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NW</w:t>
            </w:r>
          </w:p>
        </w:tc>
        <w:tc>
          <w:tcPr>
            <w:tcW w:w="1616" w:type="dxa"/>
            <w:tcBorders>
              <w:tl2br w:val="nil"/>
              <w:tr2bl w:val="nil"/>
            </w:tcBorders>
            <w:tcMar>
              <w:top w:w="0" w:type="dxa"/>
              <w:left w:w="0" w:type="dxa"/>
              <w:bottom w:w="0" w:type="dxa"/>
              <w:right w:w="0" w:type="dxa"/>
            </w:tcMar>
            <w:vAlign w:val="center"/>
          </w:tcPr>
          <w:p w14:paraId="7F807E4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1620</w:t>
            </w:r>
          </w:p>
        </w:tc>
        <w:tc>
          <w:tcPr>
            <w:tcW w:w="1563" w:type="dxa"/>
            <w:tcBorders>
              <w:tl2br w:val="nil"/>
              <w:tr2bl w:val="nil"/>
            </w:tcBorders>
            <w:tcMar>
              <w:top w:w="0" w:type="dxa"/>
              <w:left w:w="0" w:type="dxa"/>
              <w:bottom w:w="0" w:type="dxa"/>
              <w:right w:w="0" w:type="dxa"/>
            </w:tcMar>
            <w:vAlign w:val="center"/>
          </w:tcPr>
          <w:p w14:paraId="67BEA53A">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120</w:t>
            </w:r>
          </w:p>
        </w:tc>
      </w:tr>
      <w:tr w14:paraId="6CCE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2902A616">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36949B9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银河紫台</w:t>
            </w:r>
          </w:p>
        </w:tc>
        <w:tc>
          <w:tcPr>
            <w:tcW w:w="951" w:type="dxa"/>
            <w:tcBorders>
              <w:tl2br w:val="nil"/>
              <w:tr2bl w:val="nil"/>
            </w:tcBorders>
            <w:tcMar>
              <w:top w:w="0" w:type="dxa"/>
              <w:left w:w="0" w:type="dxa"/>
              <w:bottom w:w="0" w:type="dxa"/>
              <w:right w:w="0" w:type="dxa"/>
            </w:tcMar>
            <w:vAlign w:val="center"/>
          </w:tcPr>
          <w:p w14:paraId="2575EE3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2F5A319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w:t>
            </w:r>
          </w:p>
        </w:tc>
        <w:tc>
          <w:tcPr>
            <w:tcW w:w="1616" w:type="dxa"/>
            <w:tcBorders>
              <w:tl2br w:val="nil"/>
              <w:tr2bl w:val="nil"/>
            </w:tcBorders>
            <w:tcMar>
              <w:top w:w="0" w:type="dxa"/>
              <w:left w:w="0" w:type="dxa"/>
              <w:bottom w:w="0" w:type="dxa"/>
              <w:right w:w="0" w:type="dxa"/>
            </w:tcMar>
            <w:vAlign w:val="center"/>
          </w:tcPr>
          <w:p w14:paraId="3A04912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1400</w:t>
            </w:r>
          </w:p>
        </w:tc>
        <w:tc>
          <w:tcPr>
            <w:tcW w:w="1563" w:type="dxa"/>
            <w:tcBorders>
              <w:tl2br w:val="nil"/>
              <w:tr2bl w:val="nil"/>
            </w:tcBorders>
            <w:tcMar>
              <w:top w:w="0" w:type="dxa"/>
              <w:left w:w="0" w:type="dxa"/>
              <w:bottom w:w="0" w:type="dxa"/>
              <w:right w:w="0" w:type="dxa"/>
            </w:tcMar>
            <w:vAlign w:val="center"/>
          </w:tcPr>
          <w:p w14:paraId="2EE451B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800</w:t>
            </w:r>
          </w:p>
        </w:tc>
      </w:tr>
      <w:tr w14:paraId="0254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2AD1AB20">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43F963A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清丰建业城</w:t>
            </w:r>
          </w:p>
        </w:tc>
        <w:tc>
          <w:tcPr>
            <w:tcW w:w="951" w:type="dxa"/>
            <w:tcBorders>
              <w:tl2br w:val="nil"/>
              <w:tr2bl w:val="nil"/>
            </w:tcBorders>
            <w:tcMar>
              <w:top w:w="0" w:type="dxa"/>
              <w:left w:w="0" w:type="dxa"/>
              <w:bottom w:w="0" w:type="dxa"/>
              <w:right w:w="0" w:type="dxa"/>
            </w:tcMar>
            <w:vAlign w:val="center"/>
          </w:tcPr>
          <w:p w14:paraId="6F9BBA8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5D3C638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w:t>
            </w:r>
          </w:p>
        </w:tc>
        <w:tc>
          <w:tcPr>
            <w:tcW w:w="1616" w:type="dxa"/>
            <w:tcBorders>
              <w:tl2br w:val="nil"/>
              <w:tr2bl w:val="nil"/>
            </w:tcBorders>
            <w:tcMar>
              <w:top w:w="0" w:type="dxa"/>
              <w:left w:w="0" w:type="dxa"/>
              <w:bottom w:w="0" w:type="dxa"/>
              <w:right w:w="0" w:type="dxa"/>
            </w:tcMar>
            <w:vAlign w:val="center"/>
          </w:tcPr>
          <w:p w14:paraId="35FF579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1485</w:t>
            </w:r>
          </w:p>
        </w:tc>
        <w:tc>
          <w:tcPr>
            <w:tcW w:w="1563" w:type="dxa"/>
            <w:tcBorders>
              <w:tl2br w:val="nil"/>
              <w:tr2bl w:val="nil"/>
            </w:tcBorders>
            <w:tcMar>
              <w:top w:w="0" w:type="dxa"/>
              <w:left w:w="0" w:type="dxa"/>
              <w:bottom w:w="0" w:type="dxa"/>
              <w:right w:w="0" w:type="dxa"/>
            </w:tcMar>
            <w:vAlign w:val="center"/>
          </w:tcPr>
          <w:p w14:paraId="5E431CA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1200</w:t>
            </w:r>
          </w:p>
        </w:tc>
      </w:tr>
      <w:tr w14:paraId="7D63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5C303CCC">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2213337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碧桂园翡翠郡</w:t>
            </w:r>
          </w:p>
        </w:tc>
        <w:tc>
          <w:tcPr>
            <w:tcW w:w="951" w:type="dxa"/>
            <w:tcBorders>
              <w:tl2br w:val="nil"/>
              <w:tr2bl w:val="nil"/>
            </w:tcBorders>
            <w:tcMar>
              <w:top w:w="0" w:type="dxa"/>
              <w:left w:w="0" w:type="dxa"/>
              <w:bottom w:w="0" w:type="dxa"/>
              <w:right w:w="0" w:type="dxa"/>
            </w:tcMar>
            <w:vAlign w:val="center"/>
          </w:tcPr>
          <w:p w14:paraId="0535ED2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0788C49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w:t>
            </w:r>
          </w:p>
        </w:tc>
        <w:tc>
          <w:tcPr>
            <w:tcW w:w="1616" w:type="dxa"/>
            <w:tcBorders>
              <w:tl2br w:val="nil"/>
              <w:tr2bl w:val="nil"/>
            </w:tcBorders>
            <w:tcMar>
              <w:top w:w="0" w:type="dxa"/>
              <w:left w:w="0" w:type="dxa"/>
              <w:bottom w:w="0" w:type="dxa"/>
              <w:right w:w="0" w:type="dxa"/>
            </w:tcMar>
            <w:vAlign w:val="center"/>
          </w:tcPr>
          <w:p w14:paraId="1E38D18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1405</w:t>
            </w:r>
          </w:p>
        </w:tc>
        <w:tc>
          <w:tcPr>
            <w:tcW w:w="1563" w:type="dxa"/>
            <w:tcBorders>
              <w:tl2br w:val="nil"/>
              <w:tr2bl w:val="nil"/>
            </w:tcBorders>
            <w:tcMar>
              <w:top w:w="0" w:type="dxa"/>
              <w:left w:w="0" w:type="dxa"/>
              <w:bottom w:w="0" w:type="dxa"/>
              <w:right w:w="0" w:type="dxa"/>
            </w:tcMar>
            <w:vAlign w:val="center"/>
          </w:tcPr>
          <w:p w14:paraId="59AE8B8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900</w:t>
            </w:r>
          </w:p>
        </w:tc>
      </w:tr>
      <w:tr w14:paraId="63D3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5C6059B8">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2C39F53E">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书香世家</w:t>
            </w:r>
          </w:p>
        </w:tc>
        <w:tc>
          <w:tcPr>
            <w:tcW w:w="951" w:type="dxa"/>
            <w:tcBorders>
              <w:tl2br w:val="nil"/>
              <w:tr2bl w:val="nil"/>
            </w:tcBorders>
            <w:tcMar>
              <w:top w:w="0" w:type="dxa"/>
              <w:left w:w="0" w:type="dxa"/>
              <w:bottom w:w="0" w:type="dxa"/>
              <w:right w:w="0" w:type="dxa"/>
            </w:tcMar>
            <w:vAlign w:val="center"/>
          </w:tcPr>
          <w:p w14:paraId="5016AE2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7DAA4188">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SW</w:t>
            </w:r>
          </w:p>
        </w:tc>
        <w:tc>
          <w:tcPr>
            <w:tcW w:w="1616" w:type="dxa"/>
            <w:tcBorders>
              <w:tl2br w:val="nil"/>
              <w:tr2bl w:val="nil"/>
            </w:tcBorders>
            <w:tcMar>
              <w:top w:w="0" w:type="dxa"/>
              <w:left w:w="0" w:type="dxa"/>
              <w:bottom w:w="0" w:type="dxa"/>
              <w:right w:w="0" w:type="dxa"/>
            </w:tcMar>
            <w:vAlign w:val="center"/>
          </w:tcPr>
          <w:p w14:paraId="42A25C0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1908</w:t>
            </w:r>
          </w:p>
        </w:tc>
        <w:tc>
          <w:tcPr>
            <w:tcW w:w="1563" w:type="dxa"/>
            <w:tcBorders>
              <w:tl2br w:val="nil"/>
              <w:tr2bl w:val="nil"/>
            </w:tcBorders>
            <w:tcMar>
              <w:top w:w="0" w:type="dxa"/>
              <w:left w:w="0" w:type="dxa"/>
              <w:bottom w:w="0" w:type="dxa"/>
              <w:right w:w="0" w:type="dxa"/>
            </w:tcMar>
            <w:vAlign w:val="center"/>
          </w:tcPr>
          <w:p w14:paraId="52855C0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1500</w:t>
            </w:r>
          </w:p>
        </w:tc>
      </w:tr>
      <w:tr w14:paraId="2D4B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2A5A4A8F">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2B2AC96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冶都上和苑</w:t>
            </w:r>
          </w:p>
        </w:tc>
        <w:tc>
          <w:tcPr>
            <w:tcW w:w="951" w:type="dxa"/>
            <w:tcBorders>
              <w:tl2br w:val="nil"/>
              <w:tr2bl w:val="nil"/>
            </w:tcBorders>
            <w:tcMar>
              <w:top w:w="0" w:type="dxa"/>
              <w:left w:w="0" w:type="dxa"/>
              <w:bottom w:w="0" w:type="dxa"/>
              <w:right w:w="0" w:type="dxa"/>
            </w:tcMar>
            <w:vAlign w:val="center"/>
          </w:tcPr>
          <w:p w14:paraId="733B92D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1A6121C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SW</w:t>
            </w:r>
          </w:p>
        </w:tc>
        <w:tc>
          <w:tcPr>
            <w:tcW w:w="1616" w:type="dxa"/>
            <w:tcBorders>
              <w:tl2br w:val="nil"/>
              <w:tr2bl w:val="nil"/>
            </w:tcBorders>
            <w:tcMar>
              <w:top w:w="0" w:type="dxa"/>
              <w:left w:w="0" w:type="dxa"/>
              <w:bottom w:w="0" w:type="dxa"/>
              <w:right w:w="0" w:type="dxa"/>
            </w:tcMar>
            <w:vAlign w:val="center"/>
          </w:tcPr>
          <w:p w14:paraId="2CF6E02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445</w:t>
            </w:r>
          </w:p>
        </w:tc>
        <w:tc>
          <w:tcPr>
            <w:tcW w:w="1563" w:type="dxa"/>
            <w:tcBorders>
              <w:tl2br w:val="nil"/>
              <w:tr2bl w:val="nil"/>
            </w:tcBorders>
            <w:tcMar>
              <w:top w:w="0" w:type="dxa"/>
              <w:left w:w="0" w:type="dxa"/>
              <w:bottom w:w="0" w:type="dxa"/>
              <w:right w:w="0" w:type="dxa"/>
            </w:tcMar>
            <w:vAlign w:val="center"/>
          </w:tcPr>
          <w:p w14:paraId="3135D20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1000</w:t>
            </w:r>
          </w:p>
        </w:tc>
      </w:tr>
      <w:tr w14:paraId="3E06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Merge w:val="continue"/>
            <w:tcBorders>
              <w:tl2br w:val="nil"/>
              <w:tr2bl w:val="nil"/>
            </w:tcBorders>
            <w:tcMar>
              <w:top w:w="0" w:type="dxa"/>
              <w:left w:w="0" w:type="dxa"/>
              <w:bottom w:w="0" w:type="dxa"/>
              <w:right w:w="0" w:type="dxa"/>
            </w:tcMar>
            <w:vAlign w:val="center"/>
          </w:tcPr>
          <w:p w14:paraId="1838D1C4">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35CE30A9">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rPr>
              <w:t>清丰高级中学</w:t>
            </w:r>
          </w:p>
        </w:tc>
        <w:tc>
          <w:tcPr>
            <w:tcW w:w="951" w:type="dxa"/>
            <w:tcBorders>
              <w:tl2br w:val="nil"/>
              <w:tr2bl w:val="nil"/>
            </w:tcBorders>
            <w:tcMar>
              <w:top w:w="0" w:type="dxa"/>
              <w:left w:w="0" w:type="dxa"/>
              <w:bottom w:w="0" w:type="dxa"/>
              <w:right w:w="0" w:type="dxa"/>
            </w:tcMar>
            <w:vAlign w:val="center"/>
          </w:tcPr>
          <w:p w14:paraId="3CE38A8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学校</w:t>
            </w:r>
          </w:p>
        </w:tc>
        <w:tc>
          <w:tcPr>
            <w:tcW w:w="1258" w:type="dxa"/>
            <w:tcBorders>
              <w:tl2br w:val="nil"/>
              <w:tr2bl w:val="nil"/>
            </w:tcBorders>
            <w:tcMar>
              <w:top w:w="0" w:type="dxa"/>
              <w:left w:w="0" w:type="dxa"/>
              <w:bottom w:w="0" w:type="dxa"/>
              <w:right w:w="0" w:type="dxa"/>
            </w:tcMar>
            <w:vAlign w:val="center"/>
          </w:tcPr>
          <w:p w14:paraId="1890AB07">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SW</w:t>
            </w:r>
          </w:p>
        </w:tc>
        <w:tc>
          <w:tcPr>
            <w:tcW w:w="1616" w:type="dxa"/>
            <w:tcBorders>
              <w:tl2br w:val="nil"/>
              <w:tr2bl w:val="nil"/>
            </w:tcBorders>
            <w:tcMar>
              <w:top w:w="0" w:type="dxa"/>
              <w:left w:w="0" w:type="dxa"/>
              <w:bottom w:w="0" w:type="dxa"/>
              <w:right w:w="0" w:type="dxa"/>
            </w:tcMar>
            <w:vAlign w:val="center"/>
          </w:tcPr>
          <w:p w14:paraId="48518E5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2023</w:t>
            </w:r>
          </w:p>
        </w:tc>
        <w:tc>
          <w:tcPr>
            <w:tcW w:w="1563" w:type="dxa"/>
            <w:tcBorders>
              <w:tl2br w:val="nil"/>
              <w:tr2bl w:val="nil"/>
            </w:tcBorders>
            <w:tcMar>
              <w:top w:w="0" w:type="dxa"/>
              <w:left w:w="0" w:type="dxa"/>
              <w:bottom w:w="0" w:type="dxa"/>
              <w:right w:w="0" w:type="dxa"/>
            </w:tcMar>
            <w:vAlign w:val="center"/>
          </w:tcPr>
          <w:p w14:paraId="43A59FD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750</w:t>
            </w:r>
          </w:p>
        </w:tc>
      </w:tr>
      <w:tr w14:paraId="7417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4B7ED0F8">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7288AFB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西赵店村</w:t>
            </w:r>
          </w:p>
        </w:tc>
        <w:tc>
          <w:tcPr>
            <w:tcW w:w="951" w:type="dxa"/>
            <w:tcBorders>
              <w:tl2br w:val="nil"/>
              <w:tr2bl w:val="nil"/>
            </w:tcBorders>
            <w:tcMar>
              <w:top w:w="0" w:type="dxa"/>
              <w:left w:w="0" w:type="dxa"/>
              <w:bottom w:w="0" w:type="dxa"/>
              <w:right w:w="0" w:type="dxa"/>
            </w:tcMar>
            <w:vAlign w:val="center"/>
          </w:tcPr>
          <w:p w14:paraId="0160ED7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7A45907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SW</w:t>
            </w:r>
          </w:p>
        </w:tc>
        <w:tc>
          <w:tcPr>
            <w:tcW w:w="1616" w:type="dxa"/>
            <w:tcBorders>
              <w:tl2br w:val="nil"/>
              <w:tr2bl w:val="nil"/>
            </w:tcBorders>
            <w:tcMar>
              <w:top w:w="0" w:type="dxa"/>
              <w:left w:w="0" w:type="dxa"/>
              <w:bottom w:w="0" w:type="dxa"/>
              <w:right w:w="0" w:type="dxa"/>
            </w:tcMar>
            <w:vAlign w:val="center"/>
          </w:tcPr>
          <w:p w14:paraId="4E9A316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1294</w:t>
            </w:r>
          </w:p>
        </w:tc>
        <w:tc>
          <w:tcPr>
            <w:tcW w:w="1563" w:type="dxa"/>
            <w:tcBorders>
              <w:tl2br w:val="nil"/>
              <w:tr2bl w:val="nil"/>
            </w:tcBorders>
            <w:tcMar>
              <w:top w:w="0" w:type="dxa"/>
              <w:left w:w="0" w:type="dxa"/>
              <w:bottom w:w="0" w:type="dxa"/>
              <w:right w:w="0" w:type="dxa"/>
            </w:tcMar>
            <w:vAlign w:val="center"/>
          </w:tcPr>
          <w:p w14:paraId="137A533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1300</w:t>
            </w:r>
          </w:p>
        </w:tc>
      </w:tr>
      <w:tr w14:paraId="31DD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6C9B6991">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133B23FF">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申屯村</w:t>
            </w:r>
          </w:p>
        </w:tc>
        <w:tc>
          <w:tcPr>
            <w:tcW w:w="951" w:type="dxa"/>
            <w:tcBorders>
              <w:tl2br w:val="nil"/>
              <w:tr2bl w:val="nil"/>
            </w:tcBorders>
            <w:tcMar>
              <w:top w:w="0" w:type="dxa"/>
              <w:left w:w="0" w:type="dxa"/>
              <w:bottom w:w="0" w:type="dxa"/>
              <w:right w:w="0" w:type="dxa"/>
            </w:tcMar>
            <w:vAlign w:val="center"/>
          </w:tcPr>
          <w:p w14:paraId="671316D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7D390F96">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NE</w:t>
            </w:r>
          </w:p>
        </w:tc>
        <w:tc>
          <w:tcPr>
            <w:tcW w:w="1616" w:type="dxa"/>
            <w:tcBorders>
              <w:tl2br w:val="nil"/>
              <w:tr2bl w:val="nil"/>
            </w:tcBorders>
            <w:tcMar>
              <w:top w:w="0" w:type="dxa"/>
              <w:left w:w="0" w:type="dxa"/>
              <w:bottom w:w="0" w:type="dxa"/>
              <w:right w:w="0" w:type="dxa"/>
            </w:tcMar>
            <w:vAlign w:val="center"/>
          </w:tcPr>
          <w:p w14:paraId="6C5BD76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2035</w:t>
            </w:r>
          </w:p>
        </w:tc>
        <w:tc>
          <w:tcPr>
            <w:tcW w:w="1563" w:type="dxa"/>
            <w:tcBorders>
              <w:tl2br w:val="nil"/>
              <w:tr2bl w:val="nil"/>
            </w:tcBorders>
            <w:tcMar>
              <w:top w:w="0" w:type="dxa"/>
              <w:left w:w="0" w:type="dxa"/>
              <w:bottom w:w="0" w:type="dxa"/>
              <w:right w:w="0" w:type="dxa"/>
            </w:tcMar>
            <w:vAlign w:val="center"/>
          </w:tcPr>
          <w:p w14:paraId="784C71D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560</w:t>
            </w:r>
          </w:p>
        </w:tc>
      </w:tr>
      <w:tr w14:paraId="35CE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244676C5">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7CE3357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杨拐村</w:t>
            </w:r>
          </w:p>
        </w:tc>
        <w:tc>
          <w:tcPr>
            <w:tcW w:w="951" w:type="dxa"/>
            <w:tcBorders>
              <w:tl2br w:val="nil"/>
              <w:tr2bl w:val="nil"/>
            </w:tcBorders>
            <w:tcMar>
              <w:top w:w="0" w:type="dxa"/>
              <w:left w:w="0" w:type="dxa"/>
              <w:bottom w:w="0" w:type="dxa"/>
              <w:right w:w="0" w:type="dxa"/>
            </w:tcMar>
            <w:vAlign w:val="center"/>
          </w:tcPr>
          <w:p w14:paraId="26B45B4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0D168872">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NE</w:t>
            </w:r>
          </w:p>
        </w:tc>
        <w:tc>
          <w:tcPr>
            <w:tcW w:w="1616" w:type="dxa"/>
            <w:tcBorders>
              <w:tl2br w:val="nil"/>
              <w:tr2bl w:val="nil"/>
            </w:tcBorders>
            <w:tcMar>
              <w:top w:w="0" w:type="dxa"/>
              <w:left w:w="0" w:type="dxa"/>
              <w:bottom w:w="0" w:type="dxa"/>
              <w:right w:w="0" w:type="dxa"/>
            </w:tcMar>
            <w:vAlign w:val="center"/>
          </w:tcPr>
          <w:p w14:paraId="78C4684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1818</w:t>
            </w:r>
          </w:p>
        </w:tc>
        <w:tc>
          <w:tcPr>
            <w:tcW w:w="1563" w:type="dxa"/>
            <w:tcBorders>
              <w:tl2br w:val="nil"/>
              <w:tr2bl w:val="nil"/>
            </w:tcBorders>
            <w:tcMar>
              <w:top w:w="0" w:type="dxa"/>
              <w:left w:w="0" w:type="dxa"/>
              <w:bottom w:w="0" w:type="dxa"/>
              <w:right w:w="0" w:type="dxa"/>
            </w:tcMar>
            <w:vAlign w:val="center"/>
          </w:tcPr>
          <w:p w14:paraId="10126EE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350</w:t>
            </w:r>
          </w:p>
        </w:tc>
      </w:tr>
      <w:tr w14:paraId="1130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6E34CEDD">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28F3F1E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田朱楼村</w:t>
            </w:r>
          </w:p>
        </w:tc>
        <w:tc>
          <w:tcPr>
            <w:tcW w:w="951" w:type="dxa"/>
            <w:tcBorders>
              <w:tl2br w:val="nil"/>
              <w:tr2bl w:val="nil"/>
            </w:tcBorders>
            <w:tcMar>
              <w:top w:w="0" w:type="dxa"/>
              <w:left w:w="0" w:type="dxa"/>
              <w:bottom w:w="0" w:type="dxa"/>
              <w:right w:w="0" w:type="dxa"/>
            </w:tcMar>
            <w:vAlign w:val="center"/>
          </w:tcPr>
          <w:p w14:paraId="5F98A41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5A0541FA">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NE</w:t>
            </w:r>
          </w:p>
        </w:tc>
        <w:tc>
          <w:tcPr>
            <w:tcW w:w="1616" w:type="dxa"/>
            <w:tcBorders>
              <w:tl2br w:val="nil"/>
              <w:tr2bl w:val="nil"/>
            </w:tcBorders>
            <w:tcMar>
              <w:top w:w="0" w:type="dxa"/>
              <w:left w:w="0" w:type="dxa"/>
              <w:bottom w:w="0" w:type="dxa"/>
              <w:right w:w="0" w:type="dxa"/>
            </w:tcMar>
            <w:vAlign w:val="center"/>
          </w:tcPr>
          <w:p w14:paraId="0443F96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2000</w:t>
            </w:r>
          </w:p>
        </w:tc>
        <w:tc>
          <w:tcPr>
            <w:tcW w:w="1563" w:type="dxa"/>
            <w:tcBorders>
              <w:tl2br w:val="nil"/>
              <w:tr2bl w:val="nil"/>
            </w:tcBorders>
            <w:tcMar>
              <w:top w:w="0" w:type="dxa"/>
              <w:left w:w="0" w:type="dxa"/>
              <w:bottom w:w="0" w:type="dxa"/>
              <w:right w:w="0" w:type="dxa"/>
            </w:tcMar>
            <w:vAlign w:val="center"/>
          </w:tcPr>
          <w:p w14:paraId="4FC90A8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780</w:t>
            </w:r>
          </w:p>
        </w:tc>
      </w:tr>
      <w:tr w14:paraId="617A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44" w:type="dxa"/>
            <w:vMerge w:val="continue"/>
            <w:tcBorders>
              <w:tl2br w:val="nil"/>
              <w:tr2bl w:val="nil"/>
            </w:tcBorders>
            <w:tcMar>
              <w:top w:w="0" w:type="dxa"/>
              <w:left w:w="0" w:type="dxa"/>
              <w:bottom w:w="0" w:type="dxa"/>
              <w:right w:w="0" w:type="dxa"/>
            </w:tcMar>
            <w:vAlign w:val="center"/>
          </w:tcPr>
          <w:p w14:paraId="3392DE4F">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647922F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八里庄村</w:t>
            </w:r>
          </w:p>
        </w:tc>
        <w:tc>
          <w:tcPr>
            <w:tcW w:w="951" w:type="dxa"/>
            <w:tcBorders>
              <w:tl2br w:val="nil"/>
              <w:tr2bl w:val="nil"/>
            </w:tcBorders>
            <w:tcMar>
              <w:top w:w="0" w:type="dxa"/>
              <w:left w:w="0" w:type="dxa"/>
              <w:bottom w:w="0" w:type="dxa"/>
              <w:right w:w="0" w:type="dxa"/>
            </w:tcMar>
            <w:vAlign w:val="center"/>
          </w:tcPr>
          <w:p w14:paraId="6351E7A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学校</w:t>
            </w:r>
          </w:p>
        </w:tc>
        <w:tc>
          <w:tcPr>
            <w:tcW w:w="1258" w:type="dxa"/>
            <w:tcBorders>
              <w:tl2br w:val="nil"/>
              <w:tr2bl w:val="nil"/>
            </w:tcBorders>
            <w:tcMar>
              <w:top w:w="0" w:type="dxa"/>
              <w:left w:w="0" w:type="dxa"/>
              <w:bottom w:w="0" w:type="dxa"/>
              <w:right w:w="0" w:type="dxa"/>
            </w:tcMar>
            <w:vAlign w:val="center"/>
          </w:tcPr>
          <w:p w14:paraId="3FA36C9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NE</w:t>
            </w:r>
          </w:p>
        </w:tc>
        <w:tc>
          <w:tcPr>
            <w:tcW w:w="1616" w:type="dxa"/>
            <w:tcBorders>
              <w:tl2br w:val="nil"/>
              <w:tr2bl w:val="nil"/>
            </w:tcBorders>
            <w:tcMar>
              <w:top w:w="0" w:type="dxa"/>
              <w:left w:w="0" w:type="dxa"/>
              <w:bottom w:w="0" w:type="dxa"/>
              <w:right w:w="0" w:type="dxa"/>
            </w:tcMar>
            <w:vAlign w:val="center"/>
          </w:tcPr>
          <w:p w14:paraId="32E3306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1045</w:t>
            </w:r>
          </w:p>
        </w:tc>
        <w:tc>
          <w:tcPr>
            <w:tcW w:w="1563" w:type="dxa"/>
            <w:tcBorders>
              <w:tl2br w:val="nil"/>
              <w:tr2bl w:val="nil"/>
            </w:tcBorders>
            <w:tcMar>
              <w:top w:w="0" w:type="dxa"/>
              <w:left w:w="0" w:type="dxa"/>
              <w:bottom w:w="0" w:type="dxa"/>
              <w:right w:w="0" w:type="dxa"/>
            </w:tcMar>
            <w:vAlign w:val="center"/>
          </w:tcPr>
          <w:p w14:paraId="5B12040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680</w:t>
            </w:r>
          </w:p>
        </w:tc>
      </w:tr>
      <w:tr w14:paraId="64B5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2A0B2DD2">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366EDA5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骆家村</w:t>
            </w:r>
          </w:p>
        </w:tc>
        <w:tc>
          <w:tcPr>
            <w:tcW w:w="951" w:type="dxa"/>
            <w:tcBorders>
              <w:tl2br w:val="nil"/>
              <w:tr2bl w:val="nil"/>
            </w:tcBorders>
            <w:tcMar>
              <w:top w:w="0" w:type="dxa"/>
              <w:left w:w="0" w:type="dxa"/>
              <w:bottom w:w="0" w:type="dxa"/>
              <w:right w:w="0" w:type="dxa"/>
            </w:tcMar>
            <w:vAlign w:val="center"/>
          </w:tcPr>
          <w:p w14:paraId="004D1EA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56912D0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NE</w:t>
            </w:r>
          </w:p>
        </w:tc>
        <w:tc>
          <w:tcPr>
            <w:tcW w:w="1616" w:type="dxa"/>
            <w:tcBorders>
              <w:tl2br w:val="nil"/>
              <w:tr2bl w:val="nil"/>
            </w:tcBorders>
            <w:tcMar>
              <w:top w:w="0" w:type="dxa"/>
              <w:left w:w="0" w:type="dxa"/>
              <w:bottom w:w="0" w:type="dxa"/>
              <w:right w:w="0" w:type="dxa"/>
            </w:tcMar>
            <w:vAlign w:val="center"/>
          </w:tcPr>
          <w:p w14:paraId="4C7F9AB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197</w:t>
            </w:r>
          </w:p>
        </w:tc>
        <w:tc>
          <w:tcPr>
            <w:tcW w:w="1563" w:type="dxa"/>
            <w:tcBorders>
              <w:tl2br w:val="nil"/>
              <w:tr2bl w:val="nil"/>
            </w:tcBorders>
            <w:tcMar>
              <w:top w:w="0" w:type="dxa"/>
              <w:left w:w="0" w:type="dxa"/>
              <w:bottom w:w="0" w:type="dxa"/>
              <w:right w:w="0" w:type="dxa"/>
            </w:tcMar>
            <w:vAlign w:val="center"/>
          </w:tcPr>
          <w:p w14:paraId="3899F37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bCs/>
                <w:szCs w:val="21"/>
              </w:rPr>
              <w:t>1295</w:t>
            </w:r>
          </w:p>
        </w:tc>
      </w:tr>
      <w:tr w14:paraId="366D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4" w:type="dxa"/>
            <w:vMerge w:val="continue"/>
            <w:tcBorders>
              <w:tl2br w:val="nil"/>
              <w:tr2bl w:val="nil"/>
            </w:tcBorders>
            <w:tcMar>
              <w:top w:w="0" w:type="dxa"/>
              <w:left w:w="0" w:type="dxa"/>
              <w:bottom w:w="0" w:type="dxa"/>
              <w:right w:w="0" w:type="dxa"/>
            </w:tcMar>
            <w:vAlign w:val="center"/>
          </w:tcPr>
          <w:p w14:paraId="25B0BEC9">
            <w:pPr>
              <w:pStyle w:val="18"/>
              <w:adjustRightInd/>
              <w:spacing w:before="0" w:line="240" w:lineRule="auto"/>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2FE4E32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卞家村</w:t>
            </w:r>
          </w:p>
        </w:tc>
        <w:tc>
          <w:tcPr>
            <w:tcW w:w="951" w:type="dxa"/>
            <w:tcBorders>
              <w:tl2br w:val="nil"/>
              <w:tr2bl w:val="nil"/>
            </w:tcBorders>
            <w:tcMar>
              <w:top w:w="0" w:type="dxa"/>
              <w:left w:w="0" w:type="dxa"/>
              <w:bottom w:w="0" w:type="dxa"/>
              <w:right w:w="0" w:type="dxa"/>
            </w:tcMar>
            <w:vAlign w:val="center"/>
          </w:tcPr>
          <w:p w14:paraId="599BB97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1833727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SE</w:t>
            </w:r>
          </w:p>
        </w:tc>
        <w:tc>
          <w:tcPr>
            <w:tcW w:w="1616" w:type="dxa"/>
            <w:tcBorders>
              <w:tl2br w:val="nil"/>
              <w:tr2bl w:val="nil"/>
            </w:tcBorders>
            <w:tcMar>
              <w:top w:w="0" w:type="dxa"/>
              <w:left w:w="0" w:type="dxa"/>
              <w:bottom w:w="0" w:type="dxa"/>
              <w:right w:w="0" w:type="dxa"/>
            </w:tcMar>
            <w:vAlign w:val="center"/>
          </w:tcPr>
          <w:p w14:paraId="412125E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1430</w:t>
            </w:r>
          </w:p>
        </w:tc>
        <w:tc>
          <w:tcPr>
            <w:tcW w:w="1563" w:type="dxa"/>
            <w:tcBorders>
              <w:tl2br w:val="nil"/>
              <w:tr2bl w:val="nil"/>
            </w:tcBorders>
            <w:tcMar>
              <w:top w:w="0" w:type="dxa"/>
              <w:left w:w="0" w:type="dxa"/>
              <w:bottom w:w="0" w:type="dxa"/>
              <w:right w:w="0" w:type="dxa"/>
            </w:tcMar>
            <w:vAlign w:val="center"/>
          </w:tcPr>
          <w:p w14:paraId="6E6BE90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320</w:t>
            </w:r>
          </w:p>
        </w:tc>
      </w:tr>
      <w:tr w14:paraId="1679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tcBorders>
              <w:tl2br w:val="nil"/>
              <w:tr2bl w:val="nil"/>
            </w:tcBorders>
            <w:tcMar>
              <w:top w:w="0" w:type="dxa"/>
              <w:left w:w="0" w:type="dxa"/>
              <w:bottom w:w="0" w:type="dxa"/>
              <w:right w:w="0" w:type="dxa"/>
            </w:tcMar>
            <w:vAlign w:val="center"/>
          </w:tcPr>
          <w:p w14:paraId="12F7821F">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43D2E4E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殷家村</w:t>
            </w:r>
          </w:p>
        </w:tc>
        <w:tc>
          <w:tcPr>
            <w:tcW w:w="951" w:type="dxa"/>
            <w:tcBorders>
              <w:tl2br w:val="nil"/>
              <w:tr2bl w:val="nil"/>
            </w:tcBorders>
            <w:tcMar>
              <w:top w:w="0" w:type="dxa"/>
              <w:left w:w="0" w:type="dxa"/>
              <w:bottom w:w="0" w:type="dxa"/>
              <w:right w:w="0" w:type="dxa"/>
            </w:tcMar>
            <w:vAlign w:val="center"/>
          </w:tcPr>
          <w:p w14:paraId="4A92BAD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2B30ED4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SE</w:t>
            </w:r>
          </w:p>
        </w:tc>
        <w:tc>
          <w:tcPr>
            <w:tcW w:w="1616" w:type="dxa"/>
            <w:tcBorders>
              <w:tl2br w:val="nil"/>
              <w:tr2bl w:val="nil"/>
            </w:tcBorders>
            <w:tcMar>
              <w:top w:w="0" w:type="dxa"/>
              <w:left w:w="0" w:type="dxa"/>
              <w:bottom w:w="0" w:type="dxa"/>
              <w:right w:w="0" w:type="dxa"/>
            </w:tcMar>
            <w:vAlign w:val="center"/>
          </w:tcPr>
          <w:p w14:paraId="09EFB03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1925</w:t>
            </w:r>
          </w:p>
        </w:tc>
        <w:tc>
          <w:tcPr>
            <w:tcW w:w="1563" w:type="dxa"/>
            <w:tcBorders>
              <w:tl2br w:val="nil"/>
              <w:tr2bl w:val="nil"/>
            </w:tcBorders>
            <w:tcMar>
              <w:top w:w="0" w:type="dxa"/>
              <w:left w:w="0" w:type="dxa"/>
              <w:bottom w:w="0" w:type="dxa"/>
              <w:right w:w="0" w:type="dxa"/>
            </w:tcMar>
            <w:vAlign w:val="center"/>
          </w:tcPr>
          <w:p w14:paraId="7109D2A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280</w:t>
            </w:r>
          </w:p>
        </w:tc>
      </w:tr>
      <w:tr w14:paraId="0FE5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44" w:type="dxa"/>
            <w:vMerge w:val="continue"/>
            <w:tcBorders>
              <w:tl2br w:val="nil"/>
              <w:tr2bl w:val="nil"/>
            </w:tcBorders>
            <w:tcMar>
              <w:top w:w="0" w:type="dxa"/>
              <w:left w:w="0" w:type="dxa"/>
              <w:bottom w:w="0" w:type="dxa"/>
              <w:right w:w="0" w:type="dxa"/>
            </w:tcMar>
            <w:vAlign w:val="center"/>
          </w:tcPr>
          <w:p w14:paraId="236C1ACC">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759A672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怡园风景</w:t>
            </w:r>
          </w:p>
        </w:tc>
        <w:tc>
          <w:tcPr>
            <w:tcW w:w="951" w:type="dxa"/>
            <w:tcBorders>
              <w:tl2br w:val="nil"/>
              <w:tr2bl w:val="nil"/>
            </w:tcBorders>
            <w:tcMar>
              <w:top w:w="0" w:type="dxa"/>
              <w:left w:w="0" w:type="dxa"/>
              <w:bottom w:w="0" w:type="dxa"/>
              <w:right w:w="0" w:type="dxa"/>
            </w:tcMar>
            <w:vAlign w:val="center"/>
          </w:tcPr>
          <w:p w14:paraId="58D2B64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14CF84C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w:t>
            </w:r>
          </w:p>
        </w:tc>
        <w:tc>
          <w:tcPr>
            <w:tcW w:w="1616" w:type="dxa"/>
            <w:tcBorders>
              <w:tl2br w:val="nil"/>
              <w:tr2bl w:val="nil"/>
            </w:tcBorders>
            <w:tcMar>
              <w:top w:w="0" w:type="dxa"/>
              <w:left w:w="0" w:type="dxa"/>
              <w:bottom w:w="0" w:type="dxa"/>
              <w:right w:w="0" w:type="dxa"/>
            </w:tcMar>
            <w:vAlign w:val="center"/>
          </w:tcPr>
          <w:p w14:paraId="2BA6B7F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1980</w:t>
            </w:r>
          </w:p>
        </w:tc>
        <w:tc>
          <w:tcPr>
            <w:tcW w:w="1563" w:type="dxa"/>
            <w:tcBorders>
              <w:tl2br w:val="nil"/>
              <w:tr2bl w:val="nil"/>
            </w:tcBorders>
            <w:tcMar>
              <w:top w:w="0" w:type="dxa"/>
              <w:left w:w="0" w:type="dxa"/>
              <w:bottom w:w="0" w:type="dxa"/>
              <w:right w:w="0" w:type="dxa"/>
            </w:tcMar>
            <w:vAlign w:val="center"/>
          </w:tcPr>
          <w:p w14:paraId="59FA43C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450</w:t>
            </w:r>
          </w:p>
        </w:tc>
      </w:tr>
      <w:tr w14:paraId="1248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44" w:type="dxa"/>
            <w:vMerge w:val="continue"/>
            <w:tcBorders>
              <w:tl2br w:val="nil"/>
              <w:tr2bl w:val="nil"/>
            </w:tcBorders>
            <w:tcMar>
              <w:top w:w="0" w:type="dxa"/>
              <w:left w:w="0" w:type="dxa"/>
              <w:bottom w:w="0" w:type="dxa"/>
              <w:right w:w="0" w:type="dxa"/>
            </w:tcMar>
            <w:vAlign w:val="center"/>
          </w:tcPr>
          <w:p w14:paraId="79039301">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2D0E2F6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骆家实验幼儿园</w:t>
            </w:r>
          </w:p>
        </w:tc>
        <w:tc>
          <w:tcPr>
            <w:tcW w:w="951" w:type="dxa"/>
            <w:tcBorders>
              <w:tl2br w:val="nil"/>
              <w:tr2bl w:val="nil"/>
            </w:tcBorders>
            <w:tcMar>
              <w:top w:w="0" w:type="dxa"/>
              <w:left w:w="0" w:type="dxa"/>
              <w:bottom w:w="0" w:type="dxa"/>
              <w:right w:w="0" w:type="dxa"/>
            </w:tcMar>
            <w:vAlign w:val="center"/>
          </w:tcPr>
          <w:p w14:paraId="5A9CBFE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学校</w:t>
            </w:r>
          </w:p>
        </w:tc>
        <w:tc>
          <w:tcPr>
            <w:tcW w:w="1258" w:type="dxa"/>
            <w:tcBorders>
              <w:tl2br w:val="nil"/>
              <w:tr2bl w:val="nil"/>
            </w:tcBorders>
            <w:tcMar>
              <w:top w:w="0" w:type="dxa"/>
              <w:left w:w="0" w:type="dxa"/>
              <w:bottom w:w="0" w:type="dxa"/>
              <w:right w:w="0" w:type="dxa"/>
            </w:tcMar>
            <w:vAlign w:val="center"/>
          </w:tcPr>
          <w:p w14:paraId="67DDE11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t>
            </w:r>
          </w:p>
        </w:tc>
        <w:tc>
          <w:tcPr>
            <w:tcW w:w="1616" w:type="dxa"/>
            <w:tcBorders>
              <w:tl2br w:val="nil"/>
              <w:tr2bl w:val="nil"/>
            </w:tcBorders>
            <w:tcMar>
              <w:top w:w="0" w:type="dxa"/>
              <w:left w:w="0" w:type="dxa"/>
              <w:bottom w:w="0" w:type="dxa"/>
              <w:right w:w="0" w:type="dxa"/>
            </w:tcMar>
            <w:vAlign w:val="center"/>
          </w:tcPr>
          <w:p w14:paraId="63CF36D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351</w:t>
            </w:r>
          </w:p>
        </w:tc>
        <w:tc>
          <w:tcPr>
            <w:tcW w:w="1563" w:type="dxa"/>
            <w:tcBorders>
              <w:tl2br w:val="nil"/>
              <w:tr2bl w:val="nil"/>
            </w:tcBorders>
            <w:tcMar>
              <w:top w:w="0" w:type="dxa"/>
              <w:left w:w="0" w:type="dxa"/>
              <w:bottom w:w="0" w:type="dxa"/>
              <w:right w:w="0" w:type="dxa"/>
            </w:tcMar>
            <w:vAlign w:val="center"/>
          </w:tcPr>
          <w:p w14:paraId="20F97F1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80</w:t>
            </w:r>
          </w:p>
        </w:tc>
      </w:tr>
      <w:tr w14:paraId="09CE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644" w:type="dxa"/>
            <w:vMerge w:val="continue"/>
            <w:tcBorders>
              <w:tl2br w:val="nil"/>
              <w:tr2bl w:val="nil"/>
            </w:tcBorders>
            <w:tcMar>
              <w:top w:w="0" w:type="dxa"/>
              <w:left w:w="0" w:type="dxa"/>
              <w:bottom w:w="0" w:type="dxa"/>
              <w:right w:w="0" w:type="dxa"/>
            </w:tcMar>
            <w:vAlign w:val="center"/>
          </w:tcPr>
          <w:p w14:paraId="1A7D4985">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17E2119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供电局家属院</w:t>
            </w:r>
          </w:p>
        </w:tc>
        <w:tc>
          <w:tcPr>
            <w:tcW w:w="951" w:type="dxa"/>
            <w:tcBorders>
              <w:tl2br w:val="nil"/>
              <w:tr2bl w:val="nil"/>
            </w:tcBorders>
            <w:tcMar>
              <w:top w:w="0" w:type="dxa"/>
              <w:left w:w="0" w:type="dxa"/>
              <w:bottom w:w="0" w:type="dxa"/>
              <w:right w:w="0" w:type="dxa"/>
            </w:tcMar>
            <w:vAlign w:val="center"/>
          </w:tcPr>
          <w:p w14:paraId="08F65F7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43143B3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w:t>
            </w:r>
          </w:p>
        </w:tc>
        <w:tc>
          <w:tcPr>
            <w:tcW w:w="1616" w:type="dxa"/>
            <w:tcBorders>
              <w:tl2br w:val="nil"/>
              <w:tr2bl w:val="nil"/>
            </w:tcBorders>
            <w:tcMar>
              <w:top w:w="0" w:type="dxa"/>
              <w:left w:w="0" w:type="dxa"/>
              <w:bottom w:w="0" w:type="dxa"/>
              <w:right w:w="0" w:type="dxa"/>
            </w:tcMar>
            <w:vAlign w:val="center"/>
          </w:tcPr>
          <w:p w14:paraId="478CDF2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2766</w:t>
            </w:r>
          </w:p>
        </w:tc>
        <w:tc>
          <w:tcPr>
            <w:tcW w:w="1563" w:type="dxa"/>
            <w:tcBorders>
              <w:tl2br w:val="nil"/>
              <w:tr2bl w:val="nil"/>
            </w:tcBorders>
            <w:tcMar>
              <w:top w:w="0" w:type="dxa"/>
              <w:left w:w="0" w:type="dxa"/>
              <w:bottom w:w="0" w:type="dxa"/>
              <w:right w:w="0" w:type="dxa"/>
            </w:tcMar>
            <w:vAlign w:val="center"/>
          </w:tcPr>
          <w:p w14:paraId="1FC846B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340</w:t>
            </w:r>
          </w:p>
        </w:tc>
      </w:tr>
      <w:tr w14:paraId="0C49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644" w:type="dxa"/>
            <w:vMerge w:val="continue"/>
            <w:tcBorders>
              <w:tl2br w:val="nil"/>
              <w:tr2bl w:val="nil"/>
            </w:tcBorders>
            <w:tcMar>
              <w:top w:w="0" w:type="dxa"/>
              <w:left w:w="0" w:type="dxa"/>
              <w:bottom w:w="0" w:type="dxa"/>
              <w:right w:w="0" w:type="dxa"/>
            </w:tcMar>
            <w:vAlign w:val="center"/>
          </w:tcPr>
          <w:p w14:paraId="512720CD">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40C80F1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越秀国际</w:t>
            </w:r>
          </w:p>
        </w:tc>
        <w:tc>
          <w:tcPr>
            <w:tcW w:w="951" w:type="dxa"/>
            <w:tcBorders>
              <w:tl2br w:val="nil"/>
              <w:tr2bl w:val="nil"/>
            </w:tcBorders>
            <w:tcMar>
              <w:top w:w="0" w:type="dxa"/>
              <w:left w:w="0" w:type="dxa"/>
              <w:bottom w:w="0" w:type="dxa"/>
              <w:right w:w="0" w:type="dxa"/>
            </w:tcMar>
            <w:vAlign w:val="center"/>
          </w:tcPr>
          <w:p w14:paraId="51BF4C9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0CAC74C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w:t>
            </w:r>
          </w:p>
        </w:tc>
        <w:tc>
          <w:tcPr>
            <w:tcW w:w="1616" w:type="dxa"/>
            <w:tcBorders>
              <w:tl2br w:val="nil"/>
              <w:tr2bl w:val="nil"/>
            </w:tcBorders>
            <w:tcMar>
              <w:top w:w="0" w:type="dxa"/>
              <w:left w:w="0" w:type="dxa"/>
              <w:bottom w:w="0" w:type="dxa"/>
              <w:right w:w="0" w:type="dxa"/>
            </w:tcMar>
            <w:vAlign w:val="center"/>
          </w:tcPr>
          <w:p w14:paraId="26F642D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2660</w:t>
            </w:r>
          </w:p>
        </w:tc>
        <w:tc>
          <w:tcPr>
            <w:tcW w:w="1563" w:type="dxa"/>
            <w:tcBorders>
              <w:tl2br w:val="nil"/>
              <w:tr2bl w:val="nil"/>
            </w:tcBorders>
            <w:tcMar>
              <w:top w:w="0" w:type="dxa"/>
              <w:left w:w="0" w:type="dxa"/>
              <w:bottom w:w="0" w:type="dxa"/>
              <w:right w:w="0" w:type="dxa"/>
            </w:tcMar>
            <w:vAlign w:val="center"/>
          </w:tcPr>
          <w:p w14:paraId="514276D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1300</w:t>
            </w:r>
          </w:p>
        </w:tc>
      </w:tr>
      <w:tr w14:paraId="2E71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44" w:type="dxa"/>
            <w:vMerge w:val="continue"/>
            <w:tcBorders>
              <w:tl2br w:val="nil"/>
              <w:tr2bl w:val="nil"/>
            </w:tcBorders>
            <w:tcMar>
              <w:top w:w="0" w:type="dxa"/>
              <w:left w:w="0" w:type="dxa"/>
              <w:bottom w:w="0" w:type="dxa"/>
              <w:right w:w="0" w:type="dxa"/>
            </w:tcMar>
            <w:vAlign w:val="center"/>
          </w:tcPr>
          <w:p w14:paraId="2A5E1D22">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61D7684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王窑村</w:t>
            </w:r>
          </w:p>
        </w:tc>
        <w:tc>
          <w:tcPr>
            <w:tcW w:w="951" w:type="dxa"/>
            <w:tcBorders>
              <w:tl2br w:val="nil"/>
              <w:tr2bl w:val="nil"/>
            </w:tcBorders>
            <w:tcMar>
              <w:top w:w="0" w:type="dxa"/>
              <w:left w:w="0" w:type="dxa"/>
              <w:bottom w:w="0" w:type="dxa"/>
              <w:right w:w="0" w:type="dxa"/>
            </w:tcMar>
            <w:vAlign w:val="center"/>
          </w:tcPr>
          <w:p w14:paraId="522CC54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11F510A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w:t>
            </w:r>
          </w:p>
        </w:tc>
        <w:tc>
          <w:tcPr>
            <w:tcW w:w="1616" w:type="dxa"/>
            <w:tcBorders>
              <w:tl2br w:val="nil"/>
              <w:tr2bl w:val="nil"/>
            </w:tcBorders>
            <w:tcMar>
              <w:top w:w="0" w:type="dxa"/>
              <w:left w:w="0" w:type="dxa"/>
              <w:bottom w:w="0" w:type="dxa"/>
              <w:right w:w="0" w:type="dxa"/>
            </w:tcMar>
            <w:vAlign w:val="center"/>
          </w:tcPr>
          <w:p w14:paraId="494F7E1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2676</w:t>
            </w:r>
          </w:p>
        </w:tc>
        <w:tc>
          <w:tcPr>
            <w:tcW w:w="1563" w:type="dxa"/>
            <w:tcBorders>
              <w:tl2br w:val="nil"/>
              <w:tr2bl w:val="nil"/>
            </w:tcBorders>
            <w:tcMar>
              <w:top w:w="0" w:type="dxa"/>
              <w:left w:w="0" w:type="dxa"/>
              <w:bottom w:w="0" w:type="dxa"/>
              <w:right w:w="0" w:type="dxa"/>
            </w:tcMar>
            <w:vAlign w:val="center"/>
          </w:tcPr>
          <w:p w14:paraId="5629FCE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750</w:t>
            </w:r>
          </w:p>
        </w:tc>
      </w:tr>
      <w:tr w14:paraId="6720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644" w:type="dxa"/>
            <w:vMerge w:val="continue"/>
            <w:tcBorders>
              <w:tl2br w:val="nil"/>
              <w:tr2bl w:val="nil"/>
            </w:tcBorders>
            <w:tcMar>
              <w:top w:w="0" w:type="dxa"/>
              <w:left w:w="0" w:type="dxa"/>
              <w:bottom w:w="0" w:type="dxa"/>
              <w:right w:w="0" w:type="dxa"/>
            </w:tcMar>
            <w:vAlign w:val="center"/>
          </w:tcPr>
          <w:p w14:paraId="042A99B0">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2B0467A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张庄村</w:t>
            </w:r>
          </w:p>
        </w:tc>
        <w:tc>
          <w:tcPr>
            <w:tcW w:w="951" w:type="dxa"/>
            <w:tcBorders>
              <w:tl2br w:val="nil"/>
              <w:tr2bl w:val="nil"/>
            </w:tcBorders>
            <w:tcMar>
              <w:top w:w="0" w:type="dxa"/>
              <w:left w:w="0" w:type="dxa"/>
              <w:bottom w:w="0" w:type="dxa"/>
              <w:right w:w="0" w:type="dxa"/>
            </w:tcMar>
            <w:vAlign w:val="center"/>
          </w:tcPr>
          <w:p w14:paraId="5F53298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2E9A11B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w:t>
            </w:r>
          </w:p>
        </w:tc>
        <w:tc>
          <w:tcPr>
            <w:tcW w:w="1616" w:type="dxa"/>
            <w:tcBorders>
              <w:tl2br w:val="nil"/>
              <w:tr2bl w:val="nil"/>
            </w:tcBorders>
            <w:tcMar>
              <w:top w:w="0" w:type="dxa"/>
              <w:left w:w="0" w:type="dxa"/>
              <w:bottom w:w="0" w:type="dxa"/>
              <w:right w:w="0" w:type="dxa"/>
            </w:tcMar>
            <w:vAlign w:val="center"/>
          </w:tcPr>
          <w:p w14:paraId="636AD8C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2625</w:t>
            </w:r>
          </w:p>
        </w:tc>
        <w:tc>
          <w:tcPr>
            <w:tcW w:w="1563" w:type="dxa"/>
            <w:tcBorders>
              <w:tl2br w:val="nil"/>
              <w:tr2bl w:val="nil"/>
            </w:tcBorders>
            <w:tcMar>
              <w:top w:w="0" w:type="dxa"/>
              <w:left w:w="0" w:type="dxa"/>
              <w:bottom w:w="0" w:type="dxa"/>
              <w:right w:w="0" w:type="dxa"/>
            </w:tcMar>
            <w:vAlign w:val="center"/>
          </w:tcPr>
          <w:p w14:paraId="5D1D4B3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680</w:t>
            </w:r>
          </w:p>
        </w:tc>
      </w:tr>
      <w:tr w14:paraId="011D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644" w:type="dxa"/>
            <w:vMerge w:val="continue"/>
            <w:tcBorders>
              <w:tl2br w:val="nil"/>
              <w:tr2bl w:val="nil"/>
            </w:tcBorders>
            <w:tcMar>
              <w:top w:w="0" w:type="dxa"/>
              <w:left w:w="0" w:type="dxa"/>
              <w:bottom w:w="0" w:type="dxa"/>
              <w:right w:w="0" w:type="dxa"/>
            </w:tcMar>
            <w:vAlign w:val="center"/>
          </w:tcPr>
          <w:p w14:paraId="3333591F">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59E5847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西大屯村</w:t>
            </w:r>
          </w:p>
        </w:tc>
        <w:tc>
          <w:tcPr>
            <w:tcW w:w="951" w:type="dxa"/>
            <w:tcBorders>
              <w:tl2br w:val="nil"/>
              <w:tr2bl w:val="nil"/>
            </w:tcBorders>
            <w:tcMar>
              <w:top w:w="0" w:type="dxa"/>
              <w:left w:w="0" w:type="dxa"/>
              <w:bottom w:w="0" w:type="dxa"/>
              <w:right w:w="0" w:type="dxa"/>
            </w:tcMar>
            <w:vAlign w:val="center"/>
          </w:tcPr>
          <w:p w14:paraId="0A372578">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17E3F54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t>
            </w:r>
          </w:p>
        </w:tc>
        <w:tc>
          <w:tcPr>
            <w:tcW w:w="1616" w:type="dxa"/>
            <w:tcBorders>
              <w:tl2br w:val="nil"/>
              <w:tr2bl w:val="nil"/>
            </w:tcBorders>
            <w:tcMar>
              <w:top w:w="0" w:type="dxa"/>
              <w:left w:w="0" w:type="dxa"/>
              <w:bottom w:w="0" w:type="dxa"/>
              <w:right w:w="0" w:type="dxa"/>
            </w:tcMar>
            <w:vAlign w:val="center"/>
          </w:tcPr>
          <w:p w14:paraId="21E0677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2313</w:t>
            </w:r>
          </w:p>
        </w:tc>
        <w:tc>
          <w:tcPr>
            <w:tcW w:w="1563" w:type="dxa"/>
            <w:tcBorders>
              <w:tl2br w:val="nil"/>
              <w:tr2bl w:val="nil"/>
            </w:tcBorders>
            <w:tcMar>
              <w:top w:w="0" w:type="dxa"/>
              <w:left w:w="0" w:type="dxa"/>
              <w:bottom w:w="0" w:type="dxa"/>
              <w:right w:w="0" w:type="dxa"/>
            </w:tcMar>
            <w:vAlign w:val="center"/>
          </w:tcPr>
          <w:p w14:paraId="6443446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520</w:t>
            </w:r>
          </w:p>
        </w:tc>
      </w:tr>
      <w:tr w14:paraId="007C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44" w:type="dxa"/>
            <w:vMerge w:val="continue"/>
            <w:tcBorders>
              <w:tl2br w:val="nil"/>
              <w:tr2bl w:val="nil"/>
            </w:tcBorders>
            <w:tcMar>
              <w:top w:w="0" w:type="dxa"/>
              <w:left w:w="0" w:type="dxa"/>
              <w:bottom w:w="0" w:type="dxa"/>
              <w:right w:w="0" w:type="dxa"/>
            </w:tcMar>
            <w:vAlign w:val="center"/>
          </w:tcPr>
          <w:p w14:paraId="0DD6B3E9">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0A0BA08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大屯村</w:t>
            </w:r>
          </w:p>
        </w:tc>
        <w:tc>
          <w:tcPr>
            <w:tcW w:w="951" w:type="dxa"/>
            <w:tcBorders>
              <w:tl2br w:val="nil"/>
              <w:tr2bl w:val="nil"/>
            </w:tcBorders>
            <w:tcMar>
              <w:top w:w="0" w:type="dxa"/>
              <w:left w:w="0" w:type="dxa"/>
              <w:bottom w:w="0" w:type="dxa"/>
              <w:right w:w="0" w:type="dxa"/>
            </w:tcMar>
            <w:vAlign w:val="center"/>
          </w:tcPr>
          <w:p w14:paraId="03850B7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19D0998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w:t>
            </w:r>
          </w:p>
        </w:tc>
        <w:tc>
          <w:tcPr>
            <w:tcW w:w="1616" w:type="dxa"/>
            <w:tcBorders>
              <w:tl2br w:val="nil"/>
              <w:tr2bl w:val="nil"/>
            </w:tcBorders>
            <w:tcMar>
              <w:top w:w="0" w:type="dxa"/>
              <w:left w:w="0" w:type="dxa"/>
              <w:bottom w:w="0" w:type="dxa"/>
              <w:right w:w="0" w:type="dxa"/>
            </w:tcMar>
            <w:vAlign w:val="center"/>
          </w:tcPr>
          <w:p w14:paraId="3E43413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2761</w:t>
            </w:r>
          </w:p>
        </w:tc>
        <w:tc>
          <w:tcPr>
            <w:tcW w:w="1563" w:type="dxa"/>
            <w:tcBorders>
              <w:tl2br w:val="nil"/>
              <w:tr2bl w:val="nil"/>
            </w:tcBorders>
            <w:tcMar>
              <w:top w:w="0" w:type="dxa"/>
              <w:left w:w="0" w:type="dxa"/>
              <w:bottom w:w="0" w:type="dxa"/>
              <w:right w:w="0" w:type="dxa"/>
            </w:tcMar>
            <w:vAlign w:val="center"/>
          </w:tcPr>
          <w:p w14:paraId="273EF97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370</w:t>
            </w:r>
          </w:p>
        </w:tc>
      </w:tr>
      <w:tr w14:paraId="4A8A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4" w:type="dxa"/>
            <w:vMerge w:val="continue"/>
            <w:tcBorders>
              <w:tl2br w:val="nil"/>
              <w:tr2bl w:val="nil"/>
            </w:tcBorders>
            <w:tcMar>
              <w:top w:w="0" w:type="dxa"/>
              <w:left w:w="0" w:type="dxa"/>
              <w:bottom w:w="0" w:type="dxa"/>
              <w:right w:w="0" w:type="dxa"/>
            </w:tcMar>
            <w:vAlign w:val="center"/>
          </w:tcPr>
          <w:p w14:paraId="18083CB3">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11B3838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后朱楼村</w:t>
            </w:r>
          </w:p>
        </w:tc>
        <w:tc>
          <w:tcPr>
            <w:tcW w:w="951" w:type="dxa"/>
            <w:tcBorders>
              <w:tl2br w:val="nil"/>
              <w:tr2bl w:val="nil"/>
            </w:tcBorders>
            <w:tcMar>
              <w:top w:w="0" w:type="dxa"/>
              <w:left w:w="0" w:type="dxa"/>
              <w:bottom w:w="0" w:type="dxa"/>
              <w:right w:w="0" w:type="dxa"/>
            </w:tcMar>
            <w:vAlign w:val="center"/>
          </w:tcPr>
          <w:p w14:paraId="3D8A0F7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73EDEC3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NE</w:t>
            </w:r>
          </w:p>
        </w:tc>
        <w:tc>
          <w:tcPr>
            <w:tcW w:w="1616" w:type="dxa"/>
            <w:tcBorders>
              <w:tl2br w:val="nil"/>
              <w:tr2bl w:val="nil"/>
            </w:tcBorders>
            <w:tcMar>
              <w:top w:w="0" w:type="dxa"/>
              <w:left w:w="0" w:type="dxa"/>
              <w:bottom w:w="0" w:type="dxa"/>
              <w:right w:w="0" w:type="dxa"/>
            </w:tcMar>
            <w:vAlign w:val="center"/>
          </w:tcPr>
          <w:p w14:paraId="1556D82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2772</w:t>
            </w:r>
          </w:p>
        </w:tc>
        <w:tc>
          <w:tcPr>
            <w:tcW w:w="1563" w:type="dxa"/>
            <w:tcBorders>
              <w:tl2br w:val="nil"/>
              <w:tr2bl w:val="nil"/>
            </w:tcBorders>
            <w:tcMar>
              <w:top w:w="0" w:type="dxa"/>
              <w:left w:w="0" w:type="dxa"/>
              <w:bottom w:w="0" w:type="dxa"/>
              <w:right w:w="0" w:type="dxa"/>
            </w:tcMar>
            <w:vAlign w:val="center"/>
          </w:tcPr>
          <w:p w14:paraId="416840A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450</w:t>
            </w:r>
          </w:p>
        </w:tc>
      </w:tr>
      <w:tr w14:paraId="76F5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644" w:type="dxa"/>
            <w:vMerge w:val="continue"/>
            <w:tcBorders>
              <w:tl2br w:val="nil"/>
              <w:tr2bl w:val="nil"/>
            </w:tcBorders>
            <w:tcMar>
              <w:top w:w="0" w:type="dxa"/>
              <w:left w:w="0" w:type="dxa"/>
              <w:bottom w:w="0" w:type="dxa"/>
              <w:right w:w="0" w:type="dxa"/>
            </w:tcMar>
            <w:vAlign w:val="center"/>
          </w:tcPr>
          <w:p w14:paraId="7C6A085D">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586F6DB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梅庄村</w:t>
            </w:r>
          </w:p>
        </w:tc>
        <w:tc>
          <w:tcPr>
            <w:tcW w:w="951" w:type="dxa"/>
            <w:tcBorders>
              <w:tl2br w:val="nil"/>
              <w:tr2bl w:val="nil"/>
            </w:tcBorders>
            <w:tcMar>
              <w:top w:w="0" w:type="dxa"/>
              <w:left w:w="0" w:type="dxa"/>
              <w:bottom w:w="0" w:type="dxa"/>
              <w:right w:w="0" w:type="dxa"/>
            </w:tcMar>
            <w:vAlign w:val="center"/>
          </w:tcPr>
          <w:p w14:paraId="684ADAF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0C05486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E</w:t>
            </w:r>
          </w:p>
        </w:tc>
        <w:tc>
          <w:tcPr>
            <w:tcW w:w="1616" w:type="dxa"/>
            <w:tcBorders>
              <w:tl2br w:val="nil"/>
              <w:tr2bl w:val="nil"/>
            </w:tcBorders>
            <w:tcMar>
              <w:top w:w="0" w:type="dxa"/>
              <w:left w:w="0" w:type="dxa"/>
              <w:bottom w:w="0" w:type="dxa"/>
              <w:right w:w="0" w:type="dxa"/>
            </w:tcMar>
            <w:vAlign w:val="center"/>
          </w:tcPr>
          <w:p w14:paraId="6B7A812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2675</w:t>
            </w:r>
          </w:p>
        </w:tc>
        <w:tc>
          <w:tcPr>
            <w:tcW w:w="1563" w:type="dxa"/>
            <w:tcBorders>
              <w:tl2br w:val="nil"/>
              <w:tr2bl w:val="nil"/>
            </w:tcBorders>
            <w:tcMar>
              <w:top w:w="0" w:type="dxa"/>
              <w:left w:w="0" w:type="dxa"/>
              <w:bottom w:w="0" w:type="dxa"/>
              <w:right w:w="0" w:type="dxa"/>
            </w:tcMar>
            <w:vAlign w:val="center"/>
          </w:tcPr>
          <w:p w14:paraId="4E843A9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380</w:t>
            </w:r>
          </w:p>
        </w:tc>
      </w:tr>
      <w:tr w14:paraId="6C25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644" w:type="dxa"/>
            <w:vMerge w:val="continue"/>
            <w:tcBorders>
              <w:tl2br w:val="nil"/>
              <w:tr2bl w:val="nil"/>
            </w:tcBorders>
            <w:tcMar>
              <w:top w:w="0" w:type="dxa"/>
              <w:left w:w="0" w:type="dxa"/>
              <w:bottom w:w="0" w:type="dxa"/>
              <w:right w:w="0" w:type="dxa"/>
            </w:tcMar>
            <w:vAlign w:val="center"/>
          </w:tcPr>
          <w:p w14:paraId="7CAB828A">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63641A2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户家村</w:t>
            </w:r>
          </w:p>
        </w:tc>
        <w:tc>
          <w:tcPr>
            <w:tcW w:w="951" w:type="dxa"/>
            <w:tcBorders>
              <w:tl2br w:val="nil"/>
              <w:tr2bl w:val="nil"/>
            </w:tcBorders>
            <w:tcMar>
              <w:top w:w="0" w:type="dxa"/>
              <w:left w:w="0" w:type="dxa"/>
              <w:bottom w:w="0" w:type="dxa"/>
              <w:right w:w="0" w:type="dxa"/>
            </w:tcMar>
            <w:vAlign w:val="center"/>
          </w:tcPr>
          <w:p w14:paraId="3FC27EB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2D76ED9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E</w:t>
            </w:r>
          </w:p>
        </w:tc>
        <w:tc>
          <w:tcPr>
            <w:tcW w:w="1616" w:type="dxa"/>
            <w:tcBorders>
              <w:tl2br w:val="nil"/>
              <w:tr2bl w:val="nil"/>
            </w:tcBorders>
            <w:tcMar>
              <w:top w:w="0" w:type="dxa"/>
              <w:left w:w="0" w:type="dxa"/>
              <w:bottom w:w="0" w:type="dxa"/>
              <w:right w:w="0" w:type="dxa"/>
            </w:tcMar>
            <w:vAlign w:val="center"/>
          </w:tcPr>
          <w:p w14:paraId="2526EA0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2603</w:t>
            </w:r>
          </w:p>
        </w:tc>
        <w:tc>
          <w:tcPr>
            <w:tcW w:w="1563" w:type="dxa"/>
            <w:tcBorders>
              <w:tl2br w:val="nil"/>
              <w:tr2bl w:val="nil"/>
            </w:tcBorders>
            <w:tcMar>
              <w:top w:w="0" w:type="dxa"/>
              <w:left w:w="0" w:type="dxa"/>
              <w:bottom w:w="0" w:type="dxa"/>
              <w:right w:w="0" w:type="dxa"/>
            </w:tcMar>
            <w:vAlign w:val="center"/>
          </w:tcPr>
          <w:p w14:paraId="261CFCE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910</w:t>
            </w:r>
          </w:p>
        </w:tc>
      </w:tr>
      <w:tr w14:paraId="3497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44" w:type="dxa"/>
            <w:vMerge w:val="continue"/>
            <w:tcBorders>
              <w:tl2br w:val="nil"/>
              <w:tr2bl w:val="nil"/>
            </w:tcBorders>
            <w:tcMar>
              <w:top w:w="0" w:type="dxa"/>
              <w:left w:w="0" w:type="dxa"/>
              <w:bottom w:w="0" w:type="dxa"/>
              <w:right w:w="0" w:type="dxa"/>
            </w:tcMar>
            <w:vAlign w:val="center"/>
          </w:tcPr>
          <w:p w14:paraId="73FA088F">
            <w:pPr>
              <w:jc w:val="center"/>
              <w:rPr>
                <w:rFonts w:ascii="Times New Roman" w:hAnsi="Times New Roman" w:eastAsia="宋体" w:cs="Times New Roman"/>
                <w:color w:val="000000" w:themeColor="text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4B41F36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后荣花树村</w:t>
            </w:r>
          </w:p>
        </w:tc>
        <w:tc>
          <w:tcPr>
            <w:tcW w:w="951" w:type="dxa"/>
            <w:tcBorders>
              <w:tl2br w:val="nil"/>
              <w:tr2bl w:val="nil"/>
            </w:tcBorders>
            <w:tcMar>
              <w:top w:w="0" w:type="dxa"/>
              <w:left w:w="0" w:type="dxa"/>
              <w:bottom w:w="0" w:type="dxa"/>
              <w:right w:w="0" w:type="dxa"/>
            </w:tcMar>
            <w:vAlign w:val="center"/>
          </w:tcPr>
          <w:p w14:paraId="5ED3FA06">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46F9451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SE</w:t>
            </w:r>
          </w:p>
        </w:tc>
        <w:tc>
          <w:tcPr>
            <w:tcW w:w="1616" w:type="dxa"/>
            <w:tcBorders>
              <w:tl2br w:val="nil"/>
              <w:tr2bl w:val="nil"/>
            </w:tcBorders>
            <w:tcMar>
              <w:top w:w="0" w:type="dxa"/>
              <w:left w:w="0" w:type="dxa"/>
              <w:bottom w:w="0" w:type="dxa"/>
              <w:right w:w="0" w:type="dxa"/>
            </w:tcMar>
            <w:vAlign w:val="center"/>
          </w:tcPr>
          <w:p w14:paraId="72FEA6C7">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2201</w:t>
            </w:r>
          </w:p>
        </w:tc>
        <w:tc>
          <w:tcPr>
            <w:tcW w:w="1563" w:type="dxa"/>
            <w:tcBorders>
              <w:tl2br w:val="nil"/>
              <w:tr2bl w:val="nil"/>
            </w:tcBorders>
            <w:tcMar>
              <w:top w:w="0" w:type="dxa"/>
              <w:left w:w="0" w:type="dxa"/>
              <w:bottom w:w="0" w:type="dxa"/>
              <w:right w:w="0" w:type="dxa"/>
            </w:tcMar>
            <w:vAlign w:val="center"/>
          </w:tcPr>
          <w:p w14:paraId="31AB1C5E">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szCs w:val="21"/>
              </w:rPr>
              <w:t>800</w:t>
            </w:r>
          </w:p>
        </w:tc>
      </w:tr>
      <w:tr w14:paraId="4384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restart"/>
            <w:tcBorders>
              <w:tl2br w:val="nil"/>
              <w:tr2bl w:val="nil"/>
            </w:tcBorders>
            <w:tcMar>
              <w:top w:w="0" w:type="dxa"/>
              <w:left w:w="0" w:type="dxa"/>
              <w:bottom w:w="0" w:type="dxa"/>
              <w:right w:w="0" w:type="dxa"/>
            </w:tcMar>
            <w:vAlign w:val="center"/>
          </w:tcPr>
          <w:p w14:paraId="6B893E31">
            <w:pPr>
              <w:pStyle w:val="66"/>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2291" w:type="dxa"/>
            <w:tcBorders>
              <w:tl2br w:val="nil"/>
              <w:tr2bl w:val="nil"/>
            </w:tcBorders>
            <w:tcMar>
              <w:top w:w="0" w:type="dxa"/>
              <w:left w:w="0" w:type="dxa"/>
              <w:bottom w:w="0" w:type="dxa"/>
              <w:right w:w="0" w:type="dxa"/>
            </w:tcMar>
            <w:vAlign w:val="center"/>
          </w:tcPr>
          <w:p w14:paraId="187805C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厂界四周</w:t>
            </w:r>
          </w:p>
        </w:tc>
        <w:tc>
          <w:tcPr>
            <w:tcW w:w="951" w:type="dxa"/>
            <w:tcBorders>
              <w:tl2br w:val="nil"/>
              <w:tr2bl w:val="nil"/>
            </w:tcBorders>
            <w:tcMar>
              <w:top w:w="0" w:type="dxa"/>
              <w:left w:w="0" w:type="dxa"/>
              <w:bottom w:w="0" w:type="dxa"/>
              <w:right w:w="0" w:type="dxa"/>
            </w:tcMar>
            <w:vAlign w:val="center"/>
          </w:tcPr>
          <w:p w14:paraId="7F369F8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258" w:type="dxa"/>
            <w:tcBorders>
              <w:tl2br w:val="nil"/>
              <w:tr2bl w:val="nil"/>
            </w:tcBorders>
            <w:tcMar>
              <w:top w:w="0" w:type="dxa"/>
              <w:left w:w="0" w:type="dxa"/>
              <w:bottom w:w="0" w:type="dxa"/>
              <w:right w:w="0" w:type="dxa"/>
            </w:tcMar>
            <w:vAlign w:val="center"/>
          </w:tcPr>
          <w:p w14:paraId="044322E4">
            <w:pPr>
              <w:jc w:val="center"/>
              <w:rPr>
                <w:rFonts w:ascii="Times New Roman" w:hAnsi="Times New Roman" w:eastAsia="宋体" w:cs="Times New Roman"/>
                <w:bCs/>
                <w:color w:val="000000" w:themeColor="text1"/>
                <w:szCs w:val="21"/>
                <w:lang w:bidi="ar"/>
                <w14:textFill>
                  <w14:solidFill>
                    <w14:schemeClr w14:val="tx1"/>
                  </w14:solidFill>
                </w14:textFill>
              </w:rPr>
            </w:pPr>
          </w:p>
        </w:tc>
        <w:tc>
          <w:tcPr>
            <w:tcW w:w="1616" w:type="dxa"/>
            <w:tcBorders>
              <w:tl2br w:val="nil"/>
              <w:tr2bl w:val="nil"/>
            </w:tcBorders>
            <w:tcMar>
              <w:top w:w="0" w:type="dxa"/>
              <w:left w:w="0" w:type="dxa"/>
              <w:bottom w:w="0" w:type="dxa"/>
              <w:right w:w="0" w:type="dxa"/>
            </w:tcMar>
            <w:vAlign w:val="center"/>
          </w:tcPr>
          <w:p w14:paraId="68260EA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563" w:type="dxa"/>
            <w:tcBorders>
              <w:tl2br w:val="nil"/>
              <w:tr2bl w:val="nil"/>
            </w:tcBorders>
            <w:tcMar>
              <w:top w:w="0" w:type="dxa"/>
              <w:left w:w="0" w:type="dxa"/>
              <w:bottom w:w="0" w:type="dxa"/>
              <w:right w:w="0" w:type="dxa"/>
            </w:tcMar>
            <w:vAlign w:val="center"/>
          </w:tcPr>
          <w:p w14:paraId="5C68CD8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14:paraId="57FF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Merge w:val="continue"/>
            <w:tcBorders>
              <w:tl2br w:val="nil"/>
              <w:tr2bl w:val="nil"/>
            </w:tcBorders>
            <w:tcMar>
              <w:top w:w="0" w:type="dxa"/>
              <w:left w:w="0" w:type="dxa"/>
              <w:bottom w:w="0" w:type="dxa"/>
              <w:right w:w="0" w:type="dxa"/>
            </w:tcMar>
            <w:vAlign w:val="center"/>
          </w:tcPr>
          <w:p w14:paraId="4CBD5BDA">
            <w:pPr>
              <w:pStyle w:val="66"/>
              <w:adjustRightInd w:val="0"/>
              <w:snapToGrid w:val="0"/>
              <w:spacing w:line="240" w:lineRule="auto"/>
              <w:ind w:firstLine="0" w:firstLineChars="0"/>
              <w:rPr>
                <w:color w:val="000000" w:themeColor="text1"/>
                <w:sz w:val="21"/>
                <w:szCs w:val="21"/>
                <w14:textFill>
                  <w14:solidFill>
                    <w14:schemeClr w14:val="tx1"/>
                  </w14:solidFill>
                </w14:textFill>
              </w:rPr>
            </w:pPr>
          </w:p>
        </w:tc>
        <w:tc>
          <w:tcPr>
            <w:tcW w:w="2291" w:type="dxa"/>
            <w:tcBorders>
              <w:tl2br w:val="nil"/>
              <w:tr2bl w:val="nil"/>
            </w:tcBorders>
            <w:tcMar>
              <w:top w:w="0" w:type="dxa"/>
              <w:left w:w="0" w:type="dxa"/>
              <w:bottom w:w="0" w:type="dxa"/>
              <w:right w:w="0" w:type="dxa"/>
            </w:tcMar>
            <w:vAlign w:val="center"/>
          </w:tcPr>
          <w:p w14:paraId="3D21B0B4">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lang w:bidi="ar"/>
                <w14:textFill>
                  <w14:solidFill>
                    <w14:schemeClr w14:val="tx1"/>
                  </w14:solidFill>
                </w14:textFill>
              </w:rPr>
              <w:t>骆家村</w:t>
            </w:r>
          </w:p>
        </w:tc>
        <w:tc>
          <w:tcPr>
            <w:tcW w:w="951" w:type="dxa"/>
            <w:tcBorders>
              <w:tl2br w:val="nil"/>
              <w:tr2bl w:val="nil"/>
            </w:tcBorders>
            <w:tcMar>
              <w:top w:w="0" w:type="dxa"/>
              <w:left w:w="0" w:type="dxa"/>
              <w:bottom w:w="0" w:type="dxa"/>
              <w:right w:w="0" w:type="dxa"/>
            </w:tcMar>
            <w:vAlign w:val="center"/>
          </w:tcPr>
          <w:p w14:paraId="0F658420">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居民</w:t>
            </w:r>
          </w:p>
        </w:tc>
        <w:tc>
          <w:tcPr>
            <w:tcW w:w="1258" w:type="dxa"/>
            <w:tcBorders>
              <w:tl2br w:val="nil"/>
              <w:tr2bl w:val="nil"/>
            </w:tcBorders>
            <w:tcMar>
              <w:top w:w="0" w:type="dxa"/>
              <w:left w:w="0" w:type="dxa"/>
              <w:bottom w:w="0" w:type="dxa"/>
              <w:right w:w="0" w:type="dxa"/>
            </w:tcMar>
            <w:vAlign w:val="center"/>
          </w:tcPr>
          <w:p w14:paraId="2E69B0C9">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NE</w:t>
            </w:r>
          </w:p>
        </w:tc>
        <w:tc>
          <w:tcPr>
            <w:tcW w:w="1616" w:type="dxa"/>
            <w:tcBorders>
              <w:tl2br w:val="nil"/>
              <w:tr2bl w:val="nil"/>
            </w:tcBorders>
            <w:tcMar>
              <w:top w:w="0" w:type="dxa"/>
              <w:left w:w="0" w:type="dxa"/>
              <w:bottom w:w="0" w:type="dxa"/>
              <w:right w:w="0" w:type="dxa"/>
            </w:tcMar>
            <w:vAlign w:val="center"/>
          </w:tcPr>
          <w:p w14:paraId="4D611FEE">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197</w:t>
            </w:r>
          </w:p>
        </w:tc>
        <w:tc>
          <w:tcPr>
            <w:tcW w:w="1563" w:type="dxa"/>
            <w:tcBorders>
              <w:tl2br w:val="nil"/>
              <w:tr2bl w:val="nil"/>
            </w:tcBorders>
            <w:tcMar>
              <w:top w:w="0" w:type="dxa"/>
              <w:left w:w="0" w:type="dxa"/>
              <w:bottom w:w="0" w:type="dxa"/>
              <w:right w:w="0" w:type="dxa"/>
            </w:tcMar>
            <w:vAlign w:val="center"/>
          </w:tcPr>
          <w:p w14:paraId="122283D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bCs/>
                <w:szCs w:val="21"/>
              </w:rPr>
              <w:t>1295</w:t>
            </w:r>
          </w:p>
        </w:tc>
      </w:tr>
      <w:tr w14:paraId="07A4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44" w:type="dxa"/>
            <w:tcBorders>
              <w:tl2br w:val="nil"/>
              <w:tr2bl w:val="nil"/>
            </w:tcBorders>
            <w:tcMar>
              <w:top w:w="0" w:type="dxa"/>
              <w:left w:w="0" w:type="dxa"/>
              <w:bottom w:w="0" w:type="dxa"/>
              <w:right w:w="0" w:type="dxa"/>
            </w:tcMar>
            <w:vAlign w:val="center"/>
          </w:tcPr>
          <w:p w14:paraId="67D5425C">
            <w:pPr>
              <w:pStyle w:val="66"/>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w:t>
            </w:r>
          </w:p>
        </w:tc>
        <w:tc>
          <w:tcPr>
            <w:tcW w:w="2291" w:type="dxa"/>
            <w:tcBorders>
              <w:tl2br w:val="nil"/>
              <w:tr2bl w:val="nil"/>
            </w:tcBorders>
            <w:tcMar>
              <w:top w:w="0" w:type="dxa"/>
              <w:left w:w="0" w:type="dxa"/>
              <w:bottom w:w="0" w:type="dxa"/>
              <w:right w:w="0" w:type="dxa"/>
            </w:tcMar>
            <w:vAlign w:val="center"/>
          </w:tcPr>
          <w:p w14:paraId="19A095B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潴龙河</w:t>
            </w:r>
          </w:p>
        </w:tc>
        <w:tc>
          <w:tcPr>
            <w:tcW w:w="951" w:type="dxa"/>
            <w:tcBorders>
              <w:tl2br w:val="nil"/>
              <w:tr2bl w:val="nil"/>
            </w:tcBorders>
            <w:tcMar>
              <w:top w:w="0" w:type="dxa"/>
              <w:left w:w="0" w:type="dxa"/>
              <w:bottom w:w="0" w:type="dxa"/>
              <w:right w:w="0" w:type="dxa"/>
            </w:tcMar>
            <w:vAlign w:val="center"/>
          </w:tcPr>
          <w:p w14:paraId="46AEF1F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地表水</w:t>
            </w:r>
          </w:p>
        </w:tc>
        <w:tc>
          <w:tcPr>
            <w:tcW w:w="1258" w:type="dxa"/>
            <w:tcBorders>
              <w:tl2br w:val="nil"/>
              <w:tr2bl w:val="nil"/>
            </w:tcBorders>
            <w:tcMar>
              <w:top w:w="0" w:type="dxa"/>
              <w:left w:w="0" w:type="dxa"/>
              <w:bottom w:w="0" w:type="dxa"/>
              <w:right w:w="0" w:type="dxa"/>
            </w:tcMar>
            <w:vAlign w:val="center"/>
          </w:tcPr>
          <w:p w14:paraId="1A141776">
            <w:pPr>
              <w:adjustRightInd w:val="0"/>
              <w:snapToGrid w:val="0"/>
              <w:jc w:val="center"/>
              <w:rPr>
                <w:rFonts w:ascii="Times New Roman" w:hAnsi="Times New Roman" w:eastAsia="宋体" w:cs="Times New Roman"/>
                <w:color w:val="000000" w:themeColor="text1"/>
                <w:szCs w:val="21"/>
                <w:lang w:bidi="ar"/>
                <w14:textFill>
                  <w14:solidFill>
                    <w14:schemeClr w14:val="tx1"/>
                  </w14:solidFill>
                </w14:textFill>
              </w:rPr>
            </w:pPr>
            <w:r>
              <w:rPr>
                <w:rFonts w:ascii="Times New Roman" w:hAnsi="Times New Roman" w:eastAsia="宋体" w:cs="Times New Roman"/>
                <w:color w:val="000000" w:themeColor="text1"/>
                <w:szCs w:val="21"/>
                <w:lang w:bidi="ar"/>
                <w14:textFill>
                  <w14:solidFill>
                    <w14:schemeClr w14:val="tx1"/>
                  </w14:solidFill>
                </w14:textFill>
              </w:rPr>
              <w:t>S</w:t>
            </w:r>
            <w:r>
              <w:rPr>
                <w:rFonts w:hint="eastAsia" w:ascii="Times New Roman" w:hAnsi="Times New Roman" w:eastAsia="宋体" w:cs="Times New Roman"/>
                <w:color w:val="000000" w:themeColor="text1"/>
                <w:szCs w:val="21"/>
                <w:lang w:bidi="ar"/>
                <w14:textFill>
                  <w14:solidFill>
                    <w14:schemeClr w14:val="tx1"/>
                  </w14:solidFill>
                </w14:textFill>
              </w:rPr>
              <w:t>E</w:t>
            </w:r>
          </w:p>
        </w:tc>
        <w:tc>
          <w:tcPr>
            <w:tcW w:w="1616" w:type="dxa"/>
            <w:tcBorders>
              <w:tl2br w:val="nil"/>
              <w:tr2bl w:val="nil"/>
            </w:tcBorders>
            <w:tcMar>
              <w:top w:w="0" w:type="dxa"/>
              <w:left w:w="0" w:type="dxa"/>
              <w:bottom w:w="0" w:type="dxa"/>
              <w:right w:w="0" w:type="dxa"/>
            </w:tcMar>
            <w:vAlign w:val="center"/>
          </w:tcPr>
          <w:p w14:paraId="34D3CCE3">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610</w:t>
            </w:r>
          </w:p>
        </w:tc>
        <w:tc>
          <w:tcPr>
            <w:tcW w:w="1563" w:type="dxa"/>
            <w:tcBorders>
              <w:tl2br w:val="nil"/>
              <w:tr2bl w:val="nil"/>
            </w:tcBorders>
            <w:tcMar>
              <w:top w:w="0" w:type="dxa"/>
              <w:left w:w="0" w:type="dxa"/>
              <w:bottom w:w="0" w:type="dxa"/>
              <w:right w:w="0" w:type="dxa"/>
            </w:tcMar>
            <w:vAlign w:val="center"/>
          </w:tcPr>
          <w:p w14:paraId="1F932FF6">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14:paraId="5AB9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tcBorders>
              <w:tl2br w:val="nil"/>
              <w:tr2bl w:val="nil"/>
            </w:tcBorders>
            <w:tcMar>
              <w:top w:w="0" w:type="dxa"/>
              <w:left w:w="0" w:type="dxa"/>
              <w:bottom w:w="0" w:type="dxa"/>
              <w:right w:w="0" w:type="dxa"/>
            </w:tcMar>
            <w:vAlign w:val="center"/>
          </w:tcPr>
          <w:p w14:paraId="7F46FA47">
            <w:pPr>
              <w:pStyle w:val="66"/>
              <w:adjustRightInd w:val="0"/>
              <w:snapToGrid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地下水环境</w:t>
            </w:r>
          </w:p>
        </w:tc>
        <w:tc>
          <w:tcPr>
            <w:tcW w:w="2291" w:type="dxa"/>
            <w:tcBorders>
              <w:tl2br w:val="nil"/>
              <w:tr2bl w:val="nil"/>
            </w:tcBorders>
            <w:tcMar>
              <w:top w:w="0" w:type="dxa"/>
              <w:left w:w="0" w:type="dxa"/>
              <w:bottom w:w="0" w:type="dxa"/>
              <w:right w:w="0" w:type="dxa"/>
            </w:tcMar>
            <w:vAlign w:val="center"/>
          </w:tcPr>
          <w:p w14:paraId="43C8DB6D">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评价区域地下水</w:t>
            </w:r>
          </w:p>
        </w:tc>
        <w:tc>
          <w:tcPr>
            <w:tcW w:w="951" w:type="dxa"/>
            <w:tcBorders>
              <w:tl2br w:val="nil"/>
              <w:tr2bl w:val="nil"/>
            </w:tcBorders>
            <w:tcMar>
              <w:top w:w="0" w:type="dxa"/>
              <w:left w:w="0" w:type="dxa"/>
              <w:bottom w:w="0" w:type="dxa"/>
              <w:right w:w="0" w:type="dxa"/>
            </w:tcMar>
            <w:vAlign w:val="center"/>
          </w:tcPr>
          <w:p w14:paraId="5DDFBB3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地下水</w:t>
            </w:r>
          </w:p>
        </w:tc>
        <w:tc>
          <w:tcPr>
            <w:tcW w:w="1258" w:type="dxa"/>
            <w:tcBorders>
              <w:tl2br w:val="nil"/>
              <w:tr2bl w:val="nil"/>
            </w:tcBorders>
            <w:tcMar>
              <w:top w:w="0" w:type="dxa"/>
              <w:left w:w="0" w:type="dxa"/>
              <w:bottom w:w="0" w:type="dxa"/>
              <w:right w:w="0" w:type="dxa"/>
            </w:tcMar>
            <w:vAlign w:val="center"/>
          </w:tcPr>
          <w:p w14:paraId="1220B18C">
            <w:pPr>
              <w:jc w:val="center"/>
              <w:rPr>
                <w:rFonts w:ascii="Times New Roman" w:hAnsi="Times New Roman" w:eastAsia="宋体" w:cs="Times New Roman"/>
                <w:bCs/>
                <w:color w:val="000000" w:themeColor="text1"/>
                <w:szCs w:val="21"/>
                <w:lang w:bidi="ar"/>
                <w14:textFill>
                  <w14:solidFill>
                    <w14:schemeClr w14:val="tx1"/>
                  </w14:solidFill>
                </w14:textFill>
              </w:rPr>
            </w:pPr>
            <w:r>
              <w:rPr>
                <w:rFonts w:hint="eastAsia" w:cs="Times New Roman"/>
                <w:bCs/>
                <w:color w:val="000000" w:themeColor="text1"/>
                <w:szCs w:val="21"/>
                <w:lang w:bidi="ar"/>
                <w14:textFill>
                  <w14:solidFill>
                    <w14:schemeClr w14:val="tx1"/>
                  </w14:solidFill>
                </w14:textFill>
              </w:rPr>
              <w:t>/</w:t>
            </w:r>
          </w:p>
        </w:tc>
        <w:tc>
          <w:tcPr>
            <w:tcW w:w="1616" w:type="dxa"/>
            <w:tcBorders>
              <w:tl2br w:val="nil"/>
              <w:tr2bl w:val="nil"/>
            </w:tcBorders>
            <w:tcMar>
              <w:top w:w="0" w:type="dxa"/>
              <w:left w:w="0" w:type="dxa"/>
              <w:bottom w:w="0" w:type="dxa"/>
              <w:right w:w="0" w:type="dxa"/>
            </w:tcMar>
            <w:vAlign w:val="center"/>
          </w:tcPr>
          <w:p w14:paraId="1BEC0AF1">
            <w:pPr>
              <w:jc w:val="center"/>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w:t>
            </w:r>
          </w:p>
        </w:tc>
        <w:tc>
          <w:tcPr>
            <w:tcW w:w="1563" w:type="dxa"/>
            <w:tcBorders>
              <w:tl2br w:val="nil"/>
              <w:tr2bl w:val="nil"/>
            </w:tcBorders>
            <w:tcMar>
              <w:top w:w="0" w:type="dxa"/>
              <w:left w:w="0" w:type="dxa"/>
              <w:bottom w:w="0" w:type="dxa"/>
              <w:right w:w="0" w:type="dxa"/>
            </w:tcMar>
            <w:vAlign w:val="center"/>
          </w:tcPr>
          <w:p w14:paraId="765DC891">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bl>
    <w:p w14:paraId="06C6799F">
      <w:pPr>
        <w:pStyle w:val="3"/>
        <w:numPr>
          <w:ilvl w:val="1"/>
          <w:numId w:val="80"/>
        </w:numPr>
        <w:tabs>
          <w:tab w:val="clear" w:pos="0"/>
        </w:tabs>
        <w:adjustRightInd w:val="0"/>
        <w:snapToGrid w:val="0"/>
      </w:pPr>
      <w:bookmarkStart w:id="293" w:name="_Toc12954"/>
      <w:r>
        <w:t>环境</w:t>
      </w:r>
      <w:r>
        <w:rPr>
          <w:rFonts w:hint="eastAsia"/>
        </w:rPr>
        <w:t>风险识别</w:t>
      </w:r>
      <w:bookmarkEnd w:id="293"/>
    </w:p>
    <w:p w14:paraId="1AEDC1B8">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环境风险评价工作等级为“简单分析”，根据《建设项目环境风险评价技术导则》（HJ169-2018）要求，主要对物质风险进行识别，风险识别范围包括主要原材料及辅助材料、燃料、中间产品、副产品、最终产品以及生产过程排放的“三废”污染物、火灾和爆炸伴生/次生物等。风险类型根据有毒有害物质放散起因，分为火灾和泄漏二种类型。</w:t>
      </w:r>
    </w:p>
    <w:p w14:paraId="5B349EDC">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火灾、爆炸风险物质识别</w:t>
      </w:r>
    </w:p>
    <w:p w14:paraId="67378459">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根据《压力容器中化学介质毒性危害和爆炸危险程度分类》（HG 20660-2000），爆炸性危险物质指气体或液体蒸汽与空气混合形成爆炸混合物，且其爆炸下限小于10%，或爆炸上限与下限的差值大于或等于20%的介质，火灾危险性按《建筑设计防火规范》（GB 50016-2014）进行分类。</w:t>
      </w:r>
    </w:p>
    <w:p w14:paraId="000C9E8F">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本项目所使用的原辅材料中，油漆溶剂油闪点≧30℃，油漆</w:t>
      </w:r>
      <w:r>
        <w:rPr>
          <w:rFonts w:hint="eastAsia" w:ascii="Times New Roman" w:hAnsi="Times New Roman" w:cs="Times New Roman"/>
          <w:color w:val="000000" w:themeColor="text1"/>
          <w:sz w:val="24"/>
          <w14:textFill>
            <w14:solidFill>
              <w14:schemeClr w14:val="tx1"/>
            </w14:solidFill>
          </w14:textFill>
        </w:rPr>
        <w:t>、稀释剂</w:t>
      </w:r>
      <w:r>
        <w:rPr>
          <w:rFonts w:ascii="Times New Roman" w:hAnsi="Times New Roman" w:cs="Times New Roman"/>
          <w:color w:val="000000" w:themeColor="text1"/>
          <w:sz w:val="24"/>
          <w14:textFill>
            <w14:solidFill>
              <w14:schemeClr w14:val="tx1"/>
            </w14:solidFill>
          </w14:textFill>
        </w:rPr>
        <w:t>为易燃液体，火灾危险性较大。</w:t>
      </w:r>
    </w:p>
    <w:p w14:paraId="390BB042">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生产、储存装置及运输过程危险识别</w:t>
      </w:r>
    </w:p>
    <w:p w14:paraId="5F02975D">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本项目原辅材料存储区一旦发生物料泄漏，一方面会造成人员伤害，另一方面，遇高温、明火、雷电、静电火花、潮湿等极易引起火灾爆炸危险</w:t>
      </w:r>
    </w:p>
    <w:p w14:paraId="39C5A52B">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风险因素识别</w:t>
      </w:r>
    </w:p>
    <w:p w14:paraId="281632BB">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根据项目的生产工艺和生产内容，本项目环境风险物质评价对象为漆料和稀释剂，生产过程风险主要存在于喷漆室。</w:t>
      </w:r>
    </w:p>
    <w:p w14:paraId="3D1040BB">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根据工程特点，可能发生的风险因素主要表现在以下几个方面：</w:t>
      </w:r>
    </w:p>
    <w:p w14:paraId="21781BDB">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生产过程环境风险识别</w:t>
      </w:r>
    </w:p>
    <w:p w14:paraId="66B95066">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①大气污染风险事故</w:t>
      </w:r>
    </w:p>
    <w:p w14:paraId="512B2D30">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在废气处理装置运转处理效率降低甚至失效时，大量未经处理的废气直接排入外环境，对周围造成了污染。</w:t>
      </w:r>
    </w:p>
    <w:p w14:paraId="49FA6040">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②火灾、爆炸风险事故</w:t>
      </w:r>
    </w:p>
    <w:p w14:paraId="1F8E2FA5">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在喷漆过程中使用的油漆为可燃液体，在使用过程中发生泄漏，容易引起火灾。</w:t>
      </w:r>
    </w:p>
    <w:p w14:paraId="771B41F9">
      <w:pPr>
        <w:spacing w:line="440" w:lineRule="exact"/>
        <w:ind w:left="42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储存过程环境风险识别</w:t>
      </w:r>
    </w:p>
    <w:p w14:paraId="5C7FCB3C">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①大气污染风险事故</w:t>
      </w:r>
    </w:p>
    <w:p w14:paraId="19CF27A8">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大气污染事故主要为物料在储存过程中的泄漏。本项目油漆包装桶在存放过程中可能因意外而破损，一旦发生泄漏，油漆有机废气将大量挥发而造成大气污染。</w:t>
      </w:r>
    </w:p>
    <w:p w14:paraId="6AAE0D0C">
      <w:pPr>
        <w:spacing w:line="440" w:lineRule="exact"/>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②火灾、爆炸风险事故</w:t>
      </w:r>
    </w:p>
    <w:p w14:paraId="411481C5">
      <w:pPr>
        <w:spacing w:line="440" w:lineRule="exact"/>
        <w:ind w:firstLine="48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本项目设油漆存储间，若对该区域管理不当，可能造成失火、燃烧、爆炸等风险事故。</w:t>
      </w:r>
    </w:p>
    <w:p w14:paraId="4588EA18">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项目主要危险物质及分布情况、可能影响环境的途径见下表。</w:t>
      </w:r>
    </w:p>
    <w:p w14:paraId="4FA11E56">
      <w:pPr>
        <w:pStyle w:val="11"/>
        <w:numPr>
          <w:ilvl w:val="0"/>
          <w:numId w:val="84"/>
        </w:numPr>
        <w:adjustRightInd w:val="0"/>
        <w:snapToGrid w:val="0"/>
        <w:ind w:left="0" w:firstLine="0"/>
        <w:jc w:val="center"/>
        <w:rPr>
          <w:rFonts w:ascii="Times New Roman" w:hAnsi="Times New Roman" w:eastAsia="宋体" w:cs="Times New Roman"/>
          <w:b/>
          <w:bCs/>
        </w:rPr>
      </w:pPr>
      <w:r>
        <w:rPr>
          <w:rFonts w:ascii="Times New Roman" w:hAnsi="Times New Roman" w:eastAsia="宋体" w:cs="Times New Roman"/>
          <w:b/>
          <w:bCs/>
        </w:rPr>
        <w:t xml:space="preserve">  风险识别结果一览表</w:t>
      </w:r>
    </w:p>
    <w:tbl>
      <w:tblPr>
        <w:tblStyle w:val="30"/>
        <w:tblW w:w="840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329"/>
        <w:gridCol w:w="1871"/>
        <w:gridCol w:w="1530"/>
        <w:gridCol w:w="1412"/>
        <w:gridCol w:w="2267"/>
      </w:tblGrid>
      <w:tr w14:paraId="0EB00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Header/>
        </w:trPr>
        <w:tc>
          <w:tcPr>
            <w:tcW w:w="1329" w:type="dxa"/>
            <w:shd w:val="clear" w:color="auto" w:fill="auto"/>
            <w:vAlign w:val="center"/>
          </w:tcPr>
          <w:p w14:paraId="29B0B61B">
            <w:pPr>
              <w:jc w:val="center"/>
              <w:rPr>
                <w:rFonts w:ascii="Times New Roman" w:hAnsi="Times New Roman" w:cs="Times New Roman"/>
                <w:bCs/>
                <w:szCs w:val="21"/>
              </w:rPr>
            </w:pPr>
            <w:r>
              <w:rPr>
                <w:rFonts w:hint="eastAsia" w:ascii="Times New Roman" w:hAnsi="Times New Roman" w:cs="Times New Roman"/>
                <w:bCs/>
                <w:szCs w:val="21"/>
              </w:rPr>
              <w:t>危险物质来源</w:t>
            </w:r>
          </w:p>
        </w:tc>
        <w:tc>
          <w:tcPr>
            <w:tcW w:w="1871" w:type="dxa"/>
            <w:shd w:val="clear" w:color="auto" w:fill="auto"/>
            <w:vAlign w:val="center"/>
          </w:tcPr>
          <w:p w14:paraId="3874B26F">
            <w:pPr>
              <w:jc w:val="center"/>
              <w:rPr>
                <w:rFonts w:ascii="Times New Roman" w:hAnsi="Times New Roman" w:cs="Times New Roman"/>
                <w:bCs/>
                <w:szCs w:val="21"/>
              </w:rPr>
            </w:pPr>
            <w:r>
              <w:rPr>
                <w:rFonts w:hint="eastAsia" w:ascii="Times New Roman" w:hAnsi="Times New Roman" w:cs="Times New Roman"/>
                <w:bCs/>
                <w:szCs w:val="21"/>
              </w:rPr>
              <w:t>名称</w:t>
            </w:r>
          </w:p>
        </w:tc>
        <w:tc>
          <w:tcPr>
            <w:tcW w:w="1530" w:type="dxa"/>
            <w:shd w:val="clear" w:color="auto" w:fill="auto"/>
            <w:vAlign w:val="center"/>
          </w:tcPr>
          <w:p w14:paraId="4C19E540">
            <w:pPr>
              <w:jc w:val="center"/>
              <w:rPr>
                <w:rFonts w:ascii="Times New Roman" w:hAnsi="Times New Roman" w:cs="Times New Roman"/>
                <w:bCs/>
                <w:szCs w:val="21"/>
              </w:rPr>
            </w:pPr>
            <w:r>
              <w:rPr>
                <w:rFonts w:hint="eastAsia" w:ascii="Times New Roman" w:hAnsi="Times New Roman" w:cs="Times New Roman"/>
                <w:bCs/>
                <w:szCs w:val="21"/>
              </w:rPr>
              <w:t>环境风险类别</w:t>
            </w:r>
          </w:p>
        </w:tc>
        <w:tc>
          <w:tcPr>
            <w:tcW w:w="1412" w:type="dxa"/>
            <w:shd w:val="clear" w:color="auto" w:fill="auto"/>
            <w:vAlign w:val="center"/>
          </w:tcPr>
          <w:p w14:paraId="1F0BBFEE">
            <w:pPr>
              <w:jc w:val="center"/>
              <w:rPr>
                <w:rFonts w:ascii="Times New Roman" w:hAnsi="Times New Roman" w:cs="Times New Roman"/>
                <w:bCs/>
                <w:szCs w:val="21"/>
              </w:rPr>
            </w:pPr>
            <w:r>
              <w:rPr>
                <w:rFonts w:hint="eastAsia" w:ascii="Times New Roman" w:hAnsi="Times New Roman" w:cs="Times New Roman"/>
                <w:bCs/>
                <w:szCs w:val="21"/>
              </w:rPr>
              <w:t>分布情况</w:t>
            </w:r>
          </w:p>
        </w:tc>
        <w:tc>
          <w:tcPr>
            <w:tcW w:w="2267" w:type="dxa"/>
            <w:shd w:val="clear" w:color="auto" w:fill="auto"/>
            <w:vAlign w:val="center"/>
          </w:tcPr>
          <w:p w14:paraId="499AA8F4">
            <w:pPr>
              <w:jc w:val="center"/>
              <w:rPr>
                <w:rFonts w:ascii="Times New Roman" w:hAnsi="Times New Roman" w:cs="Times New Roman"/>
                <w:bCs/>
                <w:szCs w:val="21"/>
              </w:rPr>
            </w:pPr>
            <w:r>
              <w:rPr>
                <w:rFonts w:hint="eastAsia" w:ascii="Times New Roman" w:hAnsi="Times New Roman" w:cs="Times New Roman"/>
                <w:bCs/>
                <w:szCs w:val="21"/>
              </w:rPr>
              <w:t>影响环境途径</w:t>
            </w:r>
          </w:p>
        </w:tc>
      </w:tr>
      <w:tr w14:paraId="6BF73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29" w:type="dxa"/>
            <w:shd w:val="clear" w:color="auto" w:fill="auto"/>
            <w:vAlign w:val="center"/>
          </w:tcPr>
          <w:p w14:paraId="6BC7EF51">
            <w:pPr>
              <w:jc w:val="center"/>
              <w:rPr>
                <w:rFonts w:ascii="Times New Roman" w:hAnsi="Times New Roman" w:cs="Times New Roman"/>
                <w:szCs w:val="21"/>
              </w:rPr>
            </w:pPr>
            <w:r>
              <w:rPr>
                <w:rFonts w:hint="eastAsia" w:ascii="Times New Roman" w:hAnsi="Times New Roman" w:cs="Times New Roman"/>
                <w:szCs w:val="21"/>
              </w:rPr>
              <w:t>原辅料及能源</w:t>
            </w:r>
          </w:p>
        </w:tc>
        <w:tc>
          <w:tcPr>
            <w:tcW w:w="1871" w:type="dxa"/>
            <w:shd w:val="clear" w:color="auto" w:fill="auto"/>
            <w:vAlign w:val="center"/>
          </w:tcPr>
          <w:p w14:paraId="3786D0E8">
            <w:pPr>
              <w:pStyle w:val="17"/>
              <w:ind w:firstLine="0"/>
              <w:jc w:val="center"/>
            </w:pPr>
            <w:r>
              <w:rPr>
                <w:rFonts w:hint="eastAsia"/>
              </w:rPr>
              <w:t>油漆、稀释剂</w:t>
            </w:r>
          </w:p>
        </w:tc>
        <w:tc>
          <w:tcPr>
            <w:tcW w:w="1530" w:type="dxa"/>
            <w:shd w:val="clear" w:color="auto" w:fill="auto"/>
            <w:vAlign w:val="center"/>
          </w:tcPr>
          <w:p w14:paraId="27D8E391">
            <w:pPr>
              <w:jc w:val="center"/>
              <w:rPr>
                <w:rFonts w:ascii="Times New Roman" w:hAnsi="Times New Roman" w:cs="Times New Roman"/>
                <w:szCs w:val="21"/>
              </w:rPr>
            </w:pPr>
            <w:r>
              <w:rPr>
                <w:rFonts w:hint="eastAsia" w:ascii="Times New Roman" w:hAnsi="Times New Roman" w:cs="Times New Roman"/>
                <w:szCs w:val="21"/>
              </w:rPr>
              <w:t>泄漏、火灾引发的伴生/次生污染</w:t>
            </w:r>
          </w:p>
        </w:tc>
        <w:tc>
          <w:tcPr>
            <w:tcW w:w="1412" w:type="dxa"/>
            <w:shd w:val="clear" w:color="auto" w:fill="auto"/>
            <w:vAlign w:val="center"/>
          </w:tcPr>
          <w:p w14:paraId="01E9B5B5">
            <w:pPr>
              <w:jc w:val="center"/>
              <w:rPr>
                <w:rFonts w:ascii="Times New Roman" w:hAnsi="Times New Roman" w:cs="Times New Roman"/>
                <w:szCs w:val="21"/>
              </w:rPr>
            </w:pPr>
            <w:r>
              <w:rPr>
                <w:rFonts w:hint="eastAsia" w:ascii="Times New Roman" w:hAnsi="Times New Roman" w:cs="Times New Roman"/>
                <w:szCs w:val="21"/>
              </w:rPr>
              <w:t>生产车间</w:t>
            </w:r>
          </w:p>
        </w:tc>
        <w:tc>
          <w:tcPr>
            <w:tcW w:w="2267" w:type="dxa"/>
            <w:shd w:val="clear" w:color="auto" w:fill="auto"/>
            <w:vAlign w:val="center"/>
          </w:tcPr>
          <w:p w14:paraId="38CE6BD9">
            <w:pPr>
              <w:jc w:val="center"/>
              <w:rPr>
                <w:rFonts w:ascii="Times New Roman" w:hAnsi="Times New Roman" w:cs="Times New Roman"/>
                <w:szCs w:val="21"/>
              </w:rPr>
            </w:pPr>
            <w:r>
              <w:rPr>
                <w:rFonts w:hint="eastAsia" w:ascii="Times New Roman" w:hAnsi="Times New Roman" w:cs="Times New Roman"/>
                <w:szCs w:val="21"/>
              </w:rPr>
              <w:t>泄漏物料进入土壤、地下水造成环境或健康危害；火灾引发的伴生/次生污染物大气扩散影响环境</w:t>
            </w:r>
          </w:p>
        </w:tc>
      </w:tr>
      <w:tr w14:paraId="20B16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 w:hRule="atLeast"/>
        </w:trPr>
        <w:tc>
          <w:tcPr>
            <w:tcW w:w="1329" w:type="dxa"/>
            <w:shd w:val="clear" w:color="auto" w:fill="auto"/>
            <w:vAlign w:val="center"/>
          </w:tcPr>
          <w:p w14:paraId="54045728">
            <w:pPr>
              <w:jc w:val="center"/>
              <w:rPr>
                <w:rFonts w:ascii="Times New Roman" w:hAnsi="Times New Roman" w:cs="Times New Roman"/>
                <w:szCs w:val="21"/>
              </w:rPr>
            </w:pPr>
            <w:r>
              <w:rPr>
                <w:rFonts w:hint="eastAsia" w:ascii="Times New Roman" w:hAnsi="Times New Roman" w:cs="Times New Roman"/>
                <w:szCs w:val="21"/>
              </w:rPr>
              <w:t>废气污染物</w:t>
            </w:r>
          </w:p>
        </w:tc>
        <w:tc>
          <w:tcPr>
            <w:tcW w:w="1871" w:type="dxa"/>
            <w:tcBorders>
              <w:right w:val="single" w:color="auto" w:sz="4" w:space="0"/>
            </w:tcBorders>
            <w:shd w:val="clear" w:color="auto" w:fill="auto"/>
            <w:vAlign w:val="center"/>
          </w:tcPr>
          <w:p w14:paraId="7DD6F335">
            <w:pPr>
              <w:jc w:val="center"/>
              <w:rPr>
                <w:rFonts w:ascii="Times New Roman" w:hAnsi="Times New Roman" w:cs="Times New Roman"/>
                <w:szCs w:val="21"/>
              </w:rPr>
            </w:pPr>
            <w:r>
              <w:rPr>
                <w:rFonts w:hint="eastAsia" w:ascii="Times New Roman" w:hAnsi="Times New Roman" w:cs="Times New Roman"/>
                <w:szCs w:val="21"/>
              </w:rPr>
              <w:t>甲苯、二甲苯</w:t>
            </w:r>
          </w:p>
        </w:tc>
        <w:tc>
          <w:tcPr>
            <w:tcW w:w="1530" w:type="dxa"/>
            <w:tcBorders>
              <w:left w:val="single" w:color="auto" w:sz="4" w:space="0"/>
              <w:right w:val="single" w:color="auto" w:sz="4" w:space="0"/>
            </w:tcBorders>
            <w:shd w:val="clear" w:color="auto" w:fill="auto"/>
            <w:vAlign w:val="center"/>
          </w:tcPr>
          <w:p w14:paraId="420CB0F7">
            <w:pPr>
              <w:jc w:val="center"/>
              <w:rPr>
                <w:rFonts w:ascii="Times New Roman" w:hAnsi="Times New Roman" w:cs="Times New Roman"/>
                <w:szCs w:val="21"/>
              </w:rPr>
            </w:pPr>
            <w:r>
              <w:rPr>
                <w:rFonts w:hint="eastAsia" w:ascii="Times New Roman" w:hAnsi="Times New Roman" w:cs="Times New Roman"/>
                <w:szCs w:val="21"/>
              </w:rPr>
              <w:t>气体泄漏</w:t>
            </w:r>
          </w:p>
        </w:tc>
        <w:tc>
          <w:tcPr>
            <w:tcW w:w="1412" w:type="dxa"/>
            <w:tcBorders>
              <w:left w:val="single" w:color="auto" w:sz="4" w:space="0"/>
            </w:tcBorders>
            <w:shd w:val="clear" w:color="auto" w:fill="auto"/>
            <w:vAlign w:val="center"/>
          </w:tcPr>
          <w:p w14:paraId="4617AD31">
            <w:pPr>
              <w:jc w:val="center"/>
              <w:rPr>
                <w:rFonts w:ascii="Times New Roman" w:hAnsi="Times New Roman" w:cs="Times New Roman"/>
                <w:szCs w:val="21"/>
              </w:rPr>
            </w:pPr>
            <w:r>
              <w:rPr>
                <w:rFonts w:hint="eastAsia" w:ascii="Times New Roman" w:hAnsi="Times New Roman" w:cs="Times New Roman"/>
                <w:szCs w:val="21"/>
              </w:rPr>
              <w:t>主要在产污设备内以及废气的收集管道、处理设施内</w:t>
            </w:r>
          </w:p>
        </w:tc>
        <w:tc>
          <w:tcPr>
            <w:tcW w:w="2267" w:type="dxa"/>
            <w:shd w:val="clear" w:color="auto" w:fill="auto"/>
            <w:vAlign w:val="center"/>
          </w:tcPr>
          <w:p w14:paraId="395D60C3">
            <w:pPr>
              <w:jc w:val="center"/>
              <w:rPr>
                <w:rFonts w:ascii="Times New Roman" w:hAnsi="Times New Roman" w:cs="Times New Roman"/>
                <w:szCs w:val="21"/>
              </w:rPr>
            </w:pPr>
            <w:r>
              <w:rPr>
                <w:rFonts w:ascii="Times New Roman" w:hAnsi="Times New Roman" w:cs="Times New Roman"/>
                <w:szCs w:val="21"/>
              </w:rPr>
              <w:t>大气扩散影响环境</w:t>
            </w:r>
          </w:p>
        </w:tc>
      </w:tr>
      <w:tr w14:paraId="05C2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29" w:type="dxa"/>
            <w:tcBorders>
              <w:bottom w:val="single" w:color="auto" w:sz="4" w:space="0"/>
            </w:tcBorders>
            <w:shd w:val="clear" w:color="auto" w:fill="auto"/>
            <w:vAlign w:val="center"/>
          </w:tcPr>
          <w:p w14:paraId="6090C651">
            <w:pPr>
              <w:jc w:val="center"/>
              <w:rPr>
                <w:rFonts w:ascii="Times New Roman" w:hAnsi="Times New Roman" w:cs="Times New Roman"/>
                <w:szCs w:val="21"/>
              </w:rPr>
            </w:pPr>
            <w:r>
              <w:rPr>
                <w:rFonts w:hint="eastAsia" w:ascii="Times New Roman" w:hAnsi="Times New Roman" w:cs="Times New Roman"/>
                <w:szCs w:val="21"/>
              </w:rPr>
              <w:t>废水污染物</w:t>
            </w:r>
          </w:p>
        </w:tc>
        <w:tc>
          <w:tcPr>
            <w:tcW w:w="1871" w:type="dxa"/>
            <w:tcBorders>
              <w:bottom w:val="single" w:color="auto" w:sz="4" w:space="0"/>
              <w:right w:val="single" w:color="auto" w:sz="4" w:space="0"/>
            </w:tcBorders>
            <w:shd w:val="clear" w:color="auto" w:fill="auto"/>
            <w:vAlign w:val="center"/>
          </w:tcPr>
          <w:p w14:paraId="77F294B3">
            <w:pPr>
              <w:jc w:val="center"/>
              <w:rPr>
                <w:rFonts w:ascii="Times New Roman" w:hAnsi="Times New Roman" w:cs="Times New Roman"/>
                <w:szCs w:val="21"/>
              </w:rPr>
            </w:pPr>
            <w:r>
              <w:rPr>
                <w:rFonts w:hint="eastAsia" w:ascii="Times New Roman" w:hAnsi="Times New Roman" w:cs="Times New Roman"/>
                <w:szCs w:val="21"/>
              </w:rPr>
              <w:t>甲苯、二甲苯</w:t>
            </w:r>
          </w:p>
        </w:tc>
        <w:tc>
          <w:tcPr>
            <w:tcW w:w="1530" w:type="dxa"/>
            <w:tcBorders>
              <w:left w:val="single" w:color="auto" w:sz="4" w:space="0"/>
              <w:bottom w:val="single" w:color="auto" w:sz="4" w:space="0"/>
              <w:right w:val="single" w:color="auto" w:sz="4" w:space="0"/>
            </w:tcBorders>
            <w:shd w:val="clear" w:color="auto" w:fill="auto"/>
            <w:vAlign w:val="center"/>
          </w:tcPr>
          <w:p w14:paraId="58872054">
            <w:pPr>
              <w:jc w:val="center"/>
              <w:rPr>
                <w:rFonts w:ascii="Times New Roman" w:hAnsi="Times New Roman" w:cs="Times New Roman"/>
                <w:szCs w:val="21"/>
              </w:rPr>
            </w:pPr>
            <w:r>
              <w:rPr>
                <w:rFonts w:hint="eastAsia" w:ascii="Times New Roman" w:hAnsi="Times New Roman" w:cs="Times New Roman"/>
                <w:szCs w:val="21"/>
              </w:rPr>
              <w:t>泄漏</w:t>
            </w:r>
          </w:p>
        </w:tc>
        <w:tc>
          <w:tcPr>
            <w:tcW w:w="1412" w:type="dxa"/>
            <w:tcBorders>
              <w:left w:val="single" w:color="auto" w:sz="4" w:space="0"/>
              <w:bottom w:val="single" w:color="auto" w:sz="4" w:space="0"/>
            </w:tcBorders>
            <w:shd w:val="clear" w:color="auto" w:fill="auto"/>
            <w:vAlign w:val="center"/>
          </w:tcPr>
          <w:p w14:paraId="441CF79D">
            <w:pPr>
              <w:jc w:val="center"/>
              <w:rPr>
                <w:rFonts w:ascii="Times New Roman" w:hAnsi="Times New Roman" w:cs="Times New Roman"/>
                <w:szCs w:val="21"/>
              </w:rPr>
            </w:pPr>
            <w:r>
              <w:rPr>
                <w:rFonts w:hint="eastAsia" w:ascii="Times New Roman" w:hAnsi="Times New Roman" w:cs="Times New Roman"/>
                <w:szCs w:val="21"/>
              </w:rPr>
              <w:t>污水处理站</w:t>
            </w:r>
          </w:p>
        </w:tc>
        <w:tc>
          <w:tcPr>
            <w:tcW w:w="2267" w:type="dxa"/>
            <w:vMerge w:val="restart"/>
            <w:shd w:val="clear" w:color="auto" w:fill="auto"/>
            <w:vAlign w:val="center"/>
          </w:tcPr>
          <w:p w14:paraId="4DC86B0D">
            <w:pPr>
              <w:jc w:val="center"/>
              <w:rPr>
                <w:rFonts w:ascii="Times New Roman" w:hAnsi="Times New Roman" w:cs="Times New Roman"/>
                <w:szCs w:val="21"/>
              </w:rPr>
            </w:pPr>
            <w:r>
              <w:rPr>
                <w:rFonts w:hint="eastAsia" w:ascii="Times New Roman" w:hAnsi="Times New Roman" w:cs="Times New Roman"/>
                <w:szCs w:val="21"/>
              </w:rPr>
              <w:t>泄漏</w:t>
            </w:r>
            <w:r>
              <w:rPr>
                <w:rFonts w:ascii="Times New Roman" w:hAnsi="Times New Roman" w:cs="Times New Roman"/>
                <w:szCs w:val="21"/>
              </w:rPr>
              <w:t>污染物</w:t>
            </w:r>
            <w:r>
              <w:rPr>
                <w:rFonts w:hint="eastAsia" w:ascii="Times New Roman" w:hAnsi="Times New Roman" w:cs="Times New Roman"/>
                <w:szCs w:val="21"/>
              </w:rPr>
              <w:t>进入</w:t>
            </w:r>
            <w:r>
              <w:rPr>
                <w:rFonts w:ascii="Times New Roman" w:hAnsi="Times New Roman" w:cs="Times New Roman"/>
                <w:szCs w:val="21"/>
              </w:rPr>
              <w:t>土壤、地下水</w:t>
            </w:r>
            <w:r>
              <w:rPr>
                <w:rFonts w:hint="eastAsia" w:ascii="Times New Roman" w:hAnsi="Times New Roman" w:cs="Times New Roman"/>
                <w:szCs w:val="21"/>
              </w:rPr>
              <w:t>造成环境危害</w:t>
            </w:r>
          </w:p>
        </w:tc>
      </w:tr>
      <w:tr w14:paraId="6BB90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29" w:type="dxa"/>
            <w:tcBorders>
              <w:top w:val="single" w:color="auto" w:sz="4" w:space="0"/>
            </w:tcBorders>
            <w:shd w:val="clear" w:color="auto" w:fill="auto"/>
            <w:vAlign w:val="center"/>
          </w:tcPr>
          <w:p w14:paraId="3D3A5B3E">
            <w:pPr>
              <w:jc w:val="center"/>
              <w:rPr>
                <w:rFonts w:ascii="Times New Roman" w:hAnsi="Times New Roman" w:cs="Times New Roman"/>
                <w:szCs w:val="21"/>
              </w:rPr>
            </w:pPr>
            <w:r>
              <w:rPr>
                <w:rFonts w:hint="eastAsia" w:ascii="Times New Roman" w:hAnsi="Times New Roman" w:cs="Times New Roman"/>
                <w:szCs w:val="21"/>
              </w:rPr>
              <w:t>固废污染物</w:t>
            </w:r>
          </w:p>
        </w:tc>
        <w:tc>
          <w:tcPr>
            <w:tcW w:w="1871" w:type="dxa"/>
            <w:tcBorders>
              <w:top w:val="single" w:color="auto" w:sz="4" w:space="0"/>
              <w:right w:val="single" w:color="auto" w:sz="4" w:space="0"/>
            </w:tcBorders>
            <w:shd w:val="clear" w:color="auto" w:fill="auto"/>
            <w:vAlign w:val="center"/>
          </w:tcPr>
          <w:p w14:paraId="6D7F9986">
            <w:pPr>
              <w:jc w:val="center"/>
              <w:rPr>
                <w:rFonts w:ascii="Times New Roman" w:hAnsi="Times New Roman" w:cs="Times New Roman"/>
                <w:szCs w:val="21"/>
              </w:rPr>
            </w:pPr>
            <w:r>
              <w:rPr>
                <w:rFonts w:hint="eastAsia" w:ascii="Times New Roman" w:hAnsi="Times New Roman" w:cs="Times New Roman"/>
                <w:szCs w:val="21"/>
              </w:rPr>
              <w:t>甲苯、二甲苯、废机油</w:t>
            </w:r>
          </w:p>
        </w:tc>
        <w:tc>
          <w:tcPr>
            <w:tcW w:w="1530" w:type="dxa"/>
            <w:tcBorders>
              <w:top w:val="single" w:color="auto" w:sz="4" w:space="0"/>
              <w:left w:val="single" w:color="auto" w:sz="4" w:space="0"/>
              <w:right w:val="single" w:color="auto" w:sz="4" w:space="0"/>
            </w:tcBorders>
            <w:shd w:val="clear" w:color="auto" w:fill="auto"/>
            <w:vAlign w:val="center"/>
          </w:tcPr>
          <w:p w14:paraId="17FB718A">
            <w:pPr>
              <w:jc w:val="center"/>
              <w:rPr>
                <w:rFonts w:ascii="Times New Roman" w:hAnsi="Times New Roman" w:cs="Times New Roman"/>
                <w:szCs w:val="21"/>
              </w:rPr>
            </w:pPr>
            <w:r>
              <w:rPr>
                <w:rFonts w:hint="eastAsia" w:ascii="Times New Roman" w:hAnsi="Times New Roman" w:cs="Times New Roman"/>
                <w:szCs w:val="21"/>
              </w:rPr>
              <w:t>泄露</w:t>
            </w:r>
          </w:p>
        </w:tc>
        <w:tc>
          <w:tcPr>
            <w:tcW w:w="1412" w:type="dxa"/>
            <w:tcBorders>
              <w:top w:val="single" w:color="auto" w:sz="4" w:space="0"/>
              <w:left w:val="single" w:color="auto" w:sz="4" w:space="0"/>
            </w:tcBorders>
            <w:shd w:val="clear" w:color="auto" w:fill="auto"/>
            <w:vAlign w:val="center"/>
          </w:tcPr>
          <w:p w14:paraId="4D34C824">
            <w:pPr>
              <w:jc w:val="center"/>
              <w:rPr>
                <w:rFonts w:ascii="Times New Roman" w:hAnsi="Times New Roman" w:cs="Times New Roman"/>
                <w:szCs w:val="21"/>
              </w:rPr>
            </w:pPr>
            <w:r>
              <w:rPr>
                <w:rFonts w:hint="eastAsia" w:ascii="Times New Roman" w:hAnsi="Times New Roman" w:cs="Times New Roman"/>
                <w:szCs w:val="21"/>
              </w:rPr>
              <w:t>危废间</w:t>
            </w:r>
          </w:p>
        </w:tc>
        <w:tc>
          <w:tcPr>
            <w:tcW w:w="2267" w:type="dxa"/>
            <w:vMerge w:val="continue"/>
            <w:shd w:val="clear" w:color="auto" w:fill="auto"/>
            <w:vAlign w:val="center"/>
          </w:tcPr>
          <w:p w14:paraId="62D280BD">
            <w:pPr>
              <w:jc w:val="center"/>
              <w:rPr>
                <w:rFonts w:ascii="Times New Roman" w:hAnsi="Times New Roman" w:cs="Times New Roman"/>
                <w:szCs w:val="21"/>
              </w:rPr>
            </w:pPr>
          </w:p>
        </w:tc>
      </w:tr>
      <w:tr w14:paraId="18601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29" w:type="dxa"/>
            <w:shd w:val="clear" w:color="auto" w:fill="auto"/>
            <w:vAlign w:val="center"/>
          </w:tcPr>
          <w:p w14:paraId="590AB839">
            <w:pPr>
              <w:jc w:val="center"/>
              <w:rPr>
                <w:rFonts w:ascii="Times New Roman" w:hAnsi="Times New Roman" w:cs="Times New Roman"/>
                <w:szCs w:val="21"/>
              </w:rPr>
            </w:pPr>
            <w:r>
              <w:rPr>
                <w:rFonts w:hint="eastAsia" w:ascii="Times New Roman" w:hAnsi="Times New Roman" w:cs="Times New Roman"/>
                <w:szCs w:val="21"/>
              </w:rPr>
              <w:t>火灾伴生/次生物</w:t>
            </w:r>
          </w:p>
        </w:tc>
        <w:tc>
          <w:tcPr>
            <w:tcW w:w="1871" w:type="dxa"/>
            <w:shd w:val="clear" w:color="auto" w:fill="auto"/>
            <w:vAlign w:val="center"/>
          </w:tcPr>
          <w:p w14:paraId="3FE2F79F">
            <w:pPr>
              <w:jc w:val="center"/>
              <w:rPr>
                <w:rFonts w:ascii="Times New Roman" w:hAnsi="Times New Roman" w:cs="Times New Roman"/>
                <w:szCs w:val="21"/>
              </w:rPr>
            </w:pPr>
            <w:r>
              <w:rPr>
                <w:rFonts w:hint="eastAsia" w:ascii="Times New Roman" w:hAnsi="Times New Roman" w:cs="Times New Roman"/>
                <w:szCs w:val="21"/>
              </w:rPr>
              <w:t>CO</w:t>
            </w:r>
          </w:p>
        </w:tc>
        <w:tc>
          <w:tcPr>
            <w:tcW w:w="1530" w:type="dxa"/>
            <w:tcBorders>
              <w:right w:val="single" w:color="auto" w:sz="4" w:space="0"/>
            </w:tcBorders>
            <w:shd w:val="clear" w:color="auto" w:fill="auto"/>
            <w:vAlign w:val="center"/>
          </w:tcPr>
          <w:p w14:paraId="2B60A978">
            <w:pPr>
              <w:jc w:val="center"/>
              <w:rPr>
                <w:rFonts w:ascii="Times New Roman" w:hAnsi="Times New Roman" w:cs="Times New Roman"/>
                <w:szCs w:val="21"/>
              </w:rPr>
            </w:pPr>
            <w:r>
              <w:rPr>
                <w:rFonts w:hint="eastAsia" w:ascii="Times New Roman" w:hAnsi="Times New Roman" w:cs="Times New Roman"/>
                <w:szCs w:val="21"/>
              </w:rPr>
              <w:t>/</w:t>
            </w:r>
          </w:p>
        </w:tc>
        <w:tc>
          <w:tcPr>
            <w:tcW w:w="1412" w:type="dxa"/>
            <w:tcBorders>
              <w:left w:val="single" w:color="auto" w:sz="4" w:space="0"/>
            </w:tcBorders>
            <w:shd w:val="clear" w:color="auto" w:fill="auto"/>
            <w:vAlign w:val="center"/>
          </w:tcPr>
          <w:p w14:paraId="167D1441">
            <w:pPr>
              <w:jc w:val="center"/>
              <w:rPr>
                <w:rFonts w:ascii="Times New Roman" w:hAnsi="Times New Roman" w:cs="Times New Roman"/>
                <w:szCs w:val="21"/>
              </w:rPr>
            </w:pPr>
            <w:r>
              <w:rPr>
                <w:rFonts w:ascii="Times New Roman" w:hAnsi="Times New Roman" w:cs="Times New Roman"/>
                <w:szCs w:val="21"/>
              </w:rPr>
              <w:t>易燃危险物质存放区域或火灾发生点</w:t>
            </w:r>
          </w:p>
        </w:tc>
        <w:tc>
          <w:tcPr>
            <w:tcW w:w="2267" w:type="dxa"/>
            <w:shd w:val="clear" w:color="auto" w:fill="auto"/>
            <w:vAlign w:val="center"/>
          </w:tcPr>
          <w:p w14:paraId="016213DD">
            <w:pPr>
              <w:jc w:val="center"/>
              <w:rPr>
                <w:rFonts w:ascii="Times New Roman" w:hAnsi="Times New Roman" w:cs="Times New Roman"/>
                <w:szCs w:val="21"/>
              </w:rPr>
            </w:pPr>
            <w:r>
              <w:rPr>
                <w:rFonts w:ascii="Times New Roman" w:hAnsi="Times New Roman" w:cs="Times New Roman"/>
                <w:szCs w:val="21"/>
              </w:rPr>
              <w:t>大气扩散影响环境</w:t>
            </w:r>
          </w:p>
        </w:tc>
      </w:tr>
    </w:tbl>
    <w:p w14:paraId="5B9EDA70">
      <w:pPr>
        <w:pStyle w:val="3"/>
        <w:numPr>
          <w:ilvl w:val="1"/>
          <w:numId w:val="80"/>
        </w:numPr>
        <w:tabs>
          <w:tab w:val="clear" w:pos="0"/>
        </w:tabs>
        <w:adjustRightInd w:val="0"/>
        <w:snapToGrid w:val="0"/>
      </w:pPr>
      <w:bookmarkStart w:id="294" w:name="_Toc5812"/>
      <w:r>
        <w:t>环境</w:t>
      </w:r>
      <w:r>
        <w:rPr>
          <w:rFonts w:hint="eastAsia"/>
        </w:rPr>
        <w:t>风险分析</w:t>
      </w:r>
      <w:bookmarkEnd w:id="294"/>
    </w:p>
    <w:p w14:paraId="064E8C89">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（1）油漆、稀释剂泄漏</w:t>
      </w:r>
    </w:p>
    <w:p w14:paraId="5BD8DBDF">
      <w:pPr>
        <w:adjustRightInd w:val="0"/>
        <w:snapToGrid w:val="0"/>
        <w:spacing w:line="360" w:lineRule="auto"/>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本项目所使用的原辅材料中，油漆溶剂油闪点≧30℃，油漆</w:t>
      </w:r>
      <w:r>
        <w:rPr>
          <w:rFonts w:hint="eastAsia" w:ascii="Times New Roman" w:hAnsi="Times New Roman" w:cs="Times New Roman"/>
          <w:color w:val="000000" w:themeColor="text1"/>
          <w:sz w:val="24"/>
          <w14:textFill>
            <w14:solidFill>
              <w14:schemeClr w14:val="tx1"/>
            </w14:solidFill>
          </w14:textFill>
        </w:rPr>
        <w:t>、稀释剂</w:t>
      </w:r>
      <w:r>
        <w:rPr>
          <w:rFonts w:ascii="Times New Roman" w:hAnsi="Times New Roman" w:cs="Times New Roman"/>
          <w:color w:val="000000" w:themeColor="text1"/>
          <w:sz w:val="24"/>
          <w14:textFill>
            <w14:solidFill>
              <w14:schemeClr w14:val="tx1"/>
            </w14:solidFill>
          </w14:textFill>
        </w:rPr>
        <w:t>为易燃液体，火灾危险性较大。</w:t>
      </w:r>
    </w:p>
    <w:p w14:paraId="3EB07767">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（2）废水事故排放风险分析</w:t>
      </w:r>
    </w:p>
    <w:p w14:paraId="622168CE">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本项目生活污水经化粪池处理</w:t>
      </w:r>
      <w:r>
        <w:rPr>
          <w:rFonts w:hint="eastAsia" w:ascii="宋体" w:hAnsi="宋体" w:eastAsia="宋体" w:cs="宋体"/>
          <w:sz w:val="24"/>
        </w:rPr>
        <w:t>、水帘废水采用混凝沉淀+</w:t>
      </w:r>
      <w:r>
        <w:rPr>
          <w:rFonts w:hint="default" w:ascii="Times New Roman" w:hAnsi="Times New Roman" w:eastAsia="宋体" w:cs="Times New Roman"/>
          <w:sz w:val="24"/>
        </w:rPr>
        <w:t>fenton</w:t>
      </w:r>
      <w:r>
        <w:rPr>
          <w:rFonts w:hint="eastAsia" w:ascii="宋体" w:hAnsi="宋体" w:eastAsia="宋体" w:cs="宋体"/>
          <w:sz w:val="24"/>
        </w:rPr>
        <w:t>氧化处理后，满足清丰中州水务有限公司第二污水处理厂接收标准和《污水综合排放标准》（GB8978-1996）表4三级标准限值，达标尾水排入潴龙河</w:t>
      </w:r>
      <w:r>
        <w:rPr>
          <w:rFonts w:hint="eastAsia" w:ascii="Times New Roman" w:hAnsi="Times New Roman" w:eastAsia="宋体" w:cs="Times New Roman"/>
          <w:sz w:val="24"/>
        </w:rPr>
        <w:t>。经分析，</w:t>
      </w:r>
      <w:r>
        <w:rPr>
          <w:rFonts w:hint="eastAsia" w:ascii="宋体" w:hAnsi="宋体" w:eastAsia="宋体" w:cs="宋体"/>
          <w:sz w:val="24"/>
        </w:rPr>
        <w:t>水帘废水</w:t>
      </w:r>
      <w:r>
        <w:rPr>
          <w:rFonts w:hint="eastAsia" w:ascii="Times New Roman" w:hAnsi="Times New Roman" w:eastAsia="宋体" w:cs="Times New Roman"/>
          <w:sz w:val="24"/>
        </w:rPr>
        <w:t>中含有少量甲苯、二甲苯，事故情况下排放会对当地水质造成污染，因此要求修建事故池，避免事故排放的发生，确保如果发生泄漏，废水进入事故池；同时企业应加强管理，杜绝全厂污水事故排放。</w:t>
      </w:r>
    </w:p>
    <w:p w14:paraId="69E846B6">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（3）危险废物风险分析</w:t>
      </w:r>
    </w:p>
    <w:p w14:paraId="65646B8A">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w:t>
      </w:r>
      <w:r>
        <w:rPr>
          <w:rFonts w:hint="eastAsia" w:ascii="Times New Roman" w:hAnsi="Times New Roman" w:eastAsia="宋体" w:cs="Times New Roman"/>
          <w:color w:val="auto"/>
          <w:sz w:val="24"/>
        </w:rPr>
        <w:t>危废除废机油、喷枪清洗废水外皆为固态，所以</w:t>
      </w:r>
      <w:r>
        <w:rPr>
          <w:rFonts w:hint="eastAsia" w:ascii="Times New Roman" w:hAnsi="Times New Roman" w:eastAsia="宋体" w:cs="Times New Roman"/>
          <w:sz w:val="24"/>
        </w:rPr>
        <w:t>基本不存在泄漏、渗漏等情况，也没有易燃易爆性。项目设有危废暂存间，定期对危险废物进行委外处置，危废的可控性强，危废环境风险较小。本次评价要求加强危险废物储存管理、建立台账，做好危废暂存间防雨、防水工作，确保不发生剧烈化学反应，不产生“二次污染”，并制订风险应急预案。</w:t>
      </w:r>
    </w:p>
    <w:p w14:paraId="605A9AA2">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（4）火灾伴生/次生污染物排放影响分析</w:t>
      </w:r>
    </w:p>
    <w:p w14:paraId="4353B41F">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木材、油漆、稀释剂等原辅材料均为属易燃物质，发生火灾爆炸事故时，不完全燃烧引发的次生/伴生危害，不完全燃烧产物为CO等，CO在血液中与血红蛋白结合而造成组织缺氧。发生火灾爆炸应迅速撤离污染区人员至上风处，并立即隔离150m，严格限制出入；切断火源；合理通风，加速扩散；喷雾状水稀释、溶解，本项目污染物在采取了相应的应急措施后，对环境不构成明显影响。</w:t>
      </w:r>
    </w:p>
    <w:p w14:paraId="05C4E7B1">
      <w:pPr>
        <w:pStyle w:val="3"/>
        <w:numPr>
          <w:ilvl w:val="1"/>
          <w:numId w:val="85"/>
        </w:numPr>
        <w:tabs>
          <w:tab w:val="clear" w:pos="0"/>
        </w:tabs>
        <w:adjustRightInd w:val="0"/>
        <w:snapToGrid w:val="0"/>
      </w:pPr>
      <w:bookmarkStart w:id="295" w:name="_Toc18248"/>
      <w:bookmarkStart w:id="296" w:name="_Toc4622"/>
      <w:r>
        <w:t>环境</w:t>
      </w:r>
      <w:r>
        <w:rPr>
          <w:rFonts w:hint="eastAsia"/>
        </w:rPr>
        <w:t>风险防范措施</w:t>
      </w:r>
      <w:bookmarkEnd w:id="295"/>
    </w:p>
    <w:p w14:paraId="6377E937">
      <w:pPr>
        <w:pStyle w:val="4"/>
        <w:numPr>
          <w:ilvl w:val="2"/>
          <w:numId w:val="86"/>
        </w:numPr>
        <w:tabs>
          <w:tab w:val="clear" w:pos="0"/>
        </w:tabs>
        <w:adjustRightInd w:val="0"/>
        <w:snapToGrid w:val="0"/>
      </w:pPr>
      <w:r>
        <w:rPr>
          <w:rFonts w:hint="eastAsia"/>
        </w:rPr>
        <w:t>危险物质储运、使用过程的防范措施</w:t>
      </w:r>
    </w:p>
    <w:p w14:paraId="5D32B748">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（1）公司应设置专门的环保管理人员根据项目的特点进一步健全安全管理制度。</w:t>
      </w:r>
    </w:p>
    <w:p w14:paraId="3C567643">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根据不同物品的危险特性，分区储藏，并放置于适当的环境条件中保存，操作人员配戴合适的防护用具，如工作服、袖罩、手套等基本防护用具；加强对危险化学品储存场所的管理，保证储存场所阴凉、干燥，杜绝明火、高温等异常环境状况，定期安排人员巡查，确保危险物质的储存安全性。并设有砂土、灭火器等消防器材。</w:t>
      </w:r>
    </w:p>
    <w:p w14:paraId="33AEDD95">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（3）提高员工的操作技术能力，配合劳保用品，熟悉危险物质的性质，掌握危险化学品发生火灾、泄漏、烧伤等应急办法；定期对危险物质从业人员进行培训，提高员工管理操作水平及防范意识。</w:t>
      </w:r>
    </w:p>
    <w:p w14:paraId="2C669AA1">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做好厂区分区防渗措施，对危险物质与危废暂存间进行重点管理，必要时需设置围堰，储存区地面及围堰均做防腐、防渗等防范措施；建立危险物质与危险废物管理台账；定期对危险物质与危险废物储存场所进行巡查，发现泄漏问题及时解决，并做好记录。</w:t>
      </w:r>
    </w:p>
    <w:p w14:paraId="25ECB359">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在装卸危险物品前，预先做好准备工作，了解物品性质，检查装卸搬运工具，工作完毕后根据工作情况和危险品的性质，及时清洗手、脸、漱口或淋浴；对于危险物质的运输，由持有资质的单位和个人，专人专车依照既定线路进行运输，合理规划运输路线及运输时间，装运的危险品外包装明显部位按《危险货物包装标志》(GB190-90)规定标志，包装标志牢固、正确。</w:t>
      </w:r>
    </w:p>
    <w:p w14:paraId="7F734250">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6）运输腐蚀性、有毒物品的人员，出车前必须检查防毒、防护用品，在运输途中发现泄漏应主动采取处理措施，防止事故进一步扩大，并向有关部门报告，请求救援；化学品洒落地面、车板，及时清除，对易燃易爆物品应用松软物经水浸湿后扫除。</w:t>
      </w:r>
    </w:p>
    <w:p w14:paraId="01F98F0B">
      <w:pPr>
        <w:pStyle w:val="4"/>
        <w:numPr>
          <w:ilvl w:val="2"/>
          <w:numId w:val="86"/>
        </w:numPr>
        <w:tabs>
          <w:tab w:val="clear" w:pos="0"/>
        </w:tabs>
        <w:adjustRightInd w:val="0"/>
        <w:snapToGrid w:val="0"/>
      </w:pPr>
      <w:r>
        <w:rPr>
          <w:rFonts w:hint="eastAsia"/>
        </w:rPr>
        <w:t>废气事故排放风险防范措施</w:t>
      </w:r>
    </w:p>
    <w:p w14:paraId="3D64230D">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（1）废气处理设施的相关操作人员应严格按照操作规程进行操作；每天一次对废气处理设施进行巡检。具体要求为：</w:t>
      </w:r>
    </w:p>
    <w:p w14:paraId="26612486">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①净化装置前应设置废气直接排空装置。当净化装置一旦发生故障或工作结束时，应能立即打开直接排空装置，使废气直接排空，以防有机气体积聚。</w:t>
      </w:r>
    </w:p>
    <w:p w14:paraId="476FCFD2">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②直接排空装置后、净化装置前，应设置去除悬浮物质、尘土等的过滤器。过滤器应设置压差计，当过滤器的阻力超过设定最大阻力时，或到清理日期时，应立即清理或更换过滤材料。</w:t>
      </w:r>
    </w:p>
    <w:p w14:paraId="25A2E2E6">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③在过滤器后、净化装置前，应设置阻火器。阻火器的阻火性能应符合GB13347的规定。</w:t>
      </w:r>
    </w:p>
    <w:p w14:paraId="59BC5760">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④净化装置中可能产生静电的管道和一切设备均应可靠接地，设置专用的静电接地体，其接地电阻值不大</w:t>
      </w:r>
      <w:r>
        <w:rPr>
          <w:rFonts w:ascii="Times New Roman" w:hAnsi="Times New Roman" w:eastAsia="宋体" w:cs="Times New Roman"/>
          <w:sz w:val="24"/>
        </w:rPr>
        <w:t>于100Ω，静电导体与大地间的总泄漏电阻应小于1×106Ω，并应符合GB12158的规定。</w:t>
      </w:r>
    </w:p>
    <w:p w14:paraId="50029772">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⑤净化装置的设备及与其相连接的管道，均应有密封件，紧密不漏气。</w:t>
      </w:r>
    </w:p>
    <w:p w14:paraId="5962B1B4">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⑥净化装置的隔热、保温层应采用非燃烧体材料制作，保温层外壁温度宜不高于室内温度1</w:t>
      </w:r>
      <w:r>
        <w:rPr>
          <w:rFonts w:ascii="Times New Roman" w:hAnsi="Times New Roman" w:eastAsia="宋体" w:cs="Times New Roman"/>
          <w:sz w:val="24"/>
        </w:rPr>
        <w:t>5℃</w:t>
      </w:r>
      <w:r>
        <w:rPr>
          <w:rFonts w:hint="eastAsia" w:ascii="Times New Roman" w:hAnsi="Times New Roman" w:eastAsia="宋体" w:cs="Times New Roman"/>
          <w:sz w:val="24"/>
        </w:rPr>
        <w:t>。</w:t>
      </w:r>
    </w:p>
    <w:p w14:paraId="6B06F340">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⑦净化装置前设置风机正压操作时，风机与电机均应选用防爆型。通过风机的气体温度应低于风机运行时的规定温度。风机前应设风量调节阀。</w:t>
      </w:r>
    </w:p>
    <w:p w14:paraId="1E3FEE23">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⑧净化装置、辅助装置及风机等应采取减振、隔音措施，运行时的噪声应符合GBJ87的规定。</w:t>
      </w:r>
    </w:p>
    <w:p w14:paraId="63D1B6E8">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⑨净化装置应设置在通风良好的场所，并具有安全疏散通道或空间。</w:t>
      </w:r>
    </w:p>
    <w:p w14:paraId="59D1D106">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⑩净化装置设置场所严禁烟火，并应按GBJ140的要求设置灭火器材。</w:t>
      </w:r>
    </w:p>
    <w:p w14:paraId="2AD40E43">
      <w:pPr>
        <w:adjustRightInd w:val="0"/>
        <w:snapToGrid w:val="0"/>
        <w:spacing w:line="360" w:lineRule="auto"/>
        <w:ind w:firstLine="482" w:firstLineChars="200"/>
        <w:rPr>
          <w:rFonts w:hint="default" w:ascii="Times New Roman" w:hAnsi="Times New Roman" w:eastAsia="宋体" w:cs="Times New Roman"/>
          <w:b/>
          <w:bCs/>
          <w:color w:val="auto"/>
          <w:sz w:val="24"/>
          <w:highlight w:val="none"/>
          <w:u w:val="single"/>
        </w:rPr>
      </w:pPr>
      <w:r>
        <w:rPr>
          <w:rFonts w:hint="default" w:ascii="Times New Roman" w:hAnsi="Times New Roman" w:eastAsia="宋体" w:cs="Times New Roman"/>
          <w:b/>
          <w:bCs/>
          <w:color w:val="auto"/>
          <w:sz w:val="24"/>
          <w:highlight w:val="none"/>
          <w:u w:val="single"/>
        </w:rPr>
        <w:t>（2）定期监测经废气处理设施处理后的废气排放浓度，保证达标排放；定期检查通风管道，避免无组织排放，保证废气高空排放。</w:t>
      </w:r>
    </w:p>
    <w:p w14:paraId="5AFFE8AF">
      <w:pPr>
        <w:adjustRightInd w:val="0"/>
        <w:snapToGrid w:val="0"/>
        <w:spacing w:line="360" w:lineRule="auto"/>
        <w:ind w:firstLine="482"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u w:val="single"/>
        </w:rPr>
        <w:t>（3）对废气处理站员工加强环保宣传教育，并进行专业技能培训。</w:t>
      </w:r>
    </w:p>
    <w:p w14:paraId="280100B0">
      <w:pPr>
        <w:pStyle w:val="4"/>
        <w:numPr>
          <w:ilvl w:val="2"/>
          <w:numId w:val="86"/>
        </w:numPr>
        <w:tabs>
          <w:tab w:val="clear" w:pos="0"/>
        </w:tabs>
        <w:adjustRightInd w:val="0"/>
        <w:snapToGrid w:val="0"/>
      </w:pPr>
      <w:r>
        <w:rPr>
          <w:rFonts w:hint="eastAsia"/>
        </w:rPr>
        <w:t>废水及危险废物泄漏风险防范措施</w:t>
      </w:r>
    </w:p>
    <w:p w14:paraId="4E077249">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（1）针对污水处理站所在区域，池体基础所在地面采用防渗处理；车间各循环水池均需定期检查池壁完好程度，避免因池体破损而引发的泄漏事件。</w:t>
      </w:r>
    </w:p>
    <w:p w14:paraId="1515EBB5">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（2）加强作业区及贮存区的日常巡查，定期检查及检测接、管路、桶体的安全性；严格按相关规程进行操作、检查，杜绝违章作业及设备超负荷运行现象。</w:t>
      </w:r>
    </w:p>
    <w:p w14:paraId="1F37B869">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（3）车间及操作人员均配备防护用具，拟在车间设有洗眼池、急救箱等应急物资。</w:t>
      </w:r>
    </w:p>
    <w:p w14:paraId="698FB276">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（4）设置事故应急池，配备相应抽水泵，一旦发生事故泄露，将事故废水引至事故应急池内。</w:t>
      </w:r>
    </w:p>
    <w:p w14:paraId="39646328">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车间各系废水的管线均采取明管套明沟的模式铺设，各种分质废水管道采取用不同颜色加以区别，明管、明沟均进行防腐、防渗漏处理，如明沟采用钢筋混凝土，涂环氧树脂，排水管采用PVC材料，杜绝废水在输送过程可能产生的渗漏。</w:t>
      </w:r>
    </w:p>
    <w:p w14:paraId="7F01EEC1">
      <w:pPr>
        <w:adjustRightInd w:val="0"/>
        <w:snapToGrid w:val="0"/>
        <w:spacing w:line="360" w:lineRule="auto"/>
        <w:ind w:firstLine="480" w:firstLineChars="200"/>
        <w:rPr>
          <w:rFonts w:hint="default" w:ascii="Times New Roman" w:hAnsi="Times New Roman" w:eastAsia="宋体" w:cs="Times New Roman"/>
          <w:b/>
          <w:bCs/>
          <w:color w:val="0000FF"/>
          <w:sz w:val="24"/>
          <w:highlight w:val="none"/>
          <w:u w:val="single"/>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lang w:eastAsia="zh-CN"/>
        </w:rPr>
        <w:t>）</w:t>
      </w:r>
      <w:r>
        <w:rPr>
          <w:rFonts w:hint="default" w:ascii="Times New Roman" w:hAnsi="Times New Roman" w:eastAsia="宋体" w:cs="Times New Roman"/>
          <w:b/>
          <w:bCs/>
          <w:color w:val="auto"/>
          <w:sz w:val="24"/>
          <w:highlight w:val="none"/>
          <w:u w:val="single"/>
          <w:lang w:val="en-US" w:eastAsia="zh-CN"/>
        </w:rPr>
        <w:t>在车间内原料储存区、危废间设置矮堰、导流沟，当物料泄漏后，会首先被收集在储存区的矮堰内，进入水体、土壤和装置外环境的可能性很小，其泄漏出来的物料受到围矮的阻隔并收集储存，之后交由有资质单位处置，从而将次生危害降至最低。</w:t>
      </w:r>
    </w:p>
    <w:p w14:paraId="5353D9F7">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本次评价建议在厂内设置事故池，避免发生火灾等事故时引发水体、土壤污染。</w:t>
      </w:r>
    </w:p>
    <w:p w14:paraId="18C4AFD6">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①</w:t>
      </w:r>
      <w:r>
        <w:rPr>
          <w:rFonts w:hint="eastAsia" w:ascii="Times New Roman" w:hAnsi="Times New Roman" w:eastAsia="宋体" w:cs="Times New Roman"/>
          <w:sz w:val="24"/>
        </w:rPr>
        <w:t>事故应急池</w:t>
      </w:r>
    </w:p>
    <w:p w14:paraId="6C997691">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参照《事故状态下水体污染的预防与控制技术要求》（QSY1190-2013）附录公式A.1，事故池容积按下式进行计算。</w:t>
      </w:r>
    </w:p>
    <w:p w14:paraId="45BDE299">
      <w:pPr>
        <w:spacing w:line="360" w:lineRule="auto"/>
        <w:jc w:val="center"/>
      </w:pPr>
      <w:r>
        <w:drawing>
          <wp:inline distT="0" distB="0" distL="114300" distR="114300">
            <wp:extent cx="1626870" cy="1151890"/>
            <wp:effectExtent l="0" t="0" r="11430" b="10160"/>
            <wp:docPr id="1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4"/>
                    <pic:cNvPicPr>
                      <a:picLocks noChangeAspect="1"/>
                    </pic:cNvPicPr>
                  </pic:nvPicPr>
                  <pic:blipFill>
                    <a:blip r:embed="rId85"/>
                    <a:stretch>
                      <a:fillRect/>
                    </a:stretch>
                  </pic:blipFill>
                  <pic:spPr>
                    <a:xfrm>
                      <a:off x="0" y="0"/>
                      <a:ext cx="1626870" cy="1151890"/>
                    </a:xfrm>
                    <a:prstGeom prst="rect">
                      <a:avLst/>
                    </a:prstGeom>
                    <a:noFill/>
                    <a:ln>
                      <a:noFill/>
                    </a:ln>
                  </pic:spPr>
                </pic:pic>
              </a:graphicData>
            </a:graphic>
          </wp:inline>
        </w:drawing>
      </w:r>
    </w:p>
    <w:p w14:paraId="5ACC59B9">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式中：</w:t>
      </w:r>
    </w:p>
    <w:p w14:paraId="7BD4FD5E">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V总——事故储存设施总有效容</w:t>
      </w:r>
      <w:r>
        <w:rPr>
          <w:rFonts w:ascii="Times New Roman" w:hAnsi="Times New Roman" w:eastAsia="宋体" w:cs="Times New Roman"/>
          <w:sz w:val="24"/>
        </w:rPr>
        <w:t>积，m³；</w:t>
      </w:r>
    </w:p>
    <w:p w14:paraId="1DAD9283">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V1</w:t>
      </w:r>
      <w:r>
        <w:rPr>
          <w:rFonts w:ascii="Times New Roman" w:hAnsi="Times New Roman" w:eastAsia="宋体" w:cs="Times New Roman"/>
          <w:sz w:val="24"/>
        </w:rPr>
        <w:tab/>
      </w:r>
      <w:r>
        <w:rPr>
          <w:rFonts w:ascii="Times New Roman" w:hAnsi="Times New Roman" w:eastAsia="宋体" w:cs="Times New Roman"/>
          <w:sz w:val="24"/>
        </w:rPr>
        <w:t>——收集系统范围内发生事故的一个罐组或一套装置的物料量，m³；储存相同物料的罐组按一个最大储罐计，装置物料量按存留最大物料量的一台反应器或中间储罐计；</w:t>
      </w:r>
    </w:p>
    <w:p w14:paraId="29F211BE">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V2</w:t>
      </w:r>
      <w:r>
        <w:rPr>
          <w:rFonts w:ascii="Times New Roman" w:hAnsi="Times New Roman" w:eastAsia="宋体" w:cs="Times New Roman"/>
          <w:sz w:val="24"/>
        </w:rPr>
        <w:tab/>
      </w:r>
      <w:r>
        <w:rPr>
          <w:rFonts w:ascii="Times New Roman" w:hAnsi="Times New Roman" w:eastAsia="宋体" w:cs="Times New Roman"/>
          <w:sz w:val="24"/>
        </w:rPr>
        <w:t>——发生事故的储罐或装置的消防水量，m³；</w:t>
      </w:r>
    </w:p>
    <w:p w14:paraId="7368322B">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V3</w:t>
      </w:r>
      <w:r>
        <w:rPr>
          <w:rFonts w:ascii="Times New Roman" w:hAnsi="Times New Roman" w:eastAsia="宋体" w:cs="Times New Roman"/>
          <w:sz w:val="24"/>
        </w:rPr>
        <w:tab/>
      </w:r>
      <w:r>
        <w:rPr>
          <w:rFonts w:ascii="Times New Roman" w:hAnsi="Times New Roman" w:eastAsia="宋体" w:cs="Times New Roman"/>
          <w:sz w:val="24"/>
        </w:rPr>
        <w:t>——发生事故时可以转输到其他储存或处理设施的物料量，m³；</w:t>
      </w:r>
    </w:p>
    <w:p w14:paraId="10BEA1A6">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V4</w:t>
      </w:r>
      <w:r>
        <w:rPr>
          <w:rFonts w:ascii="Times New Roman" w:hAnsi="Times New Roman" w:eastAsia="宋体" w:cs="Times New Roman"/>
          <w:sz w:val="24"/>
        </w:rPr>
        <w:tab/>
      </w:r>
      <w:r>
        <w:rPr>
          <w:rFonts w:ascii="Times New Roman" w:hAnsi="Times New Roman" w:eastAsia="宋体" w:cs="Times New Roman"/>
          <w:sz w:val="24"/>
        </w:rPr>
        <w:t>——发生事故时仍必须进入该收集系统的生产、生活废水量，m³；</w:t>
      </w:r>
    </w:p>
    <w:p w14:paraId="29C1F039">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V5</w:t>
      </w:r>
      <w:r>
        <w:rPr>
          <w:rFonts w:ascii="Times New Roman" w:hAnsi="Times New Roman" w:eastAsia="宋体" w:cs="Times New Roman"/>
          <w:sz w:val="24"/>
        </w:rPr>
        <w:tab/>
      </w:r>
      <w:r>
        <w:rPr>
          <w:rFonts w:ascii="Times New Roman" w:hAnsi="Times New Roman" w:eastAsia="宋体" w:cs="Times New Roman"/>
          <w:sz w:val="24"/>
        </w:rPr>
        <w:t>——发生事故时可能进入该收集系统的降雨量，m³</w:t>
      </w:r>
      <w:r>
        <w:rPr>
          <w:rFonts w:hint="eastAsia" w:ascii="Times New Roman" w:hAnsi="Times New Roman" w:eastAsia="宋体" w:cs="Times New Roman"/>
          <w:sz w:val="24"/>
        </w:rPr>
        <w:t>；</w:t>
      </w:r>
    </w:p>
    <w:p w14:paraId="57B72E0A">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Q消——发生事故的储罐、装置或铁路、汽车装卸区同时使用的消防设施给水流量，m³/h；</w:t>
      </w:r>
    </w:p>
    <w:p w14:paraId="1BC0D28A">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t消——为消防设施对应的 设计消防历时，h；</w:t>
      </w:r>
    </w:p>
    <w:p w14:paraId="17CE6D2B">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q——为降雨强度，按平均日降雨量，mm；</w:t>
      </w:r>
    </w:p>
    <w:p w14:paraId="0210E5F5">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qa——年平均降雨量; </w:t>
      </w:r>
    </w:p>
    <w:p w14:paraId="757A5FFA">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n——年均降雨日数；</w:t>
      </w:r>
    </w:p>
    <w:p w14:paraId="45B60B5E">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f——必须进入事故废水收集系统的雨水汇水面积，ha。</w:t>
      </w:r>
    </w:p>
    <w:p w14:paraId="55CE1550">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②</w:t>
      </w:r>
      <w:r>
        <w:rPr>
          <w:rFonts w:hint="eastAsia" w:ascii="Times New Roman" w:hAnsi="Times New Roman" w:eastAsia="宋体" w:cs="Times New Roman"/>
          <w:sz w:val="24"/>
        </w:rPr>
        <w:t>参数计算</w:t>
      </w:r>
    </w:p>
    <w:p w14:paraId="6E495602">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A物料泄露</w:t>
      </w:r>
    </w:p>
    <w:p w14:paraId="3133F6EB">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本项目液体原料均为桶装，原料泄漏后易发现，结合实际考虑，油漆无法进入事故水池，则V</w:t>
      </w:r>
      <w:r>
        <w:rPr>
          <w:rFonts w:hint="eastAsia" w:ascii="Times New Roman" w:hAnsi="Times New Roman" w:eastAsia="宋体" w:cs="Times New Roman"/>
          <w:sz w:val="24"/>
          <w:vertAlign w:val="subscript"/>
        </w:rPr>
        <w:t>1</w:t>
      </w:r>
      <w:r>
        <w:rPr>
          <w:rFonts w:hint="eastAsia" w:ascii="Times New Roman" w:hAnsi="Times New Roman" w:eastAsia="宋体" w:cs="Times New Roman"/>
          <w:sz w:val="24"/>
        </w:rPr>
        <w:t>=0m³。</w:t>
      </w:r>
    </w:p>
    <w:p w14:paraId="7F5D7461">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B消防废水</w:t>
      </w:r>
    </w:p>
    <w:p w14:paraId="556BF4E0">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根据《建筑设计防火</w:t>
      </w:r>
      <w:r>
        <w:rPr>
          <w:rFonts w:ascii="Times New Roman" w:hAnsi="Times New Roman" w:eastAsia="宋体" w:cs="Times New Roman"/>
          <w:sz w:val="24"/>
        </w:rPr>
        <w:t>规范》（GB50016-2014）、《消防给水及消火栓系统技术规范》（GB50974-2014），事故情况下一旦发生火灾情况，工程消防按同一时间厂区内火灾处按1处考虑。本工程消防用水量15L/s，火灾持续时间按0.5h考虑，则消防用水量为27m</w:t>
      </w:r>
      <w:r>
        <w:rPr>
          <w:rFonts w:ascii="Times New Roman" w:hAnsi="Times New Roman" w:eastAsia="宋体" w:cs="Times New Roman"/>
          <w:sz w:val="24"/>
          <w:vertAlign w:val="superscript"/>
        </w:rPr>
        <w:t>3</w:t>
      </w:r>
      <w:r>
        <w:rPr>
          <w:rFonts w:ascii="Times New Roman" w:hAnsi="Times New Roman" w:eastAsia="宋体" w:cs="Times New Roman"/>
          <w:sz w:val="24"/>
        </w:rPr>
        <w:t>，需设置容积大于27m</w:t>
      </w:r>
      <w:r>
        <w:rPr>
          <w:rFonts w:ascii="Times New Roman" w:hAnsi="Times New Roman" w:eastAsia="宋体" w:cs="Times New Roman"/>
          <w:sz w:val="24"/>
          <w:vertAlign w:val="superscript"/>
        </w:rPr>
        <w:t>3</w:t>
      </w:r>
      <w:r>
        <w:rPr>
          <w:rFonts w:ascii="Times New Roman" w:hAnsi="Times New Roman" w:eastAsia="宋体" w:cs="Times New Roman"/>
          <w:sz w:val="24"/>
        </w:rPr>
        <w:t>的消防废水收集池，本项目区30m</w:t>
      </w:r>
      <w:r>
        <w:rPr>
          <w:rFonts w:ascii="Times New Roman" w:hAnsi="Times New Roman" w:eastAsia="宋体" w:cs="Times New Roman"/>
          <w:sz w:val="24"/>
          <w:vertAlign w:val="superscript"/>
        </w:rPr>
        <w:t>3</w:t>
      </w:r>
      <w:r>
        <w:rPr>
          <w:rFonts w:ascii="Times New Roman" w:hAnsi="Times New Roman" w:eastAsia="宋体" w:cs="Times New Roman"/>
          <w:sz w:val="24"/>
        </w:rPr>
        <w:t>。</w:t>
      </w:r>
    </w:p>
    <w:p w14:paraId="2747D99C">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C生产、生活废水</w:t>
      </w:r>
    </w:p>
    <w:p w14:paraId="28C4F7C7">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项目生产废水和生活污水为间断排放，且项目发生事故时，立即停止生产，则无必须进入收集系统废水，故V</w:t>
      </w:r>
      <w:r>
        <w:rPr>
          <w:rFonts w:ascii="Times New Roman" w:hAnsi="Times New Roman" w:eastAsia="宋体" w:cs="Times New Roman"/>
          <w:sz w:val="24"/>
          <w:vertAlign w:val="subscript"/>
        </w:rPr>
        <w:t>4</w:t>
      </w:r>
      <w:r>
        <w:rPr>
          <w:rFonts w:ascii="Times New Roman" w:hAnsi="Times New Roman" w:eastAsia="宋体" w:cs="Times New Roman"/>
          <w:sz w:val="24"/>
        </w:rPr>
        <w:t>取0m³。</w:t>
      </w:r>
    </w:p>
    <w:p w14:paraId="0555B462">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D初期雨水</w:t>
      </w:r>
    </w:p>
    <w:p w14:paraId="19EF84CC">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根据实际情况，本项目仅租赁厂房，原料均为生产车间内部，无需考虑初期雨水，此处V</w:t>
      </w:r>
      <w:r>
        <w:rPr>
          <w:rFonts w:ascii="Times New Roman" w:hAnsi="Times New Roman" w:eastAsia="宋体" w:cs="Times New Roman"/>
          <w:sz w:val="24"/>
          <w:vertAlign w:val="subscript"/>
        </w:rPr>
        <w:t>5</w:t>
      </w:r>
      <w:r>
        <w:rPr>
          <w:rFonts w:ascii="Times New Roman" w:hAnsi="Times New Roman" w:eastAsia="宋体" w:cs="Times New Roman"/>
          <w:sz w:val="24"/>
        </w:rPr>
        <w:t>取0m³。</w:t>
      </w:r>
    </w:p>
    <w:p w14:paraId="530B11BD">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综上所述，事故池容积V总=（</w:t>
      </w:r>
      <w:r>
        <w:rPr>
          <w:rFonts w:hint="eastAsia" w:ascii="Times New Roman" w:hAnsi="Times New Roman" w:eastAsia="宋体" w:cs="Times New Roman"/>
          <w:sz w:val="24"/>
        </w:rPr>
        <w:t>0</w:t>
      </w:r>
      <w:r>
        <w:rPr>
          <w:rFonts w:ascii="Times New Roman" w:hAnsi="Times New Roman" w:eastAsia="宋体" w:cs="Times New Roman"/>
          <w:sz w:val="24"/>
        </w:rPr>
        <w:t>+</w:t>
      </w:r>
      <w:r>
        <w:rPr>
          <w:rFonts w:hint="eastAsia" w:ascii="Times New Roman" w:hAnsi="Times New Roman" w:eastAsia="宋体" w:cs="Times New Roman"/>
          <w:sz w:val="24"/>
        </w:rPr>
        <w:t>3</w:t>
      </w:r>
      <w:r>
        <w:rPr>
          <w:rFonts w:ascii="Times New Roman" w:hAnsi="Times New Roman" w:eastAsia="宋体" w:cs="Times New Roman"/>
          <w:sz w:val="24"/>
        </w:rPr>
        <w:t>0-0）+0+0=</w:t>
      </w:r>
      <w:r>
        <w:rPr>
          <w:rFonts w:hint="eastAsia" w:ascii="Times New Roman" w:hAnsi="Times New Roman" w:eastAsia="宋体" w:cs="Times New Roman"/>
          <w:sz w:val="24"/>
        </w:rPr>
        <w:t>3</w:t>
      </w:r>
      <w:r>
        <w:rPr>
          <w:rFonts w:ascii="Times New Roman" w:hAnsi="Times New Roman" w:eastAsia="宋体" w:cs="Times New Roman"/>
          <w:sz w:val="24"/>
        </w:rPr>
        <w:t>0m³，要求企业建设不小于</w:t>
      </w:r>
      <w:r>
        <w:rPr>
          <w:rFonts w:hint="eastAsia" w:ascii="Times New Roman" w:hAnsi="Times New Roman" w:eastAsia="宋体" w:cs="Times New Roman"/>
          <w:sz w:val="24"/>
        </w:rPr>
        <w:t>30</w:t>
      </w:r>
      <w:r>
        <w:rPr>
          <w:rFonts w:ascii="Times New Roman" w:hAnsi="Times New Roman" w:eastAsia="宋体" w:cs="Times New Roman"/>
          <w:sz w:val="24"/>
        </w:rPr>
        <w:t>m³事故水池。根据企业设计，在厂区拟建</w:t>
      </w:r>
      <w:r>
        <w:rPr>
          <w:rFonts w:hint="eastAsia" w:ascii="Times New Roman" w:hAnsi="Times New Roman" w:eastAsia="宋体" w:cs="Times New Roman"/>
          <w:sz w:val="24"/>
        </w:rPr>
        <w:t>30</w:t>
      </w:r>
      <w:r>
        <w:rPr>
          <w:rFonts w:ascii="Times New Roman" w:hAnsi="Times New Roman" w:eastAsia="宋体" w:cs="Times New Roman"/>
          <w:sz w:val="24"/>
        </w:rPr>
        <w:t>m³事故应急池，可满足事故废水容纳需要，事故池容积设计合理。</w:t>
      </w:r>
    </w:p>
    <w:p w14:paraId="63FBAC3C">
      <w:pPr>
        <w:pStyle w:val="4"/>
        <w:numPr>
          <w:ilvl w:val="2"/>
          <w:numId w:val="86"/>
        </w:numPr>
        <w:tabs>
          <w:tab w:val="clear" w:pos="0"/>
        </w:tabs>
        <w:adjustRightInd w:val="0"/>
        <w:snapToGrid w:val="0"/>
        <w:rPr>
          <w:rFonts w:eastAsia="宋体" w:cs="Times New Roman"/>
          <w:b/>
          <w:bCs w:val="0"/>
          <w:szCs w:val="24"/>
          <w:u w:val="single"/>
        </w:rPr>
      </w:pPr>
      <w:r>
        <w:rPr>
          <w:rFonts w:hint="eastAsia" w:eastAsia="宋体" w:cs="Times New Roman"/>
          <w:b/>
          <w:bCs w:val="0"/>
          <w:szCs w:val="24"/>
          <w:u w:val="single"/>
        </w:rPr>
        <w:t>生产过程中的事故防范措施</w:t>
      </w:r>
    </w:p>
    <w:p w14:paraId="3747C23B">
      <w:pPr>
        <w:adjustRightInd w:val="0"/>
        <w:snapToGrid w:val="0"/>
        <w:spacing w:line="360" w:lineRule="auto"/>
        <w:ind w:firstLine="482" w:firstLineChars="200"/>
        <w:rPr>
          <w:rFonts w:ascii="Times New Roman" w:hAnsi="Times New Roman" w:eastAsia="宋体" w:cs="Times New Roman"/>
          <w:b/>
          <w:bCs w:val="0"/>
          <w:sz w:val="24"/>
          <w:u w:val="single"/>
        </w:rPr>
      </w:pPr>
      <w:r>
        <w:rPr>
          <w:rFonts w:hint="eastAsia" w:ascii="宋体" w:hAnsi="宋体" w:eastAsia="宋体" w:cs="宋体"/>
          <w:b/>
          <w:bCs w:val="0"/>
          <w:sz w:val="24"/>
          <w:u w:val="single"/>
        </w:rPr>
        <w:t>①</w:t>
      </w:r>
      <w:r>
        <w:rPr>
          <w:rFonts w:hint="eastAsia" w:ascii="Times New Roman" w:hAnsi="Times New Roman" w:eastAsia="宋体" w:cs="Times New Roman"/>
          <w:b/>
          <w:bCs w:val="0"/>
          <w:sz w:val="24"/>
          <w:u w:val="single"/>
        </w:rPr>
        <w:t>制定详细的车间安全生产制度并严格执行，规范车间内职工生产操作方式，对生产操作工人必须进行上岗前专业培训，严格管理，提高职工安全环保意识。</w:t>
      </w:r>
    </w:p>
    <w:p w14:paraId="79608F39">
      <w:pPr>
        <w:adjustRightInd w:val="0"/>
        <w:snapToGrid w:val="0"/>
        <w:spacing w:line="360" w:lineRule="auto"/>
        <w:ind w:firstLine="482" w:firstLineChars="200"/>
        <w:rPr>
          <w:rFonts w:ascii="Times New Roman" w:hAnsi="Times New Roman" w:eastAsia="宋体" w:cs="Times New Roman"/>
          <w:b/>
          <w:bCs w:val="0"/>
          <w:sz w:val="24"/>
          <w:u w:val="single"/>
        </w:rPr>
      </w:pPr>
      <w:r>
        <w:rPr>
          <w:rFonts w:hint="eastAsia" w:ascii="宋体" w:hAnsi="宋体" w:eastAsia="宋体" w:cs="宋体"/>
          <w:b/>
          <w:bCs w:val="0"/>
          <w:sz w:val="24"/>
          <w:u w:val="single"/>
        </w:rPr>
        <w:t>②</w:t>
      </w:r>
      <w:r>
        <w:rPr>
          <w:rFonts w:hint="eastAsia" w:ascii="Times New Roman" w:hAnsi="Times New Roman" w:eastAsia="宋体" w:cs="Times New Roman"/>
          <w:b/>
          <w:bCs w:val="0"/>
          <w:sz w:val="24"/>
          <w:u w:val="single"/>
        </w:rPr>
        <w:t>严格操作规程，加强对生产和辅助设备定期检修，确保废气处理设施正常运行和加工过程产生的废气达标排放。</w:t>
      </w:r>
    </w:p>
    <w:p w14:paraId="3FDED2C9">
      <w:pPr>
        <w:adjustRightInd w:val="0"/>
        <w:snapToGrid w:val="0"/>
        <w:spacing w:line="360" w:lineRule="auto"/>
        <w:ind w:firstLine="482" w:firstLineChars="200"/>
        <w:rPr>
          <w:rFonts w:ascii="Times New Roman" w:hAnsi="Times New Roman" w:eastAsia="宋体" w:cs="Times New Roman"/>
          <w:b/>
          <w:bCs w:val="0"/>
          <w:sz w:val="24"/>
          <w:u w:val="single"/>
        </w:rPr>
      </w:pPr>
      <w:r>
        <w:rPr>
          <w:rFonts w:hint="eastAsia" w:ascii="宋体" w:hAnsi="宋体" w:eastAsia="宋体" w:cs="宋体"/>
          <w:b/>
          <w:bCs w:val="0"/>
          <w:sz w:val="24"/>
          <w:u w:val="single"/>
        </w:rPr>
        <w:t>③</w:t>
      </w:r>
      <w:r>
        <w:rPr>
          <w:rFonts w:hint="eastAsia" w:ascii="Times New Roman" w:hAnsi="Times New Roman" w:eastAsia="宋体" w:cs="Times New Roman"/>
          <w:b/>
          <w:bCs w:val="0"/>
          <w:sz w:val="24"/>
          <w:u w:val="single"/>
        </w:rPr>
        <w:t>加强管理，定期向当地环保主管部门及安全消防部门汇报，以便得到有效监管。</w:t>
      </w:r>
    </w:p>
    <w:p w14:paraId="1C3A89CE">
      <w:pPr>
        <w:pStyle w:val="4"/>
        <w:numPr>
          <w:ilvl w:val="2"/>
          <w:numId w:val="86"/>
        </w:numPr>
        <w:tabs>
          <w:tab w:val="clear" w:pos="0"/>
        </w:tabs>
        <w:adjustRightInd w:val="0"/>
        <w:snapToGrid w:val="0"/>
        <w:rPr>
          <w:rFonts w:eastAsia="宋体" w:cs="Times New Roman"/>
          <w:szCs w:val="24"/>
        </w:rPr>
      </w:pPr>
      <w:r>
        <w:rPr>
          <w:rFonts w:hint="eastAsia" w:eastAsia="宋体" w:cs="Times New Roman"/>
          <w:szCs w:val="24"/>
        </w:rPr>
        <w:t>次生/伴生污染物排放风险防范措施</w:t>
      </w:r>
    </w:p>
    <w:p w14:paraId="0B61F212">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①</w:t>
      </w:r>
      <w:r>
        <w:rPr>
          <w:rFonts w:hint="eastAsia" w:ascii="Times New Roman" w:hAnsi="Times New Roman" w:eastAsia="宋体" w:cs="Times New Roman"/>
          <w:sz w:val="24"/>
        </w:rPr>
        <w:t>加强安全教育培训和宣传。有毒有害、易燃及可燃物质燃烧产生各种有毒气体，企业应加强对从业人员的专题教育，进一步提高企业管理者、操作人员的安全意识防范知识和应急救援水平。</w:t>
      </w:r>
    </w:p>
    <w:p w14:paraId="19FEE314">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②</w:t>
      </w:r>
      <w:r>
        <w:rPr>
          <w:rFonts w:hint="eastAsia" w:ascii="Times New Roman" w:hAnsi="Times New Roman" w:eastAsia="宋体" w:cs="Times New Roman"/>
          <w:sz w:val="24"/>
        </w:rPr>
        <w:t>加大安全生产的投入。在强化安全教育、提高安全意识的同时，企业必须加大安全生产的投入，一是在可能产生有毒气体的场所设置报警仪；二是采取通风、检测等安全措施；三是为操作人员配备呼吸器、救护带、有毒气体检测仪器等安全设备；四是危险作业增设监护人员并为其配备通讯、救援等设备。</w:t>
      </w:r>
    </w:p>
    <w:p w14:paraId="56857CEB">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③</w:t>
      </w:r>
      <w:r>
        <w:rPr>
          <w:rFonts w:hint="eastAsia" w:ascii="Times New Roman" w:hAnsi="Times New Roman" w:eastAsia="宋体" w:cs="Times New Roman"/>
          <w:sz w:val="24"/>
        </w:rPr>
        <w:t>配备完善的消防器材和消防设施；</w:t>
      </w:r>
    </w:p>
    <w:p w14:paraId="1328ECB7">
      <w:pPr>
        <w:adjustRightInd w:val="0"/>
        <w:snapToGrid w:val="0"/>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④</w:t>
      </w:r>
      <w:r>
        <w:rPr>
          <w:rFonts w:hint="eastAsia" w:ascii="Times New Roman" w:hAnsi="Times New Roman" w:eastAsia="宋体" w:cs="Times New Roman"/>
          <w:sz w:val="24"/>
        </w:rPr>
        <w:t>应急物质储备：建设项目应备有应急救援保障设备及器材，包括防护服、消防栓、各式灭火器、呼吸器、防爆手电、对讲机、警戒围绳等，由生产部门负责储备、保管和维修。建设项目还应配备一些常规检修器具及堵漏密封备件等，以便监测及排除事故时使用。</w:t>
      </w:r>
    </w:p>
    <w:p w14:paraId="67BEC794">
      <w:pPr>
        <w:adjustRightInd w:val="0"/>
        <w:snapToGrid w:val="0"/>
        <w:spacing w:line="360" w:lineRule="auto"/>
        <w:ind w:firstLine="482" w:firstLineChars="200"/>
        <w:rPr>
          <w:rFonts w:ascii="Times New Roman" w:hAnsi="Times New Roman" w:eastAsia="宋体" w:cs="Times New Roman"/>
          <w:b/>
          <w:bCs/>
          <w:sz w:val="24"/>
          <w:u w:val="single"/>
        </w:rPr>
      </w:pPr>
      <w:r>
        <w:rPr>
          <w:rFonts w:hint="eastAsia" w:ascii="宋体" w:hAnsi="宋体" w:eastAsia="宋体" w:cs="宋体"/>
          <w:b/>
          <w:bCs/>
          <w:sz w:val="24"/>
          <w:u w:val="single"/>
        </w:rPr>
        <w:t>⑤</w:t>
      </w:r>
      <w:r>
        <w:rPr>
          <w:rFonts w:hint="eastAsia" w:ascii="Times New Roman" w:hAnsi="Times New Roman" w:eastAsia="宋体" w:cs="Times New Roman"/>
          <w:b/>
          <w:bCs/>
          <w:sz w:val="24"/>
          <w:u w:val="single"/>
        </w:rPr>
        <w:t>按照生产的风险区划分，选用相应防爆等级的电气设备和仪表，并按规范配线。对厂房、各相关设备及管道设置防雷及方静电接地系统。定期进行演练和检查救援设施器具的良好度。</w:t>
      </w:r>
    </w:p>
    <w:p w14:paraId="636DA113">
      <w:pPr>
        <w:adjustRightInd w:val="0"/>
        <w:snapToGrid w:val="0"/>
        <w:spacing w:line="360" w:lineRule="auto"/>
        <w:ind w:firstLine="482" w:firstLineChars="200"/>
        <w:rPr>
          <w:rFonts w:ascii="Times New Roman" w:hAnsi="Times New Roman" w:eastAsia="宋体" w:cs="Times New Roman"/>
          <w:b/>
          <w:bCs/>
          <w:sz w:val="24"/>
          <w:u w:val="single"/>
        </w:rPr>
      </w:pPr>
      <w:r>
        <w:rPr>
          <w:rFonts w:hint="eastAsia" w:ascii="Times New Roman" w:hAnsi="Times New Roman" w:eastAsia="宋体" w:cs="Times New Roman"/>
          <w:b/>
          <w:bCs/>
          <w:sz w:val="24"/>
          <w:u w:val="single"/>
        </w:rPr>
        <w:t>⑥在各危险地点和危险设备处，设立安全防火标志或涂刷相应的安全色。环评单位建议建设单位在厂区内设置1座</w:t>
      </w:r>
      <w:r>
        <w:rPr>
          <w:rFonts w:ascii="Times New Roman" w:hAnsi="Times New Roman" w:eastAsia="宋体" w:cs="Times New Roman"/>
          <w:b/>
          <w:bCs/>
          <w:sz w:val="24"/>
          <w:u w:val="single"/>
        </w:rPr>
        <w:t>30m³事</w:t>
      </w:r>
      <w:r>
        <w:rPr>
          <w:rFonts w:hint="eastAsia" w:ascii="Times New Roman" w:hAnsi="Times New Roman" w:eastAsia="宋体" w:cs="Times New Roman"/>
          <w:b/>
          <w:bCs/>
          <w:sz w:val="24"/>
          <w:u w:val="single"/>
        </w:rPr>
        <w:t>故应急池。</w:t>
      </w:r>
    </w:p>
    <w:p w14:paraId="40A1AB6D">
      <w:pPr>
        <w:pStyle w:val="3"/>
        <w:numPr>
          <w:ilvl w:val="1"/>
          <w:numId w:val="85"/>
        </w:numPr>
        <w:tabs>
          <w:tab w:val="clear" w:pos="0"/>
        </w:tabs>
        <w:adjustRightInd w:val="0"/>
        <w:snapToGrid w:val="0"/>
      </w:pPr>
      <w:bookmarkStart w:id="297" w:name="_Toc10642"/>
      <w:r>
        <w:rPr>
          <w:rFonts w:hint="eastAsia"/>
        </w:rPr>
        <w:t>环境风险管理</w:t>
      </w:r>
      <w:bookmarkEnd w:id="297"/>
    </w:p>
    <w:p w14:paraId="2369868A">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突发环境事件应急管理办法》（环境保护部令2015年第34号）等要求，通过对污染事故的风险评价，各有关企业单位应加强安全生产管理，制定重大环境事故发生的应急工作计划，消除事故隐患的实施及突发性事故应急办法等。突发环境事件按照事件严重程度，分为特别重大、重大、较大和一般四级。突发环境事件应急管理工作坚持预防为主、预防与应急相结合的原则。企业事业单位应当按照相关法律法规和标准规范的要求，履行下列义务：</w:t>
      </w:r>
    </w:p>
    <w:p w14:paraId="7499A221">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（一）开展突发环境事件风险评估；</w:t>
      </w:r>
    </w:p>
    <w:p w14:paraId="70BE05E2">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（二）完善突发环境事件风险防控措施；</w:t>
      </w:r>
    </w:p>
    <w:p w14:paraId="6F0F62D0">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（三）排查治理环境安全隐患；</w:t>
      </w:r>
    </w:p>
    <w:p w14:paraId="36D2DBD1">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（四）制定突发环境事件应急预案并备案、演练；</w:t>
      </w:r>
    </w:p>
    <w:p w14:paraId="0FE9E379">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（五）加强环境应急能力保障建设。</w:t>
      </w:r>
    </w:p>
    <w:p w14:paraId="3D30B4E4">
      <w:pPr>
        <w:pStyle w:val="4"/>
        <w:numPr>
          <w:ilvl w:val="2"/>
          <w:numId w:val="87"/>
        </w:numPr>
        <w:tabs>
          <w:tab w:val="clear" w:pos="0"/>
        </w:tabs>
        <w:adjustRightInd w:val="0"/>
        <w:snapToGrid w:val="0"/>
      </w:pPr>
      <w:r>
        <w:rPr>
          <w:rFonts w:hint="eastAsia"/>
        </w:rPr>
        <w:t>风险控制</w:t>
      </w:r>
    </w:p>
    <w:p w14:paraId="14984D4D">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（1）建设单位应当按照国务院环境保护主管部门的有关规定开展突发环境事件风险评估，确定环境风险防范和环境安全隐患排查治理措施。</w:t>
      </w:r>
    </w:p>
    <w:p w14:paraId="6A6CC8B5">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（2）建设单位应当按照环境保护主管部门的有关要求和技术规范，完善突发环境事件风险防控措施。</w:t>
      </w:r>
    </w:p>
    <w:p w14:paraId="06F28CDA">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建设单位应当按照有关规定建立健全环境安全隐患排查治理制度，建立隐患排查治理档案，及时发现并消除环境安全隐患。对于发现后能够立即治理的环境安全隐患，企业事业单位应当立即采取措施，消除环境安全隐患。对于情况复杂、短期内难以完成治理，可能产生较大环境危害的环境安全隐患，应当制定隐患治理方案，落实整改措施、责任、资金、时限和现场应急预案，及时消除隐患。</w:t>
      </w:r>
    </w:p>
    <w:p w14:paraId="15431973">
      <w:pPr>
        <w:pStyle w:val="4"/>
        <w:numPr>
          <w:ilvl w:val="2"/>
          <w:numId w:val="87"/>
        </w:numPr>
        <w:tabs>
          <w:tab w:val="clear" w:pos="0"/>
        </w:tabs>
        <w:adjustRightInd w:val="0"/>
        <w:snapToGrid w:val="0"/>
      </w:pPr>
      <w:r>
        <w:rPr>
          <w:rFonts w:hint="eastAsia"/>
        </w:rPr>
        <w:t>应急准备</w:t>
      </w:r>
    </w:p>
    <w:p w14:paraId="1E460B1D">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（1）建设单位应当按照国务院环境保护主管部门的规定，在开展突发环境事件风险评估和应急资源调查的基础上制定突发环境事件应急预案，并按照分类分级管理的原则，报晋江市环境保护主管部门备案。</w:t>
      </w:r>
    </w:p>
    <w:p w14:paraId="7CBAC65B">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（2）建设单位应当定期开展应急演练，编写演练评估报告，分析存在问题，并根据演练情况及时修改完善应急预案。</w:t>
      </w:r>
    </w:p>
    <w:p w14:paraId="43468198">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（3）建设单位应当将突发环境事件应急培训纳入单位工作计划，对从业人员定期进行突发环境事件应急知识和技能培训，并建立培训档案，如实记录培训的时间、内容、参加人员等信息。</w:t>
      </w:r>
    </w:p>
    <w:p w14:paraId="0592E997">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（4）建设单位应当储备必要的环境应急装备和物资，并建立完善相关管理制度。</w:t>
      </w:r>
    </w:p>
    <w:p w14:paraId="5C2A6659">
      <w:pPr>
        <w:pStyle w:val="4"/>
        <w:numPr>
          <w:ilvl w:val="2"/>
          <w:numId w:val="87"/>
        </w:numPr>
        <w:tabs>
          <w:tab w:val="clear" w:pos="0"/>
        </w:tabs>
        <w:adjustRightInd w:val="0"/>
        <w:snapToGrid w:val="0"/>
      </w:pPr>
      <w:r>
        <w:rPr>
          <w:rFonts w:hint="eastAsia"/>
        </w:rPr>
        <w:t>针对项目还应加强环境风险管理</w:t>
      </w:r>
    </w:p>
    <w:p w14:paraId="10FBD460">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（1）运输过程的环境风险管理；</w:t>
      </w:r>
    </w:p>
    <w:p w14:paraId="73C94E5F">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在运输环节上尽可能减少人为的不安全行为，如不遵守交通规则，误操作等。最大程度减少交通事故导致危险物质滴漏或运输条件不合格引起火灾的可能，同时输送车辆配有专门的防火设施，以防发生事故时风险的扩大。</w:t>
      </w:r>
    </w:p>
    <w:p w14:paraId="46C71C7D">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（2）储存、使用过程的环境风险管理</w:t>
      </w:r>
    </w:p>
    <w:p w14:paraId="515F82F7">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对储存过程的环境风险采取的管理措施具体包括：</w:t>
      </w:r>
    </w:p>
    <w:p w14:paraId="246D3D7C">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①含危险物质物料设置明显标志、分区储存。</w:t>
      </w:r>
    </w:p>
    <w:p w14:paraId="0142F675">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②对生产设备、燃气管线、作业活动，以及可燃原料实施严格控制和管理。</w:t>
      </w:r>
    </w:p>
    <w:p w14:paraId="53B31F50">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③实行安全检查制度，各类安全设施、消防器材，进行各种日常的、定期的、专业的防火安全检查，并将发现的问题定人、限期落实整改。</w:t>
      </w:r>
    </w:p>
    <w:p w14:paraId="0E087970">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④制定各种操作规范，加强监督管理，严格看管检查制度，避免事故发生。</w:t>
      </w:r>
    </w:p>
    <w:p w14:paraId="4AD10DAE">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⑤制定、落实事故风险应急预案和环境监测计划。</w:t>
      </w:r>
    </w:p>
    <w:p w14:paraId="33344FA3">
      <w:pPr>
        <w:pStyle w:val="3"/>
        <w:numPr>
          <w:ilvl w:val="1"/>
          <w:numId w:val="85"/>
        </w:numPr>
        <w:tabs>
          <w:tab w:val="clear" w:pos="0"/>
        </w:tabs>
        <w:adjustRightInd w:val="0"/>
        <w:snapToGrid w:val="0"/>
      </w:pPr>
      <w:bookmarkStart w:id="298" w:name="_Toc2531"/>
      <w:bookmarkStart w:id="299" w:name="_Toc18063"/>
      <w:bookmarkStart w:id="300" w:name="_Toc29142"/>
      <w:bookmarkStart w:id="301" w:name="_Toc27286"/>
      <w:bookmarkStart w:id="302" w:name="_Toc15740"/>
      <w:r>
        <w:rPr>
          <w:rFonts w:hint="eastAsia"/>
        </w:rPr>
        <w:t>应急预案</w:t>
      </w:r>
      <w:bookmarkEnd w:id="298"/>
      <w:bookmarkEnd w:id="299"/>
      <w:bookmarkEnd w:id="300"/>
      <w:bookmarkEnd w:id="301"/>
      <w:bookmarkEnd w:id="302"/>
    </w:p>
    <w:p w14:paraId="64DE2B34">
      <w:pPr>
        <w:autoSpaceDE w:val="0"/>
        <w:adjustRightInd w:val="0"/>
        <w:snapToGrid w:val="0"/>
        <w:spacing w:line="360" w:lineRule="auto"/>
        <w:ind w:firstLine="480"/>
        <w:rPr>
          <w:rFonts w:ascii="Times New Roman" w:hAnsi="Times New Roman" w:cs="Times New Roman"/>
          <w:color w:val="000000" w:themeColor="text1"/>
          <w:sz w:val="24"/>
          <w14:textFill>
            <w14:solidFill>
              <w14:schemeClr w14:val="tx1"/>
            </w14:solidFill>
          </w14:textFill>
        </w:rPr>
      </w:pPr>
      <w:bookmarkStart w:id="303" w:name="_Toc509235404"/>
      <w:bookmarkStart w:id="304" w:name="_Toc510474282"/>
      <w:bookmarkStart w:id="305" w:name="_Toc509235137"/>
      <w:bookmarkStart w:id="306" w:name="_Toc509234870"/>
      <w:r>
        <w:rPr>
          <w:rFonts w:ascii="Times New Roman" w:hAnsi="Times New Roman" w:cs="Times New Roman"/>
          <w:color w:val="000000" w:themeColor="text1"/>
          <w:sz w:val="24"/>
          <w14:textFill>
            <w14:solidFill>
              <w14:schemeClr w14:val="tx1"/>
            </w14:solidFill>
          </w14:textFill>
        </w:rPr>
        <w:t>根据《涂装企业事故应急预案编制要求》（AQ/T5207-2011），通过对污染事故的风险评价，各有关企业应制定重大的环境污染事故发生的工作计划，消除事故隐患的实施及突发性事故的应急办法等。根据企业的行政隶属特点，建议由企业法人负责协调成立两级事故应急处理组织机构，即厂级和车间级，人员组成包括：厂级主要领导干部，车间主要负责人，以及安全、消防、环保、设备、医院（或卫生站）保卫、技术、后勤等部门有关人员，并专设事故应急处理指挥中心。报警范围及方式：全面报警，指挥中心发出紧急动员令，协调一切人员和器材、设备、药品等急救物资，积极有效的投入抢修抢救工作，首先保证最大限度的减少人员伤亡，并迅速向集聚区、乡、镇、以至市政府报告，迅速向周边地区各单位和社区发出警报，向各级主管部门直接请求支援，并和当地有关事故应急救援部门建立正常的定期联系，同时建议清丰县产业集聚区尽快建设风险事故应急联动系统，完善公安、消防、环保、医院等部门联动机制，本项目应当和清丰县风险防范系统实现联动，与当地有关事故应急救援部门建立正常的定期联系。</w:t>
      </w:r>
    </w:p>
    <w:p w14:paraId="3434C6A5">
      <w:pPr>
        <w:autoSpaceDE w:val="0"/>
        <w:adjustRightInd w:val="0"/>
        <w:snapToGrid w:val="0"/>
        <w:spacing w:line="360" w:lineRule="auto"/>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距离项目最近的敏感点为</w:t>
      </w:r>
      <w:r>
        <w:rPr>
          <w:rFonts w:hint="eastAsia" w:ascii="Times New Roman" w:hAnsi="Times New Roman" w:cs="Times New Roman"/>
          <w:color w:val="000000" w:themeColor="text1"/>
          <w:sz w:val="24"/>
          <w14:textFill>
            <w14:solidFill>
              <w14:schemeClr w14:val="tx1"/>
            </w14:solidFill>
          </w14:textFill>
        </w:rPr>
        <w:t>北</w:t>
      </w:r>
      <w:r>
        <w:rPr>
          <w:rFonts w:ascii="Times New Roman" w:hAnsi="Times New Roman" w:cs="Times New Roman"/>
          <w:color w:val="000000" w:themeColor="text1"/>
          <w:sz w:val="24"/>
          <w14:textFill>
            <w14:solidFill>
              <w14:schemeClr w14:val="tx1"/>
            </w14:solidFill>
          </w14:textFill>
        </w:rPr>
        <w:t>侧</w:t>
      </w:r>
      <w:r>
        <w:rPr>
          <w:rFonts w:hint="eastAsia" w:ascii="Times New Roman" w:hAnsi="Times New Roman" w:cs="Times New Roman"/>
          <w:color w:val="000000" w:themeColor="text1"/>
          <w:sz w:val="24"/>
          <w14:textFill>
            <w14:solidFill>
              <w14:schemeClr w14:val="tx1"/>
            </w14:solidFill>
          </w14:textFill>
        </w:rPr>
        <w:t>197</w:t>
      </w:r>
      <w:r>
        <w:rPr>
          <w:rFonts w:ascii="Times New Roman" w:hAnsi="Times New Roman" w:cs="Times New Roman"/>
          <w:color w:val="000000" w:themeColor="text1"/>
          <w:sz w:val="24"/>
          <w14:textFill>
            <w14:solidFill>
              <w14:schemeClr w14:val="tx1"/>
            </w14:solidFill>
          </w14:textFill>
        </w:rPr>
        <w:t>m处的</w:t>
      </w:r>
      <w:r>
        <w:rPr>
          <w:rFonts w:hint="eastAsia" w:ascii="Times New Roman" w:hAnsi="Times New Roman" w:cs="Times New Roman"/>
          <w:color w:val="000000" w:themeColor="text1"/>
          <w:sz w:val="24"/>
          <w14:textFill>
            <w14:solidFill>
              <w14:schemeClr w14:val="tx1"/>
            </w14:solidFill>
          </w14:textFill>
        </w:rPr>
        <w:t>骆家村</w:t>
      </w:r>
      <w:r>
        <w:rPr>
          <w:rFonts w:ascii="Times New Roman" w:hAnsi="Times New Roman" w:cs="Times New Roman"/>
          <w:color w:val="000000" w:themeColor="text1"/>
          <w:sz w:val="24"/>
          <w14:textFill>
            <w14:solidFill>
              <w14:schemeClr w14:val="tx1"/>
            </w14:solidFill>
          </w14:textFill>
        </w:rPr>
        <w:t>，在应急预案中应针对距离项目较近的敏感点提出针对性措施，与当地各村组成联动机制，若发生风险事故，及时进行处理，并上报上级机关，及时告知村民，并协助村民疏散，避免对村民和单位人员造成损失。</w:t>
      </w:r>
    </w:p>
    <w:p w14:paraId="6EB192BE">
      <w:pPr>
        <w:pStyle w:val="4"/>
        <w:numPr>
          <w:ilvl w:val="2"/>
          <w:numId w:val="88"/>
        </w:numPr>
        <w:tabs>
          <w:tab w:val="clear" w:pos="0"/>
        </w:tabs>
        <w:adjustRightInd w:val="0"/>
        <w:snapToGrid w:val="0"/>
      </w:pPr>
      <w:r>
        <w:t>各级应急预案的衔接和联动</w:t>
      </w:r>
      <w:bookmarkEnd w:id="303"/>
      <w:bookmarkEnd w:id="304"/>
      <w:bookmarkEnd w:id="305"/>
      <w:bookmarkEnd w:id="306"/>
    </w:p>
    <w:p w14:paraId="767BBC61">
      <w:pPr>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企业环境应急预案应与</w:t>
      </w:r>
      <w:r>
        <w:rPr>
          <w:rFonts w:hint="eastAsia" w:ascii="Times New Roman" w:hAnsi="Times New Roman" w:cs="Times New Roman"/>
          <w:sz w:val="24"/>
        </w:rPr>
        <w:t>集聚区环境应急预案清丰县人民</w:t>
      </w:r>
      <w:r>
        <w:rPr>
          <w:rFonts w:ascii="Times New Roman" w:hAnsi="Times New Roman" w:cs="Times New Roman"/>
          <w:sz w:val="24"/>
        </w:rPr>
        <w:t>政府环境应急预案有效的衔接和联动。特别重大或者重大突发事故发生后，要立即报告，最迟不得超过30min，同时通报有关地区和部门</w:t>
      </w:r>
      <w:r>
        <w:rPr>
          <w:rFonts w:hint="eastAsia" w:ascii="Times New Roman" w:hAnsi="Times New Roman" w:cs="Times New Roman"/>
          <w:sz w:val="24"/>
        </w:rPr>
        <w:t>，</w:t>
      </w:r>
      <w:r>
        <w:rPr>
          <w:rFonts w:ascii="Times New Roman" w:hAnsi="Times New Roman" w:cs="Times New Roman"/>
          <w:sz w:val="24"/>
        </w:rPr>
        <w:t>并及时</w:t>
      </w:r>
      <w:r>
        <w:rPr>
          <w:rFonts w:hint="eastAsia" w:ascii="Times New Roman" w:hAnsi="Times New Roman" w:cs="Times New Roman"/>
          <w:sz w:val="24"/>
        </w:rPr>
        <w:t>上报</w:t>
      </w:r>
      <w:r>
        <w:rPr>
          <w:rFonts w:ascii="Times New Roman" w:hAnsi="Times New Roman" w:cs="Times New Roman"/>
          <w:sz w:val="24"/>
        </w:rPr>
        <w:t>事故处置进展情况。应急处置过程中，要及时续报有关情况。</w:t>
      </w:r>
    </w:p>
    <w:p w14:paraId="11BDD3DD">
      <w:pPr>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1、在风险事故发生后，企业启动应急预案的同时，依据</w:t>
      </w:r>
      <w:r>
        <w:rPr>
          <w:rFonts w:hint="eastAsia" w:ascii="Times New Roman" w:hAnsi="Times New Roman" w:cs="Times New Roman"/>
          <w:sz w:val="24"/>
        </w:rPr>
        <w:t>集聚区</w:t>
      </w:r>
      <w:r>
        <w:rPr>
          <w:rFonts w:ascii="Times New Roman" w:hAnsi="Times New Roman" w:cs="Times New Roman"/>
          <w:sz w:val="24"/>
        </w:rPr>
        <w:t>、</w:t>
      </w:r>
      <w:r>
        <w:rPr>
          <w:rFonts w:hint="eastAsia" w:ascii="Times New Roman" w:hAnsi="Times New Roman" w:cs="Times New Roman"/>
          <w:sz w:val="24"/>
        </w:rPr>
        <w:t>清丰县人民</w:t>
      </w:r>
      <w:r>
        <w:rPr>
          <w:rFonts w:ascii="Times New Roman" w:hAnsi="Times New Roman" w:cs="Times New Roman"/>
          <w:sz w:val="24"/>
        </w:rPr>
        <w:t>政府的应急预案，判定风险事故等级，并进行风险公告；</w:t>
      </w:r>
    </w:p>
    <w:p w14:paraId="0D358469">
      <w:pPr>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2、与</w:t>
      </w:r>
      <w:r>
        <w:rPr>
          <w:rFonts w:hint="eastAsia" w:ascii="Times New Roman" w:hAnsi="Times New Roman" w:cs="Times New Roman"/>
          <w:sz w:val="24"/>
        </w:rPr>
        <w:t>集聚区</w:t>
      </w:r>
      <w:r>
        <w:rPr>
          <w:rFonts w:ascii="Times New Roman" w:hAnsi="Times New Roman" w:cs="Times New Roman"/>
          <w:sz w:val="24"/>
        </w:rPr>
        <w:t>、</w:t>
      </w:r>
      <w:r>
        <w:rPr>
          <w:rFonts w:hint="eastAsia" w:ascii="Times New Roman" w:hAnsi="Times New Roman" w:cs="Times New Roman"/>
          <w:sz w:val="24"/>
        </w:rPr>
        <w:t>清丰县人民</w:t>
      </w:r>
      <w:r>
        <w:rPr>
          <w:rFonts w:ascii="Times New Roman" w:hAnsi="Times New Roman" w:cs="Times New Roman"/>
          <w:sz w:val="24"/>
        </w:rPr>
        <w:t>政府应急预案进行融合，在区域应急预案启动后，企业应急预案各级部门应服从统一安排和调遣，避免在预案启动执行过程中，发生组织混乱、人员职责分配紊乱现象；</w:t>
      </w:r>
    </w:p>
    <w:p w14:paraId="795D8786">
      <w:pPr>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3、在区域应急预案与企业预案需同时执行的情况下，企业预案应在不扰乱区域应急预案的前提下进行，并对区域预案有辅助作用；</w:t>
      </w:r>
    </w:p>
    <w:p w14:paraId="18405FC5">
      <w:pPr>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4、上报企业应急预案，由地区有关部门进行审查，并纳入地区应急预案执行程序中的分预案，由地区应急预案执行部门统一演习训练。</w:t>
      </w:r>
    </w:p>
    <w:p w14:paraId="538AAB1D">
      <w:pPr>
        <w:pStyle w:val="3"/>
        <w:numPr>
          <w:ilvl w:val="1"/>
          <w:numId w:val="85"/>
        </w:numPr>
        <w:tabs>
          <w:tab w:val="clear" w:pos="0"/>
        </w:tabs>
        <w:adjustRightInd w:val="0"/>
        <w:snapToGrid w:val="0"/>
      </w:pPr>
      <w:bookmarkStart w:id="307" w:name="_Toc1081"/>
      <w:bookmarkStart w:id="308" w:name="_Toc15230"/>
      <w:r>
        <w:rPr>
          <w:rFonts w:hint="eastAsia"/>
        </w:rPr>
        <w:t>环境风险分析结论</w:t>
      </w:r>
      <w:bookmarkEnd w:id="307"/>
      <w:bookmarkEnd w:id="308"/>
    </w:p>
    <w:bookmarkEnd w:id="296"/>
    <w:p w14:paraId="53B4C7B5">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项目主要从事木质家具制造，环境风险潜势为I，评价工作等级为“简单分析”，环境风险小，在严格落实各项环境环境风险防范措施后，环境风险可控可防。</w:t>
      </w:r>
    </w:p>
    <w:p w14:paraId="455E0AF7">
      <w:pPr>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按照风险章节内容填写的建设项目环境风险简单分析内容表如下。</w:t>
      </w:r>
    </w:p>
    <w:p w14:paraId="5AA3414D">
      <w:pPr>
        <w:bidi w:val="0"/>
      </w:pPr>
    </w:p>
    <w:p w14:paraId="6B1F1253">
      <w:pPr>
        <w:pStyle w:val="11"/>
        <w:numPr>
          <w:ilvl w:val="0"/>
          <w:numId w:val="0"/>
        </w:numPr>
        <w:tabs>
          <w:tab w:val="left" w:pos="0"/>
        </w:tabs>
        <w:adjustRightInd w:val="0"/>
        <w:snapToGrid w:val="0"/>
        <w:jc w:val="center"/>
        <w:rPr>
          <w:rFonts w:ascii="Times New Roman" w:hAnsi="Times New Roman" w:eastAsia="宋体" w:cs="Times New Roman"/>
          <w:b/>
          <w:bCs/>
        </w:rPr>
      </w:pPr>
      <w:r>
        <w:rPr>
          <w:rFonts w:ascii="Times New Roman" w:hAnsi="Times New Roman" w:eastAsia="宋体" w:cs="Times New Roman"/>
          <w:b/>
          <w:bCs/>
        </w:rPr>
        <w:t>表7.</w:t>
      </w:r>
      <w:r>
        <w:rPr>
          <w:rFonts w:hint="eastAsia" w:ascii="Times New Roman" w:hAnsi="Times New Roman" w:eastAsia="宋体" w:cs="Times New Roman"/>
          <w:b/>
          <w:bCs/>
        </w:rPr>
        <w:t>8</w:t>
      </w:r>
      <w:r>
        <w:rPr>
          <w:rFonts w:ascii="Times New Roman" w:hAnsi="Times New Roman" w:eastAsia="宋体" w:cs="Times New Roman"/>
          <w:b/>
          <w:bCs/>
        </w:rPr>
        <w:t>-1  建设项目环境风险简单分析表</w:t>
      </w:r>
    </w:p>
    <w:tbl>
      <w:tblPr>
        <w:tblStyle w:val="30"/>
        <w:tblW w:w="832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586"/>
        <w:gridCol w:w="1409"/>
        <w:gridCol w:w="1749"/>
        <w:gridCol w:w="1724"/>
        <w:gridCol w:w="1852"/>
      </w:tblGrid>
      <w:tr w14:paraId="4435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trPr>
        <w:tc>
          <w:tcPr>
            <w:tcW w:w="1586" w:type="dxa"/>
            <w:shd w:val="clear" w:color="auto" w:fill="auto"/>
            <w:vAlign w:val="center"/>
          </w:tcPr>
          <w:p w14:paraId="37431416">
            <w:pPr>
              <w:spacing w:line="240" w:lineRule="atLeast"/>
              <w:jc w:val="center"/>
              <w:rPr>
                <w:rFonts w:ascii="Times New Roman" w:hAnsi="Times New Roman" w:cs="Times New Roman"/>
                <w:bCs/>
                <w:szCs w:val="21"/>
              </w:rPr>
            </w:pPr>
            <w:r>
              <w:rPr>
                <w:rFonts w:hint="eastAsia" w:ascii="Times New Roman" w:hAnsi="Times New Roman" w:cs="Times New Roman"/>
                <w:bCs/>
                <w:szCs w:val="21"/>
              </w:rPr>
              <w:t>建设项目名称</w:t>
            </w:r>
          </w:p>
        </w:tc>
        <w:tc>
          <w:tcPr>
            <w:tcW w:w="6734" w:type="dxa"/>
            <w:gridSpan w:val="4"/>
            <w:shd w:val="clear" w:color="auto" w:fill="auto"/>
            <w:vAlign w:val="center"/>
          </w:tcPr>
          <w:p w14:paraId="749E223B">
            <w:pPr>
              <w:spacing w:line="240" w:lineRule="atLeast"/>
              <w:jc w:val="center"/>
              <w:rPr>
                <w:rFonts w:ascii="Times New Roman" w:hAnsi="Times New Roman" w:cs="Times New Roman"/>
                <w:bCs/>
                <w:szCs w:val="21"/>
              </w:rPr>
            </w:pPr>
            <w:r>
              <w:rPr>
                <w:rFonts w:ascii="Times New Roman" w:hAnsi="Times New Roman" w:cs="Times New Roman"/>
                <w:bCs/>
                <w:szCs w:val="21"/>
              </w:rPr>
              <w:t>年产1万套实木复合门、4万平方米全屋定制项目</w:t>
            </w:r>
          </w:p>
        </w:tc>
      </w:tr>
      <w:tr w14:paraId="69D6D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Header/>
        </w:trPr>
        <w:tc>
          <w:tcPr>
            <w:tcW w:w="1586" w:type="dxa"/>
            <w:shd w:val="clear" w:color="auto" w:fill="auto"/>
            <w:vAlign w:val="center"/>
          </w:tcPr>
          <w:p w14:paraId="417C3515">
            <w:pPr>
              <w:spacing w:line="240" w:lineRule="atLeast"/>
              <w:jc w:val="center"/>
              <w:rPr>
                <w:rFonts w:ascii="Times New Roman" w:hAnsi="Times New Roman" w:cs="Times New Roman"/>
                <w:bCs/>
                <w:szCs w:val="21"/>
              </w:rPr>
            </w:pPr>
            <w:r>
              <w:rPr>
                <w:rFonts w:hint="eastAsia" w:ascii="Times New Roman" w:hAnsi="Times New Roman" w:cs="Times New Roman"/>
                <w:bCs/>
                <w:szCs w:val="21"/>
              </w:rPr>
              <w:t>建设地点</w:t>
            </w:r>
          </w:p>
        </w:tc>
        <w:tc>
          <w:tcPr>
            <w:tcW w:w="6734" w:type="dxa"/>
            <w:gridSpan w:val="4"/>
            <w:shd w:val="clear" w:color="auto" w:fill="auto"/>
            <w:vAlign w:val="center"/>
          </w:tcPr>
          <w:p w14:paraId="52443E0A">
            <w:pPr>
              <w:spacing w:line="240" w:lineRule="atLeast"/>
              <w:jc w:val="center"/>
              <w:rPr>
                <w:rFonts w:ascii="Times New Roman" w:hAnsi="Times New Roman" w:cs="Times New Roman"/>
                <w:bCs/>
                <w:szCs w:val="21"/>
              </w:rPr>
            </w:pPr>
            <w:r>
              <w:rPr>
                <w:rFonts w:ascii="Times New Roman" w:hAnsi="Times New Roman" w:cs="Times New Roman"/>
                <w:bCs/>
                <w:szCs w:val="21"/>
              </w:rPr>
              <w:t>河南省濮阳市清丰县产业集聚区人民路南侧、建设路东侧6号</w:t>
            </w:r>
          </w:p>
        </w:tc>
      </w:tr>
      <w:tr w14:paraId="17F0C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Header/>
        </w:trPr>
        <w:tc>
          <w:tcPr>
            <w:tcW w:w="1586" w:type="dxa"/>
            <w:shd w:val="clear" w:color="auto" w:fill="auto"/>
            <w:vAlign w:val="center"/>
          </w:tcPr>
          <w:p w14:paraId="7344D699">
            <w:pPr>
              <w:spacing w:line="240" w:lineRule="atLeast"/>
              <w:jc w:val="center"/>
              <w:rPr>
                <w:rFonts w:ascii="Times New Roman" w:hAnsi="Times New Roman" w:cs="Times New Roman"/>
                <w:bCs/>
                <w:szCs w:val="21"/>
              </w:rPr>
            </w:pPr>
            <w:r>
              <w:rPr>
                <w:rFonts w:hint="eastAsia" w:ascii="Times New Roman" w:hAnsi="Times New Roman" w:cs="Times New Roman"/>
                <w:bCs/>
                <w:szCs w:val="21"/>
              </w:rPr>
              <w:t>地理坐标</w:t>
            </w:r>
          </w:p>
        </w:tc>
        <w:tc>
          <w:tcPr>
            <w:tcW w:w="1409" w:type="dxa"/>
            <w:shd w:val="clear" w:color="auto" w:fill="auto"/>
            <w:vAlign w:val="center"/>
          </w:tcPr>
          <w:p w14:paraId="2349882C">
            <w:pPr>
              <w:spacing w:line="240" w:lineRule="atLeast"/>
              <w:jc w:val="center"/>
              <w:rPr>
                <w:rFonts w:ascii="Times New Roman" w:hAnsi="Times New Roman" w:cs="Times New Roman"/>
                <w:bCs/>
                <w:szCs w:val="21"/>
              </w:rPr>
            </w:pPr>
            <w:r>
              <w:rPr>
                <w:rFonts w:hint="eastAsia" w:ascii="Times New Roman" w:hAnsi="Times New Roman" w:cs="Times New Roman"/>
                <w:bCs/>
                <w:szCs w:val="21"/>
              </w:rPr>
              <w:t>经度</w:t>
            </w:r>
          </w:p>
        </w:tc>
        <w:tc>
          <w:tcPr>
            <w:tcW w:w="1749" w:type="dxa"/>
            <w:shd w:val="clear" w:color="auto" w:fill="auto"/>
            <w:vAlign w:val="center"/>
          </w:tcPr>
          <w:p w14:paraId="7BF3CF9D">
            <w:pPr>
              <w:spacing w:line="240" w:lineRule="atLeast"/>
              <w:jc w:val="center"/>
              <w:rPr>
                <w:rFonts w:ascii="Times New Roman" w:hAnsi="Times New Roman" w:cs="Times New Roman"/>
                <w:bCs/>
                <w:szCs w:val="21"/>
              </w:rPr>
            </w:pPr>
            <w:r>
              <w:rPr>
                <w:rFonts w:hint="eastAsia" w:ascii="Times New Roman" w:hAnsi="Times New Roman" w:cs="Times New Roman"/>
                <w:bCs/>
                <w:szCs w:val="21"/>
              </w:rPr>
              <w:t>115.13892889</w:t>
            </w:r>
          </w:p>
        </w:tc>
        <w:tc>
          <w:tcPr>
            <w:tcW w:w="1724" w:type="dxa"/>
            <w:shd w:val="clear" w:color="auto" w:fill="auto"/>
            <w:vAlign w:val="center"/>
          </w:tcPr>
          <w:p w14:paraId="46399227">
            <w:pPr>
              <w:spacing w:line="240" w:lineRule="atLeast"/>
              <w:jc w:val="center"/>
              <w:rPr>
                <w:rFonts w:ascii="Times New Roman" w:hAnsi="Times New Roman" w:cs="Times New Roman"/>
                <w:bCs/>
                <w:szCs w:val="21"/>
              </w:rPr>
            </w:pPr>
            <w:r>
              <w:rPr>
                <w:rFonts w:hint="eastAsia" w:ascii="Times New Roman" w:hAnsi="Times New Roman" w:cs="Times New Roman"/>
                <w:bCs/>
                <w:szCs w:val="21"/>
              </w:rPr>
              <w:t>纬度</w:t>
            </w:r>
          </w:p>
        </w:tc>
        <w:tc>
          <w:tcPr>
            <w:tcW w:w="1852" w:type="dxa"/>
            <w:shd w:val="clear" w:color="auto" w:fill="auto"/>
            <w:vAlign w:val="center"/>
          </w:tcPr>
          <w:p w14:paraId="765D69B7">
            <w:pPr>
              <w:spacing w:line="240" w:lineRule="atLeast"/>
              <w:jc w:val="center"/>
              <w:rPr>
                <w:rFonts w:ascii="Times New Roman" w:hAnsi="Times New Roman" w:cs="Times New Roman"/>
                <w:bCs/>
                <w:szCs w:val="21"/>
              </w:rPr>
            </w:pPr>
            <w:r>
              <w:rPr>
                <w:rFonts w:hint="eastAsia" w:ascii="Times New Roman" w:hAnsi="Times New Roman" w:cs="Times New Roman"/>
                <w:bCs/>
                <w:szCs w:val="21"/>
              </w:rPr>
              <w:t>35.87703682</w:t>
            </w:r>
          </w:p>
        </w:tc>
      </w:tr>
      <w:tr w14:paraId="7CF38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Header/>
        </w:trPr>
        <w:tc>
          <w:tcPr>
            <w:tcW w:w="1586" w:type="dxa"/>
            <w:shd w:val="clear" w:color="auto" w:fill="auto"/>
            <w:vAlign w:val="center"/>
          </w:tcPr>
          <w:p w14:paraId="226D8A46">
            <w:pPr>
              <w:spacing w:line="240" w:lineRule="atLeast"/>
              <w:jc w:val="center"/>
              <w:rPr>
                <w:rFonts w:ascii="Times New Roman" w:hAnsi="Times New Roman" w:cs="Times New Roman"/>
                <w:bCs/>
                <w:szCs w:val="21"/>
              </w:rPr>
            </w:pPr>
            <w:r>
              <w:rPr>
                <w:rFonts w:hint="eastAsia" w:ascii="Times New Roman" w:hAnsi="Times New Roman" w:cs="Times New Roman"/>
                <w:bCs/>
                <w:szCs w:val="21"/>
              </w:rPr>
              <w:t>主要危险物质及分布</w:t>
            </w:r>
          </w:p>
        </w:tc>
        <w:tc>
          <w:tcPr>
            <w:tcW w:w="6734" w:type="dxa"/>
            <w:gridSpan w:val="4"/>
            <w:shd w:val="clear" w:color="auto" w:fill="auto"/>
            <w:vAlign w:val="center"/>
          </w:tcPr>
          <w:p w14:paraId="7A2A8434">
            <w:pPr>
              <w:spacing w:line="240" w:lineRule="atLeast"/>
              <w:jc w:val="center"/>
              <w:rPr>
                <w:rFonts w:ascii="Times New Roman" w:hAnsi="Times New Roman" w:cs="Times New Roman"/>
                <w:bCs/>
                <w:szCs w:val="21"/>
              </w:rPr>
            </w:pPr>
            <w:r>
              <w:rPr>
                <w:rFonts w:hint="eastAsia" w:ascii="Times New Roman" w:hAnsi="Times New Roman" w:cs="Times New Roman"/>
                <w:bCs/>
                <w:szCs w:val="21"/>
              </w:rPr>
              <w:t>油漆、稀释剂、木材等，主要分布在生产车间</w:t>
            </w:r>
          </w:p>
        </w:tc>
      </w:tr>
      <w:tr w14:paraId="7C946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Header/>
        </w:trPr>
        <w:tc>
          <w:tcPr>
            <w:tcW w:w="1586" w:type="dxa"/>
            <w:shd w:val="clear" w:color="auto" w:fill="auto"/>
            <w:vAlign w:val="center"/>
          </w:tcPr>
          <w:p w14:paraId="545E5539">
            <w:pPr>
              <w:spacing w:line="240" w:lineRule="atLeast"/>
              <w:jc w:val="center"/>
              <w:rPr>
                <w:rFonts w:ascii="Times New Roman" w:hAnsi="Times New Roman" w:cs="Times New Roman"/>
                <w:bCs/>
                <w:szCs w:val="21"/>
              </w:rPr>
            </w:pPr>
            <w:r>
              <w:rPr>
                <w:rFonts w:hint="eastAsia" w:ascii="Times New Roman" w:hAnsi="Times New Roman" w:cs="Times New Roman"/>
                <w:bCs/>
                <w:szCs w:val="21"/>
              </w:rPr>
              <w:t>环境影响途径及危害后果（大气、地表水、地下水）</w:t>
            </w:r>
          </w:p>
        </w:tc>
        <w:tc>
          <w:tcPr>
            <w:tcW w:w="6734" w:type="dxa"/>
            <w:gridSpan w:val="4"/>
            <w:shd w:val="clear" w:color="auto" w:fill="auto"/>
            <w:vAlign w:val="center"/>
          </w:tcPr>
          <w:p w14:paraId="7683799E">
            <w:pPr>
              <w:spacing w:line="240" w:lineRule="atLeast"/>
              <w:rPr>
                <w:rFonts w:ascii="Times New Roman" w:hAnsi="Times New Roman" w:cs="Times New Roman"/>
                <w:bCs/>
                <w:szCs w:val="21"/>
              </w:rPr>
            </w:pPr>
            <w:r>
              <w:rPr>
                <w:rFonts w:hint="eastAsia" w:ascii="Times New Roman" w:hAnsi="Times New Roman" w:cs="Times New Roman"/>
                <w:bCs/>
                <w:szCs w:val="21"/>
              </w:rPr>
              <w:t>①油漆、稀释剂、木材输送、使用过程中遇明火、高热燃烧引发火灾事故产生伴生/次生污染物排放污染环境，对人体健康产生危害。火灾消防废水中含有有毒有害物质，将对周边水环境产生影响。</w:t>
            </w:r>
          </w:p>
          <w:p w14:paraId="0F8B3374">
            <w:pPr>
              <w:spacing w:line="240" w:lineRule="atLeast"/>
              <w:rPr>
                <w:rFonts w:ascii="Times New Roman" w:hAnsi="Times New Roman" w:cs="Times New Roman"/>
                <w:bCs/>
                <w:szCs w:val="21"/>
              </w:rPr>
            </w:pPr>
            <w:r>
              <w:rPr>
                <w:rFonts w:hint="eastAsia" w:ascii="Times New Roman" w:hAnsi="Times New Roman" w:cs="Times New Roman"/>
                <w:bCs/>
                <w:szCs w:val="21"/>
              </w:rPr>
              <w:t>②有毒有害工艺废气污染大气环境，对人体健康产生危害。</w:t>
            </w:r>
          </w:p>
          <w:p w14:paraId="67E7F3D6">
            <w:pPr>
              <w:spacing w:line="240" w:lineRule="atLeast"/>
              <w:rPr>
                <w:rFonts w:ascii="Times New Roman" w:hAnsi="Times New Roman" w:cs="Times New Roman"/>
                <w:bCs/>
                <w:szCs w:val="21"/>
              </w:rPr>
            </w:pPr>
            <w:r>
              <w:rPr>
                <w:rFonts w:hint="eastAsia" w:ascii="Times New Roman" w:hAnsi="Times New Roman" w:cs="Times New Roman"/>
                <w:bCs/>
                <w:szCs w:val="21"/>
              </w:rPr>
              <w:t>③废水污染物及危险废物一旦处置不当发生泄漏，将进入土壤、地下水造成危害。</w:t>
            </w:r>
          </w:p>
        </w:tc>
      </w:tr>
      <w:tr w14:paraId="05998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Header/>
        </w:trPr>
        <w:tc>
          <w:tcPr>
            <w:tcW w:w="1586" w:type="dxa"/>
            <w:shd w:val="clear" w:color="auto" w:fill="auto"/>
            <w:vAlign w:val="center"/>
          </w:tcPr>
          <w:p w14:paraId="6F9C0514">
            <w:pPr>
              <w:spacing w:line="240" w:lineRule="atLeast"/>
              <w:jc w:val="center"/>
              <w:rPr>
                <w:rFonts w:ascii="Times New Roman" w:hAnsi="Times New Roman" w:cs="Times New Roman"/>
                <w:bCs/>
                <w:szCs w:val="21"/>
              </w:rPr>
            </w:pPr>
            <w:r>
              <w:rPr>
                <w:rFonts w:hint="eastAsia" w:ascii="Times New Roman" w:hAnsi="Times New Roman" w:cs="Times New Roman"/>
                <w:bCs/>
                <w:szCs w:val="21"/>
              </w:rPr>
              <w:t>风险防范措施要求</w:t>
            </w:r>
          </w:p>
        </w:tc>
        <w:tc>
          <w:tcPr>
            <w:tcW w:w="6734" w:type="dxa"/>
            <w:gridSpan w:val="4"/>
            <w:shd w:val="clear" w:color="auto" w:fill="auto"/>
            <w:vAlign w:val="center"/>
          </w:tcPr>
          <w:p w14:paraId="6C797F63">
            <w:pPr>
              <w:spacing w:line="240" w:lineRule="atLeast"/>
              <w:rPr>
                <w:rFonts w:ascii="Times New Roman" w:hAnsi="Times New Roman" w:cs="Times New Roman"/>
                <w:bCs/>
                <w:szCs w:val="21"/>
              </w:rPr>
            </w:pPr>
            <w:r>
              <w:rPr>
                <w:rFonts w:hint="eastAsia" w:ascii="Times New Roman" w:hAnsi="Times New Roman" w:cs="Times New Roman"/>
                <w:bCs/>
                <w:szCs w:val="21"/>
              </w:rPr>
              <w:t>①配备泄漏监控报警装置及事故切换控制系统，强化环境风险管理，做好分区防渗措施，定期对防渗效果检查。</w:t>
            </w:r>
          </w:p>
          <w:p w14:paraId="62B7727A">
            <w:pPr>
              <w:spacing w:line="240" w:lineRule="atLeast"/>
              <w:rPr>
                <w:rFonts w:ascii="Times New Roman" w:hAnsi="Times New Roman" w:cs="Times New Roman"/>
                <w:bCs/>
                <w:szCs w:val="21"/>
              </w:rPr>
            </w:pPr>
            <w:r>
              <w:rPr>
                <w:rFonts w:hint="eastAsia" w:ascii="Times New Roman" w:hAnsi="Times New Roman" w:cs="Times New Roman"/>
                <w:bCs/>
                <w:szCs w:val="21"/>
              </w:rPr>
              <w:t>②加强岗位培训、日常巡查等规章制度。</w:t>
            </w:r>
          </w:p>
          <w:p w14:paraId="2FB7537C">
            <w:pPr>
              <w:spacing w:line="240" w:lineRule="atLeast"/>
              <w:rPr>
                <w:rFonts w:ascii="Times New Roman" w:hAnsi="Times New Roman" w:cs="Times New Roman"/>
                <w:bCs/>
                <w:szCs w:val="21"/>
              </w:rPr>
            </w:pPr>
            <w:r>
              <w:rPr>
                <w:rFonts w:hint="eastAsia" w:ascii="Times New Roman" w:hAnsi="Times New Roman" w:cs="Times New Roman"/>
                <w:bCs/>
                <w:szCs w:val="21"/>
              </w:rPr>
              <w:t>③设立30m³的事故应急池。</w:t>
            </w:r>
          </w:p>
        </w:tc>
      </w:tr>
      <w:tr w14:paraId="0E7C4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Header/>
        </w:trPr>
        <w:tc>
          <w:tcPr>
            <w:tcW w:w="8320" w:type="dxa"/>
            <w:gridSpan w:val="5"/>
            <w:shd w:val="clear" w:color="auto" w:fill="auto"/>
            <w:vAlign w:val="center"/>
          </w:tcPr>
          <w:p w14:paraId="3AFD5330">
            <w:pPr>
              <w:spacing w:line="240" w:lineRule="atLeast"/>
              <w:jc w:val="center"/>
              <w:rPr>
                <w:rFonts w:ascii="Times New Roman" w:hAnsi="Times New Roman" w:cs="Times New Roman"/>
                <w:bCs/>
                <w:szCs w:val="21"/>
              </w:rPr>
            </w:pPr>
            <w:r>
              <w:rPr>
                <w:rFonts w:hint="eastAsia" w:ascii="Times New Roman" w:hAnsi="Times New Roman" w:cs="Times New Roman"/>
                <w:bCs/>
                <w:szCs w:val="21"/>
              </w:rPr>
              <w:t>填表说明（列出项目相关信息及评价说明）：本表所列风险防范措施为摘录的主要防范要求，</w:t>
            </w:r>
          </w:p>
          <w:p w14:paraId="5155300D">
            <w:pPr>
              <w:spacing w:line="240" w:lineRule="atLeast"/>
              <w:jc w:val="center"/>
              <w:rPr>
                <w:rFonts w:ascii="Times New Roman" w:hAnsi="Times New Roman" w:cs="Times New Roman"/>
                <w:bCs/>
                <w:szCs w:val="21"/>
              </w:rPr>
            </w:pPr>
            <w:r>
              <w:rPr>
                <w:rFonts w:hint="eastAsia" w:ascii="Times New Roman" w:hAnsi="Times New Roman" w:cs="Times New Roman"/>
                <w:bCs/>
                <w:szCs w:val="21"/>
              </w:rPr>
              <w:t>具体要求前述章节</w:t>
            </w:r>
          </w:p>
        </w:tc>
      </w:tr>
    </w:tbl>
    <w:p w14:paraId="1E4F1457"/>
    <w:p w14:paraId="2994DFA5"/>
    <w:p w14:paraId="023F7BE1">
      <w:pPr>
        <w:sectPr>
          <w:headerReference r:id="rId26" w:type="default"/>
          <w:footerReference r:id="rId27" w:type="default"/>
          <w:pgSz w:w="11906" w:h="16838"/>
          <w:pgMar w:top="1440" w:right="1800" w:bottom="1440" w:left="1800" w:header="851" w:footer="992" w:gutter="0"/>
          <w:pgNumType w:fmt="decimal"/>
          <w:cols w:space="425" w:num="1"/>
          <w:docGrid w:type="lines" w:linePitch="312" w:charSpace="0"/>
        </w:sectPr>
      </w:pPr>
    </w:p>
    <w:p w14:paraId="4C1C6D47"/>
    <w:p w14:paraId="7A2132CF">
      <w:pPr>
        <w:pStyle w:val="2"/>
        <w:numPr>
          <w:ilvl w:val="0"/>
          <w:numId w:val="89"/>
        </w:numPr>
        <w:tabs>
          <w:tab w:val="clear" w:pos="0"/>
        </w:tabs>
      </w:pPr>
      <w:bookmarkStart w:id="309" w:name="_Toc11464"/>
      <w:r>
        <w:rPr>
          <w:rFonts w:hint="eastAsia"/>
        </w:rPr>
        <w:t>环境经济损益分析</w:t>
      </w:r>
      <w:bookmarkEnd w:id="309"/>
    </w:p>
    <w:p w14:paraId="0447D0F4"/>
    <w:p w14:paraId="1A7F45EB">
      <w:pPr>
        <w:adjustRightInd w:val="0"/>
        <w:snapToGrid w:val="0"/>
        <w:spacing w:line="360" w:lineRule="auto"/>
        <w:ind w:firstLine="480"/>
        <w:rPr>
          <w:rFonts w:ascii="Times New Roman" w:hAnsi="Times New Roman"/>
          <w:sz w:val="24"/>
        </w:rPr>
      </w:pPr>
      <w:r>
        <w:rPr>
          <w:rFonts w:ascii="Times New Roman" w:hAnsi="Times New Roman"/>
          <w:sz w:val="24"/>
        </w:rPr>
        <w:t>环境影响经济损益分析即是针对项目的性质和当地的具体情况，确定环境影响因子，从而对项目环境影响范围内的环境影响总体作出经济评价。对建设项目进行环境影响经济损益分析，目的是为了衡量该建设项目投入的环保资金所能收到的环保效果，及可能产生的环境和社会效益，从而合理安排环保投资，在必要资金的支持下，最大限度地控制污染源，合理利用自然资源，以最少的环境代价取得最大的经济效益和社会效益。</w:t>
      </w:r>
    </w:p>
    <w:p w14:paraId="2EA89745">
      <w:pPr>
        <w:pStyle w:val="3"/>
        <w:numPr>
          <w:ilvl w:val="1"/>
          <w:numId w:val="90"/>
        </w:numPr>
        <w:tabs>
          <w:tab w:val="clear" w:pos="0"/>
        </w:tabs>
        <w:adjustRightInd w:val="0"/>
        <w:snapToGrid w:val="0"/>
        <w:ind w:left="720" w:leftChars="0" w:hanging="720" w:firstLineChars="0"/>
      </w:pPr>
      <w:bookmarkStart w:id="310" w:name="_Toc442086739"/>
      <w:bookmarkStart w:id="311" w:name="_Toc459223690"/>
      <w:bookmarkStart w:id="312" w:name="_Toc519970015"/>
      <w:bookmarkStart w:id="313" w:name="_Toc332102597"/>
      <w:bookmarkStart w:id="314" w:name="_Toc434764651"/>
      <w:bookmarkStart w:id="315" w:name="_Toc60650378"/>
      <w:bookmarkStart w:id="316" w:name="_Toc28708"/>
      <w:bookmarkStart w:id="317" w:name="_Toc9653"/>
      <w:bookmarkStart w:id="318" w:name="_Toc23030"/>
      <w:bookmarkStart w:id="319" w:name="_Toc682"/>
      <w:bookmarkStart w:id="320" w:name="_Toc49796966"/>
      <w:r>
        <w:t>环保投资</w:t>
      </w:r>
      <w:bookmarkEnd w:id="310"/>
      <w:bookmarkEnd w:id="311"/>
      <w:bookmarkEnd w:id="312"/>
      <w:bookmarkEnd w:id="313"/>
      <w:bookmarkEnd w:id="314"/>
      <w:r>
        <w:t>估算</w:t>
      </w:r>
      <w:bookmarkEnd w:id="315"/>
      <w:bookmarkEnd w:id="316"/>
      <w:bookmarkEnd w:id="317"/>
      <w:bookmarkEnd w:id="318"/>
      <w:bookmarkEnd w:id="319"/>
      <w:bookmarkEnd w:id="320"/>
    </w:p>
    <w:p w14:paraId="1A8D90F5">
      <w:pPr>
        <w:adjustRightInd w:val="0"/>
        <w:snapToGrid w:val="0"/>
        <w:spacing w:line="360" w:lineRule="auto"/>
        <w:ind w:firstLine="424" w:firstLineChars="177"/>
        <w:rPr>
          <w:rFonts w:ascii="Times New Roman" w:hAnsi="Times New Roman"/>
          <w:sz w:val="24"/>
        </w:rPr>
      </w:pPr>
      <w:r>
        <w:rPr>
          <w:rFonts w:ascii="Times New Roman" w:hAnsi="Times New Roman"/>
          <w:sz w:val="24"/>
        </w:rPr>
        <w:t>本项目具体环保投资估算情况见表</w:t>
      </w:r>
      <w:r>
        <w:rPr>
          <w:rFonts w:hint="eastAsia" w:ascii="Times New Roman" w:hAnsi="Times New Roman"/>
          <w:sz w:val="24"/>
        </w:rPr>
        <w:t>6.8-1</w:t>
      </w:r>
      <w:r>
        <w:rPr>
          <w:rFonts w:ascii="Times New Roman" w:hAnsi="Times New Roman"/>
          <w:sz w:val="24"/>
        </w:rPr>
        <w:t>。项目总投资</w:t>
      </w:r>
      <w:r>
        <w:rPr>
          <w:rFonts w:hint="eastAsia" w:ascii="Times New Roman" w:hAnsi="Times New Roman"/>
          <w:bCs/>
          <w:kern w:val="0"/>
          <w:sz w:val="24"/>
        </w:rPr>
        <w:t>4000</w:t>
      </w:r>
      <w:r>
        <w:rPr>
          <w:rFonts w:ascii="Times New Roman" w:hAnsi="Times New Roman"/>
          <w:sz w:val="24"/>
        </w:rPr>
        <w:t>万元，其中环保投资</w:t>
      </w:r>
      <w:r>
        <w:rPr>
          <w:rFonts w:hint="eastAsia" w:ascii="Times New Roman" w:hAnsi="Times New Roman"/>
          <w:sz w:val="24"/>
        </w:rPr>
        <w:t>193万元</w:t>
      </w:r>
      <w:r>
        <w:rPr>
          <w:rFonts w:ascii="Times New Roman" w:hAnsi="Times New Roman"/>
          <w:sz w:val="24"/>
        </w:rPr>
        <w:t>，占总投资额的</w:t>
      </w:r>
      <w:r>
        <w:rPr>
          <w:rFonts w:hint="eastAsia" w:ascii="Times New Roman" w:hAnsi="Times New Roman"/>
          <w:sz w:val="24"/>
        </w:rPr>
        <w:t>4.83</w:t>
      </w:r>
      <w:r>
        <w:rPr>
          <w:rFonts w:ascii="Times New Roman" w:hAnsi="Times New Roman"/>
          <w:sz w:val="24"/>
        </w:rPr>
        <w:t>%。从环保投资比例来看，抓住了项目废气污染的主要特征。因此，环保投资比例适当，分配较为合理。</w:t>
      </w:r>
    </w:p>
    <w:p w14:paraId="1F8F8CDB">
      <w:pPr>
        <w:pStyle w:val="3"/>
        <w:numPr>
          <w:ilvl w:val="1"/>
          <w:numId w:val="90"/>
        </w:numPr>
        <w:tabs>
          <w:tab w:val="clear" w:pos="0"/>
        </w:tabs>
        <w:adjustRightInd w:val="0"/>
        <w:snapToGrid w:val="0"/>
        <w:ind w:left="720" w:leftChars="0" w:hanging="720" w:firstLineChars="0"/>
      </w:pPr>
      <w:bookmarkStart w:id="321" w:name="_Toc442086740"/>
      <w:bookmarkStart w:id="322" w:name="_Toc434764652"/>
      <w:bookmarkStart w:id="323" w:name="_Toc60650379"/>
      <w:bookmarkStart w:id="324" w:name="_Toc28049"/>
      <w:bookmarkStart w:id="325" w:name="_Toc332102598"/>
      <w:bookmarkStart w:id="326" w:name="_Toc459223691"/>
      <w:bookmarkStart w:id="327" w:name="_Toc14813"/>
      <w:bookmarkStart w:id="328" w:name="_Toc97"/>
      <w:bookmarkStart w:id="329" w:name="_Toc519970016"/>
      <w:bookmarkStart w:id="330" w:name="_Toc26750"/>
      <w:bookmarkStart w:id="331" w:name="_Toc49796967"/>
      <w:r>
        <w:t>环境影响损益分析</w:t>
      </w:r>
      <w:bookmarkEnd w:id="321"/>
      <w:bookmarkEnd w:id="322"/>
      <w:bookmarkEnd w:id="323"/>
      <w:bookmarkEnd w:id="324"/>
      <w:bookmarkEnd w:id="325"/>
      <w:bookmarkEnd w:id="326"/>
      <w:bookmarkEnd w:id="327"/>
      <w:bookmarkEnd w:id="328"/>
      <w:bookmarkEnd w:id="329"/>
      <w:bookmarkEnd w:id="330"/>
      <w:bookmarkEnd w:id="331"/>
    </w:p>
    <w:p w14:paraId="22256EC8">
      <w:pPr>
        <w:adjustRightInd w:val="0"/>
        <w:snapToGrid w:val="0"/>
        <w:spacing w:line="360" w:lineRule="auto"/>
        <w:ind w:firstLine="424" w:firstLineChars="177"/>
        <w:rPr>
          <w:rFonts w:ascii="Times New Roman" w:hAnsi="Times New Roman"/>
          <w:sz w:val="24"/>
        </w:rPr>
      </w:pPr>
      <w:bookmarkStart w:id="332" w:name="_Toc93420020"/>
      <w:bookmarkStart w:id="333" w:name="_Toc179528773"/>
      <w:bookmarkStart w:id="334" w:name="_Toc109476748"/>
      <w:bookmarkStart w:id="335" w:name="_Toc65730146"/>
      <w:bookmarkStart w:id="336" w:name="_Toc99074847"/>
      <w:bookmarkStart w:id="337" w:name="_Toc74624002"/>
      <w:bookmarkStart w:id="338" w:name="_Toc114919580"/>
      <w:bookmarkStart w:id="339" w:name="_Toc65730335"/>
      <w:bookmarkStart w:id="340" w:name="_Toc73772232"/>
      <w:bookmarkStart w:id="341" w:name="_Toc106158241"/>
      <w:bookmarkStart w:id="342" w:name="_Toc81660292"/>
      <w:bookmarkStart w:id="343" w:name="_Toc117338251"/>
      <w:bookmarkStart w:id="344" w:name="_Toc76523942"/>
      <w:bookmarkStart w:id="345" w:name="_Toc111521356"/>
      <w:bookmarkStart w:id="346" w:name="_Toc266112770"/>
      <w:bookmarkStart w:id="347" w:name="_Toc73780623"/>
      <w:bookmarkStart w:id="348" w:name="_Toc106158452"/>
      <w:r>
        <w:rPr>
          <w:rFonts w:ascii="Times New Roman" w:hAnsi="Times New Roman"/>
          <w:sz w:val="24"/>
        </w:rPr>
        <w:t>关于建设项目的环境经济损益分析，国内目前尚无统一标准。此外，拟建项目所排污染物作用于自然环境而造成的经济损失，其过程和机理是十分复杂的，其中有许多不确定因素。而且，许多因环境污染而造成的经济损失和由于污染防治而带来的环境收益，较难计量或是很难准确以货币形式来表达。为此，本报告在环境损益分析中，对于可计量部分给予定量表达，其它则采用类比分析方法予以估算或者是给予忽略。</w:t>
      </w:r>
    </w:p>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14:paraId="2BCC3D0E">
      <w:pPr>
        <w:numPr>
          <w:ilvl w:val="0"/>
          <w:numId w:val="91"/>
        </w:numPr>
        <w:adjustRightInd w:val="0"/>
        <w:snapToGrid w:val="0"/>
        <w:spacing w:line="360" w:lineRule="auto"/>
        <w:ind w:firstLine="480" w:firstLineChars="200"/>
        <w:rPr>
          <w:rFonts w:ascii="Times New Roman" w:hAnsi="Times New Roman"/>
          <w:sz w:val="24"/>
        </w:rPr>
      </w:pPr>
      <w:bookmarkStart w:id="349" w:name="_Toc459223692"/>
      <w:bookmarkStart w:id="350" w:name="_Toc434764653"/>
      <w:bookmarkStart w:id="351" w:name="_Toc442086741"/>
      <w:bookmarkStart w:id="352" w:name="_Toc332102599"/>
      <w:r>
        <w:rPr>
          <w:rFonts w:ascii="Times New Roman" w:hAnsi="Times New Roman"/>
          <w:sz w:val="24"/>
        </w:rPr>
        <w:t>水环境</w:t>
      </w:r>
    </w:p>
    <w:p w14:paraId="25DCFE9A">
      <w:pPr>
        <w:adjustRightInd w:val="0"/>
        <w:snapToGrid w:val="0"/>
        <w:spacing w:line="360" w:lineRule="auto"/>
        <w:ind w:firstLine="424" w:firstLineChars="177"/>
        <w:rPr>
          <w:rFonts w:ascii="Times New Roman" w:hAnsi="Times New Roman" w:eastAsia="宋体" w:cs="Times New Roman"/>
          <w:sz w:val="24"/>
        </w:rPr>
      </w:pPr>
      <w:r>
        <w:rPr>
          <w:rFonts w:hint="eastAsia" w:ascii="宋体" w:hAnsi="宋体" w:eastAsia="宋体" w:cs="宋体"/>
          <w:sz w:val="24"/>
        </w:rPr>
        <w:t>生活污水经厂区内的化粪池处理后接管排入清丰中州水务有限公司第二污水处理厂</w:t>
      </w:r>
      <w:r>
        <w:rPr>
          <w:rFonts w:hint="eastAsia" w:ascii="宋体" w:hAnsi="宋体" w:cs="宋体"/>
          <w:sz w:val="24"/>
        </w:rPr>
        <w:t>。</w:t>
      </w:r>
      <w:r>
        <w:rPr>
          <w:rFonts w:hint="eastAsia" w:ascii="Times New Roman" w:hAnsi="Times New Roman" w:eastAsia="宋体" w:cs="Times New Roman"/>
          <w:sz w:val="24"/>
        </w:rPr>
        <w:t>生产废水经厂内自建废水处理站处理后，满足接管标准后排入</w:t>
      </w:r>
      <w:r>
        <w:rPr>
          <w:rFonts w:hint="eastAsia" w:cs="Times New Roman"/>
          <w:sz w:val="24"/>
        </w:rPr>
        <w:t>清丰中州水务有限公司第二污水处理厂</w:t>
      </w:r>
      <w:r>
        <w:rPr>
          <w:rFonts w:hint="eastAsia" w:ascii="Times New Roman" w:hAnsi="Times New Roman" w:eastAsia="宋体" w:cs="Times New Roman"/>
          <w:sz w:val="24"/>
        </w:rPr>
        <w:t>进一步处理，尾水排入</w:t>
      </w:r>
      <w:r>
        <w:rPr>
          <w:rFonts w:hint="eastAsia" w:cs="Times New Roman"/>
          <w:sz w:val="24"/>
        </w:rPr>
        <w:t>潴龙河</w:t>
      </w:r>
      <w:r>
        <w:rPr>
          <w:rFonts w:hint="eastAsia" w:ascii="Times New Roman" w:hAnsi="Times New Roman" w:eastAsia="宋体" w:cs="Times New Roman"/>
          <w:sz w:val="24"/>
        </w:rPr>
        <w:t>。</w:t>
      </w:r>
    </w:p>
    <w:p w14:paraId="16B4D058">
      <w:pPr>
        <w:adjustRightInd w:val="0"/>
        <w:snapToGrid w:val="0"/>
        <w:spacing w:line="360" w:lineRule="auto"/>
        <w:ind w:firstLine="424" w:firstLineChars="177"/>
        <w:rPr>
          <w:rFonts w:ascii="Times New Roman" w:hAnsi="Times New Roman"/>
          <w:sz w:val="24"/>
        </w:rPr>
      </w:pPr>
      <w:r>
        <w:rPr>
          <w:rFonts w:ascii="Times New Roman" w:hAnsi="Times New Roman"/>
          <w:sz w:val="24"/>
        </w:rPr>
        <w:t>采取上述环保措施后，本项目对周围水体环境的影响较小。但应该注意的是，在出现事故时，事故废水未经处理溢流至周边水体将对水环境质量产生明显影响，引起比较大的水环境损失。</w:t>
      </w:r>
    </w:p>
    <w:p w14:paraId="6089DEB2">
      <w:pPr>
        <w:numPr>
          <w:ilvl w:val="0"/>
          <w:numId w:val="91"/>
        </w:numPr>
        <w:adjustRightInd w:val="0"/>
        <w:snapToGrid w:val="0"/>
        <w:spacing w:line="360" w:lineRule="auto"/>
        <w:rPr>
          <w:rFonts w:ascii="Times New Roman" w:hAnsi="Times New Roman"/>
          <w:sz w:val="24"/>
        </w:rPr>
      </w:pPr>
      <w:r>
        <w:rPr>
          <w:rFonts w:ascii="Times New Roman" w:hAnsi="Times New Roman"/>
          <w:sz w:val="24"/>
        </w:rPr>
        <w:t>大气环境</w:t>
      </w:r>
    </w:p>
    <w:p w14:paraId="2E549B0C">
      <w:pPr>
        <w:adjustRightInd w:val="0"/>
        <w:snapToGrid w:val="0"/>
        <w:spacing w:line="360" w:lineRule="auto"/>
        <w:ind w:firstLine="424" w:firstLineChars="177"/>
        <w:rPr>
          <w:rFonts w:ascii="Times New Roman" w:hAnsi="Times New Roman"/>
          <w:sz w:val="24"/>
        </w:rPr>
      </w:pPr>
      <w:r>
        <w:rPr>
          <w:rFonts w:ascii="Times New Roman" w:hAnsi="Times New Roman" w:eastAsia="宋体" w:cs="Times New Roman"/>
          <w:sz w:val="24"/>
        </w:rPr>
        <w:t>本企业有组织废气主要包括：</w:t>
      </w:r>
      <w:r>
        <w:rPr>
          <w:rFonts w:hint="eastAsia" w:ascii="Times New Roman" w:hAnsi="Times New Roman" w:eastAsia="宋体" w:cs="Times New Roman"/>
          <w:sz w:val="24"/>
        </w:rPr>
        <w:t>木加工粉尘、修正油磨粉尘、</w:t>
      </w:r>
      <w:r>
        <w:rPr>
          <w:rFonts w:hint="eastAsia" w:ascii="Times New Roman" w:hAnsi="Times New Roman" w:eastAsia="宋体" w:cs="Times New Roman"/>
          <w:bCs/>
          <w:kern w:val="0"/>
          <w:sz w:val="24"/>
        </w:rPr>
        <w:t>拼板冷压、封边、热压、擦色、底漆房（含调漆、晾干）废气、面漆房（含晾干）、修色房（含调漆、晾干）废气</w:t>
      </w:r>
      <w:r>
        <w:rPr>
          <w:rFonts w:ascii="Times New Roman" w:hAnsi="Times New Roman" w:eastAsia="宋体" w:cs="Times New Roman"/>
          <w:sz w:val="24"/>
        </w:rPr>
        <w:t>。</w:t>
      </w:r>
      <w:r>
        <w:rPr>
          <w:rFonts w:hint="eastAsia" w:ascii="Times New Roman" w:hAnsi="Times New Roman"/>
          <w:sz w:val="24"/>
        </w:rPr>
        <w:t>各股废气采取的措施如下：</w:t>
      </w:r>
    </w:p>
    <w:p w14:paraId="6F4B536A">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textAlignment w:val="auto"/>
        <w:rPr>
          <w:rFonts w:ascii="Times New Roman" w:hAnsi="Times New Roman" w:eastAsia="宋体" w:cs="Times New Roman"/>
          <w:bCs/>
          <w:kern w:val="0"/>
          <w:sz w:val="24"/>
        </w:rPr>
      </w:pPr>
      <w:r>
        <w:rPr>
          <w:rFonts w:hint="eastAsia" w:ascii="Times New Roman" w:hAnsi="Times New Roman" w:eastAsia="宋体" w:cs="Times New Roman"/>
          <w:bCs/>
          <w:kern w:val="0"/>
          <w:sz w:val="24"/>
        </w:rPr>
        <w:t>本</w:t>
      </w:r>
      <w:r>
        <w:rPr>
          <w:rFonts w:ascii="Times New Roman" w:hAnsi="Times New Roman" w:eastAsia="宋体" w:cs="Times New Roman"/>
          <w:bCs/>
          <w:kern w:val="0"/>
          <w:sz w:val="24"/>
        </w:rPr>
        <w:t>项目</w:t>
      </w:r>
      <w:r>
        <w:rPr>
          <w:rFonts w:hint="eastAsia" w:ascii="Times New Roman" w:hAnsi="Times New Roman" w:eastAsia="宋体" w:cs="Times New Roman"/>
          <w:bCs/>
          <w:kern w:val="0"/>
          <w:sz w:val="24"/>
        </w:rPr>
        <w:t>木材</w:t>
      </w:r>
      <w:r>
        <w:rPr>
          <w:rFonts w:ascii="Times New Roman" w:hAnsi="Times New Roman" w:eastAsia="宋体" w:cs="Times New Roman"/>
          <w:bCs/>
          <w:kern w:val="0"/>
          <w:sz w:val="24"/>
        </w:rPr>
        <w:t>加工产生的粉尘经中央除尘系统收集处理后经15m高排气筒排放</w:t>
      </w:r>
      <w:r>
        <w:rPr>
          <w:rFonts w:hint="eastAsia" w:ascii="Times New Roman" w:hAnsi="Times New Roman" w:eastAsia="宋体" w:cs="Times New Roman"/>
          <w:bCs/>
          <w:kern w:val="0"/>
          <w:sz w:val="24"/>
        </w:rPr>
        <w:t>（DA001）</w:t>
      </w:r>
      <w:r>
        <w:rPr>
          <w:rFonts w:ascii="Times New Roman" w:hAnsi="Times New Roman" w:eastAsia="宋体" w:cs="Times New Roman"/>
          <w:bCs/>
          <w:kern w:val="0"/>
          <w:sz w:val="24"/>
        </w:rPr>
        <w:t>；</w:t>
      </w:r>
      <w:r>
        <w:rPr>
          <w:rFonts w:hint="eastAsia" w:ascii="Times New Roman" w:hAnsi="Times New Roman" w:eastAsia="宋体" w:cs="Times New Roman"/>
          <w:bCs/>
          <w:kern w:val="0"/>
          <w:sz w:val="24"/>
        </w:rPr>
        <w:t>修正油磨粉尘经负压收集脉冲布袋除尘器</w:t>
      </w:r>
      <w:r>
        <w:rPr>
          <w:rFonts w:hint="eastAsia" w:ascii="Times New Roman" w:hAnsi="Times New Roman" w:eastAsia="宋体" w:cs="Times New Roman"/>
          <w:bCs/>
          <w:kern w:val="0"/>
          <w:sz w:val="24"/>
          <w:lang w:val="en-US" w:eastAsia="zh-CN"/>
        </w:rPr>
        <w:t>处理后排放</w:t>
      </w:r>
      <w:r>
        <w:rPr>
          <w:rFonts w:hint="eastAsia" w:ascii="Times New Roman" w:hAnsi="Times New Roman" w:eastAsia="宋体" w:cs="Times New Roman"/>
          <w:bCs/>
          <w:kern w:val="0"/>
          <w:sz w:val="24"/>
        </w:rPr>
        <w:t>；</w:t>
      </w:r>
      <w:r>
        <w:rPr>
          <w:rFonts w:hint="eastAsia" w:ascii="Times New Roman" w:hAnsi="Times New Roman" w:eastAsia="宋体" w:cs="Times New Roman"/>
          <w:bCs/>
          <w:kern w:val="0"/>
          <w:sz w:val="24"/>
          <w:lang w:val="en-US" w:eastAsia="zh-CN"/>
        </w:rPr>
        <w:t>喷</w:t>
      </w:r>
      <w:r>
        <w:rPr>
          <w:rFonts w:hint="eastAsia" w:ascii="Times New Roman" w:hAnsi="Times New Roman" w:eastAsia="宋体" w:cs="Times New Roman"/>
          <w:bCs/>
          <w:kern w:val="0"/>
          <w:sz w:val="24"/>
        </w:rPr>
        <w:t>漆房（含调漆、晾干）废气</w:t>
      </w:r>
      <w:r>
        <w:rPr>
          <w:rFonts w:hint="eastAsia" w:ascii="Times New Roman" w:hAnsi="Times New Roman" w:eastAsia="宋体" w:cs="Times New Roman"/>
          <w:bCs/>
          <w:kern w:val="0"/>
          <w:sz w:val="24"/>
          <w:lang w:val="en-US" w:eastAsia="zh-CN"/>
        </w:rPr>
        <w:t>经</w:t>
      </w:r>
      <w:r>
        <w:rPr>
          <w:rFonts w:hint="eastAsia" w:ascii="Times New Roman" w:hAnsi="Times New Roman" w:eastAsia="宋体" w:cs="Times New Roman"/>
          <w:bCs/>
          <w:kern w:val="0"/>
          <w:sz w:val="24"/>
        </w:rPr>
        <w:t>水幕帘+漆雾过滤器+活性炭吸附—脱附催化燃烧+15m排气筒（DA00</w:t>
      </w:r>
      <w:r>
        <w:rPr>
          <w:rFonts w:hint="eastAsia" w:ascii="Times New Roman" w:hAnsi="Times New Roman" w:eastAsia="宋体" w:cs="Times New Roman"/>
          <w:bCs/>
          <w:kern w:val="0"/>
          <w:sz w:val="24"/>
          <w:lang w:val="en-US" w:eastAsia="zh-CN"/>
        </w:rPr>
        <w:t>2</w:t>
      </w:r>
      <w:r>
        <w:rPr>
          <w:rFonts w:hint="eastAsia" w:ascii="Times New Roman" w:hAnsi="Times New Roman" w:eastAsia="宋体" w:cs="Times New Roman"/>
          <w:bCs/>
          <w:kern w:val="0"/>
          <w:sz w:val="24"/>
        </w:rPr>
        <w:t>）</w:t>
      </w:r>
      <w:r>
        <w:rPr>
          <w:rFonts w:hint="eastAsia" w:ascii="Times New Roman" w:hAnsi="Times New Roman" w:eastAsia="宋体" w:cs="Times New Roman"/>
          <w:bCs/>
          <w:kern w:val="0"/>
          <w:sz w:val="24"/>
          <w:lang w:eastAsia="zh-CN"/>
        </w:rPr>
        <w:t>，</w:t>
      </w:r>
      <w:r>
        <w:rPr>
          <w:rFonts w:hint="eastAsia" w:ascii="Times New Roman" w:hAnsi="Times New Roman" w:eastAsia="宋体" w:cs="Times New Roman"/>
          <w:bCs/>
          <w:kern w:val="0"/>
          <w:sz w:val="24"/>
        </w:rPr>
        <w:t>拼板冷压、封边、热压、擦色</w:t>
      </w:r>
      <w:r>
        <w:rPr>
          <w:rFonts w:hint="eastAsia" w:ascii="Times New Roman" w:hAnsi="Times New Roman" w:eastAsia="宋体" w:cs="Times New Roman"/>
          <w:bCs/>
          <w:kern w:val="0"/>
          <w:sz w:val="24"/>
          <w:lang w:val="en-US" w:eastAsia="zh-CN"/>
        </w:rPr>
        <w:t>废气引入喷漆房配套</w:t>
      </w:r>
      <w:r>
        <w:rPr>
          <w:rFonts w:hint="eastAsia" w:ascii="Times New Roman" w:hAnsi="Times New Roman" w:eastAsia="宋体" w:cs="Times New Roman"/>
          <w:bCs/>
          <w:kern w:val="0"/>
          <w:sz w:val="24"/>
        </w:rPr>
        <w:t>活性炭吸附—脱附催化燃烧+15m排气筒</w:t>
      </w:r>
      <w:r>
        <w:rPr>
          <w:rFonts w:ascii="Times New Roman" w:hAnsi="Times New Roman" w:eastAsia="宋体" w:cs="Times New Roman"/>
          <w:bCs/>
          <w:kern w:val="0"/>
          <w:sz w:val="24"/>
        </w:rPr>
        <w:t>。</w:t>
      </w:r>
    </w:p>
    <w:p w14:paraId="70C4A920">
      <w:pPr>
        <w:keepNext w:val="0"/>
        <w:keepLines w:val="0"/>
        <w:pageBreakBefore w:val="0"/>
        <w:widowControl w:val="0"/>
        <w:kinsoku/>
        <w:wordWrap/>
        <w:overflowPunct/>
        <w:topLinePunct w:val="0"/>
        <w:autoSpaceDE/>
        <w:autoSpaceDN/>
        <w:bidi w:val="0"/>
        <w:adjustRightInd/>
        <w:snapToGrid/>
        <w:spacing w:line="360" w:lineRule="auto"/>
        <w:ind w:firstLine="424" w:firstLineChars="177"/>
        <w:textAlignment w:val="auto"/>
        <w:rPr>
          <w:rFonts w:ascii="Times New Roman"/>
          <w:sz w:val="24"/>
        </w:rPr>
      </w:pPr>
      <w:r>
        <w:rPr>
          <w:rFonts w:hint="eastAsia" w:ascii="Times New Roman"/>
          <w:sz w:val="24"/>
        </w:rPr>
        <w:t>采取上述措施处理后，</w:t>
      </w:r>
      <w:r>
        <w:rPr>
          <w:rFonts w:ascii="Times New Roman"/>
          <w:sz w:val="24"/>
        </w:rPr>
        <w:t>外排废气在达标排放的情况下，对周围大气环境的影响较小。但应该注意的是，在出现事故、不利气象条件时，对周围环境空气质量的影响将明显增加，将引起比较大的大气环境损失。</w:t>
      </w:r>
    </w:p>
    <w:p w14:paraId="76A41EB5">
      <w:pPr>
        <w:numPr>
          <w:ilvl w:val="0"/>
          <w:numId w:val="91"/>
        </w:numPr>
        <w:adjustRightInd w:val="0"/>
        <w:snapToGrid w:val="0"/>
        <w:spacing w:line="360" w:lineRule="auto"/>
        <w:rPr>
          <w:rFonts w:ascii="Times New Roman" w:hAnsi="Times New Roman"/>
          <w:sz w:val="24"/>
        </w:rPr>
      </w:pPr>
      <w:r>
        <w:rPr>
          <w:rFonts w:ascii="Times New Roman" w:hAnsi="Times New Roman"/>
          <w:sz w:val="24"/>
        </w:rPr>
        <w:t>声环境</w:t>
      </w:r>
    </w:p>
    <w:p w14:paraId="562728DA">
      <w:pPr>
        <w:adjustRightInd w:val="0"/>
        <w:snapToGrid w:val="0"/>
        <w:spacing w:line="360" w:lineRule="auto"/>
        <w:ind w:firstLine="424" w:firstLineChars="177"/>
        <w:rPr>
          <w:rFonts w:ascii="Times New Roman"/>
          <w:sz w:val="24"/>
        </w:rPr>
      </w:pPr>
      <w:r>
        <w:rPr>
          <w:rFonts w:hint="eastAsia" w:ascii="Times New Roman"/>
          <w:sz w:val="24"/>
        </w:rPr>
        <w:t>本项目营运期噪声主要来自于精密推台锯、砂光机、封边机、空压机、木线机、排钻、侧孔机、立铣机、打砂机</w:t>
      </w:r>
      <w:r>
        <w:rPr>
          <w:rFonts w:hint="eastAsia" w:ascii="Times New Roman" w:hAnsi="Times New Roman" w:eastAsia="宋体" w:cs="Times New Roman"/>
          <w:sz w:val="24"/>
        </w:rPr>
        <w:t>等设备运行时产生的设备噪声</w:t>
      </w:r>
      <w:r>
        <w:rPr>
          <w:rFonts w:hint="eastAsia" w:ascii="Times New Roman"/>
          <w:sz w:val="24"/>
        </w:rPr>
        <w:t>。</w:t>
      </w:r>
      <w:r>
        <w:rPr>
          <w:rFonts w:ascii="Times New Roman"/>
          <w:sz w:val="24"/>
        </w:rPr>
        <w:t>根据生产设备产生噪声的特点，分别采取减振、隔声、消声等降噪措施后，对环境的影响不显著，项目造成的声环境损失较小。</w:t>
      </w:r>
    </w:p>
    <w:p w14:paraId="2CFE1AAF">
      <w:pPr>
        <w:numPr>
          <w:ilvl w:val="0"/>
          <w:numId w:val="91"/>
        </w:numPr>
        <w:adjustRightInd w:val="0"/>
        <w:snapToGrid w:val="0"/>
        <w:spacing w:line="360" w:lineRule="auto"/>
        <w:rPr>
          <w:rFonts w:ascii="Times New Roman" w:hAnsi="Times New Roman"/>
          <w:sz w:val="24"/>
        </w:rPr>
      </w:pPr>
      <w:r>
        <w:rPr>
          <w:rFonts w:ascii="Times New Roman" w:hAnsi="Times New Roman"/>
          <w:sz w:val="24"/>
        </w:rPr>
        <w:t>固体废物</w:t>
      </w:r>
    </w:p>
    <w:p w14:paraId="0910B3D4">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本项目产生的固体废物主要包括</w:t>
      </w:r>
      <w:r>
        <w:rPr>
          <w:rFonts w:hint="eastAsia" w:ascii="Times New Roman" w:hAnsi="Times New Roman"/>
          <w:sz w:val="24"/>
        </w:rPr>
        <w:t>生活垃圾、一般工业固废和危险废物。</w:t>
      </w:r>
    </w:p>
    <w:p w14:paraId="39640920">
      <w:pPr>
        <w:adjustRightInd w:val="0"/>
        <w:snapToGrid w:val="0"/>
        <w:spacing w:line="360" w:lineRule="auto"/>
        <w:ind w:firstLine="480" w:firstLineChars="200"/>
        <w:rPr>
          <w:rFonts w:ascii="Times New Roman" w:hAnsi="Times New Roman"/>
          <w:bCs/>
          <w:kern w:val="0"/>
          <w:sz w:val="24"/>
        </w:rPr>
      </w:pPr>
      <w:r>
        <w:rPr>
          <w:rFonts w:hint="eastAsia" w:ascii="Times New Roman" w:hAnsi="Times New Roman"/>
          <w:bCs/>
          <w:kern w:val="0"/>
          <w:sz w:val="24"/>
        </w:rPr>
        <w:t>生活垃圾定期交由环卫部门统一处理。</w:t>
      </w:r>
    </w:p>
    <w:p w14:paraId="094F82F7">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一般工业固废主要为：</w:t>
      </w:r>
      <w:r>
        <w:rPr>
          <w:rFonts w:ascii="Times New Roman" w:hAnsi="Times New Roman" w:eastAsia="宋体" w:cs="Times New Roman"/>
          <w:bCs/>
          <w:kern w:val="0"/>
          <w:sz w:val="24"/>
        </w:rPr>
        <w:t>木材加工过程中产生的木屑、废边角废料、废包装材料、除尘器收集的粉尘。木材加工过程中产生的木屑、废边角废料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废包装材料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除尘器收集的粉尘</w:t>
      </w:r>
      <w:r>
        <w:rPr>
          <w:rFonts w:hint="eastAsia" w:ascii="Times New Roman" w:hAnsi="Times New Roman" w:eastAsia="宋体" w:cs="Times New Roman"/>
          <w:bCs/>
          <w:kern w:val="0"/>
          <w:sz w:val="24"/>
        </w:rPr>
        <w:t>收集后外售。</w:t>
      </w:r>
    </w:p>
    <w:p w14:paraId="27AFB4BC">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危险废物包括：废破损包装桶（废油漆桶、废胶桶、稀释剂桶）、水帘漆渣、油磨漆渣、污水处理中产生的絮状沉淀物、废活性炭、喷枪清洗废水、废催化剂、废机油、废过滤棉（含漆渣），分别交由相应资质单位处理。</w:t>
      </w:r>
    </w:p>
    <w:p w14:paraId="2BF2A2EF">
      <w:pPr>
        <w:adjustRightInd w:val="0"/>
        <w:snapToGrid w:val="0"/>
        <w:spacing w:line="360" w:lineRule="auto"/>
        <w:ind w:firstLine="480" w:firstLineChars="200"/>
        <w:rPr>
          <w:rFonts w:ascii="Times New Roman" w:hAnsi="Times New Roman"/>
          <w:sz w:val="24"/>
        </w:rPr>
      </w:pPr>
      <w:r>
        <w:rPr>
          <w:rFonts w:ascii="Times New Roman" w:hAnsi="Times New Roman"/>
          <w:sz w:val="24"/>
        </w:rPr>
        <w:t>因此，本项目产生的固体废物得到妥当的处理，对周围环境影响不大。</w:t>
      </w:r>
    </w:p>
    <w:p w14:paraId="0FA19720">
      <w:pPr>
        <w:numPr>
          <w:ilvl w:val="0"/>
          <w:numId w:val="91"/>
        </w:numPr>
        <w:adjustRightInd w:val="0"/>
        <w:snapToGrid w:val="0"/>
        <w:spacing w:line="360" w:lineRule="auto"/>
        <w:ind w:firstLine="480" w:firstLineChars="200"/>
        <w:rPr>
          <w:rFonts w:ascii="Times New Roman" w:hAnsi="Times New Roman"/>
          <w:sz w:val="24"/>
        </w:rPr>
      </w:pPr>
      <w:r>
        <w:rPr>
          <w:rFonts w:ascii="Times New Roman" w:hAnsi="Times New Roman"/>
          <w:sz w:val="24"/>
        </w:rPr>
        <w:t>地下水</w:t>
      </w:r>
    </w:p>
    <w:p w14:paraId="02F5227A">
      <w:pPr>
        <w:adjustRightInd w:val="0"/>
        <w:snapToGrid w:val="0"/>
        <w:spacing w:line="360" w:lineRule="auto"/>
        <w:ind w:firstLine="424" w:firstLineChars="177"/>
        <w:rPr>
          <w:rFonts w:ascii="Times New Roman" w:hAnsi="Times New Roman"/>
          <w:sz w:val="24"/>
        </w:rPr>
      </w:pPr>
      <w:r>
        <w:rPr>
          <w:rFonts w:ascii="Times New Roman" w:hAnsi="Times New Roman"/>
          <w:sz w:val="24"/>
        </w:rPr>
        <w:t>本项目可能对地下水造成污染的环节主要是</w:t>
      </w:r>
      <w:r>
        <w:rPr>
          <w:rFonts w:hint="eastAsia" w:ascii="Times New Roman" w:hAnsi="Times New Roman"/>
          <w:sz w:val="24"/>
        </w:rPr>
        <w:t>污水处理站、危废暂存间</w:t>
      </w:r>
      <w:r>
        <w:rPr>
          <w:rFonts w:hint="eastAsia" w:ascii="Times New Roman" w:hAnsi="Times New Roman" w:eastAsia="宋体" w:cs="Times New Roman"/>
          <w:sz w:val="24"/>
        </w:rPr>
        <w:t>等</w:t>
      </w:r>
      <w:r>
        <w:rPr>
          <w:rFonts w:ascii="Times New Roman" w:hAnsi="Times New Roman"/>
          <w:sz w:val="24"/>
        </w:rPr>
        <w:t>，若相应区域的地面未做好防渗措施，泄漏的物质、污废水或固废渗滤液通过地面渗入包气带，进而污染地下水和土壤。应做好工程防腐措施并加强管理；应遵循</w:t>
      </w:r>
      <w:r>
        <w:rPr>
          <w:rFonts w:hint="eastAsia" w:ascii="宋体" w:hAnsi="宋体" w:cs="宋体"/>
          <w:sz w:val="24"/>
        </w:rPr>
        <w:t>“源头控制，分区防治，污染监控、风险应急”</w:t>
      </w:r>
      <w:r>
        <w:rPr>
          <w:rFonts w:ascii="Times New Roman" w:hAnsi="Times New Roman"/>
          <w:sz w:val="24"/>
        </w:rPr>
        <w:t>的原则做好地下水污染防治措施；并设置常规监测井。严格执行上述环保措施后，造成的地下水污染影响较小，造成的地下水环境损失较小。</w:t>
      </w:r>
    </w:p>
    <w:p w14:paraId="3E448B5A">
      <w:pPr>
        <w:adjustRightInd w:val="0"/>
        <w:snapToGrid w:val="0"/>
        <w:spacing w:line="360" w:lineRule="auto"/>
        <w:ind w:firstLine="424" w:firstLineChars="177"/>
        <w:rPr>
          <w:rFonts w:ascii="Times New Roman" w:hAnsi="Times New Roman"/>
          <w:sz w:val="24"/>
        </w:rPr>
      </w:pPr>
      <w:r>
        <w:rPr>
          <w:rFonts w:ascii="Times New Roman" w:hAnsi="Times New Roman"/>
          <w:sz w:val="24"/>
        </w:rPr>
        <w:t>总的来说，本项目产生的各类污染物会对项目区域内外环境产生一定的影响，从而造成一定的损失，但由于污染程度轻，这种损失不大。</w:t>
      </w:r>
    </w:p>
    <w:p w14:paraId="1959BFDE">
      <w:pPr>
        <w:pStyle w:val="3"/>
        <w:numPr>
          <w:ilvl w:val="1"/>
          <w:numId w:val="90"/>
        </w:numPr>
        <w:tabs>
          <w:tab w:val="clear" w:pos="0"/>
        </w:tabs>
        <w:adjustRightInd w:val="0"/>
        <w:snapToGrid w:val="0"/>
        <w:ind w:left="720" w:leftChars="0" w:hanging="720" w:firstLineChars="0"/>
      </w:pPr>
      <w:bookmarkStart w:id="353" w:name="_Toc519970017"/>
      <w:bookmarkStart w:id="354" w:name="_Toc26000"/>
      <w:bookmarkStart w:id="355" w:name="_Toc49796968"/>
      <w:bookmarkStart w:id="356" w:name="_Toc60650380"/>
      <w:bookmarkStart w:id="357" w:name="_Toc17449"/>
      <w:bookmarkStart w:id="358" w:name="_Toc8985"/>
      <w:bookmarkStart w:id="359" w:name="_Toc23860"/>
      <w:r>
        <w:t>经济与社会效益分析</w:t>
      </w:r>
      <w:bookmarkEnd w:id="349"/>
      <w:bookmarkEnd w:id="350"/>
      <w:bookmarkEnd w:id="351"/>
      <w:bookmarkEnd w:id="352"/>
      <w:bookmarkEnd w:id="353"/>
      <w:bookmarkEnd w:id="354"/>
      <w:bookmarkEnd w:id="355"/>
      <w:bookmarkEnd w:id="356"/>
      <w:bookmarkEnd w:id="357"/>
      <w:bookmarkEnd w:id="358"/>
      <w:bookmarkEnd w:id="359"/>
    </w:p>
    <w:p w14:paraId="6C4CA35D">
      <w:pPr>
        <w:adjustRightInd w:val="0"/>
        <w:snapToGrid w:val="0"/>
        <w:spacing w:line="360" w:lineRule="auto"/>
        <w:ind w:firstLine="480"/>
        <w:rPr>
          <w:rFonts w:ascii="Times New Roman" w:hAnsi="Times New Roman"/>
          <w:sz w:val="24"/>
        </w:rPr>
      </w:pPr>
      <w:r>
        <w:rPr>
          <w:rFonts w:ascii="Times New Roman" w:hAnsi="Times New Roman"/>
          <w:sz w:val="24"/>
        </w:rPr>
        <w:t>建设项目生产在取得直接经济效益的同时，带来了一系列的间接经济效益和社会效益：</w:t>
      </w:r>
    </w:p>
    <w:p w14:paraId="47B95524">
      <w:pPr>
        <w:adjustRightInd w:val="0"/>
        <w:snapToGrid w:val="0"/>
        <w:spacing w:line="360" w:lineRule="auto"/>
        <w:ind w:firstLine="480"/>
        <w:rPr>
          <w:rFonts w:ascii="Times New Roman" w:hAnsi="Times New Roman"/>
          <w:sz w:val="24"/>
        </w:rPr>
      </w:pPr>
      <w:r>
        <w:rPr>
          <w:rFonts w:ascii="Times New Roman" w:hAnsi="Times New Roman"/>
          <w:sz w:val="24"/>
        </w:rPr>
        <w:t>1.本项目水、电、燃料等的消耗为当地带来间接经济效益。</w:t>
      </w:r>
    </w:p>
    <w:p w14:paraId="61375839">
      <w:pPr>
        <w:adjustRightInd w:val="0"/>
        <w:snapToGrid w:val="0"/>
        <w:spacing w:line="360" w:lineRule="auto"/>
        <w:ind w:firstLine="480"/>
        <w:rPr>
          <w:rFonts w:ascii="Times New Roman" w:hAnsi="Times New Roman"/>
          <w:sz w:val="24"/>
        </w:rPr>
      </w:pPr>
      <w:r>
        <w:rPr>
          <w:rFonts w:ascii="Times New Roman" w:hAnsi="Times New Roman"/>
          <w:sz w:val="24"/>
        </w:rPr>
        <w:t>2.本项目环保设备及原辅材料的采购，将扩大市场需求，带动相关产业的快速发展，为上游行业的发展提供发展机遇，从而带来巨大的间接经济效益。</w:t>
      </w:r>
    </w:p>
    <w:p w14:paraId="2BD482DB">
      <w:pPr>
        <w:adjustRightInd w:val="0"/>
        <w:snapToGrid w:val="0"/>
        <w:spacing w:line="360" w:lineRule="auto"/>
        <w:ind w:firstLine="480"/>
        <w:rPr>
          <w:rFonts w:ascii="Times New Roman" w:hAnsi="Times New Roman"/>
          <w:sz w:val="24"/>
        </w:rPr>
      </w:pPr>
      <w:r>
        <w:rPr>
          <w:rFonts w:ascii="Times New Roman" w:hAnsi="Times New Roman"/>
          <w:sz w:val="24"/>
        </w:rPr>
        <w:t>3.本项目总投资</w:t>
      </w:r>
      <w:r>
        <w:rPr>
          <w:rFonts w:hint="eastAsia" w:ascii="Times New Roman" w:hAnsi="Times New Roman"/>
          <w:bCs/>
          <w:kern w:val="0"/>
          <w:sz w:val="24"/>
        </w:rPr>
        <w:t>40</w:t>
      </w:r>
      <w:r>
        <w:rPr>
          <w:rFonts w:ascii="Times New Roman" w:hAnsi="Times New Roman"/>
          <w:bCs/>
          <w:kern w:val="0"/>
          <w:sz w:val="24"/>
        </w:rPr>
        <w:t>00</w:t>
      </w:r>
      <w:r>
        <w:rPr>
          <w:rFonts w:ascii="Times New Roman" w:hAnsi="Times New Roman"/>
          <w:sz w:val="24"/>
        </w:rPr>
        <w:t>万元，根据建设单位提供的经济指标分析，项目建成后，具有较好的经济效益，而且也为国家和地方财政收入做出一定贡献。</w:t>
      </w:r>
    </w:p>
    <w:p w14:paraId="7DCFC520">
      <w:pPr>
        <w:adjustRightInd w:val="0"/>
        <w:snapToGrid w:val="0"/>
        <w:spacing w:line="360" w:lineRule="auto"/>
        <w:ind w:firstLine="480"/>
        <w:rPr>
          <w:rFonts w:ascii="Times New Roman" w:hAnsi="Times New Roman"/>
          <w:sz w:val="24"/>
        </w:rPr>
      </w:pPr>
      <w:r>
        <w:rPr>
          <w:rFonts w:ascii="Times New Roman" w:hAnsi="Times New Roman"/>
          <w:sz w:val="24"/>
        </w:rPr>
        <w:t>4.本项目实施后，所在区域的城市配套设施会更完善，会刺激和带来相关产业的发展，整个区域的社会经济竞争力会更进一步得到明显提升。</w:t>
      </w:r>
    </w:p>
    <w:p w14:paraId="7656EDB6">
      <w:pPr>
        <w:adjustRightInd w:val="0"/>
        <w:snapToGrid w:val="0"/>
        <w:spacing w:line="360" w:lineRule="auto"/>
        <w:ind w:firstLine="480"/>
        <w:rPr>
          <w:rFonts w:ascii="Times New Roman" w:hAnsi="Times New Roman"/>
          <w:sz w:val="24"/>
        </w:rPr>
      </w:pPr>
      <w:r>
        <w:rPr>
          <w:rFonts w:ascii="Times New Roman" w:hAnsi="Times New Roman"/>
          <w:sz w:val="24"/>
        </w:rPr>
        <w:t>综上分析可知，本项目具有良好的经济和社会效益。</w:t>
      </w:r>
    </w:p>
    <w:p w14:paraId="3BBB4F3E">
      <w:pPr>
        <w:pStyle w:val="3"/>
        <w:numPr>
          <w:ilvl w:val="1"/>
          <w:numId w:val="90"/>
        </w:numPr>
        <w:tabs>
          <w:tab w:val="clear" w:pos="0"/>
        </w:tabs>
        <w:adjustRightInd w:val="0"/>
        <w:snapToGrid w:val="0"/>
        <w:ind w:left="720" w:leftChars="0" w:hanging="720" w:firstLineChars="0"/>
      </w:pPr>
      <w:bookmarkStart w:id="360" w:name="_Toc23862"/>
      <w:bookmarkStart w:id="361" w:name="_Toc15602"/>
      <w:bookmarkStart w:id="362" w:name="_Toc22299"/>
      <w:bookmarkStart w:id="363" w:name="_Toc454376673"/>
      <w:bookmarkStart w:id="364" w:name="_Toc60650381"/>
      <w:bookmarkStart w:id="365" w:name="_Toc519970018"/>
      <w:bookmarkStart w:id="366" w:name="_Toc49796969"/>
      <w:bookmarkStart w:id="367" w:name="_Toc27578"/>
      <w:r>
        <w:t>环保投资经济损益分析</w:t>
      </w:r>
      <w:bookmarkEnd w:id="360"/>
      <w:bookmarkEnd w:id="361"/>
      <w:bookmarkEnd w:id="362"/>
      <w:bookmarkEnd w:id="363"/>
      <w:bookmarkEnd w:id="364"/>
      <w:bookmarkEnd w:id="365"/>
      <w:bookmarkEnd w:id="366"/>
      <w:bookmarkEnd w:id="367"/>
    </w:p>
    <w:p w14:paraId="36E02E5D">
      <w:pPr>
        <w:adjustRightInd w:val="0"/>
        <w:snapToGrid w:val="0"/>
        <w:spacing w:line="360" w:lineRule="auto"/>
        <w:ind w:firstLine="480"/>
        <w:rPr>
          <w:rFonts w:ascii="Times New Roman" w:hAnsi="Times New Roman"/>
          <w:sz w:val="24"/>
        </w:rPr>
      </w:pPr>
      <w:r>
        <w:rPr>
          <w:rFonts w:ascii="Times New Roman" w:hAnsi="Times New Roman"/>
          <w:sz w:val="24"/>
        </w:rPr>
        <w:t>本项目环保工程投资</w:t>
      </w:r>
      <w:r>
        <w:rPr>
          <w:rFonts w:hint="eastAsia" w:ascii="Times New Roman" w:hAnsi="Times New Roman"/>
          <w:sz w:val="24"/>
        </w:rPr>
        <w:t>193万元</w:t>
      </w:r>
      <w:r>
        <w:rPr>
          <w:rFonts w:ascii="Times New Roman" w:hAnsi="Times New Roman"/>
          <w:sz w:val="24"/>
        </w:rPr>
        <w:t>，占总投资的</w:t>
      </w:r>
      <w:r>
        <w:rPr>
          <w:rFonts w:hint="eastAsia" w:ascii="Times New Roman" w:hAnsi="Times New Roman"/>
          <w:sz w:val="24"/>
        </w:rPr>
        <w:t>4.83</w:t>
      </w:r>
      <w:r>
        <w:rPr>
          <w:rFonts w:ascii="Times New Roman" w:hAnsi="Times New Roman"/>
          <w:sz w:val="24"/>
        </w:rPr>
        <w:t>%，从环保投资额度和分配情况来看，项目采取的环保设施能满足有关污染治理方面的需要，投资合理，环保措施可以达到达标排放的要求。对预防和杜绝可能产生的潜在事故污染影响也能发挥明显的作用。因此，项目环保投入比较合理，污染物经过各项设施处理后对周围环境影响比较小。</w:t>
      </w:r>
    </w:p>
    <w:p w14:paraId="375EC8F5">
      <w:pPr>
        <w:pStyle w:val="3"/>
        <w:numPr>
          <w:ilvl w:val="1"/>
          <w:numId w:val="90"/>
        </w:numPr>
        <w:tabs>
          <w:tab w:val="clear" w:pos="0"/>
        </w:tabs>
        <w:adjustRightInd w:val="0"/>
        <w:snapToGrid w:val="0"/>
        <w:ind w:left="720" w:leftChars="0" w:hanging="720" w:firstLineChars="0"/>
      </w:pPr>
      <w:bookmarkStart w:id="368" w:name="_Toc49796970"/>
      <w:bookmarkStart w:id="369" w:name="_Toc519970019"/>
      <w:bookmarkStart w:id="370" w:name="_Toc8764"/>
      <w:bookmarkStart w:id="371" w:name="_Toc12622"/>
      <w:bookmarkStart w:id="372" w:name="_Toc29601"/>
      <w:bookmarkStart w:id="373" w:name="_Toc60650382"/>
      <w:bookmarkStart w:id="374" w:name="_Toc9858"/>
      <w:bookmarkStart w:id="375" w:name="_Toc454376674"/>
      <w:r>
        <w:t>结论</w:t>
      </w:r>
      <w:bookmarkEnd w:id="368"/>
      <w:bookmarkEnd w:id="369"/>
      <w:bookmarkEnd w:id="370"/>
      <w:bookmarkEnd w:id="371"/>
      <w:bookmarkEnd w:id="372"/>
      <w:bookmarkEnd w:id="373"/>
      <w:bookmarkEnd w:id="374"/>
      <w:bookmarkEnd w:id="375"/>
    </w:p>
    <w:p w14:paraId="7B083C1C">
      <w:pPr>
        <w:adjustRightInd w:val="0"/>
        <w:snapToGrid w:val="0"/>
        <w:spacing w:line="360" w:lineRule="auto"/>
        <w:ind w:firstLine="480"/>
        <w:rPr>
          <w:rFonts w:ascii="Times New Roman" w:hAnsi="Times New Roman"/>
          <w:sz w:val="24"/>
        </w:rPr>
      </w:pPr>
      <w:r>
        <w:rPr>
          <w:rFonts w:ascii="Times New Roman" w:hAnsi="Times New Roman"/>
          <w:sz w:val="24"/>
        </w:rPr>
        <w:t>结合本项目的社会经济效益、环保投入和环境损益进行综合分析得出，项目在创造良好经济效益和社会效益的同时，经采取污染防治措施后，对环境的影响较小，能够将工程带来的环境损失降到可接受程度。因此，本项目可以实现经济效益与环保效益的相统一。</w:t>
      </w:r>
    </w:p>
    <w:p w14:paraId="54A6EB7C">
      <w:pPr>
        <w:sectPr>
          <w:headerReference r:id="rId28" w:type="default"/>
          <w:footerReference r:id="rId29" w:type="default"/>
          <w:pgSz w:w="11906" w:h="16838"/>
          <w:pgMar w:top="1440" w:right="1800" w:bottom="1440" w:left="1800" w:header="851" w:footer="992" w:gutter="0"/>
          <w:pgNumType w:fmt="decimal"/>
          <w:cols w:space="425" w:num="1"/>
          <w:docGrid w:type="lines" w:linePitch="312" w:charSpace="0"/>
        </w:sectPr>
      </w:pPr>
    </w:p>
    <w:p w14:paraId="58AFDB9A"/>
    <w:p w14:paraId="7AE59C5D">
      <w:pPr>
        <w:pStyle w:val="2"/>
        <w:numPr>
          <w:ilvl w:val="0"/>
          <w:numId w:val="90"/>
        </w:numPr>
        <w:tabs>
          <w:tab w:val="clear" w:pos="0"/>
        </w:tabs>
        <w:ind w:left="432" w:leftChars="0" w:hanging="432" w:firstLineChars="0"/>
      </w:pPr>
      <w:bookmarkStart w:id="376" w:name="_Toc9541"/>
      <w:r>
        <w:rPr>
          <w:rFonts w:hint="eastAsia"/>
        </w:rPr>
        <w:t>环境管理与监测计划</w:t>
      </w:r>
      <w:bookmarkEnd w:id="376"/>
    </w:p>
    <w:p w14:paraId="6CEFC833"/>
    <w:p w14:paraId="7800136D"/>
    <w:p w14:paraId="3006D21D">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环境管理是指项目在运行期遵守执行国家和地方的有关环境保护法律、法规、政策与标准，接受地方环境保护主管部门的环境监督，调整和制定环境规划和目标，协调同其它有关部门的关系，以及一切与改善环境有关的管理活动。环境监测是指在工程运行期对工程主要污染对象进行环境样品的采集、化验、数据处理与编制报告等活动。环境监测为环境管理提供依据，环境管理指导环境监测。制定严格的环境管理与环境监测计划，并以扎实的工作保证各项环保措施以及环境管理与环境监测计划在项目施工期和建成后的运行期得以认真落实，才能有效地控制和减轻污染，保护环境；只有通过规范和约束企业的环境行为，才能使企业真正实现社会、经济和环境效益的协调发展，走可持续发展的道路。</w:t>
      </w:r>
    </w:p>
    <w:p w14:paraId="2A63CDAD">
      <w:pPr>
        <w:pStyle w:val="3"/>
        <w:numPr>
          <w:ilvl w:val="1"/>
          <w:numId w:val="90"/>
        </w:numPr>
        <w:tabs>
          <w:tab w:val="clear" w:pos="0"/>
        </w:tabs>
        <w:adjustRightInd w:val="0"/>
        <w:snapToGrid w:val="0"/>
        <w:ind w:left="720" w:leftChars="0" w:hanging="720" w:firstLineChars="0"/>
      </w:pPr>
      <w:bookmarkStart w:id="377" w:name="_Toc5402"/>
      <w:bookmarkStart w:id="378" w:name="_Toc9460"/>
      <w:bookmarkStart w:id="379" w:name="_Toc8547"/>
      <w:bookmarkStart w:id="380" w:name="_Toc24045"/>
      <w:r>
        <w:t>环境管理</w:t>
      </w:r>
      <w:bookmarkEnd w:id="377"/>
      <w:bookmarkEnd w:id="378"/>
      <w:bookmarkEnd w:id="379"/>
      <w:bookmarkEnd w:id="380"/>
    </w:p>
    <w:p w14:paraId="39401E46">
      <w:pPr>
        <w:overflowPunct w:val="0"/>
        <w:adjustRightInd w:val="0"/>
        <w:snapToGrid w:val="0"/>
        <w:spacing w:line="360" w:lineRule="auto"/>
        <w:ind w:firstLine="480" w:firstLineChars="200"/>
        <w:rPr>
          <w:rFonts w:ascii="Times New Roman" w:hAnsi="Times New Roman" w:eastAsia="宋体" w:cs="Times New Roman"/>
          <w:sz w:val="24"/>
        </w:rPr>
      </w:pPr>
      <w:bookmarkStart w:id="381" w:name="_Toc31892"/>
      <w:r>
        <w:rPr>
          <w:rFonts w:ascii="Times New Roman" w:hAnsi="Times New Roman" w:eastAsia="宋体" w:cs="Times New Roman"/>
          <w:sz w:val="24"/>
        </w:rPr>
        <w:t>环境管理是企业管理中一项重要的专业管理，在企业环境保护工作中起着举足轻重的作用，是监督企业环保设施正常运行、确保污染物达标排放的机构保证。加强环境监督、管理力度，是实现环境效益、社会效益、经济效益协调发展和走可持续发展道路的重要措施。因此制定严格的环境管理和环境监测计划，确保建设项目在工程施工和运行期间各项环保治理措施能得到认真落实，做到最大限度的减少污染。</w:t>
      </w:r>
    </w:p>
    <w:p w14:paraId="13697809">
      <w:pPr>
        <w:overflowPunct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进入运营期后，要将环境管理纳入企业管理的体系中。环境管理机构的设置，目的是为了贯彻执行中华人民共和国环境保护法的有关法律、法规，全面落实《国务院关于环境保护若干问题的决定》的有关规定，对项目“三废”排放实行监控，确保建设项目经济、环境和社会效益协调发展；协调地方环保部门工作，为企业的生产管理和环境管理提供保证，针对建设项目的具体情况，为加强严格管理，企业应设置环境管理机构，并尽相应的职责。通过环境管理，才能严格执行环评中提出的各项环保措施，真正达到保护环境的目的。</w:t>
      </w:r>
    </w:p>
    <w:p w14:paraId="2D7B0D55">
      <w:pPr>
        <w:pStyle w:val="4"/>
        <w:numPr>
          <w:ilvl w:val="2"/>
          <w:numId w:val="90"/>
        </w:numPr>
        <w:tabs>
          <w:tab w:val="clear" w:pos="0"/>
        </w:tabs>
        <w:adjustRightInd w:val="0"/>
        <w:snapToGrid w:val="0"/>
        <w:ind w:left="720" w:leftChars="0" w:hanging="720" w:firstLineChars="0"/>
      </w:pPr>
      <w:r>
        <w:t>环境管理的基本任务</w:t>
      </w:r>
    </w:p>
    <w:p w14:paraId="67BCDDD3">
      <w:pPr>
        <w:adjustRightInd w:val="0"/>
        <w:snapToGrid w:val="0"/>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sz w:val="24"/>
        </w:rPr>
        <w:t>环境管理的基本任务是：控制污染物排放量，避免污染物对环境的危害。为了控制污染物的排放，应把环境管理渗透到整个企业的管理中，将环境管理与企业管理融合在一起，以减少各个环节产生的污染物。</w:t>
      </w:r>
    </w:p>
    <w:p w14:paraId="45E572D5">
      <w:pPr>
        <w:pStyle w:val="4"/>
        <w:numPr>
          <w:ilvl w:val="2"/>
          <w:numId w:val="90"/>
        </w:numPr>
        <w:tabs>
          <w:tab w:val="clear" w:pos="0"/>
        </w:tabs>
        <w:adjustRightInd w:val="0"/>
        <w:snapToGrid w:val="0"/>
        <w:ind w:left="720" w:leftChars="0" w:hanging="720" w:firstLineChars="0"/>
      </w:pPr>
      <w:r>
        <w:t>环境管理机构设置</w:t>
      </w:r>
    </w:p>
    <w:p w14:paraId="5CEA71F7">
      <w:pPr>
        <w:pStyle w:val="18"/>
        <w:autoSpaceDE/>
        <w:autoSpaceDN/>
        <w:snapToGrid w:val="0"/>
        <w:spacing w:before="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rPr>
        <w:t>为有效地保护环境和防止污染突发事故的发生，企业</w:t>
      </w:r>
      <w:r>
        <w:rPr>
          <w:rFonts w:ascii="Times New Roman" w:hAnsi="Times New Roman" w:cs="Times New Roman"/>
          <w:kern w:val="2"/>
          <w:sz w:val="24"/>
          <w:szCs w:val="24"/>
        </w:rPr>
        <w:t>已</w:t>
      </w:r>
      <w:r>
        <w:rPr>
          <w:rFonts w:ascii="Times New Roman" w:hAnsi="Times New Roman" w:eastAsia="宋体" w:cs="Times New Roman"/>
          <w:kern w:val="2"/>
          <w:sz w:val="24"/>
          <w:szCs w:val="24"/>
        </w:rPr>
        <w:t>设立</w:t>
      </w:r>
      <w:r>
        <w:rPr>
          <w:rFonts w:ascii="Times New Roman" w:hAnsi="Times New Roman" w:cs="Times New Roman"/>
          <w:kern w:val="2"/>
          <w:sz w:val="24"/>
          <w:szCs w:val="24"/>
        </w:rPr>
        <w:t>有</w:t>
      </w:r>
      <w:r>
        <w:rPr>
          <w:rFonts w:ascii="Times New Roman" w:hAnsi="Times New Roman" w:eastAsia="宋体" w:cs="Times New Roman"/>
          <w:kern w:val="2"/>
          <w:sz w:val="24"/>
          <w:szCs w:val="24"/>
        </w:rPr>
        <w:t>安全环保部，并配备专职环保管理人员。主要负责运行期环境保护方面的监测、日常监督、突发性环境污染事故以及协调和解决与环保部门及周围公众关系的环境管理工作。同时负责贯彻、落实有关环境保护的政策、法规。</w:t>
      </w:r>
    </w:p>
    <w:p w14:paraId="2CBADF64">
      <w:pPr>
        <w:pStyle w:val="4"/>
        <w:numPr>
          <w:ilvl w:val="2"/>
          <w:numId w:val="90"/>
        </w:numPr>
        <w:tabs>
          <w:tab w:val="clear" w:pos="0"/>
        </w:tabs>
        <w:adjustRightInd w:val="0"/>
        <w:snapToGrid w:val="0"/>
        <w:ind w:left="720" w:leftChars="0" w:hanging="720" w:firstLineChars="0"/>
      </w:pPr>
      <w:r>
        <w:t>环境管理人员的具备能力</w:t>
      </w:r>
    </w:p>
    <w:p w14:paraId="30151D21">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（1）具有丰富的环境管理经验，具有一定环保专业知识，熟悉国家及地方相关法律、法规及有关标准。</w:t>
      </w:r>
    </w:p>
    <w:p w14:paraId="5AD7051A">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（2）具有一定的化工知识，了解项目生产过程各个生产产污环节，便于发现问题及时处理。</w:t>
      </w:r>
    </w:p>
    <w:p w14:paraId="62BFEEED">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（3）具有过硬的管理技能及一定的管理沟通协调能力。</w:t>
      </w:r>
    </w:p>
    <w:p w14:paraId="096E11A2">
      <w:pPr>
        <w:pStyle w:val="4"/>
        <w:numPr>
          <w:ilvl w:val="2"/>
          <w:numId w:val="90"/>
        </w:numPr>
        <w:tabs>
          <w:tab w:val="clear" w:pos="0"/>
        </w:tabs>
        <w:adjustRightInd w:val="0"/>
        <w:snapToGrid w:val="0"/>
        <w:ind w:left="720" w:leftChars="0" w:hanging="720" w:firstLineChars="0"/>
      </w:pPr>
      <w:r>
        <w:t>环境管理人员的主要职责</w:t>
      </w:r>
    </w:p>
    <w:p w14:paraId="461CE2CF">
      <w:pPr>
        <w:overflowPunct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主管负责人应掌握生产和环保工作的全面动态情况，负责审批环保岗位制度、指挥环保工作的实施、协调厂内外各有关部分和组织间的关系。</w:t>
      </w:r>
    </w:p>
    <w:p w14:paraId="0D5F500F">
      <w:pPr>
        <w:overflowPunct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（1）贯彻执行环保法规、制度及环保标准。</w:t>
      </w:r>
    </w:p>
    <w:p w14:paraId="3134EF57">
      <w:pPr>
        <w:overflowPunct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（2）组织制定和完善环境保护管理规章制度，污染事故的防止和应急措施以及安全生产条例，并监督检查这些制度和措施的执行情况。</w:t>
      </w:r>
    </w:p>
    <w:p w14:paraId="5CDC113E">
      <w:pPr>
        <w:overflowPunct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（3）检查环保设施的运行情况，负责环保设备的正常运转和维护工作。</w:t>
      </w:r>
    </w:p>
    <w:p w14:paraId="15B12DB2">
      <w:pPr>
        <w:overflowPunct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（4）领导并组织环境监测工作的开展，分析污染物排放和环境质量现状。</w:t>
      </w:r>
    </w:p>
    <w:p w14:paraId="0ED82CD4">
      <w:pPr>
        <w:overflowPunct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（5）推广应用环保先进技术和经验，开展环保宣传，组织环境保护专业技术培训，提高环保工作人员素质。</w:t>
      </w:r>
    </w:p>
    <w:p w14:paraId="20A95C63">
      <w:pPr>
        <w:overflowPunct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（6）负责协助解决环境污染和扰民的投诉，负责环境污染事故的调查、处理及上报工作。</w:t>
      </w:r>
    </w:p>
    <w:p w14:paraId="09060F65">
      <w:pPr>
        <w:overflowPunct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（7）定期编制企业的环境保护报表和年度环境保护工作，提交给当地环境保护主管部门，接受地方环境保护部门的监督，完成交给的其它环保工作。</w:t>
      </w:r>
    </w:p>
    <w:p w14:paraId="4C2871AD">
      <w:pPr>
        <w:pStyle w:val="4"/>
        <w:numPr>
          <w:ilvl w:val="2"/>
          <w:numId w:val="90"/>
        </w:numPr>
        <w:tabs>
          <w:tab w:val="clear" w:pos="0"/>
        </w:tabs>
        <w:adjustRightInd w:val="0"/>
        <w:snapToGrid w:val="0"/>
        <w:ind w:left="720" w:leftChars="0" w:hanging="720" w:firstLineChars="0"/>
      </w:pPr>
      <w:r>
        <w:t>环境管理制度</w:t>
      </w:r>
    </w:p>
    <w:p w14:paraId="1E16FCE5">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企业应建立健全环境管理制度体系，将环保工作纳入考核体系，确保在日常运行中将环保目标落实到实处。</w:t>
      </w:r>
    </w:p>
    <w:p w14:paraId="68B202F5">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（1）“三同时”制度</w:t>
      </w:r>
    </w:p>
    <w:p w14:paraId="3B30557C">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根据《建设项目环境保护管理条例》，建设项目需要配套建设的环境保护设施，必须与主体工程同时设计、同时施工、同时投产使用。本项目配套建设的环境保护设施经验收合格，方可投入生产或者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14:paraId="62DEBCAD">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（2）排污许可证制度</w:t>
      </w:r>
    </w:p>
    <w:p w14:paraId="58FF64B1">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建设单位应当在项目投入生产或使用并产生实际排污行为之前申请领取排污许可证。依法按照排污许可证申请与核发技术规范提交排污许可申请，申报排放污染物种类、排放浓度等，测算并申报污染物排放量。建设单位应当严格执行排污许可证的规定，禁止无证排污或不按证排污。</w:t>
      </w:r>
    </w:p>
    <w:p w14:paraId="678096EB">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（3）环保台账制度</w:t>
      </w:r>
    </w:p>
    <w:p w14:paraId="432002A8">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厂内需完善记录制度和档案保存制度，有利于环境管理质量的追踪和持续改进；记录和台帐包括设施运行和维护记录、危险废物进出台帐、废水、废气污染物监测台帐、所有化学品使用台帐、突发性事件的处理、调查记录等，妥善保存所有记录、台帐及污染物排放监测资料、环境管理档案资料等。</w:t>
      </w:r>
    </w:p>
    <w:p w14:paraId="4C90C5F0">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（4）污染治理设施管理制度</w:t>
      </w:r>
    </w:p>
    <w:p w14:paraId="466F480F">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p>
    <w:p w14:paraId="6BEBA200">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（5）报告制度</w:t>
      </w:r>
    </w:p>
    <w:p w14:paraId="41F5BAA5">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cs="Times New Roman"/>
          <w:sz w:val="24"/>
          <w:szCs w:val="22"/>
        </w:rPr>
        <w:t>内容</w:t>
      </w:r>
      <w:r>
        <w:rPr>
          <w:rFonts w:ascii="Times New Roman" w:hAnsi="Times New Roman" w:eastAsia="宋体" w:cs="Times New Roman"/>
          <w:sz w:val="24"/>
          <w:szCs w:val="22"/>
        </w:rPr>
        <w:t>主要为污染治理设施的运行情况、污染物排放情况以及污染事故或污染纠纷等。厂内环境保护相关的所有记录、台帐及污染物排放监测资料、环境管理档案资料等应妥善保存并定期上报，发现污染因子超标，要在监测数据出来后以书面形式上报公司管理层，快速果断采取应对措施。建设单位应定期向园区及属地环保部门报告污染治理设施运行情况、污染物排放情况以及污染事故、污染纠纷等情况，便于政府部门及时了解污染动态，以利于采取相应的对策措施。本项目的性质、规模、地点、生产工艺和环境保护措施等发生变动的，必须向环保部门报告，并履行相关手续，如发生重大变动并且可能导致环境影响显著变化（特别是不利环境影响加重）的，应当重新报批环评。</w:t>
      </w:r>
    </w:p>
    <w:p w14:paraId="29305111">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（6）环保奖惩制度</w:t>
      </w:r>
    </w:p>
    <w:p w14:paraId="7B0D1D84">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企业应加强宣传教育，提高员工的污染隐患意识和环境风险意识；制定员工参与环保技术培训的计划，提高员工技术素质水平；设立岗位实责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p>
    <w:p w14:paraId="14DB7D8C">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（7）信息公开制度</w:t>
      </w:r>
    </w:p>
    <w:p w14:paraId="0E337B80">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2E337ABA">
      <w:pPr>
        <w:adjustRightInd w:val="0"/>
        <w:snapToGrid w:val="0"/>
        <w:spacing w:line="360" w:lineRule="auto"/>
        <w:ind w:firstLine="482"/>
        <w:rPr>
          <w:rFonts w:ascii="Times New Roman" w:hAnsi="Times New Roman" w:cs="Times New Roman"/>
          <w:color w:val="000000"/>
        </w:rPr>
      </w:pPr>
      <w:r>
        <w:rPr>
          <w:rFonts w:ascii="Times New Roman" w:hAnsi="Times New Roman" w:eastAsia="宋体" w:cs="Times New Roman"/>
          <w:sz w:val="24"/>
          <w:szCs w:val="22"/>
        </w:rPr>
        <w:t>废气排放口应进行规范化设计，具备采样、监测条件，排放口附近树立环保图形标志牌。按照国家环境保护总局制定的《〈环境保护图形标志〉实施细则（试行）》（环监[1996]463号）的规定，在排污口设立相应的环境保护图形标志牌。排污口环境保护图形标志见</w:t>
      </w:r>
      <w:r>
        <w:rPr>
          <w:rFonts w:ascii="Times New Roman" w:hAnsi="Times New Roman" w:cs="Times New Roman"/>
          <w:sz w:val="24"/>
          <w:szCs w:val="22"/>
        </w:rPr>
        <w:t>下表</w:t>
      </w:r>
      <w:r>
        <w:rPr>
          <w:rFonts w:ascii="Times New Roman" w:hAnsi="Times New Roman" w:eastAsia="宋体" w:cs="Times New Roman"/>
          <w:sz w:val="24"/>
          <w:szCs w:val="22"/>
        </w:rPr>
        <w:t>。</w:t>
      </w:r>
    </w:p>
    <w:p w14:paraId="0AA1CD93">
      <w:pPr>
        <w:pStyle w:val="80"/>
        <w:tabs>
          <w:tab w:val="left" w:pos="0"/>
        </w:tabs>
        <w:adjustRightInd w:val="0"/>
        <w:snapToGrid w:val="0"/>
        <w:jc w:val="center"/>
        <w:rPr>
          <w:rFonts w:ascii="Times New Roman" w:hAnsi="Times New Roman" w:eastAsia="宋体"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lang w:val="en-US" w:eastAsia="zh-CN"/>
        </w:rPr>
        <w:t>9</w:t>
      </w:r>
      <w:r>
        <w:rPr>
          <w:rFonts w:ascii="Times New Roman" w:hAnsi="Times New Roman" w:eastAsia="宋体" w:cs="Times New Roman"/>
          <w:b/>
          <w:sz w:val="24"/>
          <w:szCs w:val="24"/>
        </w:rPr>
        <w:t>.1-1   排污口环境保护图形标志</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0B7B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261" w:type="dxa"/>
            <w:tcBorders>
              <w:tl2br w:val="nil"/>
              <w:tr2bl w:val="nil"/>
            </w:tcBorders>
            <w:vAlign w:val="center"/>
          </w:tcPr>
          <w:p w14:paraId="42D12135">
            <w:pPr>
              <w:jc w:val="center"/>
              <w:rPr>
                <w:rFonts w:ascii="Times New Roman" w:hAnsi="Times New Roman" w:cs="Times New Roman"/>
              </w:rPr>
            </w:pPr>
            <w:r>
              <w:rPr>
                <w:rFonts w:ascii="Times New Roman" w:hAnsi="Times New Roman" w:cs="Times New Roman"/>
              </w:rPr>
              <w:t>排放口名称</w:t>
            </w:r>
          </w:p>
        </w:tc>
        <w:tc>
          <w:tcPr>
            <w:tcW w:w="4261" w:type="dxa"/>
            <w:tcBorders>
              <w:tl2br w:val="nil"/>
              <w:tr2bl w:val="nil"/>
            </w:tcBorders>
            <w:vAlign w:val="center"/>
          </w:tcPr>
          <w:p w14:paraId="34A97E19">
            <w:pPr>
              <w:jc w:val="center"/>
              <w:rPr>
                <w:rFonts w:ascii="Times New Roman" w:hAnsi="Times New Roman" w:cs="Times New Roman"/>
              </w:rPr>
            </w:pPr>
            <w:r>
              <w:rPr>
                <w:rFonts w:ascii="Times New Roman" w:hAnsi="Times New Roman" w:cs="Times New Roman"/>
              </w:rPr>
              <w:t>图形标志</w:t>
            </w:r>
          </w:p>
        </w:tc>
      </w:tr>
      <w:tr w14:paraId="111B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261" w:type="dxa"/>
            <w:tcBorders>
              <w:tl2br w:val="nil"/>
              <w:tr2bl w:val="nil"/>
            </w:tcBorders>
            <w:vAlign w:val="center"/>
          </w:tcPr>
          <w:p w14:paraId="060C5A91">
            <w:pPr>
              <w:jc w:val="center"/>
              <w:rPr>
                <w:rFonts w:ascii="Times New Roman" w:hAnsi="Times New Roman" w:cs="Times New Roman"/>
              </w:rPr>
            </w:pPr>
            <w:r>
              <w:rPr>
                <w:rFonts w:ascii="Times New Roman" w:hAnsi="Times New Roman" w:cs="Times New Roman"/>
              </w:rPr>
              <w:t>排气筒</w:t>
            </w:r>
          </w:p>
        </w:tc>
        <w:tc>
          <w:tcPr>
            <w:tcW w:w="4261" w:type="dxa"/>
            <w:tcBorders>
              <w:tl2br w:val="nil"/>
              <w:tr2bl w:val="nil"/>
            </w:tcBorders>
            <w:vAlign w:val="center"/>
          </w:tcPr>
          <w:p w14:paraId="532ABE0F">
            <w:pPr>
              <w:jc w:val="center"/>
              <w:rPr>
                <w:rFonts w:ascii="Times New Roman" w:hAnsi="Times New Roman" w:cs="Times New Roman"/>
              </w:rPr>
            </w:pPr>
            <w:r>
              <w:rPr>
                <w:rFonts w:ascii="Times New Roman" w:hAnsi="Times New Roman" w:cs="Times New Roman"/>
              </w:rPr>
              <w:drawing>
                <wp:inline distT="0" distB="0" distL="114300" distR="114300">
                  <wp:extent cx="523875" cy="523875"/>
                  <wp:effectExtent l="0" t="0" r="508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6"/>
                          <a:stretch>
                            <a:fillRect/>
                          </a:stretch>
                        </pic:blipFill>
                        <pic:spPr>
                          <a:xfrm>
                            <a:off x="0" y="0"/>
                            <a:ext cx="523875" cy="523875"/>
                          </a:xfrm>
                          <a:prstGeom prst="rect">
                            <a:avLst/>
                          </a:prstGeom>
                          <a:noFill/>
                          <a:ln>
                            <a:noFill/>
                          </a:ln>
                        </pic:spPr>
                      </pic:pic>
                    </a:graphicData>
                  </a:graphic>
                </wp:inline>
              </w:drawing>
            </w:r>
          </w:p>
        </w:tc>
      </w:tr>
      <w:tr w14:paraId="4CD3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4261" w:type="dxa"/>
            <w:tcBorders>
              <w:tl2br w:val="nil"/>
              <w:tr2bl w:val="nil"/>
            </w:tcBorders>
            <w:vAlign w:val="center"/>
          </w:tcPr>
          <w:p w14:paraId="7B7D9363">
            <w:pPr>
              <w:jc w:val="center"/>
              <w:rPr>
                <w:rFonts w:ascii="Times New Roman" w:hAnsi="Times New Roman" w:cs="Times New Roman"/>
              </w:rPr>
            </w:pPr>
            <w:r>
              <w:rPr>
                <w:rFonts w:ascii="Times New Roman" w:hAnsi="Times New Roman" w:cs="Times New Roman"/>
              </w:rPr>
              <w:t>污水排放口</w:t>
            </w:r>
          </w:p>
        </w:tc>
        <w:tc>
          <w:tcPr>
            <w:tcW w:w="4261" w:type="dxa"/>
            <w:tcBorders>
              <w:tl2br w:val="nil"/>
              <w:tr2bl w:val="nil"/>
            </w:tcBorders>
            <w:vAlign w:val="center"/>
          </w:tcPr>
          <w:p w14:paraId="51FF66AE">
            <w:pPr>
              <w:jc w:val="center"/>
              <w:rPr>
                <w:rFonts w:ascii="Times New Roman" w:hAnsi="Times New Roman" w:cs="Times New Roman"/>
              </w:rPr>
            </w:pPr>
            <w:r>
              <w:rPr>
                <w:rFonts w:ascii="Times New Roman" w:hAnsi="Times New Roman" w:cs="Times New Roman"/>
              </w:rPr>
              <w:drawing>
                <wp:inline distT="0" distB="0" distL="114300" distR="114300">
                  <wp:extent cx="580390" cy="554355"/>
                  <wp:effectExtent l="0" t="0" r="2540" b="6985"/>
                  <wp:docPr id="128" name="图片 128"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timg (1)"/>
                          <pic:cNvPicPr>
                            <a:picLocks noChangeAspect="1"/>
                          </pic:cNvPicPr>
                        </pic:nvPicPr>
                        <pic:blipFill>
                          <a:blip r:embed="rId87"/>
                          <a:srcRect l="5060" t="9777" r="4048" b="27375"/>
                          <a:stretch>
                            <a:fillRect/>
                          </a:stretch>
                        </pic:blipFill>
                        <pic:spPr>
                          <a:xfrm>
                            <a:off x="0" y="0"/>
                            <a:ext cx="580390" cy="554355"/>
                          </a:xfrm>
                          <a:prstGeom prst="rect">
                            <a:avLst/>
                          </a:prstGeom>
                        </pic:spPr>
                      </pic:pic>
                    </a:graphicData>
                  </a:graphic>
                </wp:inline>
              </w:drawing>
            </w:r>
          </w:p>
        </w:tc>
      </w:tr>
      <w:tr w14:paraId="370D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l2br w:val="nil"/>
              <w:tr2bl w:val="nil"/>
            </w:tcBorders>
            <w:vAlign w:val="center"/>
          </w:tcPr>
          <w:p w14:paraId="04ACA1ED">
            <w:pPr>
              <w:jc w:val="center"/>
              <w:rPr>
                <w:rFonts w:ascii="Times New Roman" w:hAnsi="Times New Roman" w:cs="Times New Roman"/>
              </w:rPr>
            </w:pPr>
            <w:r>
              <w:rPr>
                <w:rFonts w:ascii="Times New Roman" w:hAnsi="Times New Roman" w:cs="Times New Roman"/>
              </w:rPr>
              <w:t>噪声</w:t>
            </w:r>
          </w:p>
        </w:tc>
        <w:tc>
          <w:tcPr>
            <w:tcW w:w="4261" w:type="dxa"/>
            <w:tcBorders>
              <w:tl2br w:val="nil"/>
              <w:tr2bl w:val="nil"/>
            </w:tcBorders>
            <w:vAlign w:val="center"/>
          </w:tcPr>
          <w:p w14:paraId="5A4FAA9D">
            <w:pPr>
              <w:jc w:val="center"/>
              <w:rPr>
                <w:rFonts w:ascii="Times New Roman" w:hAnsi="Times New Roman" w:cs="Times New Roman"/>
              </w:rPr>
            </w:pPr>
            <w:r>
              <w:rPr>
                <w:rFonts w:ascii="Times New Roman" w:hAnsi="Times New Roman" w:cs="Times New Roman"/>
              </w:rPr>
              <w:drawing>
                <wp:inline distT="0" distB="0" distL="114300" distR="114300">
                  <wp:extent cx="523875" cy="523875"/>
                  <wp:effectExtent l="0" t="0" r="5080" b="5080"/>
                  <wp:docPr id="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pic:cNvPicPr>
                            <a:picLocks noChangeAspect="1"/>
                          </pic:cNvPicPr>
                        </pic:nvPicPr>
                        <pic:blipFill>
                          <a:blip r:embed="rId88"/>
                          <a:stretch>
                            <a:fillRect/>
                          </a:stretch>
                        </pic:blipFill>
                        <pic:spPr>
                          <a:xfrm>
                            <a:off x="0" y="0"/>
                            <a:ext cx="523875" cy="523875"/>
                          </a:xfrm>
                          <a:prstGeom prst="rect">
                            <a:avLst/>
                          </a:prstGeom>
                          <a:noFill/>
                          <a:ln>
                            <a:noFill/>
                          </a:ln>
                        </pic:spPr>
                      </pic:pic>
                    </a:graphicData>
                  </a:graphic>
                </wp:inline>
              </w:drawing>
            </w:r>
          </w:p>
        </w:tc>
      </w:tr>
      <w:tr w14:paraId="7F94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l2br w:val="nil"/>
              <w:tr2bl w:val="nil"/>
            </w:tcBorders>
            <w:vAlign w:val="center"/>
          </w:tcPr>
          <w:p w14:paraId="0919B32B">
            <w:pPr>
              <w:jc w:val="center"/>
              <w:rPr>
                <w:rFonts w:ascii="Times New Roman" w:hAnsi="Times New Roman" w:cs="Times New Roman"/>
              </w:rPr>
            </w:pPr>
            <w:r>
              <w:rPr>
                <w:rFonts w:ascii="Times New Roman" w:hAnsi="Times New Roman" w:cs="Times New Roman"/>
              </w:rPr>
              <w:t>固废堆放</w:t>
            </w:r>
          </w:p>
        </w:tc>
        <w:tc>
          <w:tcPr>
            <w:tcW w:w="4261" w:type="dxa"/>
            <w:tcBorders>
              <w:tl2br w:val="nil"/>
              <w:tr2bl w:val="nil"/>
            </w:tcBorders>
            <w:vAlign w:val="center"/>
          </w:tcPr>
          <w:p w14:paraId="3BECD983">
            <w:pPr>
              <w:jc w:val="center"/>
              <w:rPr>
                <w:rFonts w:ascii="Times New Roman" w:hAnsi="Times New Roman" w:cs="Times New Roman"/>
              </w:rPr>
            </w:pPr>
            <w:r>
              <w:rPr>
                <w:rFonts w:ascii="Times New Roman" w:hAnsi="Times New Roman" w:cs="Times New Roman"/>
              </w:rPr>
              <w:drawing>
                <wp:inline distT="0" distB="0" distL="114300" distR="114300">
                  <wp:extent cx="514350" cy="514350"/>
                  <wp:effectExtent l="0" t="0" r="3810" b="3810"/>
                  <wp:docPr id="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
                          <pic:cNvPicPr>
                            <a:picLocks noChangeAspect="1"/>
                          </pic:cNvPicPr>
                        </pic:nvPicPr>
                        <pic:blipFill>
                          <a:blip r:embed="rId89"/>
                          <a:stretch>
                            <a:fillRect/>
                          </a:stretch>
                        </pic:blipFill>
                        <pic:spPr>
                          <a:xfrm>
                            <a:off x="0" y="0"/>
                            <a:ext cx="514350" cy="514350"/>
                          </a:xfrm>
                          <a:prstGeom prst="rect">
                            <a:avLst/>
                          </a:prstGeom>
                          <a:noFill/>
                          <a:ln>
                            <a:noFill/>
                          </a:ln>
                        </pic:spPr>
                      </pic:pic>
                    </a:graphicData>
                  </a:graphic>
                </wp:inline>
              </w:drawing>
            </w:r>
          </w:p>
        </w:tc>
      </w:tr>
      <w:tr w14:paraId="76CA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l2br w:val="nil"/>
              <w:tr2bl w:val="nil"/>
            </w:tcBorders>
            <w:vAlign w:val="center"/>
          </w:tcPr>
          <w:p w14:paraId="3AC20B81">
            <w:pPr>
              <w:jc w:val="center"/>
              <w:rPr>
                <w:rFonts w:ascii="Times New Roman" w:hAnsi="Times New Roman" w:cs="Times New Roman"/>
              </w:rPr>
            </w:pPr>
            <w:r>
              <w:rPr>
                <w:rFonts w:ascii="Times New Roman" w:hAnsi="Times New Roman" w:cs="Times New Roman"/>
              </w:rPr>
              <w:t>危险废物</w:t>
            </w:r>
          </w:p>
        </w:tc>
        <w:tc>
          <w:tcPr>
            <w:tcW w:w="4261" w:type="dxa"/>
            <w:tcBorders>
              <w:tl2br w:val="nil"/>
              <w:tr2bl w:val="nil"/>
            </w:tcBorders>
            <w:vAlign w:val="center"/>
          </w:tcPr>
          <w:p w14:paraId="20AD67F8">
            <w:pPr>
              <w:jc w:val="center"/>
              <w:rPr>
                <w:rFonts w:ascii="Times New Roman" w:hAnsi="Times New Roman" w:cs="Times New Roman"/>
              </w:rPr>
            </w:pPr>
            <w:r>
              <w:rPr>
                <w:rFonts w:ascii="Times New Roman" w:hAnsi="Times New Roman" w:cs="Times New Roman"/>
              </w:rPr>
              <w:drawing>
                <wp:inline distT="0" distB="0" distL="114300" distR="114300">
                  <wp:extent cx="516890" cy="473710"/>
                  <wp:effectExtent l="0" t="0" r="16510" b="254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90"/>
                          <a:stretch>
                            <a:fillRect/>
                          </a:stretch>
                        </pic:blipFill>
                        <pic:spPr>
                          <a:xfrm>
                            <a:off x="0" y="0"/>
                            <a:ext cx="516890" cy="473710"/>
                          </a:xfrm>
                          <a:prstGeom prst="rect">
                            <a:avLst/>
                          </a:prstGeom>
                          <a:noFill/>
                          <a:ln>
                            <a:noFill/>
                          </a:ln>
                        </pic:spPr>
                      </pic:pic>
                    </a:graphicData>
                  </a:graphic>
                </wp:inline>
              </w:drawing>
            </w:r>
          </w:p>
        </w:tc>
      </w:tr>
    </w:tbl>
    <w:p w14:paraId="2BC19C42">
      <w:pPr>
        <w:overflowPunct w:val="0"/>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rPr>
        <w:t>危险废物及生活垃圾堆放场所，必须有防火、腐蚀、防流失等措施，并应设置标志牌</w:t>
      </w:r>
      <w:r>
        <w:rPr>
          <w:rFonts w:ascii="Times New Roman" w:hAnsi="Times New Roman" w:cs="Times New Roman"/>
          <w:sz w:val="24"/>
          <w:szCs w:val="22"/>
        </w:rPr>
        <w:t>。</w:t>
      </w:r>
    </w:p>
    <w:p w14:paraId="4C58FE2C">
      <w:pPr>
        <w:pStyle w:val="4"/>
        <w:numPr>
          <w:ilvl w:val="2"/>
          <w:numId w:val="90"/>
        </w:numPr>
        <w:tabs>
          <w:tab w:val="clear" w:pos="0"/>
        </w:tabs>
        <w:adjustRightInd w:val="0"/>
        <w:snapToGrid w:val="0"/>
        <w:ind w:left="720" w:leftChars="0" w:hanging="720" w:firstLineChars="0"/>
      </w:pPr>
      <w:r>
        <w:t>环境管理要求</w:t>
      </w:r>
    </w:p>
    <w:p w14:paraId="28CB2224">
      <w:pPr>
        <w:pStyle w:val="5"/>
        <w:numPr>
          <w:ilvl w:val="3"/>
          <w:numId w:val="90"/>
        </w:numPr>
        <w:tabs>
          <w:tab w:val="clear" w:pos="0"/>
        </w:tabs>
        <w:adjustRightInd w:val="0"/>
        <w:snapToGrid w:val="0"/>
        <w:ind w:left="864" w:leftChars="0" w:hanging="864" w:firstLineChars="0"/>
      </w:pPr>
      <w:r>
        <w:t>环境管理总体规划</w:t>
      </w:r>
    </w:p>
    <w:p w14:paraId="2DFE8174">
      <w:pPr>
        <w:overflowPunct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环境管理应贯穿于建设项目从立项到运行的整个过程，并对建设项目的不同阶段制定相应的环保条例，规定不同阶段的环保内容，明确不同部门的工作职责，本项目环境管理总体规划见</w:t>
      </w:r>
      <w:r>
        <w:rPr>
          <w:rFonts w:ascii="Times New Roman" w:hAnsi="Times New Roman" w:cs="Times New Roman"/>
          <w:sz w:val="24"/>
        </w:rPr>
        <w:t>下表</w:t>
      </w:r>
      <w:r>
        <w:rPr>
          <w:rFonts w:ascii="Times New Roman" w:hAnsi="Times New Roman" w:eastAsia="宋体" w:cs="Times New Roman"/>
          <w:sz w:val="24"/>
        </w:rPr>
        <w:t>。</w:t>
      </w:r>
    </w:p>
    <w:p w14:paraId="5F7D526F">
      <w:pPr>
        <w:pStyle w:val="80"/>
        <w:tabs>
          <w:tab w:val="left" w:pos="0"/>
        </w:tabs>
        <w:adjustRightInd w:val="0"/>
        <w:snapToGrid w:val="0"/>
        <w:jc w:val="center"/>
        <w:rPr>
          <w:rFonts w:ascii="Times New Roman" w:hAnsi="Times New Roman" w:eastAsia="宋体" w:cs="Times New Roman"/>
          <w:b/>
        </w:rPr>
      </w:pPr>
      <w:r>
        <w:rPr>
          <w:rFonts w:ascii="Times New Roman" w:hAnsi="Times New Roman" w:cs="Times New Roman"/>
          <w:b/>
        </w:rPr>
        <w:t>表</w:t>
      </w:r>
      <w:r>
        <w:rPr>
          <w:rFonts w:hint="eastAsia" w:ascii="Times New Roman" w:hAnsi="Times New Roman" w:cs="Times New Roman"/>
          <w:b/>
          <w:lang w:val="en-US" w:eastAsia="zh-CN"/>
        </w:rPr>
        <w:t>9</w:t>
      </w:r>
      <w:r>
        <w:rPr>
          <w:rFonts w:ascii="Times New Roman" w:hAnsi="Times New Roman" w:eastAsia="宋体" w:cs="Times New Roman"/>
          <w:b/>
        </w:rPr>
        <w:t>.1-2    本项目环境管理总体规划一览表</w:t>
      </w:r>
    </w:p>
    <w:tbl>
      <w:tblPr>
        <w:tblStyle w:val="30"/>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9"/>
        <w:gridCol w:w="410"/>
        <w:gridCol w:w="7397"/>
      </w:tblGrid>
      <w:tr w14:paraId="46A8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 w:hRule="atLeast"/>
          <w:tblHeader/>
          <w:jc w:val="center"/>
        </w:trPr>
        <w:tc>
          <w:tcPr>
            <w:tcW w:w="919" w:type="dxa"/>
            <w:gridSpan w:val="2"/>
            <w:tcBorders>
              <w:tl2br w:val="nil"/>
              <w:tr2bl w:val="nil"/>
            </w:tcBorders>
            <w:vAlign w:val="center"/>
          </w:tcPr>
          <w:p w14:paraId="140A1AA9">
            <w:pPr>
              <w:tabs>
                <w:tab w:val="left" w:pos="540"/>
                <w:tab w:val="left" w:pos="720"/>
              </w:tabs>
              <w:spacing w:line="280" w:lineRule="exact"/>
              <w:jc w:val="center"/>
              <w:rPr>
                <w:rFonts w:ascii="Times New Roman" w:hAnsi="Times New Roman" w:eastAsia="宋体" w:cs="Times New Roman"/>
                <w:szCs w:val="21"/>
              </w:rPr>
            </w:pPr>
            <w:r>
              <w:rPr>
                <w:rFonts w:ascii="Times New Roman" w:hAnsi="Times New Roman" w:eastAsia="宋体" w:cs="Times New Roman"/>
                <w:szCs w:val="21"/>
              </w:rPr>
              <w:t>管理内容</w:t>
            </w:r>
          </w:p>
        </w:tc>
        <w:tc>
          <w:tcPr>
            <w:tcW w:w="7397" w:type="dxa"/>
            <w:tcBorders>
              <w:tl2br w:val="nil"/>
              <w:tr2bl w:val="nil"/>
            </w:tcBorders>
            <w:vAlign w:val="center"/>
          </w:tcPr>
          <w:p w14:paraId="405D1AA7">
            <w:pPr>
              <w:tabs>
                <w:tab w:val="left" w:pos="540"/>
                <w:tab w:val="left" w:pos="720"/>
              </w:tabs>
              <w:spacing w:line="280" w:lineRule="exact"/>
              <w:jc w:val="center"/>
              <w:rPr>
                <w:rFonts w:ascii="Times New Roman" w:hAnsi="Times New Roman" w:eastAsia="宋体" w:cs="Times New Roman"/>
                <w:szCs w:val="21"/>
              </w:rPr>
            </w:pPr>
            <w:r>
              <w:rPr>
                <w:rFonts w:ascii="Times New Roman" w:hAnsi="Times New Roman" w:eastAsia="宋体" w:cs="Times New Roman"/>
                <w:szCs w:val="21"/>
              </w:rPr>
              <w:t>职         责</w:t>
            </w:r>
          </w:p>
        </w:tc>
      </w:tr>
      <w:tr w14:paraId="4834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919" w:type="dxa"/>
            <w:gridSpan w:val="2"/>
            <w:tcBorders>
              <w:tl2br w:val="nil"/>
              <w:tr2bl w:val="nil"/>
            </w:tcBorders>
            <w:vAlign w:val="center"/>
          </w:tcPr>
          <w:p w14:paraId="452482CC">
            <w:pPr>
              <w:tabs>
                <w:tab w:val="left" w:pos="540"/>
                <w:tab w:val="left" w:pos="720"/>
              </w:tabs>
              <w:spacing w:line="280" w:lineRule="exact"/>
              <w:jc w:val="center"/>
              <w:rPr>
                <w:rFonts w:ascii="Times New Roman" w:hAnsi="Times New Roman" w:eastAsia="宋体" w:cs="Times New Roman"/>
                <w:szCs w:val="21"/>
              </w:rPr>
            </w:pPr>
            <w:r>
              <w:rPr>
                <w:rFonts w:ascii="Times New Roman" w:hAnsi="Times New Roman" w:eastAsia="宋体" w:cs="Times New Roman"/>
                <w:szCs w:val="21"/>
              </w:rPr>
              <w:t>建设阶段</w:t>
            </w:r>
          </w:p>
        </w:tc>
        <w:tc>
          <w:tcPr>
            <w:tcW w:w="7397" w:type="dxa"/>
            <w:tcBorders>
              <w:tl2br w:val="nil"/>
              <w:tr2bl w:val="nil"/>
            </w:tcBorders>
            <w:vAlign w:val="center"/>
          </w:tcPr>
          <w:p w14:paraId="502E8FB7">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严格“三同时”制度，根据环评及批复的污染防治措施和原则落实环保设施的建设。</w:t>
            </w:r>
          </w:p>
          <w:p w14:paraId="3F41A912">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规范施工行为，加强施工人员管理。施工场地严格执行扬尘治理措施。加强施工过程固废的管理。</w:t>
            </w:r>
          </w:p>
        </w:tc>
      </w:tr>
      <w:tr w14:paraId="2D54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919" w:type="dxa"/>
            <w:gridSpan w:val="2"/>
            <w:tcBorders>
              <w:tl2br w:val="nil"/>
              <w:tr2bl w:val="nil"/>
            </w:tcBorders>
            <w:vAlign w:val="center"/>
          </w:tcPr>
          <w:p w14:paraId="2FBC855E">
            <w:pPr>
              <w:tabs>
                <w:tab w:val="left" w:pos="540"/>
                <w:tab w:val="left" w:pos="720"/>
              </w:tabs>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施工阶段</w:t>
            </w:r>
          </w:p>
        </w:tc>
        <w:tc>
          <w:tcPr>
            <w:tcW w:w="7397" w:type="dxa"/>
            <w:tcBorders>
              <w:tl2br w:val="nil"/>
              <w:tr2bl w:val="nil"/>
            </w:tcBorders>
            <w:vAlign w:val="center"/>
          </w:tcPr>
          <w:p w14:paraId="278FD133">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严格执行地方大气污染防治攻坚行动方案中关于施工扬尘的管控要求:</w:t>
            </w:r>
          </w:p>
          <w:p w14:paraId="7C9B3C3D">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1.开挖时对作业面和土堆喷水，保持一定湿度，以减少扬尘量。开挖的泥土和建筑垃圾及时运走或者填理，防止长期堆放使其表面干燥起尘土。</w:t>
            </w:r>
          </w:p>
          <w:p w14:paraId="73AC4EC4">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2.运输车辆应采取遮盖、密闭措施，减少运输过程中的扬尘。</w:t>
            </w:r>
          </w:p>
          <w:p w14:paraId="2698DBE9">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3.施工现场搅拌砂浆、混凝土时，做到不洒、不漏、不剩、不倒;搅拌时须有喷雾降尘措施。</w:t>
            </w:r>
          </w:p>
          <w:p w14:paraId="05FF4606">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4.施工现场须设围栏或部分围栏，控制扬尘扩散范围。</w:t>
            </w:r>
          </w:p>
          <w:p w14:paraId="185F6896">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5.当风速过大时，停止施工作业，并对堆存的砂粉等建筑材料采取遮盖措施。</w:t>
            </w:r>
          </w:p>
          <w:p w14:paraId="0B28A7C3">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6.施工期冲洗水及混凝土养护水应尽可能回用，避免随意乱排。</w:t>
            </w:r>
          </w:p>
          <w:p w14:paraId="70D32423">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7.施工生活污水纳入企业污水处理装置，达标排放。</w:t>
            </w:r>
          </w:p>
          <w:p w14:paraId="081C5896">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8.合理安排施工作业时间，夜间停止进行高噪声施工作业。</w:t>
            </w:r>
          </w:p>
          <w:p w14:paraId="67454C9B">
            <w:pPr>
              <w:tabs>
                <w:tab w:val="left" w:pos="540"/>
                <w:tab w:val="left" w:pos="720"/>
              </w:tabs>
              <w:spacing w:line="280" w:lineRule="exact"/>
              <w:jc w:val="left"/>
              <w:rPr>
                <w:rFonts w:ascii="Times New Roman" w:hAnsi="Times New Roman" w:eastAsia="宋体" w:cs="Times New Roman"/>
                <w:szCs w:val="21"/>
              </w:rPr>
            </w:pPr>
            <w:r>
              <w:rPr>
                <w:rFonts w:ascii="Times New Roman" w:hAnsi="Times New Roman" w:eastAsia="宋体" w:cs="Times New Roman"/>
                <w:szCs w:val="21"/>
              </w:rPr>
              <w:t>9.施工产生的渣土和建筑垃圾应及时清运至规定的地点进行堆放或填埋，对其中具有利用价值的加以回收，生活垃圾集中收集并统一清运。渣土车需密闭。</w:t>
            </w:r>
          </w:p>
        </w:tc>
      </w:tr>
      <w:tr w14:paraId="6F64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0" w:hRule="atLeast"/>
          <w:jc w:val="center"/>
        </w:trPr>
        <w:tc>
          <w:tcPr>
            <w:tcW w:w="509" w:type="dxa"/>
            <w:vMerge w:val="restart"/>
            <w:tcBorders>
              <w:tl2br w:val="nil"/>
              <w:tr2bl w:val="nil"/>
            </w:tcBorders>
            <w:vAlign w:val="center"/>
          </w:tcPr>
          <w:p w14:paraId="5ED8D011">
            <w:pPr>
              <w:tabs>
                <w:tab w:val="left" w:pos="540"/>
                <w:tab w:val="left" w:pos="720"/>
              </w:tabs>
              <w:spacing w:line="280" w:lineRule="exact"/>
              <w:jc w:val="center"/>
              <w:rPr>
                <w:rFonts w:ascii="Times New Roman" w:hAnsi="Times New Roman" w:eastAsia="宋体" w:cs="Times New Roman"/>
                <w:szCs w:val="21"/>
              </w:rPr>
            </w:pPr>
            <w:r>
              <w:rPr>
                <w:rFonts w:ascii="Times New Roman" w:hAnsi="Times New Roman" w:eastAsia="宋体" w:cs="Times New Roman"/>
                <w:szCs w:val="21"/>
              </w:rPr>
              <w:t>运行</w:t>
            </w:r>
          </w:p>
          <w:p w14:paraId="13D2B3AB">
            <w:pPr>
              <w:tabs>
                <w:tab w:val="left" w:pos="540"/>
                <w:tab w:val="left" w:pos="720"/>
              </w:tabs>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410" w:type="dxa"/>
            <w:tcBorders>
              <w:tl2br w:val="nil"/>
              <w:tr2bl w:val="nil"/>
            </w:tcBorders>
            <w:vAlign w:val="center"/>
          </w:tcPr>
          <w:p w14:paraId="4BB87064">
            <w:pPr>
              <w:tabs>
                <w:tab w:val="left" w:pos="540"/>
                <w:tab w:val="left" w:pos="720"/>
              </w:tabs>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正常工况</w:t>
            </w:r>
          </w:p>
        </w:tc>
        <w:tc>
          <w:tcPr>
            <w:tcW w:w="7397" w:type="dxa"/>
            <w:tcBorders>
              <w:tl2br w:val="nil"/>
              <w:tr2bl w:val="nil"/>
            </w:tcBorders>
            <w:vAlign w:val="center"/>
          </w:tcPr>
          <w:p w14:paraId="64591597">
            <w:pPr>
              <w:tabs>
                <w:tab w:val="left" w:pos="540"/>
                <w:tab w:val="left" w:pos="720"/>
              </w:tabs>
              <w:spacing w:line="280" w:lineRule="exact"/>
              <w:rPr>
                <w:rFonts w:ascii="Times New Roman" w:hAnsi="Times New Roman" w:eastAsia="宋体" w:cs="Times New Roman"/>
                <w:spacing w:val="-4"/>
                <w:szCs w:val="21"/>
              </w:rPr>
            </w:pPr>
            <w:r>
              <w:rPr>
                <w:rFonts w:ascii="Times New Roman" w:hAnsi="Times New Roman" w:eastAsia="宋体" w:cs="Times New Roman"/>
                <w:szCs w:val="21"/>
              </w:rPr>
              <w:t>·在</w:t>
            </w:r>
            <w:r>
              <w:rPr>
                <w:rFonts w:ascii="Times New Roman" w:hAnsi="Times New Roman" w:eastAsia="宋体" w:cs="Times New Roman"/>
                <w:spacing w:val="-4"/>
                <w:szCs w:val="21"/>
              </w:rPr>
              <w:t>项目试生产前，汇同施工单位、设计单位检查环保设施是否符合“三同时”原则，并将检查结果和项目准备试生产时间报告当地环境保护行政主管部门，经检查同意后开始进行试生产，其间监督环保设施与主体工程同时投入运行。</w:t>
            </w:r>
          </w:p>
          <w:p w14:paraId="050983F9">
            <w:pPr>
              <w:tabs>
                <w:tab w:val="left" w:pos="540"/>
                <w:tab w:val="left" w:pos="720"/>
              </w:tabs>
              <w:spacing w:line="280" w:lineRule="exact"/>
              <w:rPr>
                <w:rFonts w:ascii="Times New Roman" w:hAnsi="Times New Roman" w:eastAsia="宋体" w:cs="Times New Roman"/>
                <w:szCs w:val="21"/>
              </w:rPr>
            </w:pPr>
            <w:r>
              <w:rPr>
                <w:rFonts w:ascii="Times New Roman" w:hAnsi="Times New Roman" w:eastAsia="宋体" w:cs="Times New Roman"/>
                <w:szCs w:val="21"/>
              </w:rPr>
              <w:t>·制定切实可行的环保管理制度和条例。组织开展环保宣传教育培训。</w:t>
            </w:r>
          </w:p>
          <w:p w14:paraId="1D2D0337">
            <w:pPr>
              <w:tabs>
                <w:tab w:val="left" w:pos="540"/>
                <w:tab w:val="left" w:pos="720"/>
              </w:tabs>
              <w:spacing w:line="280" w:lineRule="exact"/>
              <w:rPr>
                <w:rFonts w:ascii="Times New Roman" w:hAnsi="Times New Roman" w:eastAsia="宋体" w:cs="Times New Roman"/>
                <w:szCs w:val="21"/>
              </w:rPr>
            </w:pPr>
            <w:r>
              <w:rPr>
                <w:rFonts w:ascii="Times New Roman" w:hAnsi="Times New Roman" w:eastAsia="宋体" w:cs="Times New Roman"/>
                <w:szCs w:val="21"/>
              </w:rPr>
              <w:t>·把污染源监督和“三废”排放纳入日常管理工作，并落实到车间班组和岗位，进行全方位管理。</w:t>
            </w:r>
          </w:p>
          <w:p w14:paraId="40080232">
            <w:pPr>
              <w:tabs>
                <w:tab w:val="left" w:pos="540"/>
                <w:tab w:val="left" w:pos="720"/>
              </w:tabs>
              <w:spacing w:line="280" w:lineRule="exact"/>
              <w:rPr>
                <w:rFonts w:ascii="Times New Roman" w:hAnsi="Times New Roman" w:eastAsia="宋体" w:cs="Times New Roman"/>
                <w:szCs w:val="21"/>
              </w:rPr>
            </w:pPr>
            <w:r>
              <w:rPr>
                <w:rFonts w:ascii="Times New Roman" w:hAnsi="Times New Roman" w:eastAsia="宋体" w:cs="Times New Roman"/>
                <w:szCs w:val="21"/>
              </w:rPr>
              <w:t>·实施有效的“三废”综合利用开发措施。收集整理和推广环保技术经验，及时解决运行中出现的环保问题。</w:t>
            </w:r>
          </w:p>
          <w:p w14:paraId="26851719">
            <w:pPr>
              <w:tabs>
                <w:tab w:val="left" w:pos="540"/>
                <w:tab w:val="left" w:pos="720"/>
              </w:tabs>
              <w:spacing w:line="280" w:lineRule="exact"/>
              <w:rPr>
                <w:rFonts w:ascii="Times New Roman" w:hAnsi="Times New Roman" w:eastAsia="宋体" w:cs="Times New Roman"/>
                <w:szCs w:val="21"/>
              </w:rPr>
            </w:pPr>
            <w:r>
              <w:rPr>
                <w:rFonts w:ascii="Times New Roman" w:hAnsi="Times New Roman" w:eastAsia="宋体" w:cs="Times New Roman"/>
                <w:szCs w:val="21"/>
              </w:rPr>
              <w:t>·按照责、权、利实施奖罚制度，对违反法规和制度的行为根据情节给与处罚，对有功者给予奖励。</w:t>
            </w:r>
          </w:p>
          <w:p w14:paraId="2AA9F7B3">
            <w:pPr>
              <w:tabs>
                <w:tab w:val="left" w:pos="540"/>
                <w:tab w:val="left" w:pos="720"/>
              </w:tabs>
              <w:spacing w:line="280" w:lineRule="exact"/>
              <w:rPr>
                <w:rFonts w:ascii="Times New Roman" w:hAnsi="Times New Roman" w:eastAsia="宋体" w:cs="Times New Roman"/>
                <w:szCs w:val="21"/>
              </w:rPr>
            </w:pPr>
            <w:r>
              <w:rPr>
                <w:rFonts w:ascii="Times New Roman" w:hAnsi="Times New Roman" w:eastAsia="宋体" w:cs="Times New Roman"/>
                <w:szCs w:val="21"/>
              </w:rPr>
              <w:t>·安环部应和工程部紧密结合，在生产正常状态下，加强各废气处理设施的正常运行维护，确保废气实现达标排放。对废水处理设施加强管理，保证污水处理做到达标排放，固体废物能及时外运。认真按照国家关于危险废物转移管理规定制定本公司危险废物的转移管理办法。</w:t>
            </w:r>
          </w:p>
          <w:p w14:paraId="537C99A6">
            <w:pPr>
              <w:tabs>
                <w:tab w:val="left" w:pos="540"/>
                <w:tab w:val="left" w:pos="720"/>
              </w:tabs>
              <w:spacing w:line="280" w:lineRule="exact"/>
              <w:rPr>
                <w:rFonts w:ascii="Times New Roman" w:hAnsi="Times New Roman" w:eastAsia="宋体" w:cs="Times New Roman"/>
                <w:szCs w:val="21"/>
              </w:rPr>
            </w:pPr>
            <w:r>
              <w:rPr>
                <w:rFonts w:ascii="Times New Roman" w:hAnsi="Times New Roman" w:eastAsia="宋体" w:cs="Times New Roman"/>
                <w:szCs w:val="21"/>
              </w:rPr>
              <w:t>·配合当地和上级环保主管部门，认真落实国家环保法规和行政主管部门的规定。接受环保管理部门的监督监测。</w:t>
            </w:r>
          </w:p>
        </w:tc>
      </w:tr>
      <w:tr w14:paraId="438F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1" w:hRule="atLeast"/>
          <w:jc w:val="center"/>
        </w:trPr>
        <w:tc>
          <w:tcPr>
            <w:tcW w:w="509" w:type="dxa"/>
            <w:vMerge w:val="continue"/>
            <w:tcBorders>
              <w:tl2br w:val="nil"/>
              <w:tr2bl w:val="nil"/>
            </w:tcBorders>
            <w:vAlign w:val="center"/>
          </w:tcPr>
          <w:p w14:paraId="34AEFB34">
            <w:pPr>
              <w:tabs>
                <w:tab w:val="left" w:pos="540"/>
                <w:tab w:val="left" w:pos="720"/>
              </w:tabs>
              <w:spacing w:line="280" w:lineRule="exact"/>
              <w:jc w:val="center"/>
              <w:rPr>
                <w:rFonts w:ascii="Times New Roman" w:hAnsi="Times New Roman" w:eastAsia="宋体" w:cs="Times New Roman"/>
                <w:szCs w:val="21"/>
              </w:rPr>
            </w:pPr>
          </w:p>
        </w:tc>
        <w:tc>
          <w:tcPr>
            <w:tcW w:w="410" w:type="dxa"/>
            <w:tcBorders>
              <w:tl2br w:val="nil"/>
              <w:tr2bl w:val="nil"/>
            </w:tcBorders>
            <w:vAlign w:val="center"/>
          </w:tcPr>
          <w:p w14:paraId="15420397">
            <w:pPr>
              <w:tabs>
                <w:tab w:val="left" w:pos="540"/>
                <w:tab w:val="left" w:pos="720"/>
              </w:tabs>
              <w:spacing w:line="280" w:lineRule="exact"/>
              <w:jc w:val="center"/>
              <w:rPr>
                <w:rFonts w:ascii="Times New Roman" w:hAnsi="Times New Roman" w:eastAsia="宋体" w:cs="Times New Roman"/>
                <w:szCs w:val="21"/>
              </w:rPr>
            </w:pPr>
            <w:r>
              <w:rPr>
                <w:rFonts w:ascii="Times New Roman" w:hAnsi="Times New Roman" w:eastAsia="宋体" w:cs="Times New Roman"/>
                <w:szCs w:val="21"/>
              </w:rPr>
              <w:t>非正常工况</w:t>
            </w:r>
          </w:p>
        </w:tc>
        <w:tc>
          <w:tcPr>
            <w:tcW w:w="7397" w:type="dxa"/>
            <w:tcBorders>
              <w:tl2br w:val="nil"/>
              <w:tr2bl w:val="nil"/>
            </w:tcBorders>
            <w:vAlign w:val="center"/>
          </w:tcPr>
          <w:p w14:paraId="188C9FE9">
            <w:pPr>
              <w:tabs>
                <w:tab w:val="left" w:pos="540"/>
                <w:tab w:val="left" w:pos="720"/>
              </w:tabs>
              <w:spacing w:line="280" w:lineRule="exact"/>
              <w:rPr>
                <w:rFonts w:ascii="Times New Roman" w:hAnsi="Times New Roman" w:eastAsia="宋体" w:cs="Times New Roman"/>
                <w:szCs w:val="21"/>
              </w:rPr>
            </w:pPr>
            <w:r>
              <w:rPr>
                <w:rFonts w:ascii="Times New Roman" w:hAnsi="Times New Roman" w:eastAsia="宋体" w:cs="Times New Roman"/>
                <w:szCs w:val="21"/>
              </w:rPr>
              <w:t>·加强对企业废气排放的非正常工况的监督管理，一旦发生环保设备设施运行异常，应及时检修或者维护，保证废气污染物实现达标排放。</w:t>
            </w:r>
          </w:p>
          <w:p w14:paraId="4616A4BA">
            <w:pPr>
              <w:tabs>
                <w:tab w:val="left" w:pos="540"/>
                <w:tab w:val="left" w:pos="720"/>
              </w:tabs>
              <w:spacing w:line="280" w:lineRule="exact"/>
              <w:rPr>
                <w:rFonts w:ascii="Times New Roman" w:hAnsi="Times New Roman" w:eastAsia="宋体" w:cs="Times New Roman"/>
                <w:szCs w:val="21"/>
              </w:rPr>
            </w:pPr>
            <w:r>
              <w:rPr>
                <w:rFonts w:ascii="Times New Roman" w:hAnsi="Times New Roman" w:eastAsia="宋体" w:cs="Times New Roman"/>
                <w:szCs w:val="21"/>
              </w:rPr>
              <w:t>·制定针对本次工程的环境风险应急预案，并定期进行演练。本次工程环境风险主要是危险化学品和恶臭物质的泄漏。事故废水经事故废水收集池暂时存放，同时企业应启动环境风险应急预案，确保事故状态下的合理有序处置，避免造成环境污染事故。</w:t>
            </w:r>
          </w:p>
          <w:p w14:paraId="21BAAB93">
            <w:pPr>
              <w:tabs>
                <w:tab w:val="left" w:pos="540"/>
                <w:tab w:val="left" w:pos="720"/>
              </w:tabs>
              <w:spacing w:line="280" w:lineRule="exact"/>
              <w:rPr>
                <w:rFonts w:ascii="Times New Roman" w:hAnsi="Times New Roman" w:eastAsia="宋体" w:cs="Times New Roman"/>
                <w:szCs w:val="21"/>
              </w:rPr>
            </w:pPr>
            <w:r>
              <w:rPr>
                <w:rFonts w:ascii="Times New Roman" w:hAnsi="Times New Roman" w:eastAsia="宋体" w:cs="Times New Roman"/>
                <w:szCs w:val="21"/>
              </w:rPr>
              <w:t>·针对项目废水处理站的运行异常情况应制定相关的管理制度，加强对污水处理站及厂区地下水的监控，发现异常及时处理。</w:t>
            </w:r>
          </w:p>
        </w:tc>
      </w:tr>
    </w:tbl>
    <w:p w14:paraId="068D2587">
      <w:pPr>
        <w:pStyle w:val="5"/>
        <w:numPr>
          <w:ilvl w:val="3"/>
          <w:numId w:val="90"/>
        </w:numPr>
        <w:tabs>
          <w:tab w:val="clear" w:pos="0"/>
        </w:tabs>
        <w:adjustRightInd w:val="0"/>
        <w:snapToGrid w:val="0"/>
        <w:ind w:left="864" w:leftChars="0" w:hanging="864" w:firstLineChars="0"/>
      </w:pPr>
      <w:r>
        <w:t>环境风险管理</w:t>
      </w:r>
    </w:p>
    <w:p w14:paraId="25C8DC79">
      <w:pPr>
        <w:tabs>
          <w:tab w:val="left" w:pos="54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（1）建立、健全原辅料的采购、储存、使用、废弃处置等环节的环境风险管理制度和操作规程，明确各岗位人员的岗位职责。</w:t>
      </w:r>
    </w:p>
    <w:p w14:paraId="451F742C">
      <w:pPr>
        <w:tabs>
          <w:tab w:val="left" w:pos="54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（2）定期检查、维护保养系统设备、管道、阀门，发现腐蚀及时更换，确保设备、管件的完好率，保证其有效运行。</w:t>
      </w:r>
    </w:p>
    <w:p w14:paraId="3FDBF001">
      <w:pPr>
        <w:tabs>
          <w:tab w:val="left" w:pos="54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（3）制订突发环境事故应急预案，建立应急抢险救助队伍，配备防护、求助设施，加强对职工进行事故应急救援教育，告知从业人员和相关人员在紧急情况下应当采取的应急措施，定期组织演练。</w:t>
      </w:r>
    </w:p>
    <w:p w14:paraId="7F669A7E">
      <w:pPr>
        <w:pStyle w:val="4"/>
        <w:numPr>
          <w:ilvl w:val="2"/>
          <w:numId w:val="90"/>
        </w:numPr>
        <w:tabs>
          <w:tab w:val="clear" w:pos="0"/>
        </w:tabs>
        <w:adjustRightInd w:val="0"/>
        <w:snapToGrid w:val="0"/>
        <w:ind w:left="720" w:leftChars="0" w:hanging="720" w:firstLineChars="0"/>
      </w:pPr>
      <w:r>
        <w:t>环境管理制度</w:t>
      </w:r>
    </w:p>
    <w:p w14:paraId="623123A3">
      <w:pPr>
        <w:pStyle w:val="15"/>
        <w:adjustRightInd w:val="0"/>
        <w:snapToGrid w:val="0"/>
        <w:spacing w:after="0" w:line="360" w:lineRule="auto"/>
        <w:ind w:left="240" w:firstLine="480"/>
        <w:jc w:val="left"/>
        <w:rPr>
          <w:rFonts w:ascii="Times New Roman" w:hAnsi="Times New Roman" w:cs="Times New Roman"/>
          <w:color w:val="000000"/>
          <w:sz w:val="24"/>
          <w:szCs w:val="32"/>
        </w:rPr>
      </w:pPr>
      <w:r>
        <w:rPr>
          <w:rFonts w:ascii="Times New Roman" w:hAnsi="Times New Roman" w:cs="Times New Roman"/>
          <w:color w:val="000000"/>
          <w:spacing w:val="-3"/>
          <w:sz w:val="24"/>
          <w:szCs w:val="32"/>
        </w:rPr>
        <w:t>建设单位制定一系列规章制度以促进环境保护工作，使环境保护工作规范</w:t>
      </w:r>
      <w:r>
        <w:rPr>
          <w:rFonts w:ascii="Times New Roman" w:hAnsi="Times New Roman" w:cs="Times New Roman"/>
          <w:color w:val="000000"/>
          <w:sz w:val="24"/>
          <w:szCs w:val="32"/>
        </w:rPr>
        <w:t xml:space="preserve"> 化和程序化。根据需要，制定的环境保护工作条例有：</w:t>
      </w:r>
    </w:p>
    <w:p w14:paraId="61CA2229">
      <w:pPr>
        <w:pStyle w:val="15"/>
        <w:adjustRightInd w:val="0"/>
        <w:snapToGrid w:val="0"/>
        <w:spacing w:after="0" w:line="360" w:lineRule="auto"/>
        <w:ind w:left="720"/>
        <w:jc w:val="left"/>
        <w:rPr>
          <w:rFonts w:ascii="Times New Roman" w:hAnsi="Times New Roman" w:cs="Times New Roman"/>
          <w:color w:val="000000"/>
          <w:sz w:val="24"/>
          <w:szCs w:val="32"/>
        </w:rPr>
      </w:pPr>
      <w:r>
        <w:rPr>
          <w:rFonts w:ascii="Times New Roman" w:hAnsi="Times New Roman" w:cs="Times New Roman"/>
          <w:color w:val="000000"/>
          <w:sz w:val="24"/>
          <w:szCs w:val="32"/>
        </w:rPr>
        <w:t>（</w:t>
      </w:r>
      <w:r>
        <w:rPr>
          <w:rFonts w:ascii="Times New Roman" w:hAnsi="Times New Roman" w:eastAsia="Times New Roman" w:cs="Times New Roman"/>
          <w:color w:val="000000"/>
          <w:sz w:val="24"/>
          <w:szCs w:val="32"/>
        </w:rPr>
        <w:t>1</w:t>
      </w:r>
      <w:r>
        <w:rPr>
          <w:rFonts w:ascii="Times New Roman" w:hAnsi="Times New Roman" w:cs="Times New Roman"/>
          <w:color w:val="000000"/>
          <w:sz w:val="24"/>
          <w:szCs w:val="32"/>
        </w:rPr>
        <w:t>）环境保护职责管理制度</w:t>
      </w:r>
    </w:p>
    <w:p w14:paraId="026E67B6">
      <w:pPr>
        <w:pStyle w:val="15"/>
        <w:adjustRightInd w:val="0"/>
        <w:snapToGrid w:val="0"/>
        <w:spacing w:after="0" w:line="360" w:lineRule="auto"/>
        <w:ind w:left="720"/>
        <w:jc w:val="left"/>
        <w:rPr>
          <w:rFonts w:ascii="Times New Roman" w:hAnsi="Times New Roman" w:cs="Times New Roman"/>
          <w:color w:val="000000"/>
          <w:sz w:val="24"/>
          <w:szCs w:val="32"/>
        </w:rPr>
      </w:pPr>
      <w:r>
        <w:rPr>
          <w:rFonts w:ascii="Times New Roman" w:hAnsi="Times New Roman" w:cs="Times New Roman"/>
          <w:color w:val="000000"/>
          <w:sz w:val="24"/>
          <w:szCs w:val="32"/>
        </w:rPr>
        <w:t>（</w:t>
      </w:r>
      <w:r>
        <w:rPr>
          <w:rFonts w:ascii="Times New Roman" w:hAnsi="Times New Roman" w:eastAsia="Times New Roman" w:cs="Times New Roman"/>
          <w:color w:val="000000"/>
          <w:sz w:val="24"/>
          <w:szCs w:val="32"/>
        </w:rPr>
        <w:t>2</w:t>
      </w:r>
      <w:r>
        <w:rPr>
          <w:rFonts w:ascii="Times New Roman" w:hAnsi="Times New Roman" w:cs="Times New Roman"/>
          <w:color w:val="000000"/>
          <w:sz w:val="24"/>
          <w:szCs w:val="32"/>
        </w:rPr>
        <w:t>）废水、废气、固体废物排放管理制度</w:t>
      </w:r>
    </w:p>
    <w:p w14:paraId="2A65A80A">
      <w:pPr>
        <w:pStyle w:val="15"/>
        <w:adjustRightInd w:val="0"/>
        <w:snapToGrid w:val="0"/>
        <w:spacing w:after="0" w:line="360" w:lineRule="auto"/>
        <w:ind w:left="720"/>
        <w:jc w:val="left"/>
        <w:rPr>
          <w:rFonts w:ascii="Times New Roman" w:hAnsi="Times New Roman" w:cs="Times New Roman"/>
          <w:color w:val="000000"/>
          <w:sz w:val="24"/>
          <w:szCs w:val="32"/>
        </w:rPr>
      </w:pPr>
      <w:r>
        <w:rPr>
          <w:rFonts w:ascii="Times New Roman" w:hAnsi="Times New Roman" w:cs="Times New Roman"/>
          <w:color w:val="000000"/>
          <w:sz w:val="24"/>
          <w:szCs w:val="32"/>
        </w:rPr>
        <w:t>（</w:t>
      </w:r>
      <w:r>
        <w:rPr>
          <w:rFonts w:ascii="Times New Roman" w:hAnsi="Times New Roman" w:eastAsia="Times New Roman" w:cs="Times New Roman"/>
          <w:color w:val="000000"/>
          <w:sz w:val="24"/>
          <w:szCs w:val="32"/>
        </w:rPr>
        <w:t>3</w:t>
      </w:r>
      <w:r>
        <w:rPr>
          <w:rFonts w:ascii="Times New Roman" w:hAnsi="Times New Roman" w:cs="Times New Roman"/>
          <w:color w:val="000000"/>
          <w:sz w:val="24"/>
          <w:szCs w:val="32"/>
        </w:rPr>
        <w:t>）环保设施处理装置日常运行管理制度</w:t>
      </w:r>
    </w:p>
    <w:p w14:paraId="77598DE0">
      <w:pPr>
        <w:pStyle w:val="15"/>
        <w:adjustRightInd w:val="0"/>
        <w:snapToGrid w:val="0"/>
        <w:spacing w:after="0" w:line="360" w:lineRule="auto"/>
        <w:ind w:left="240" w:firstLine="480"/>
        <w:jc w:val="left"/>
        <w:rPr>
          <w:rFonts w:ascii="Times New Roman" w:hAnsi="Times New Roman" w:cs="Times New Roman"/>
          <w:color w:val="000000"/>
          <w:spacing w:val="-3"/>
          <w:sz w:val="24"/>
          <w:szCs w:val="32"/>
        </w:rPr>
      </w:pPr>
      <w:r>
        <w:rPr>
          <w:rFonts w:ascii="Times New Roman" w:hAnsi="Times New Roman" w:cs="Times New Roman"/>
          <w:color w:val="000000"/>
          <w:spacing w:val="-3"/>
          <w:sz w:val="24"/>
          <w:szCs w:val="32"/>
        </w:rPr>
        <w:t>（4）排污情况报告制度</w:t>
      </w:r>
    </w:p>
    <w:p w14:paraId="1DF06C3B">
      <w:pPr>
        <w:pStyle w:val="15"/>
        <w:adjustRightInd w:val="0"/>
        <w:snapToGrid w:val="0"/>
        <w:spacing w:after="0" w:line="360" w:lineRule="auto"/>
        <w:ind w:left="240" w:firstLine="480"/>
        <w:jc w:val="left"/>
        <w:rPr>
          <w:rFonts w:ascii="Times New Roman" w:hAnsi="Times New Roman" w:cs="Times New Roman"/>
          <w:color w:val="000000"/>
          <w:spacing w:val="-3"/>
          <w:sz w:val="24"/>
          <w:szCs w:val="32"/>
        </w:rPr>
      </w:pPr>
      <w:r>
        <w:rPr>
          <w:rFonts w:ascii="Times New Roman" w:hAnsi="Times New Roman" w:cs="Times New Roman"/>
          <w:color w:val="000000"/>
          <w:spacing w:val="-3"/>
          <w:sz w:val="24"/>
          <w:szCs w:val="32"/>
        </w:rPr>
        <w:t>（5）污染事故处理制度</w:t>
      </w:r>
    </w:p>
    <w:p w14:paraId="0158EF17">
      <w:pPr>
        <w:pStyle w:val="15"/>
        <w:adjustRightInd w:val="0"/>
        <w:snapToGrid w:val="0"/>
        <w:spacing w:after="0" w:line="360" w:lineRule="auto"/>
        <w:ind w:left="240" w:firstLine="480"/>
        <w:jc w:val="left"/>
        <w:rPr>
          <w:rFonts w:ascii="Times New Roman" w:hAnsi="Times New Roman" w:cs="Times New Roman"/>
          <w:color w:val="000000"/>
          <w:spacing w:val="-3"/>
          <w:sz w:val="24"/>
          <w:szCs w:val="32"/>
        </w:rPr>
      </w:pPr>
      <w:r>
        <w:rPr>
          <w:rFonts w:ascii="Times New Roman" w:hAnsi="Times New Roman" w:cs="Times New Roman"/>
          <w:color w:val="000000"/>
          <w:spacing w:val="-3"/>
          <w:sz w:val="24"/>
          <w:szCs w:val="32"/>
        </w:rPr>
        <w:t>（6）环保教育制度</w:t>
      </w:r>
    </w:p>
    <w:p w14:paraId="2BA743EB">
      <w:pPr>
        <w:pStyle w:val="15"/>
        <w:adjustRightInd w:val="0"/>
        <w:snapToGrid w:val="0"/>
        <w:spacing w:after="0" w:line="360" w:lineRule="auto"/>
        <w:ind w:left="240" w:firstLine="480"/>
        <w:jc w:val="left"/>
        <w:rPr>
          <w:rFonts w:ascii="Times New Roman" w:hAnsi="Times New Roman" w:cs="Times New Roman"/>
          <w:color w:val="000000"/>
          <w:spacing w:val="-3"/>
          <w:sz w:val="24"/>
          <w:szCs w:val="32"/>
        </w:rPr>
      </w:pPr>
      <w:r>
        <w:rPr>
          <w:rFonts w:ascii="Times New Roman" w:hAnsi="Times New Roman" w:cs="Times New Roman"/>
          <w:color w:val="000000"/>
          <w:spacing w:val="-3"/>
          <w:sz w:val="24"/>
          <w:szCs w:val="32"/>
        </w:rPr>
        <w:t>（7）场外运输环保管理制度</w:t>
      </w:r>
    </w:p>
    <w:p w14:paraId="152AD70F">
      <w:pPr>
        <w:pStyle w:val="4"/>
        <w:numPr>
          <w:ilvl w:val="2"/>
          <w:numId w:val="90"/>
        </w:numPr>
        <w:tabs>
          <w:tab w:val="clear" w:pos="0"/>
        </w:tabs>
        <w:adjustRightInd w:val="0"/>
        <w:snapToGrid w:val="0"/>
        <w:ind w:left="720" w:leftChars="0" w:hanging="720" w:firstLineChars="0"/>
      </w:pPr>
      <w:r>
        <w:t>信息公开</w:t>
      </w:r>
    </w:p>
    <w:p w14:paraId="29E2DAF0">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建设单位按照《企业事业单位环境信息公开办法》及《关于加强污染源环境监管信息公开工作的通知》的要求，在公司网站或当地公共网站上进行信息公开，信息公开内容详见下表。</w:t>
      </w:r>
    </w:p>
    <w:p w14:paraId="03E3DBA6">
      <w:pPr>
        <w:pStyle w:val="80"/>
        <w:tabs>
          <w:tab w:val="left" w:pos="0"/>
        </w:tabs>
        <w:adjustRightInd w:val="0"/>
        <w:snapToGrid w:val="0"/>
        <w:spacing w:line="360" w:lineRule="auto"/>
        <w:jc w:val="center"/>
        <w:rPr>
          <w:rFonts w:ascii="Times New Roman" w:hAnsi="Times New Roman" w:cs="Times New Roman"/>
          <w:b/>
        </w:rPr>
      </w:pPr>
    </w:p>
    <w:p w14:paraId="343E5400">
      <w:pPr>
        <w:pStyle w:val="80"/>
        <w:tabs>
          <w:tab w:val="left" w:pos="0"/>
        </w:tabs>
        <w:adjustRightInd w:val="0"/>
        <w:snapToGrid w:val="0"/>
        <w:spacing w:line="360" w:lineRule="auto"/>
        <w:jc w:val="center"/>
        <w:rPr>
          <w:rFonts w:ascii="Times New Roman" w:hAnsi="Times New Roman" w:cs="Times New Roman"/>
          <w:b/>
        </w:rPr>
      </w:pPr>
    </w:p>
    <w:p w14:paraId="1E2942BA">
      <w:pPr>
        <w:pStyle w:val="80"/>
        <w:tabs>
          <w:tab w:val="left" w:pos="0"/>
        </w:tabs>
        <w:adjustRightInd w:val="0"/>
        <w:snapToGrid w:val="0"/>
        <w:spacing w:line="360" w:lineRule="auto"/>
        <w:jc w:val="center"/>
        <w:rPr>
          <w:rFonts w:ascii="Times New Roman" w:hAnsi="Times New Roman" w:cs="Times New Roman"/>
          <w:b/>
          <w:sz w:val="21"/>
          <w:szCs w:val="21"/>
        </w:rPr>
      </w:pPr>
    </w:p>
    <w:p w14:paraId="3240FE57">
      <w:pPr>
        <w:pStyle w:val="80"/>
        <w:tabs>
          <w:tab w:val="left" w:pos="0"/>
        </w:tabs>
        <w:adjustRightInd w:val="0"/>
        <w:snapToGrid w:val="0"/>
        <w:jc w:val="center"/>
        <w:rPr>
          <w:rFonts w:ascii="Times New Roman" w:hAnsi="Times New Roman" w:eastAsia="宋体" w:cs="Times New Roman"/>
          <w:b/>
          <w:sz w:val="21"/>
          <w:szCs w:val="21"/>
        </w:rPr>
      </w:pPr>
      <w:r>
        <w:rPr>
          <w:rFonts w:ascii="Times New Roman" w:hAnsi="Times New Roman" w:cs="Times New Roman"/>
          <w:b/>
          <w:sz w:val="21"/>
          <w:szCs w:val="21"/>
        </w:rPr>
        <w:t>表</w:t>
      </w:r>
      <w:r>
        <w:rPr>
          <w:rFonts w:hint="eastAsia" w:ascii="Times New Roman" w:hAnsi="Times New Roman" w:cs="Times New Roman"/>
          <w:b/>
          <w:sz w:val="21"/>
          <w:szCs w:val="21"/>
          <w:lang w:val="en-US" w:eastAsia="zh-CN"/>
        </w:rPr>
        <w:t>9</w:t>
      </w:r>
      <w:r>
        <w:rPr>
          <w:rFonts w:ascii="Times New Roman" w:hAnsi="Times New Roman" w:eastAsia="宋体" w:cs="Times New Roman"/>
          <w:b/>
          <w:sz w:val="21"/>
          <w:szCs w:val="21"/>
        </w:rPr>
        <w:t>.1-3   企业应向社会公开信息内容一览表</w:t>
      </w:r>
    </w:p>
    <w:tbl>
      <w:tblPr>
        <w:tblStyle w:val="30"/>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9"/>
        <w:gridCol w:w="1094"/>
        <w:gridCol w:w="2017"/>
        <w:gridCol w:w="4821"/>
      </w:tblGrid>
      <w:tr w14:paraId="1430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79" w:type="dxa"/>
            <w:tcBorders>
              <w:tl2br w:val="nil"/>
              <w:tr2bl w:val="nil"/>
            </w:tcBorders>
            <w:vAlign w:val="center"/>
          </w:tcPr>
          <w:p w14:paraId="35FF6BFB">
            <w:pPr>
              <w:jc w:val="center"/>
              <w:rPr>
                <w:rFonts w:ascii="Times New Roman" w:hAnsi="Times New Roman" w:cs="Times New Roman"/>
                <w:szCs w:val="21"/>
              </w:rPr>
            </w:pPr>
            <w:r>
              <w:rPr>
                <w:rFonts w:ascii="Times New Roman" w:hAnsi="Times New Roman" w:cs="Times New Roman"/>
                <w:szCs w:val="21"/>
              </w:rPr>
              <w:t>序号</w:t>
            </w:r>
          </w:p>
        </w:tc>
        <w:tc>
          <w:tcPr>
            <w:tcW w:w="7932" w:type="dxa"/>
            <w:gridSpan w:val="3"/>
            <w:tcBorders>
              <w:tl2br w:val="nil"/>
              <w:tr2bl w:val="nil"/>
            </w:tcBorders>
            <w:vAlign w:val="center"/>
          </w:tcPr>
          <w:p w14:paraId="6ADB450A">
            <w:pPr>
              <w:jc w:val="center"/>
              <w:rPr>
                <w:rFonts w:ascii="Times New Roman" w:hAnsi="Times New Roman" w:cs="Times New Roman"/>
                <w:szCs w:val="21"/>
              </w:rPr>
            </w:pPr>
            <w:r>
              <w:rPr>
                <w:rFonts w:ascii="Times New Roman" w:hAnsi="Times New Roman" w:cs="Times New Roman"/>
                <w:szCs w:val="21"/>
              </w:rPr>
              <w:t>企业信息公开内容</w:t>
            </w:r>
          </w:p>
        </w:tc>
      </w:tr>
      <w:tr w14:paraId="6393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restart"/>
            <w:tcBorders>
              <w:tl2br w:val="nil"/>
              <w:tr2bl w:val="nil"/>
            </w:tcBorders>
            <w:vAlign w:val="center"/>
          </w:tcPr>
          <w:p w14:paraId="73541F3B">
            <w:pPr>
              <w:jc w:val="center"/>
              <w:rPr>
                <w:rFonts w:ascii="Times New Roman" w:hAnsi="Times New Roman" w:cs="Times New Roman"/>
                <w:szCs w:val="21"/>
              </w:rPr>
            </w:pPr>
            <w:r>
              <w:rPr>
                <w:rFonts w:ascii="Times New Roman" w:hAnsi="Times New Roman" w:cs="Times New Roman"/>
                <w:szCs w:val="21"/>
              </w:rPr>
              <w:t>1</w:t>
            </w:r>
          </w:p>
        </w:tc>
        <w:tc>
          <w:tcPr>
            <w:tcW w:w="1094" w:type="dxa"/>
            <w:vMerge w:val="restart"/>
            <w:tcBorders>
              <w:tl2br w:val="nil"/>
              <w:tr2bl w:val="nil"/>
            </w:tcBorders>
            <w:vAlign w:val="center"/>
          </w:tcPr>
          <w:p w14:paraId="767F0C7B">
            <w:pPr>
              <w:jc w:val="center"/>
              <w:rPr>
                <w:rFonts w:ascii="Times New Roman" w:hAnsi="Times New Roman" w:cs="Times New Roman"/>
                <w:szCs w:val="21"/>
              </w:rPr>
            </w:pPr>
            <w:r>
              <w:rPr>
                <w:rFonts w:ascii="Times New Roman" w:hAnsi="Times New Roman" w:cs="Times New Roman"/>
                <w:szCs w:val="21"/>
              </w:rPr>
              <w:t>排污单位基本情况</w:t>
            </w:r>
          </w:p>
        </w:tc>
        <w:tc>
          <w:tcPr>
            <w:tcW w:w="2017" w:type="dxa"/>
            <w:tcBorders>
              <w:tl2br w:val="nil"/>
              <w:tr2bl w:val="nil"/>
            </w:tcBorders>
            <w:vAlign w:val="center"/>
          </w:tcPr>
          <w:p w14:paraId="4AD80A87">
            <w:pPr>
              <w:jc w:val="center"/>
              <w:rPr>
                <w:rFonts w:ascii="Times New Roman" w:hAnsi="Times New Roman" w:cs="Times New Roman"/>
                <w:szCs w:val="21"/>
              </w:rPr>
            </w:pPr>
            <w:r>
              <w:rPr>
                <w:rFonts w:ascii="Times New Roman" w:hAnsi="Times New Roman" w:cs="Times New Roman"/>
                <w:szCs w:val="21"/>
              </w:rPr>
              <w:t>排污单位基本信息</w:t>
            </w:r>
          </w:p>
        </w:tc>
        <w:tc>
          <w:tcPr>
            <w:tcW w:w="4821" w:type="dxa"/>
            <w:tcBorders>
              <w:tl2br w:val="nil"/>
              <w:tr2bl w:val="nil"/>
            </w:tcBorders>
            <w:vAlign w:val="center"/>
          </w:tcPr>
          <w:p w14:paraId="6D3CAFB7">
            <w:pPr>
              <w:jc w:val="center"/>
              <w:rPr>
                <w:rFonts w:ascii="Times New Roman" w:hAnsi="Times New Roman" w:cs="Times New Roman"/>
                <w:szCs w:val="21"/>
              </w:rPr>
            </w:pPr>
            <w:r>
              <w:rPr>
                <w:rFonts w:ascii="Times New Roman" w:hAnsi="Times New Roman" w:cs="Times New Roman"/>
                <w:szCs w:val="21"/>
              </w:rPr>
              <w:t>公司名称、组织机构代码、法定代表人、</w:t>
            </w:r>
          </w:p>
          <w:p w14:paraId="480652AA">
            <w:pPr>
              <w:jc w:val="center"/>
              <w:rPr>
                <w:rFonts w:ascii="Times New Roman" w:hAnsi="Times New Roman" w:cs="Times New Roman"/>
                <w:szCs w:val="21"/>
              </w:rPr>
            </w:pPr>
            <w:r>
              <w:rPr>
                <w:rFonts w:ascii="Times New Roman" w:hAnsi="Times New Roman" w:cs="Times New Roman"/>
                <w:szCs w:val="21"/>
              </w:rPr>
              <w:t>生产地址、联系方式、行业类别、投产日期</w:t>
            </w:r>
          </w:p>
        </w:tc>
      </w:tr>
      <w:tr w14:paraId="1203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continue"/>
            <w:tcBorders>
              <w:tl2br w:val="nil"/>
              <w:tr2bl w:val="nil"/>
            </w:tcBorders>
            <w:vAlign w:val="center"/>
          </w:tcPr>
          <w:p w14:paraId="38B765FD">
            <w:pPr>
              <w:jc w:val="center"/>
              <w:rPr>
                <w:rFonts w:ascii="Times New Roman" w:hAnsi="Times New Roman" w:cs="Times New Roman"/>
                <w:szCs w:val="21"/>
              </w:rPr>
            </w:pPr>
          </w:p>
        </w:tc>
        <w:tc>
          <w:tcPr>
            <w:tcW w:w="1094" w:type="dxa"/>
            <w:vMerge w:val="continue"/>
            <w:tcBorders>
              <w:tl2br w:val="nil"/>
              <w:tr2bl w:val="nil"/>
            </w:tcBorders>
            <w:vAlign w:val="center"/>
          </w:tcPr>
          <w:p w14:paraId="2B1F7C99">
            <w:pPr>
              <w:jc w:val="center"/>
              <w:rPr>
                <w:rFonts w:ascii="Times New Roman" w:hAnsi="Times New Roman" w:cs="Times New Roman"/>
                <w:szCs w:val="21"/>
              </w:rPr>
            </w:pPr>
          </w:p>
        </w:tc>
        <w:tc>
          <w:tcPr>
            <w:tcW w:w="2017" w:type="dxa"/>
            <w:tcBorders>
              <w:tl2br w:val="nil"/>
              <w:tr2bl w:val="nil"/>
            </w:tcBorders>
            <w:vAlign w:val="center"/>
          </w:tcPr>
          <w:p w14:paraId="70925423">
            <w:pPr>
              <w:jc w:val="center"/>
              <w:rPr>
                <w:rFonts w:ascii="Times New Roman" w:hAnsi="Times New Roman" w:cs="Times New Roman"/>
                <w:szCs w:val="21"/>
              </w:rPr>
            </w:pPr>
            <w:r>
              <w:rPr>
                <w:rFonts w:ascii="Times New Roman" w:hAnsi="Times New Roman" w:cs="Times New Roman"/>
                <w:szCs w:val="21"/>
              </w:rPr>
              <w:t>主要产品及产能</w:t>
            </w:r>
          </w:p>
        </w:tc>
        <w:tc>
          <w:tcPr>
            <w:tcW w:w="4821" w:type="dxa"/>
            <w:tcBorders>
              <w:tl2br w:val="nil"/>
              <w:tr2bl w:val="nil"/>
            </w:tcBorders>
            <w:vAlign w:val="center"/>
          </w:tcPr>
          <w:p w14:paraId="4413CCE1">
            <w:pPr>
              <w:jc w:val="center"/>
              <w:rPr>
                <w:rFonts w:ascii="Times New Roman" w:hAnsi="Times New Roman" w:cs="Times New Roman"/>
                <w:szCs w:val="21"/>
              </w:rPr>
            </w:pPr>
            <w:r>
              <w:rPr>
                <w:rFonts w:ascii="Times New Roman" w:hAnsi="Times New Roman" w:cs="Times New Roman"/>
                <w:szCs w:val="21"/>
              </w:rPr>
              <w:t>主要生产工艺、生产设施名称、生产设施参数、</w:t>
            </w:r>
          </w:p>
          <w:p w14:paraId="247AE1B9">
            <w:pPr>
              <w:jc w:val="center"/>
              <w:rPr>
                <w:rFonts w:ascii="Times New Roman" w:hAnsi="Times New Roman" w:cs="Times New Roman"/>
                <w:szCs w:val="21"/>
              </w:rPr>
            </w:pPr>
            <w:r>
              <w:rPr>
                <w:rFonts w:ascii="Times New Roman" w:hAnsi="Times New Roman" w:cs="Times New Roman"/>
                <w:szCs w:val="21"/>
              </w:rPr>
              <w:t>产品名称、生产能力和计量单位等。</w:t>
            </w:r>
          </w:p>
        </w:tc>
      </w:tr>
      <w:tr w14:paraId="60E7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continue"/>
            <w:tcBorders>
              <w:tl2br w:val="nil"/>
              <w:tr2bl w:val="nil"/>
            </w:tcBorders>
            <w:vAlign w:val="center"/>
          </w:tcPr>
          <w:p w14:paraId="79976D2B">
            <w:pPr>
              <w:jc w:val="center"/>
              <w:rPr>
                <w:rFonts w:ascii="Times New Roman" w:hAnsi="Times New Roman" w:cs="Times New Roman"/>
                <w:szCs w:val="21"/>
              </w:rPr>
            </w:pPr>
          </w:p>
        </w:tc>
        <w:tc>
          <w:tcPr>
            <w:tcW w:w="1094" w:type="dxa"/>
            <w:vMerge w:val="continue"/>
            <w:tcBorders>
              <w:tl2br w:val="nil"/>
              <w:tr2bl w:val="nil"/>
            </w:tcBorders>
            <w:vAlign w:val="center"/>
          </w:tcPr>
          <w:p w14:paraId="3E6445D8">
            <w:pPr>
              <w:jc w:val="center"/>
              <w:rPr>
                <w:rFonts w:ascii="Times New Roman" w:hAnsi="Times New Roman" w:cs="Times New Roman"/>
                <w:szCs w:val="21"/>
              </w:rPr>
            </w:pPr>
          </w:p>
        </w:tc>
        <w:tc>
          <w:tcPr>
            <w:tcW w:w="2017" w:type="dxa"/>
            <w:tcBorders>
              <w:tl2br w:val="nil"/>
              <w:tr2bl w:val="nil"/>
            </w:tcBorders>
            <w:vAlign w:val="center"/>
          </w:tcPr>
          <w:p w14:paraId="661FA4A0">
            <w:pPr>
              <w:jc w:val="center"/>
              <w:rPr>
                <w:rFonts w:ascii="Times New Roman" w:hAnsi="Times New Roman" w:cs="Times New Roman"/>
                <w:szCs w:val="21"/>
              </w:rPr>
            </w:pPr>
            <w:r>
              <w:rPr>
                <w:rFonts w:ascii="Times New Roman" w:hAnsi="Times New Roman" w:cs="Times New Roman"/>
                <w:szCs w:val="21"/>
              </w:rPr>
              <w:t>主要原辅材料及燃料</w:t>
            </w:r>
          </w:p>
        </w:tc>
        <w:tc>
          <w:tcPr>
            <w:tcW w:w="4821" w:type="dxa"/>
            <w:tcBorders>
              <w:tl2br w:val="nil"/>
              <w:tr2bl w:val="nil"/>
            </w:tcBorders>
            <w:vAlign w:val="center"/>
          </w:tcPr>
          <w:p w14:paraId="28C3AEAF">
            <w:pPr>
              <w:jc w:val="center"/>
              <w:rPr>
                <w:rFonts w:ascii="Times New Roman" w:hAnsi="Times New Roman" w:cs="Times New Roman"/>
                <w:szCs w:val="21"/>
              </w:rPr>
            </w:pPr>
            <w:r>
              <w:rPr>
                <w:rFonts w:ascii="Times New Roman" w:hAnsi="Times New Roman" w:cs="Times New Roman"/>
                <w:szCs w:val="21"/>
              </w:rPr>
              <w:t>原辅材料和燃料用量、规格等</w:t>
            </w:r>
          </w:p>
        </w:tc>
      </w:tr>
      <w:tr w14:paraId="5970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continue"/>
            <w:tcBorders>
              <w:tl2br w:val="nil"/>
              <w:tr2bl w:val="nil"/>
            </w:tcBorders>
            <w:vAlign w:val="center"/>
          </w:tcPr>
          <w:p w14:paraId="14B9387A">
            <w:pPr>
              <w:jc w:val="center"/>
              <w:rPr>
                <w:rFonts w:ascii="Times New Roman" w:hAnsi="Times New Roman" w:cs="Times New Roman"/>
                <w:szCs w:val="21"/>
              </w:rPr>
            </w:pPr>
          </w:p>
        </w:tc>
        <w:tc>
          <w:tcPr>
            <w:tcW w:w="1094" w:type="dxa"/>
            <w:vMerge w:val="continue"/>
            <w:tcBorders>
              <w:tl2br w:val="nil"/>
              <w:tr2bl w:val="nil"/>
            </w:tcBorders>
            <w:vAlign w:val="center"/>
          </w:tcPr>
          <w:p w14:paraId="43E8D7BC">
            <w:pPr>
              <w:jc w:val="center"/>
              <w:rPr>
                <w:rFonts w:ascii="Times New Roman" w:hAnsi="Times New Roman" w:cs="Times New Roman"/>
                <w:szCs w:val="21"/>
              </w:rPr>
            </w:pPr>
          </w:p>
        </w:tc>
        <w:tc>
          <w:tcPr>
            <w:tcW w:w="2017" w:type="dxa"/>
            <w:tcBorders>
              <w:tl2br w:val="nil"/>
              <w:tr2bl w:val="nil"/>
            </w:tcBorders>
            <w:vAlign w:val="center"/>
          </w:tcPr>
          <w:p w14:paraId="1ECDD4E6">
            <w:pPr>
              <w:jc w:val="center"/>
              <w:rPr>
                <w:rFonts w:ascii="Times New Roman" w:hAnsi="Times New Roman" w:cs="Times New Roman"/>
                <w:szCs w:val="21"/>
              </w:rPr>
            </w:pPr>
            <w:r>
              <w:rPr>
                <w:rFonts w:ascii="Times New Roman" w:hAnsi="Times New Roman" w:cs="Times New Roman"/>
                <w:szCs w:val="21"/>
              </w:rPr>
              <w:t>产排污节点污染物及治理措施</w:t>
            </w:r>
          </w:p>
        </w:tc>
        <w:tc>
          <w:tcPr>
            <w:tcW w:w="4821" w:type="dxa"/>
            <w:tcBorders>
              <w:tl2br w:val="nil"/>
              <w:tr2bl w:val="nil"/>
            </w:tcBorders>
            <w:vAlign w:val="center"/>
          </w:tcPr>
          <w:p w14:paraId="7AF6D709">
            <w:pPr>
              <w:jc w:val="center"/>
              <w:rPr>
                <w:rFonts w:ascii="Times New Roman" w:hAnsi="Times New Roman" w:cs="Times New Roman"/>
                <w:szCs w:val="21"/>
              </w:rPr>
            </w:pPr>
            <w:r>
              <w:rPr>
                <w:rFonts w:ascii="Times New Roman" w:hAnsi="Times New Roman" w:cs="Times New Roman"/>
                <w:szCs w:val="21"/>
              </w:rPr>
              <w:t>给出生产设施名称、产排污节点、污染物种类、</w:t>
            </w:r>
          </w:p>
          <w:p w14:paraId="6E8B8570">
            <w:pPr>
              <w:jc w:val="center"/>
              <w:rPr>
                <w:rFonts w:ascii="Times New Roman" w:hAnsi="Times New Roman" w:cs="Times New Roman"/>
                <w:szCs w:val="21"/>
              </w:rPr>
            </w:pPr>
            <w:r>
              <w:rPr>
                <w:rFonts w:ascii="Times New Roman" w:hAnsi="Times New Roman" w:cs="Times New Roman"/>
                <w:szCs w:val="21"/>
              </w:rPr>
              <w:t>名称排放形式、环保治理设施及运行情况等</w:t>
            </w:r>
          </w:p>
        </w:tc>
      </w:tr>
      <w:tr w14:paraId="2CB1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continue"/>
            <w:tcBorders>
              <w:tl2br w:val="nil"/>
              <w:tr2bl w:val="nil"/>
            </w:tcBorders>
            <w:vAlign w:val="center"/>
          </w:tcPr>
          <w:p w14:paraId="2DA3B3CE">
            <w:pPr>
              <w:jc w:val="center"/>
              <w:rPr>
                <w:rFonts w:ascii="Times New Roman" w:hAnsi="Times New Roman" w:cs="Times New Roman"/>
                <w:szCs w:val="21"/>
              </w:rPr>
            </w:pPr>
          </w:p>
        </w:tc>
        <w:tc>
          <w:tcPr>
            <w:tcW w:w="1094" w:type="dxa"/>
            <w:vMerge w:val="continue"/>
            <w:tcBorders>
              <w:tl2br w:val="nil"/>
              <w:tr2bl w:val="nil"/>
            </w:tcBorders>
            <w:vAlign w:val="center"/>
          </w:tcPr>
          <w:p w14:paraId="213C6330">
            <w:pPr>
              <w:jc w:val="center"/>
              <w:rPr>
                <w:rFonts w:ascii="Times New Roman" w:hAnsi="Times New Roman" w:cs="Times New Roman"/>
                <w:szCs w:val="21"/>
              </w:rPr>
            </w:pPr>
          </w:p>
        </w:tc>
        <w:tc>
          <w:tcPr>
            <w:tcW w:w="2017" w:type="dxa"/>
            <w:tcBorders>
              <w:tl2br w:val="nil"/>
              <w:tr2bl w:val="nil"/>
            </w:tcBorders>
            <w:vAlign w:val="center"/>
          </w:tcPr>
          <w:p w14:paraId="1AA6B3CE">
            <w:pPr>
              <w:jc w:val="center"/>
              <w:rPr>
                <w:rFonts w:ascii="Times New Roman" w:hAnsi="Times New Roman" w:cs="Times New Roman"/>
                <w:szCs w:val="21"/>
              </w:rPr>
            </w:pPr>
            <w:r>
              <w:rPr>
                <w:rFonts w:ascii="Times New Roman" w:hAnsi="Times New Roman" w:cs="Times New Roman"/>
                <w:szCs w:val="21"/>
              </w:rPr>
              <w:t>环保手续</w:t>
            </w:r>
          </w:p>
        </w:tc>
        <w:tc>
          <w:tcPr>
            <w:tcW w:w="4821" w:type="dxa"/>
            <w:tcBorders>
              <w:tl2br w:val="nil"/>
              <w:tr2bl w:val="nil"/>
            </w:tcBorders>
            <w:vAlign w:val="center"/>
          </w:tcPr>
          <w:p w14:paraId="0589158F">
            <w:pPr>
              <w:jc w:val="center"/>
              <w:rPr>
                <w:rFonts w:ascii="Times New Roman" w:hAnsi="Times New Roman" w:cs="Times New Roman"/>
                <w:szCs w:val="21"/>
              </w:rPr>
            </w:pPr>
            <w:r>
              <w:rPr>
                <w:rFonts w:ascii="Times New Roman" w:hAnsi="Times New Roman" w:cs="Times New Roman"/>
                <w:szCs w:val="21"/>
              </w:rPr>
              <w:t>建设项目环境影响评价及其他环境保护行政许可情况</w:t>
            </w:r>
          </w:p>
        </w:tc>
      </w:tr>
      <w:tr w14:paraId="45C9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restart"/>
            <w:tcBorders>
              <w:tl2br w:val="nil"/>
              <w:tr2bl w:val="nil"/>
            </w:tcBorders>
            <w:vAlign w:val="center"/>
          </w:tcPr>
          <w:p w14:paraId="177A6464">
            <w:pPr>
              <w:jc w:val="center"/>
              <w:rPr>
                <w:rFonts w:ascii="Times New Roman" w:hAnsi="Times New Roman" w:cs="Times New Roman"/>
                <w:szCs w:val="21"/>
              </w:rPr>
            </w:pPr>
            <w:r>
              <w:rPr>
                <w:rFonts w:ascii="Times New Roman" w:hAnsi="Times New Roman" w:cs="Times New Roman"/>
                <w:szCs w:val="21"/>
              </w:rPr>
              <w:t>2</w:t>
            </w:r>
          </w:p>
        </w:tc>
        <w:tc>
          <w:tcPr>
            <w:tcW w:w="1094" w:type="dxa"/>
            <w:vMerge w:val="restart"/>
            <w:tcBorders>
              <w:tl2br w:val="nil"/>
              <w:tr2bl w:val="nil"/>
            </w:tcBorders>
            <w:vAlign w:val="center"/>
          </w:tcPr>
          <w:p w14:paraId="4EA9B824">
            <w:pPr>
              <w:jc w:val="center"/>
              <w:rPr>
                <w:rFonts w:ascii="Times New Roman" w:hAnsi="Times New Roman" w:cs="Times New Roman"/>
                <w:szCs w:val="21"/>
              </w:rPr>
            </w:pPr>
            <w:r>
              <w:rPr>
                <w:rFonts w:ascii="Times New Roman" w:hAnsi="Times New Roman" w:cs="Times New Roman"/>
                <w:szCs w:val="21"/>
              </w:rPr>
              <w:t>大气污染物排放信息</w:t>
            </w:r>
          </w:p>
        </w:tc>
        <w:tc>
          <w:tcPr>
            <w:tcW w:w="2017" w:type="dxa"/>
            <w:tcBorders>
              <w:tl2br w:val="nil"/>
              <w:tr2bl w:val="nil"/>
            </w:tcBorders>
            <w:vAlign w:val="center"/>
          </w:tcPr>
          <w:p w14:paraId="6E26B3A8">
            <w:pPr>
              <w:jc w:val="center"/>
              <w:rPr>
                <w:rFonts w:ascii="Times New Roman" w:hAnsi="Times New Roman" w:cs="Times New Roman"/>
                <w:szCs w:val="21"/>
              </w:rPr>
            </w:pPr>
            <w:r>
              <w:rPr>
                <w:rFonts w:ascii="Times New Roman" w:hAnsi="Times New Roman" w:cs="Times New Roman"/>
                <w:szCs w:val="21"/>
              </w:rPr>
              <w:t>有组织排放</w:t>
            </w:r>
          </w:p>
        </w:tc>
        <w:tc>
          <w:tcPr>
            <w:tcW w:w="4821" w:type="dxa"/>
            <w:tcBorders>
              <w:tl2br w:val="nil"/>
              <w:tr2bl w:val="nil"/>
            </w:tcBorders>
            <w:vAlign w:val="center"/>
          </w:tcPr>
          <w:p w14:paraId="75E40019">
            <w:pPr>
              <w:jc w:val="center"/>
              <w:rPr>
                <w:rFonts w:ascii="Times New Roman" w:hAnsi="Times New Roman" w:cs="Times New Roman"/>
                <w:szCs w:val="21"/>
              </w:rPr>
            </w:pPr>
            <w:r>
              <w:rPr>
                <w:rFonts w:ascii="Times New Roman" w:hAnsi="Times New Roman" w:cs="Times New Roman"/>
                <w:szCs w:val="21"/>
              </w:rPr>
              <w:t>排放口地理坐标、排气筒出口内径、污染物排放量、</w:t>
            </w:r>
          </w:p>
          <w:p w14:paraId="131F1115">
            <w:pPr>
              <w:jc w:val="center"/>
              <w:rPr>
                <w:rFonts w:ascii="Times New Roman" w:hAnsi="Times New Roman" w:cs="Times New Roman"/>
                <w:szCs w:val="21"/>
              </w:rPr>
            </w:pPr>
            <w:r>
              <w:rPr>
                <w:rFonts w:ascii="Times New Roman" w:hAnsi="Times New Roman" w:cs="Times New Roman"/>
                <w:szCs w:val="21"/>
              </w:rPr>
              <w:t>执行标准、达标情况等</w:t>
            </w:r>
          </w:p>
        </w:tc>
      </w:tr>
      <w:tr w14:paraId="6C2D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continue"/>
            <w:tcBorders>
              <w:tl2br w:val="nil"/>
              <w:tr2bl w:val="nil"/>
            </w:tcBorders>
            <w:vAlign w:val="center"/>
          </w:tcPr>
          <w:p w14:paraId="2CE17A4F">
            <w:pPr>
              <w:jc w:val="center"/>
              <w:rPr>
                <w:rFonts w:ascii="Times New Roman" w:hAnsi="Times New Roman" w:cs="Times New Roman"/>
                <w:szCs w:val="21"/>
              </w:rPr>
            </w:pPr>
          </w:p>
        </w:tc>
        <w:tc>
          <w:tcPr>
            <w:tcW w:w="1094" w:type="dxa"/>
            <w:vMerge w:val="continue"/>
            <w:tcBorders>
              <w:tl2br w:val="nil"/>
              <w:tr2bl w:val="nil"/>
            </w:tcBorders>
            <w:vAlign w:val="center"/>
          </w:tcPr>
          <w:p w14:paraId="21497E0C">
            <w:pPr>
              <w:jc w:val="center"/>
              <w:rPr>
                <w:rFonts w:ascii="Times New Roman" w:hAnsi="Times New Roman" w:cs="Times New Roman"/>
                <w:szCs w:val="21"/>
              </w:rPr>
            </w:pPr>
          </w:p>
        </w:tc>
        <w:tc>
          <w:tcPr>
            <w:tcW w:w="2017" w:type="dxa"/>
            <w:tcBorders>
              <w:tl2br w:val="nil"/>
              <w:tr2bl w:val="nil"/>
            </w:tcBorders>
            <w:vAlign w:val="center"/>
          </w:tcPr>
          <w:p w14:paraId="78F233B0">
            <w:pPr>
              <w:jc w:val="center"/>
              <w:rPr>
                <w:rFonts w:ascii="Times New Roman" w:hAnsi="Times New Roman" w:cs="Times New Roman"/>
                <w:szCs w:val="21"/>
              </w:rPr>
            </w:pPr>
            <w:r>
              <w:rPr>
                <w:rFonts w:ascii="Times New Roman" w:hAnsi="Times New Roman" w:cs="Times New Roman"/>
                <w:szCs w:val="21"/>
              </w:rPr>
              <w:t>无组织排放</w:t>
            </w:r>
          </w:p>
        </w:tc>
        <w:tc>
          <w:tcPr>
            <w:tcW w:w="4821" w:type="dxa"/>
            <w:tcBorders>
              <w:tl2br w:val="nil"/>
              <w:tr2bl w:val="nil"/>
            </w:tcBorders>
            <w:vAlign w:val="center"/>
          </w:tcPr>
          <w:p w14:paraId="2A6A55E3">
            <w:pPr>
              <w:jc w:val="center"/>
              <w:rPr>
                <w:rFonts w:ascii="Times New Roman" w:hAnsi="Times New Roman" w:cs="Times New Roman"/>
                <w:szCs w:val="21"/>
              </w:rPr>
            </w:pPr>
            <w:r>
              <w:rPr>
                <w:rFonts w:ascii="Times New Roman" w:hAnsi="Times New Roman" w:cs="Times New Roman"/>
                <w:szCs w:val="21"/>
              </w:rPr>
              <w:t>产污环节、污染物种类、排放量、达标情况等</w:t>
            </w:r>
          </w:p>
        </w:tc>
      </w:tr>
      <w:tr w14:paraId="2E73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continue"/>
            <w:tcBorders>
              <w:tl2br w:val="nil"/>
              <w:tr2bl w:val="nil"/>
            </w:tcBorders>
            <w:vAlign w:val="center"/>
          </w:tcPr>
          <w:p w14:paraId="076E2D91">
            <w:pPr>
              <w:jc w:val="center"/>
              <w:rPr>
                <w:rFonts w:ascii="Times New Roman" w:hAnsi="Times New Roman" w:cs="Times New Roman"/>
                <w:szCs w:val="21"/>
              </w:rPr>
            </w:pPr>
          </w:p>
        </w:tc>
        <w:tc>
          <w:tcPr>
            <w:tcW w:w="1094" w:type="dxa"/>
            <w:vMerge w:val="continue"/>
            <w:tcBorders>
              <w:tl2br w:val="nil"/>
              <w:tr2bl w:val="nil"/>
            </w:tcBorders>
            <w:vAlign w:val="center"/>
          </w:tcPr>
          <w:p w14:paraId="606A9DEF">
            <w:pPr>
              <w:jc w:val="center"/>
              <w:rPr>
                <w:rFonts w:ascii="Times New Roman" w:hAnsi="Times New Roman" w:cs="Times New Roman"/>
                <w:szCs w:val="21"/>
              </w:rPr>
            </w:pPr>
          </w:p>
        </w:tc>
        <w:tc>
          <w:tcPr>
            <w:tcW w:w="2017" w:type="dxa"/>
            <w:tcBorders>
              <w:tl2br w:val="nil"/>
              <w:tr2bl w:val="nil"/>
            </w:tcBorders>
            <w:vAlign w:val="center"/>
          </w:tcPr>
          <w:p w14:paraId="2206E365">
            <w:pPr>
              <w:jc w:val="center"/>
              <w:rPr>
                <w:rFonts w:ascii="Times New Roman" w:hAnsi="Times New Roman" w:cs="Times New Roman"/>
                <w:szCs w:val="21"/>
              </w:rPr>
            </w:pPr>
            <w:r>
              <w:rPr>
                <w:rFonts w:ascii="Times New Roman" w:hAnsi="Times New Roman" w:cs="Times New Roman"/>
                <w:szCs w:val="21"/>
              </w:rPr>
              <w:t>许可排放总量</w:t>
            </w:r>
          </w:p>
        </w:tc>
        <w:tc>
          <w:tcPr>
            <w:tcW w:w="4821" w:type="dxa"/>
            <w:tcBorders>
              <w:tl2br w:val="nil"/>
              <w:tr2bl w:val="nil"/>
            </w:tcBorders>
            <w:vAlign w:val="center"/>
          </w:tcPr>
          <w:p w14:paraId="5452803C">
            <w:pPr>
              <w:jc w:val="center"/>
              <w:rPr>
                <w:rFonts w:ascii="Times New Roman" w:hAnsi="Times New Roman" w:cs="Times New Roman"/>
                <w:szCs w:val="21"/>
              </w:rPr>
            </w:pPr>
            <w:r>
              <w:rPr>
                <w:rFonts w:ascii="Times New Roman" w:hAnsi="Times New Roman" w:cs="Times New Roman"/>
                <w:szCs w:val="21"/>
              </w:rPr>
              <w:t>全厂排污总量情况</w:t>
            </w:r>
          </w:p>
        </w:tc>
      </w:tr>
      <w:tr w14:paraId="1808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restart"/>
            <w:tcBorders>
              <w:tl2br w:val="nil"/>
              <w:tr2bl w:val="nil"/>
            </w:tcBorders>
            <w:vAlign w:val="center"/>
          </w:tcPr>
          <w:p w14:paraId="536DA4DD">
            <w:pPr>
              <w:jc w:val="center"/>
              <w:rPr>
                <w:rFonts w:ascii="Times New Roman" w:hAnsi="Times New Roman" w:cs="Times New Roman"/>
                <w:szCs w:val="21"/>
              </w:rPr>
            </w:pPr>
            <w:r>
              <w:rPr>
                <w:rFonts w:ascii="Times New Roman" w:hAnsi="Times New Roman" w:cs="Times New Roman"/>
                <w:szCs w:val="21"/>
              </w:rPr>
              <w:t>3</w:t>
            </w:r>
          </w:p>
        </w:tc>
        <w:tc>
          <w:tcPr>
            <w:tcW w:w="1094" w:type="dxa"/>
            <w:vMerge w:val="restart"/>
            <w:tcBorders>
              <w:tl2br w:val="nil"/>
              <w:tr2bl w:val="nil"/>
            </w:tcBorders>
            <w:vAlign w:val="center"/>
          </w:tcPr>
          <w:p w14:paraId="287D0A5F">
            <w:pPr>
              <w:jc w:val="center"/>
              <w:rPr>
                <w:rFonts w:ascii="Times New Roman" w:hAnsi="Times New Roman" w:cs="Times New Roman"/>
                <w:szCs w:val="21"/>
              </w:rPr>
            </w:pPr>
            <w:r>
              <w:rPr>
                <w:rFonts w:ascii="Times New Roman" w:hAnsi="Times New Roman" w:cs="Times New Roman"/>
                <w:szCs w:val="21"/>
              </w:rPr>
              <w:t>水污染物排放信息</w:t>
            </w:r>
          </w:p>
        </w:tc>
        <w:tc>
          <w:tcPr>
            <w:tcW w:w="2017" w:type="dxa"/>
            <w:tcBorders>
              <w:tl2br w:val="nil"/>
              <w:tr2bl w:val="nil"/>
            </w:tcBorders>
            <w:vAlign w:val="center"/>
          </w:tcPr>
          <w:p w14:paraId="15DE5289">
            <w:pPr>
              <w:jc w:val="center"/>
              <w:rPr>
                <w:rFonts w:ascii="Times New Roman" w:hAnsi="Times New Roman" w:cs="Times New Roman"/>
                <w:szCs w:val="21"/>
              </w:rPr>
            </w:pPr>
            <w:r>
              <w:rPr>
                <w:rFonts w:ascii="Times New Roman" w:hAnsi="Times New Roman" w:cs="Times New Roman"/>
                <w:szCs w:val="21"/>
              </w:rPr>
              <w:t>直接排放</w:t>
            </w:r>
          </w:p>
        </w:tc>
        <w:tc>
          <w:tcPr>
            <w:tcW w:w="4821" w:type="dxa"/>
            <w:tcBorders>
              <w:tl2br w:val="nil"/>
              <w:tr2bl w:val="nil"/>
            </w:tcBorders>
            <w:vAlign w:val="center"/>
          </w:tcPr>
          <w:p w14:paraId="7513F2F6">
            <w:pPr>
              <w:jc w:val="center"/>
              <w:rPr>
                <w:rFonts w:ascii="Times New Roman" w:hAnsi="Times New Roman" w:cs="Times New Roman"/>
                <w:szCs w:val="21"/>
              </w:rPr>
            </w:pPr>
            <w:r>
              <w:rPr>
                <w:rFonts w:ascii="Times New Roman" w:hAnsi="Times New Roman" w:cs="Times New Roman"/>
                <w:szCs w:val="21"/>
              </w:rPr>
              <w:t>排污口信息、达标情况、执行标准、受纳水体等信息</w:t>
            </w:r>
          </w:p>
        </w:tc>
      </w:tr>
      <w:tr w14:paraId="29E3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continue"/>
            <w:tcBorders>
              <w:tl2br w:val="nil"/>
              <w:tr2bl w:val="nil"/>
            </w:tcBorders>
            <w:vAlign w:val="center"/>
          </w:tcPr>
          <w:p w14:paraId="499BDF72">
            <w:pPr>
              <w:jc w:val="center"/>
              <w:rPr>
                <w:rFonts w:ascii="Times New Roman" w:hAnsi="Times New Roman" w:cs="Times New Roman"/>
                <w:szCs w:val="21"/>
              </w:rPr>
            </w:pPr>
          </w:p>
        </w:tc>
        <w:tc>
          <w:tcPr>
            <w:tcW w:w="1094" w:type="dxa"/>
            <w:vMerge w:val="continue"/>
            <w:tcBorders>
              <w:tl2br w:val="nil"/>
              <w:tr2bl w:val="nil"/>
            </w:tcBorders>
            <w:vAlign w:val="center"/>
          </w:tcPr>
          <w:p w14:paraId="0C76D023">
            <w:pPr>
              <w:jc w:val="center"/>
              <w:rPr>
                <w:rFonts w:ascii="Times New Roman" w:hAnsi="Times New Roman" w:cs="Times New Roman"/>
                <w:szCs w:val="21"/>
              </w:rPr>
            </w:pPr>
          </w:p>
        </w:tc>
        <w:tc>
          <w:tcPr>
            <w:tcW w:w="2017" w:type="dxa"/>
            <w:tcBorders>
              <w:tl2br w:val="nil"/>
              <w:tr2bl w:val="nil"/>
            </w:tcBorders>
            <w:vAlign w:val="center"/>
          </w:tcPr>
          <w:p w14:paraId="68192513">
            <w:pPr>
              <w:jc w:val="center"/>
              <w:rPr>
                <w:rFonts w:ascii="Times New Roman" w:hAnsi="Times New Roman" w:cs="Times New Roman"/>
                <w:szCs w:val="21"/>
              </w:rPr>
            </w:pPr>
            <w:r>
              <w:rPr>
                <w:rFonts w:ascii="Times New Roman" w:hAnsi="Times New Roman" w:cs="Times New Roman"/>
                <w:szCs w:val="21"/>
              </w:rPr>
              <w:t>排入污水处理厂</w:t>
            </w:r>
          </w:p>
        </w:tc>
        <w:tc>
          <w:tcPr>
            <w:tcW w:w="4821" w:type="dxa"/>
            <w:tcBorders>
              <w:tl2br w:val="nil"/>
              <w:tr2bl w:val="nil"/>
            </w:tcBorders>
            <w:vAlign w:val="center"/>
          </w:tcPr>
          <w:p w14:paraId="0E196F17">
            <w:pPr>
              <w:jc w:val="center"/>
              <w:rPr>
                <w:rFonts w:ascii="Times New Roman" w:hAnsi="Times New Roman" w:cs="Times New Roman"/>
                <w:szCs w:val="21"/>
              </w:rPr>
            </w:pPr>
            <w:r>
              <w:rPr>
                <w:rFonts w:ascii="Times New Roman" w:hAnsi="Times New Roman" w:cs="Times New Roman"/>
                <w:szCs w:val="21"/>
              </w:rPr>
              <w:t>排污口信息、达标情况、执行标准、受纳水体等信息</w:t>
            </w:r>
          </w:p>
        </w:tc>
      </w:tr>
      <w:tr w14:paraId="31BA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continue"/>
            <w:tcBorders>
              <w:tl2br w:val="nil"/>
              <w:tr2bl w:val="nil"/>
            </w:tcBorders>
            <w:vAlign w:val="center"/>
          </w:tcPr>
          <w:p w14:paraId="3B4B057F">
            <w:pPr>
              <w:jc w:val="center"/>
              <w:rPr>
                <w:rFonts w:ascii="Times New Roman" w:hAnsi="Times New Roman" w:cs="Times New Roman"/>
                <w:szCs w:val="21"/>
              </w:rPr>
            </w:pPr>
          </w:p>
        </w:tc>
        <w:tc>
          <w:tcPr>
            <w:tcW w:w="1094" w:type="dxa"/>
            <w:vMerge w:val="continue"/>
            <w:tcBorders>
              <w:tl2br w:val="nil"/>
              <w:tr2bl w:val="nil"/>
            </w:tcBorders>
            <w:vAlign w:val="center"/>
          </w:tcPr>
          <w:p w14:paraId="27F2D360">
            <w:pPr>
              <w:jc w:val="center"/>
              <w:rPr>
                <w:rFonts w:ascii="Times New Roman" w:hAnsi="Times New Roman" w:cs="Times New Roman"/>
                <w:szCs w:val="21"/>
              </w:rPr>
            </w:pPr>
          </w:p>
        </w:tc>
        <w:tc>
          <w:tcPr>
            <w:tcW w:w="2017" w:type="dxa"/>
            <w:tcBorders>
              <w:tl2br w:val="nil"/>
              <w:tr2bl w:val="nil"/>
            </w:tcBorders>
            <w:vAlign w:val="center"/>
          </w:tcPr>
          <w:p w14:paraId="2610F046">
            <w:pPr>
              <w:jc w:val="center"/>
              <w:rPr>
                <w:rFonts w:ascii="Times New Roman" w:hAnsi="Times New Roman" w:cs="Times New Roman"/>
                <w:szCs w:val="21"/>
              </w:rPr>
            </w:pPr>
            <w:r>
              <w:rPr>
                <w:rFonts w:ascii="Times New Roman" w:hAnsi="Times New Roman" w:cs="Times New Roman"/>
                <w:szCs w:val="21"/>
              </w:rPr>
              <w:t>许可排放总量</w:t>
            </w:r>
          </w:p>
        </w:tc>
        <w:tc>
          <w:tcPr>
            <w:tcW w:w="4821" w:type="dxa"/>
            <w:tcBorders>
              <w:tl2br w:val="nil"/>
              <w:tr2bl w:val="nil"/>
            </w:tcBorders>
            <w:vAlign w:val="center"/>
          </w:tcPr>
          <w:p w14:paraId="1BD06252">
            <w:pPr>
              <w:jc w:val="center"/>
              <w:rPr>
                <w:rFonts w:ascii="Times New Roman" w:hAnsi="Times New Roman" w:cs="Times New Roman"/>
                <w:szCs w:val="21"/>
              </w:rPr>
            </w:pPr>
            <w:r>
              <w:rPr>
                <w:rFonts w:ascii="Times New Roman" w:hAnsi="Times New Roman" w:cs="Times New Roman"/>
                <w:szCs w:val="21"/>
              </w:rPr>
              <w:t>全厂排污总量情况</w:t>
            </w:r>
          </w:p>
        </w:tc>
      </w:tr>
      <w:tr w14:paraId="0D8B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tcBorders>
              <w:tl2br w:val="nil"/>
              <w:tr2bl w:val="nil"/>
            </w:tcBorders>
            <w:vAlign w:val="center"/>
          </w:tcPr>
          <w:p w14:paraId="4E85E429">
            <w:pPr>
              <w:jc w:val="center"/>
              <w:rPr>
                <w:rFonts w:ascii="Times New Roman" w:hAnsi="Times New Roman" w:cs="Times New Roman"/>
                <w:szCs w:val="21"/>
              </w:rPr>
            </w:pPr>
            <w:r>
              <w:rPr>
                <w:rFonts w:ascii="Times New Roman" w:hAnsi="Times New Roman" w:cs="Times New Roman"/>
                <w:szCs w:val="21"/>
              </w:rPr>
              <w:t>4</w:t>
            </w:r>
          </w:p>
        </w:tc>
        <w:tc>
          <w:tcPr>
            <w:tcW w:w="1094" w:type="dxa"/>
            <w:tcBorders>
              <w:tl2br w:val="nil"/>
              <w:tr2bl w:val="nil"/>
            </w:tcBorders>
            <w:vAlign w:val="center"/>
          </w:tcPr>
          <w:p w14:paraId="799476BD">
            <w:pPr>
              <w:jc w:val="center"/>
              <w:rPr>
                <w:rFonts w:ascii="Times New Roman" w:hAnsi="Times New Roman" w:cs="Times New Roman"/>
                <w:szCs w:val="21"/>
              </w:rPr>
            </w:pPr>
            <w:r>
              <w:rPr>
                <w:rFonts w:ascii="Times New Roman" w:hAnsi="Times New Roman" w:cs="Times New Roman"/>
                <w:szCs w:val="21"/>
              </w:rPr>
              <w:t>固废污染物排放信息</w:t>
            </w:r>
          </w:p>
        </w:tc>
        <w:tc>
          <w:tcPr>
            <w:tcW w:w="2017" w:type="dxa"/>
            <w:tcBorders>
              <w:tl2br w:val="nil"/>
              <w:tr2bl w:val="nil"/>
            </w:tcBorders>
            <w:vAlign w:val="center"/>
          </w:tcPr>
          <w:p w14:paraId="5BFE2632">
            <w:pPr>
              <w:jc w:val="center"/>
              <w:rPr>
                <w:rFonts w:ascii="Times New Roman" w:hAnsi="Times New Roman" w:cs="Times New Roman"/>
                <w:szCs w:val="21"/>
              </w:rPr>
            </w:pPr>
            <w:r>
              <w:rPr>
                <w:rFonts w:ascii="Times New Roman" w:hAnsi="Times New Roman" w:cs="Times New Roman"/>
                <w:szCs w:val="21"/>
              </w:rPr>
              <w:t>固废分类</w:t>
            </w:r>
          </w:p>
        </w:tc>
        <w:tc>
          <w:tcPr>
            <w:tcW w:w="4821" w:type="dxa"/>
            <w:tcBorders>
              <w:tl2br w:val="nil"/>
              <w:tr2bl w:val="nil"/>
            </w:tcBorders>
            <w:vAlign w:val="center"/>
          </w:tcPr>
          <w:p w14:paraId="6C1BC5D3">
            <w:pPr>
              <w:jc w:val="center"/>
              <w:rPr>
                <w:rFonts w:ascii="Times New Roman" w:hAnsi="Times New Roman" w:cs="Times New Roman"/>
                <w:szCs w:val="21"/>
              </w:rPr>
            </w:pPr>
            <w:r>
              <w:rPr>
                <w:rFonts w:ascii="Times New Roman" w:hAnsi="Times New Roman" w:cs="Times New Roman"/>
                <w:szCs w:val="21"/>
              </w:rPr>
              <w:t>危险废物和一般固废分类处置最终去向、管理要求</w:t>
            </w:r>
          </w:p>
        </w:tc>
      </w:tr>
      <w:tr w14:paraId="3F10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tcBorders>
              <w:tl2br w:val="nil"/>
              <w:tr2bl w:val="nil"/>
            </w:tcBorders>
            <w:vAlign w:val="center"/>
          </w:tcPr>
          <w:p w14:paraId="1B0B5CE6">
            <w:pPr>
              <w:jc w:val="center"/>
              <w:rPr>
                <w:rFonts w:ascii="Times New Roman" w:hAnsi="Times New Roman" w:cs="Times New Roman"/>
                <w:szCs w:val="21"/>
              </w:rPr>
            </w:pPr>
            <w:r>
              <w:rPr>
                <w:rFonts w:ascii="Times New Roman" w:hAnsi="Times New Roman" w:cs="Times New Roman"/>
                <w:szCs w:val="21"/>
              </w:rPr>
              <w:t>5</w:t>
            </w:r>
          </w:p>
        </w:tc>
        <w:tc>
          <w:tcPr>
            <w:tcW w:w="1094" w:type="dxa"/>
            <w:tcBorders>
              <w:tl2br w:val="nil"/>
              <w:tr2bl w:val="nil"/>
            </w:tcBorders>
            <w:vAlign w:val="center"/>
          </w:tcPr>
          <w:p w14:paraId="443AA2D6">
            <w:pPr>
              <w:jc w:val="center"/>
              <w:rPr>
                <w:rFonts w:ascii="Times New Roman" w:hAnsi="Times New Roman" w:cs="Times New Roman"/>
                <w:szCs w:val="21"/>
              </w:rPr>
            </w:pPr>
            <w:r>
              <w:rPr>
                <w:rFonts w:ascii="Times New Roman" w:hAnsi="Times New Roman" w:cs="Times New Roman"/>
                <w:szCs w:val="21"/>
              </w:rPr>
              <w:t>环境风险防范相关信息</w:t>
            </w:r>
          </w:p>
        </w:tc>
        <w:tc>
          <w:tcPr>
            <w:tcW w:w="6838" w:type="dxa"/>
            <w:gridSpan w:val="2"/>
            <w:tcBorders>
              <w:tl2br w:val="nil"/>
              <w:tr2bl w:val="nil"/>
            </w:tcBorders>
            <w:vAlign w:val="center"/>
          </w:tcPr>
          <w:p w14:paraId="4A30225A">
            <w:pPr>
              <w:jc w:val="center"/>
              <w:rPr>
                <w:rFonts w:ascii="Times New Roman" w:hAnsi="Times New Roman" w:cs="Times New Roman"/>
                <w:szCs w:val="21"/>
              </w:rPr>
            </w:pPr>
            <w:r>
              <w:rPr>
                <w:rFonts w:ascii="Times New Roman" w:hAnsi="Times New Roman" w:cs="Times New Roman"/>
                <w:szCs w:val="21"/>
              </w:rPr>
              <w:t>事故风险的防范措施建设情况、环境风险应急预案</w:t>
            </w:r>
          </w:p>
        </w:tc>
      </w:tr>
      <w:bookmarkEnd w:id="381"/>
    </w:tbl>
    <w:p w14:paraId="07D904A2">
      <w:pPr>
        <w:pStyle w:val="3"/>
        <w:numPr>
          <w:ilvl w:val="1"/>
          <w:numId w:val="90"/>
        </w:numPr>
        <w:tabs>
          <w:tab w:val="clear" w:pos="0"/>
        </w:tabs>
        <w:ind w:left="720" w:leftChars="0" w:hanging="720" w:firstLineChars="0"/>
      </w:pPr>
      <w:bookmarkStart w:id="382" w:name="_Toc3673"/>
      <w:r>
        <w:t>污染物排放清单</w:t>
      </w:r>
      <w:bookmarkEnd w:id="382"/>
    </w:p>
    <w:p w14:paraId="624CF07B">
      <w:pPr>
        <w:spacing w:line="360" w:lineRule="auto"/>
        <w:ind w:firstLine="480" w:firstLineChars="200"/>
        <w:rPr>
          <w:rFonts w:ascii="Times New Roman" w:hAnsi="Times New Roman" w:cs="Times New Roman"/>
          <w:sz w:val="24"/>
        </w:rPr>
      </w:pPr>
      <w:r>
        <w:rPr>
          <w:rFonts w:ascii="Times New Roman" w:hAnsi="Times New Roman" w:cs="Times New Roman"/>
          <w:sz w:val="24"/>
        </w:rPr>
        <w:t>污染物排放清单及排放的管理要求见下表</w:t>
      </w:r>
      <w:r>
        <w:rPr>
          <w:rFonts w:hint="eastAsia" w:ascii="Times New Roman" w:hAnsi="Times New Roman" w:cs="Times New Roman"/>
          <w:sz w:val="24"/>
        </w:rPr>
        <w:t>。</w:t>
      </w:r>
    </w:p>
    <w:p w14:paraId="655323BC">
      <w:pPr>
        <w:pStyle w:val="17"/>
        <w:sectPr>
          <w:pgSz w:w="11906" w:h="16838"/>
          <w:pgMar w:top="1440" w:right="1800" w:bottom="1440" w:left="1800" w:header="851" w:footer="992" w:gutter="0"/>
          <w:pgNumType w:fmt="decimal"/>
          <w:cols w:space="425" w:num="1"/>
          <w:docGrid w:type="lines" w:linePitch="312" w:charSpace="0"/>
        </w:sectPr>
      </w:pPr>
    </w:p>
    <w:p w14:paraId="42E7F7E4">
      <w:pPr>
        <w:pStyle w:val="80"/>
        <w:tabs>
          <w:tab w:val="left" w:pos="0"/>
        </w:tabs>
        <w:jc w:val="center"/>
        <w:rPr>
          <w:rFonts w:ascii="Times New Roman" w:hAnsi="Times New Roman" w:eastAsia="宋体" w:cs="Times New Roman"/>
          <w:b/>
          <w:sz w:val="21"/>
          <w:szCs w:val="21"/>
        </w:rPr>
      </w:pPr>
      <w:r>
        <w:rPr>
          <w:rFonts w:ascii="Times New Roman" w:hAnsi="Times New Roman" w:cs="Times New Roman"/>
          <w:b/>
          <w:sz w:val="21"/>
          <w:szCs w:val="21"/>
        </w:rPr>
        <w:t>表</w:t>
      </w:r>
      <w:r>
        <w:rPr>
          <w:rFonts w:hint="eastAsia" w:ascii="Times New Roman" w:hAnsi="Times New Roman" w:cs="Times New Roman"/>
          <w:b/>
          <w:sz w:val="21"/>
          <w:szCs w:val="21"/>
          <w:lang w:val="en-US" w:eastAsia="zh-CN"/>
        </w:rPr>
        <w:t>9</w:t>
      </w:r>
      <w:r>
        <w:rPr>
          <w:rFonts w:ascii="Times New Roman" w:hAnsi="Times New Roman" w:eastAsia="宋体" w:cs="Times New Roman"/>
          <w:b/>
          <w:sz w:val="21"/>
          <w:szCs w:val="21"/>
        </w:rPr>
        <w:t>.2-1   大气污染物排放情况表</w:t>
      </w:r>
    </w:p>
    <w:tbl>
      <w:tblPr>
        <w:tblStyle w:val="30"/>
        <w:tblW w:w="13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9"/>
        <w:gridCol w:w="838"/>
        <w:gridCol w:w="1500"/>
        <w:gridCol w:w="2529"/>
        <w:gridCol w:w="1014"/>
        <w:gridCol w:w="1104"/>
        <w:gridCol w:w="835"/>
        <w:gridCol w:w="1419"/>
        <w:gridCol w:w="1056"/>
        <w:gridCol w:w="1409"/>
        <w:gridCol w:w="1367"/>
      </w:tblGrid>
      <w:tr w14:paraId="299C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889" w:type="dxa"/>
            <w:tcBorders>
              <w:tl2br w:val="nil"/>
              <w:tr2bl w:val="nil"/>
            </w:tcBorders>
            <w:vAlign w:val="center"/>
          </w:tcPr>
          <w:p w14:paraId="2F2AC9EF">
            <w:pPr>
              <w:jc w:val="center"/>
              <w:rPr>
                <w:rFonts w:ascii="Times New Roman" w:hAnsi="Times New Roman" w:eastAsia="宋体" w:cs="Times New Roman"/>
                <w:szCs w:val="21"/>
              </w:rPr>
            </w:pPr>
            <w:r>
              <w:rPr>
                <w:rFonts w:ascii="Times New Roman" w:hAnsi="Times New Roman" w:cs="Times New Roman"/>
                <w:szCs w:val="21"/>
              </w:rPr>
              <w:t>排放口类型</w:t>
            </w:r>
          </w:p>
        </w:tc>
        <w:tc>
          <w:tcPr>
            <w:tcW w:w="838" w:type="dxa"/>
            <w:tcBorders>
              <w:tl2br w:val="nil"/>
              <w:tr2bl w:val="nil"/>
            </w:tcBorders>
            <w:vAlign w:val="center"/>
          </w:tcPr>
          <w:p w14:paraId="00F8F260">
            <w:pPr>
              <w:jc w:val="center"/>
              <w:rPr>
                <w:rFonts w:ascii="Times New Roman" w:hAnsi="Times New Roman" w:eastAsia="宋体" w:cs="Times New Roman"/>
                <w:szCs w:val="21"/>
              </w:rPr>
            </w:pPr>
            <w:r>
              <w:rPr>
                <w:rFonts w:ascii="Times New Roman" w:hAnsi="Times New Roman" w:cs="Times New Roman"/>
                <w:szCs w:val="21"/>
              </w:rPr>
              <w:t>排气筒</w:t>
            </w:r>
          </w:p>
        </w:tc>
        <w:tc>
          <w:tcPr>
            <w:tcW w:w="1500" w:type="dxa"/>
            <w:tcBorders>
              <w:tl2br w:val="nil"/>
              <w:tr2bl w:val="nil"/>
            </w:tcBorders>
            <w:vAlign w:val="center"/>
          </w:tcPr>
          <w:p w14:paraId="4992BC20">
            <w:pPr>
              <w:jc w:val="center"/>
              <w:rPr>
                <w:rFonts w:ascii="Times New Roman" w:hAnsi="Times New Roman" w:eastAsia="宋体" w:cs="Times New Roman"/>
                <w:szCs w:val="21"/>
              </w:rPr>
            </w:pPr>
            <w:r>
              <w:rPr>
                <w:rFonts w:ascii="Times New Roman" w:hAnsi="Times New Roman" w:cs="Times New Roman"/>
                <w:szCs w:val="21"/>
              </w:rPr>
              <w:t>主要污染物</w:t>
            </w:r>
          </w:p>
        </w:tc>
        <w:tc>
          <w:tcPr>
            <w:tcW w:w="2529" w:type="dxa"/>
            <w:tcBorders>
              <w:tl2br w:val="nil"/>
              <w:tr2bl w:val="nil"/>
            </w:tcBorders>
            <w:vAlign w:val="center"/>
          </w:tcPr>
          <w:p w14:paraId="7E4AD7D8">
            <w:pPr>
              <w:jc w:val="center"/>
              <w:rPr>
                <w:rFonts w:ascii="Times New Roman" w:hAnsi="Times New Roman" w:eastAsia="宋体" w:cs="Times New Roman"/>
                <w:szCs w:val="21"/>
              </w:rPr>
            </w:pPr>
            <w:r>
              <w:rPr>
                <w:rFonts w:ascii="Times New Roman" w:hAnsi="Times New Roman" w:cs="Times New Roman"/>
                <w:szCs w:val="21"/>
              </w:rPr>
              <w:t>治理措施</w:t>
            </w:r>
          </w:p>
        </w:tc>
        <w:tc>
          <w:tcPr>
            <w:tcW w:w="1014" w:type="dxa"/>
            <w:tcBorders>
              <w:tl2br w:val="nil"/>
              <w:tr2bl w:val="nil"/>
            </w:tcBorders>
            <w:vAlign w:val="center"/>
          </w:tcPr>
          <w:p w14:paraId="181ABE22">
            <w:pPr>
              <w:jc w:val="center"/>
              <w:rPr>
                <w:rFonts w:ascii="Times New Roman" w:hAnsi="Times New Roman" w:cs="Times New Roman"/>
                <w:szCs w:val="21"/>
              </w:rPr>
            </w:pPr>
            <w:r>
              <w:rPr>
                <w:rFonts w:ascii="Times New Roman" w:hAnsi="Times New Roman" w:cs="Times New Roman"/>
                <w:szCs w:val="21"/>
              </w:rPr>
              <w:t>排气筒</w:t>
            </w:r>
          </w:p>
        </w:tc>
        <w:tc>
          <w:tcPr>
            <w:tcW w:w="1104" w:type="dxa"/>
            <w:tcBorders>
              <w:tl2br w:val="nil"/>
              <w:tr2bl w:val="nil"/>
            </w:tcBorders>
            <w:vAlign w:val="center"/>
          </w:tcPr>
          <w:p w14:paraId="1F36F67F">
            <w:pPr>
              <w:jc w:val="center"/>
              <w:rPr>
                <w:rFonts w:ascii="Times New Roman" w:hAnsi="Times New Roman" w:cs="Times New Roman"/>
                <w:szCs w:val="21"/>
              </w:rPr>
            </w:pPr>
            <w:r>
              <w:rPr>
                <w:rFonts w:ascii="Times New Roman" w:hAnsi="Times New Roman" w:cs="Times New Roman"/>
                <w:szCs w:val="21"/>
              </w:rPr>
              <w:t>废气量</w:t>
            </w:r>
            <w:r>
              <w:rPr>
                <w:rFonts w:hint="eastAsia" w:ascii="Times New Roman" w:hAnsi="Times New Roman" w:cs="Times New Roman"/>
                <w:szCs w:val="21"/>
              </w:rPr>
              <w:t>/</w:t>
            </w:r>
            <w:r>
              <w:rPr>
                <w:rFonts w:ascii="Times New Roman" w:hAnsi="Times New Roman" w:cs="Times New Roman"/>
                <w:szCs w:val="21"/>
              </w:rPr>
              <w:t>m³/h</w:t>
            </w:r>
          </w:p>
        </w:tc>
        <w:tc>
          <w:tcPr>
            <w:tcW w:w="835" w:type="dxa"/>
            <w:tcBorders>
              <w:tl2br w:val="nil"/>
              <w:tr2bl w:val="nil"/>
            </w:tcBorders>
            <w:vAlign w:val="center"/>
          </w:tcPr>
          <w:p w14:paraId="7228D192">
            <w:pPr>
              <w:jc w:val="center"/>
              <w:rPr>
                <w:rFonts w:ascii="Times New Roman" w:hAnsi="Times New Roman" w:cs="Times New Roman"/>
                <w:szCs w:val="21"/>
              </w:rPr>
            </w:pPr>
            <w:r>
              <w:rPr>
                <w:rFonts w:ascii="Times New Roman" w:hAnsi="Times New Roman" w:cs="Times New Roman"/>
                <w:szCs w:val="21"/>
              </w:rPr>
              <w:t>排放</w:t>
            </w:r>
          </w:p>
          <w:p w14:paraId="2326CA2B">
            <w:pPr>
              <w:jc w:val="center"/>
              <w:rPr>
                <w:rFonts w:ascii="Times New Roman" w:hAnsi="Times New Roman" w:cs="Times New Roman"/>
                <w:szCs w:val="21"/>
              </w:rPr>
            </w:pPr>
            <w:r>
              <w:rPr>
                <w:rFonts w:ascii="Times New Roman" w:hAnsi="Times New Roman" w:cs="Times New Roman"/>
                <w:szCs w:val="21"/>
              </w:rPr>
              <w:t>规律</w:t>
            </w:r>
          </w:p>
        </w:tc>
        <w:tc>
          <w:tcPr>
            <w:tcW w:w="1419" w:type="dxa"/>
            <w:tcBorders>
              <w:tl2br w:val="nil"/>
              <w:tr2bl w:val="nil"/>
            </w:tcBorders>
            <w:vAlign w:val="center"/>
          </w:tcPr>
          <w:p w14:paraId="698B409D">
            <w:pPr>
              <w:jc w:val="center"/>
              <w:rPr>
                <w:rFonts w:ascii="Times New Roman" w:hAnsi="Times New Roman" w:cs="Times New Roman"/>
                <w:szCs w:val="21"/>
              </w:rPr>
            </w:pPr>
            <w:r>
              <w:rPr>
                <w:rFonts w:ascii="Times New Roman" w:hAnsi="Times New Roman" w:cs="Times New Roman"/>
                <w:szCs w:val="21"/>
              </w:rPr>
              <w:t>排放浓度</w:t>
            </w:r>
          </w:p>
          <w:p w14:paraId="51FDAF36">
            <w:pPr>
              <w:jc w:val="center"/>
              <w:rPr>
                <w:rFonts w:ascii="Times New Roman" w:hAnsi="Times New Roman" w:cs="Times New Roman"/>
                <w:szCs w:val="21"/>
              </w:rPr>
            </w:pPr>
            <w:r>
              <w:rPr>
                <w:rFonts w:ascii="Times New Roman" w:hAnsi="Times New Roman" w:cs="Times New Roman"/>
                <w:szCs w:val="21"/>
              </w:rPr>
              <w:t>mg/m³</w:t>
            </w:r>
          </w:p>
        </w:tc>
        <w:tc>
          <w:tcPr>
            <w:tcW w:w="1056" w:type="dxa"/>
            <w:tcBorders>
              <w:tl2br w:val="nil"/>
              <w:tr2bl w:val="nil"/>
            </w:tcBorders>
            <w:vAlign w:val="center"/>
          </w:tcPr>
          <w:p w14:paraId="32C44305">
            <w:pPr>
              <w:jc w:val="center"/>
              <w:rPr>
                <w:rFonts w:ascii="Times New Roman" w:hAnsi="Times New Roman" w:cs="Times New Roman"/>
                <w:szCs w:val="21"/>
              </w:rPr>
            </w:pPr>
            <w:r>
              <w:rPr>
                <w:rFonts w:ascii="Times New Roman" w:hAnsi="Times New Roman" w:cs="Times New Roman"/>
                <w:szCs w:val="21"/>
              </w:rPr>
              <w:t>排放速率</w:t>
            </w:r>
          </w:p>
          <w:p w14:paraId="5807AB6C">
            <w:pPr>
              <w:jc w:val="center"/>
              <w:rPr>
                <w:rFonts w:ascii="Times New Roman" w:hAnsi="Times New Roman" w:cs="Times New Roman"/>
                <w:szCs w:val="21"/>
              </w:rPr>
            </w:pPr>
            <w:r>
              <w:rPr>
                <w:rFonts w:ascii="Times New Roman" w:hAnsi="Times New Roman" w:cs="Times New Roman"/>
                <w:szCs w:val="21"/>
              </w:rPr>
              <w:t>kg/h</w:t>
            </w:r>
          </w:p>
        </w:tc>
        <w:tc>
          <w:tcPr>
            <w:tcW w:w="1409" w:type="dxa"/>
            <w:tcBorders>
              <w:tl2br w:val="nil"/>
              <w:tr2bl w:val="nil"/>
            </w:tcBorders>
            <w:vAlign w:val="center"/>
          </w:tcPr>
          <w:p w14:paraId="5426F0E8">
            <w:pPr>
              <w:jc w:val="center"/>
              <w:rPr>
                <w:rFonts w:ascii="Times New Roman" w:hAnsi="Times New Roman" w:cs="Times New Roman"/>
                <w:szCs w:val="21"/>
              </w:rPr>
            </w:pPr>
            <w:r>
              <w:rPr>
                <w:rFonts w:ascii="Times New Roman" w:hAnsi="Times New Roman" w:cs="Times New Roman"/>
                <w:szCs w:val="21"/>
              </w:rPr>
              <w:t>允许排放浓度</w:t>
            </w:r>
            <w:r>
              <w:rPr>
                <w:rFonts w:hint="eastAsia" w:ascii="Times New Roman" w:hAnsi="Times New Roman" w:cs="Times New Roman"/>
                <w:szCs w:val="21"/>
              </w:rPr>
              <w:t>/</w:t>
            </w:r>
            <w:r>
              <w:rPr>
                <w:rFonts w:ascii="Times New Roman" w:hAnsi="Times New Roman" w:cs="Times New Roman"/>
                <w:szCs w:val="21"/>
              </w:rPr>
              <w:t>mg/m³</w:t>
            </w:r>
          </w:p>
        </w:tc>
        <w:tc>
          <w:tcPr>
            <w:tcW w:w="1367" w:type="dxa"/>
            <w:tcBorders>
              <w:tl2br w:val="nil"/>
              <w:tr2bl w:val="nil"/>
            </w:tcBorders>
            <w:vAlign w:val="center"/>
          </w:tcPr>
          <w:p w14:paraId="18D4AFC2">
            <w:pPr>
              <w:jc w:val="center"/>
              <w:rPr>
                <w:rFonts w:ascii="Times New Roman" w:hAnsi="Times New Roman" w:cs="Times New Roman"/>
                <w:b/>
                <w:bCs/>
                <w:szCs w:val="21"/>
              </w:rPr>
            </w:pPr>
            <w:r>
              <w:rPr>
                <w:rFonts w:ascii="Times New Roman" w:hAnsi="Times New Roman" w:cs="Times New Roman"/>
                <w:szCs w:val="21"/>
              </w:rPr>
              <w:t>绩效A级指标限值</w:t>
            </w:r>
            <w:r>
              <w:rPr>
                <w:rFonts w:hint="eastAsia" w:ascii="Times New Roman" w:hAnsi="Times New Roman" w:cs="Times New Roman"/>
                <w:szCs w:val="21"/>
              </w:rPr>
              <w:t>/</w:t>
            </w:r>
            <w:r>
              <w:rPr>
                <w:rFonts w:ascii="Times New Roman" w:hAnsi="Times New Roman" w:cs="Times New Roman"/>
                <w:szCs w:val="21"/>
              </w:rPr>
              <w:t>mg/m³</w:t>
            </w:r>
          </w:p>
        </w:tc>
      </w:tr>
      <w:tr w14:paraId="12E0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889" w:type="dxa"/>
            <w:tcBorders>
              <w:tl2br w:val="nil"/>
              <w:tr2bl w:val="nil"/>
            </w:tcBorders>
            <w:vAlign w:val="center"/>
          </w:tcPr>
          <w:p w14:paraId="30432779">
            <w:pPr>
              <w:jc w:val="center"/>
              <w:rPr>
                <w:rFonts w:ascii="Times New Roman" w:hAnsi="Times New Roman" w:cs="Times New Roman"/>
                <w:szCs w:val="21"/>
              </w:rPr>
            </w:pPr>
            <w:r>
              <w:rPr>
                <w:rFonts w:ascii="Times New Roman" w:hAnsi="Times New Roman" w:cs="Times New Roman"/>
                <w:szCs w:val="21"/>
              </w:rPr>
              <w:t>一般排放口</w:t>
            </w:r>
          </w:p>
        </w:tc>
        <w:tc>
          <w:tcPr>
            <w:tcW w:w="838" w:type="dxa"/>
            <w:tcBorders>
              <w:tl2br w:val="nil"/>
              <w:tr2bl w:val="nil"/>
            </w:tcBorders>
            <w:vAlign w:val="center"/>
          </w:tcPr>
          <w:p w14:paraId="0CB27A8B">
            <w:pPr>
              <w:jc w:val="center"/>
              <w:rPr>
                <w:rFonts w:ascii="Times New Roman" w:hAnsi="Times New Roman" w:cs="Times New Roman"/>
                <w:szCs w:val="21"/>
              </w:rPr>
            </w:pPr>
            <w:r>
              <w:rPr>
                <w:rFonts w:ascii="Times New Roman" w:hAnsi="Times New Roman" w:cs="Times New Roman"/>
                <w:szCs w:val="21"/>
              </w:rPr>
              <w:t>DA00</w:t>
            </w:r>
            <w:r>
              <w:rPr>
                <w:rFonts w:hint="eastAsia" w:ascii="Times New Roman" w:hAnsi="Times New Roman" w:cs="Times New Roman"/>
                <w:szCs w:val="21"/>
              </w:rPr>
              <w:t>1</w:t>
            </w:r>
          </w:p>
        </w:tc>
        <w:tc>
          <w:tcPr>
            <w:tcW w:w="1500" w:type="dxa"/>
            <w:tcBorders>
              <w:tl2br w:val="nil"/>
              <w:tr2bl w:val="nil"/>
            </w:tcBorders>
            <w:vAlign w:val="center"/>
          </w:tcPr>
          <w:p w14:paraId="6DD2F943">
            <w:pPr>
              <w:jc w:val="center"/>
              <w:rPr>
                <w:rFonts w:ascii="Times New Roman" w:hAnsi="Times New Roman" w:cs="Times New Roman"/>
                <w:szCs w:val="21"/>
              </w:rPr>
            </w:pPr>
            <w:r>
              <w:rPr>
                <w:rFonts w:hint="eastAsia" w:ascii="Times New Roman" w:hAnsi="Times New Roman" w:eastAsia="宋体" w:cs="Times New Roman"/>
                <w:kern w:val="0"/>
                <w:szCs w:val="21"/>
              </w:rPr>
              <w:t>颗粒物</w:t>
            </w:r>
          </w:p>
        </w:tc>
        <w:tc>
          <w:tcPr>
            <w:tcW w:w="2529" w:type="dxa"/>
            <w:tcBorders>
              <w:tl2br w:val="nil"/>
              <w:tr2bl w:val="nil"/>
            </w:tcBorders>
            <w:vAlign w:val="center"/>
          </w:tcPr>
          <w:p w14:paraId="48577EEE">
            <w:pPr>
              <w:jc w:val="center"/>
              <w:rPr>
                <w:rFonts w:ascii="Times New Roman" w:hAnsi="Times New Roman" w:eastAsia="宋体" w:cs="Times New Roman"/>
                <w:szCs w:val="21"/>
              </w:rPr>
            </w:pPr>
            <w:r>
              <w:rPr>
                <w:rFonts w:hint="eastAsia" w:ascii="Times New Roman" w:hAnsi="Times New Roman" w:cs="Times New Roman"/>
                <w:szCs w:val="21"/>
              </w:rPr>
              <w:t>集气罩+中央除尘器系统+15m高排气筒</w:t>
            </w:r>
          </w:p>
        </w:tc>
        <w:tc>
          <w:tcPr>
            <w:tcW w:w="1014" w:type="dxa"/>
            <w:tcBorders>
              <w:tl2br w:val="nil"/>
              <w:tr2bl w:val="nil"/>
            </w:tcBorders>
            <w:vAlign w:val="center"/>
          </w:tcPr>
          <w:p w14:paraId="203EDD75">
            <w:pPr>
              <w:jc w:val="center"/>
              <w:rPr>
                <w:rFonts w:ascii="Times New Roman" w:hAnsi="Times New Roman" w:cs="Times New Roman"/>
                <w:szCs w:val="21"/>
              </w:rPr>
            </w:pPr>
            <w:r>
              <w:rPr>
                <w:rFonts w:ascii="Times New Roman" w:hAnsi="Times New Roman" w:cs="Times New Roman"/>
                <w:szCs w:val="21"/>
              </w:rPr>
              <w:t>H=</w:t>
            </w:r>
            <w:r>
              <w:rPr>
                <w:rFonts w:hint="eastAsia" w:ascii="Times New Roman" w:hAnsi="Times New Roman" w:cs="Times New Roman"/>
                <w:szCs w:val="21"/>
              </w:rPr>
              <w:t>1</w:t>
            </w:r>
            <w:r>
              <w:rPr>
                <w:rFonts w:ascii="Times New Roman" w:hAnsi="Times New Roman" w:cs="Times New Roman"/>
                <w:szCs w:val="21"/>
              </w:rPr>
              <w:t>5m</w:t>
            </w:r>
          </w:p>
        </w:tc>
        <w:tc>
          <w:tcPr>
            <w:tcW w:w="1104" w:type="dxa"/>
            <w:tcBorders>
              <w:tl2br w:val="nil"/>
              <w:tr2bl w:val="nil"/>
            </w:tcBorders>
            <w:vAlign w:val="center"/>
          </w:tcPr>
          <w:p w14:paraId="71972B23">
            <w:pPr>
              <w:jc w:val="center"/>
              <w:rPr>
                <w:rFonts w:ascii="Times New Roman" w:hAnsi="Times New Roman" w:cs="Times New Roman"/>
                <w:szCs w:val="21"/>
                <w:u w:val="single"/>
              </w:rPr>
            </w:pPr>
            <w:r>
              <w:rPr>
                <w:rFonts w:hint="eastAsia" w:ascii="Times New Roman" w:hAnsi="Times New Roman" w:cs="Times New Roman"/>
                <w:szCs w:val="21"/>
                <w:lang w:val="en-US" w:eastAsia="zh-CN"/>
              </w:rPr>
              <w:t>21</w:t>
            </w:r>
            <w:r>
              <w:rPr>
                <w:rFonts w:hint="eastAsia" w:ascii="Times New Roman" w:hAnsi="Times New Roman" w:cs="Times New Roman"/>
                <w:szCs w:val="21"/>
              </w:rPr>
              <w:t>000</w:t>
            </w:r>
          </w:p>
        </w:tc>
        <w:tc>
          <w:tcPr>
            <w:tcW w:w="835" w:type="dxa"/>
            <w:tcBorders>
              <w:tl2br w:val="nil"/>
              <w:tr2bl w:val="nil"/>
            </w:tcBorders>
            <w:vAlign w:val="center"/>
          </w:tcPr>
          <w:p w14:paraId="7FECF962">
            <w:pPr>
              <w:jc w:val="center"/>
              <w:rPr>
                <w:rFonts w:ascii="Times New Roman" w:hAnsi="Times New Roman" w:cs="Times New Roman"/>
                <w:szCs w:val="21"/>
              </w:rPr>
            </w:pPr>
            <w:r>
              <w:rPr>
                <w:rFonts w:hint="eastAsia" w:ascii="Times New Roman" w:hAnsi="Times New Roman" w:cs="Times New Roman"/>
                <w:szCs w:val="21"/>
              </w:rPr>
              <w:t>生产期间</w:t>
            </w:r>
            <w:r>
              <w:rPr>
                <w:rFonts w:ascii="Times New Roman" w:hAnsi="Times New Roman" w:cs="Times New Roman"/>
                <w:szCs w:val="21"/>
              </w:rPr>
              <w:t>连续</w:t>
            </w:r>
            <w:r>
              <w:rPr>
                <w:rFonts w:hint="eastAsia" w:ascii="Times New Roman" w:hAnsi="Times New Roman" w:cs="Times New Roman"/>
                <w:szCs w:val="21"/>
              </w:rPr>
              <w:t>排放</w:t>
            </w:r>
          </w:p>
        </w:tc>
        <w:tc>
          <w:tcPr>
            <w:tcW w:w="1419" w:type="dxa"/>
            <w:tcBorders>
              <w:tl2br w:val="nil"/>
              <w:tr2bl w:val="nil"/>
            </w:tcBorders>
            <w:vAlign w:val="center"/>
          </w:tcPr>
          <w:p w14:paraId="736F7DEC">
            <w:pPr>
              <w:widowControl/>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eastAsia="宋体" w:cs="Times New Roman"/>
                <w:color w:val="auto"/>
                <w:kern w:val="0"/>
                <w:szCs w:val="21"/>
                <w:lang w:val="en-US" w:eastAsia="zh-CN" w:bidi="ar"/>
              </w:rPr>
              <w:t>1.24</w:t>
            </w:r>
          </w:p>
        </w:tc>
        <w:tc>
          <w:tcPr>
            <w:tcW w:w="1056" w:type="dxa"/>
            <w:tcBorders>
              <w:tl2br w:val="nil"/>
              <w:tr2bl w:val="nil"/>
            </w:tcBorders>
            <w:vAlign w:val="center"/>
          </w:tcPr>
          <w:p w14:paraId="67D7B7AE">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Cs w:val="21"/>
                <w:lang w:bidi="ar"/>
              </w:rPr>
              <w:t>0.0</w:t>
            </w:r>
            <w:r>
              <w:rPr>
                <w:rFonts w:hint="eastAsia" w:ascii="Times New Roman" w:hAnsi="Times New Roman" w:eastAsia="宋体" w:cs="Times New Roman"/>
                <w:color w:val="auto"/>
                <w:kern w:val="0"/>
                <w:szCs w:val="21"/>
                <w:lang w:val="en-US" w:eastAsia="zh-CN" w:bidi="ar"/>
              </w:rPr>
              <w:t>52</w:t>
            </w:r>
          </w:p>
        </w:tc>
        <w:tc>
          <w:tcPr>
            <w:tcW w:w="1409" w:type="dxa"/>
            <w:tcBorders>
              <w:tl2br w:val="nil"/>
              <w:tr2bl w:val="nil"/>
            </w:tcBorders>
            <w:vAlign w:val="center"/>
          </w:tcPr>
          <w:p w14:paraId="3C5B6B5D">
            <w:pPr>
              <w:widowControl/>
              <w:jc w:val="center"/>
              <w:textAlignment w:val="center"/>
              <w:rPr>
                <w:rFonts w:ascii="Times New Roman" w:hAnsi="Times New Roman" w:cs="Times New Roman"/>
                <w:szCs w:val="21"/>
              </w:rPr>
            </w:pPr>
            <w:r>
              <w:rPr>
                <w:rFonts w:hint="eastAsia" w:ascii="Times New Roman" w:hAnsi="Times New Roman" w:eastAsia="宋体" w:cs="Times New Roman"/>
                <w:kern w:val="0"/>
                <w:szCs w:val="21"/>
                <w:lang w:bidi="ar"/>
              </w:rPr>
              <w:t>120</w:t>
            </w:r>
          </w:p>
        </w:tc>
        <w:tc>
          <w:tcPr>
            <w:tcW w:w="1367" w:type="dxa"/>
            <w:tcBorders>
              <w:tl2br w:val="nil"/>
              <w:tr2bl w:val="nil"/>
            </w:tcBorders>
            <w:vAlign w:val="center"/>
          </w:tcPr>
          <w:p w14:paraId="7E917D92">
            <w:pPr>
              <w:jc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0</w:t>
            </w:r>
          </w:p>
        </w:tc>
      </w:tr>
      <w:tr w14:paraId="1940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889" w:type="dxa"/>
            <w:vMerge w:val="restart"/>
            <w:tcBorders>
              <w:tl2br w:val="nil"/>
              <w:tr2bl w:val="nil"/>
            </w:tcBorders>
            <w:vAlign w:val="center"/>
          </w:tcPr>
          <w:p w14:paraId="6CEA8734">
            <w:pPr>
              <w:jc w:val="center"/>
              <w:rPr>
                <w:rFonts w:ascii="Times New Roman" w:hAnsi="Times New Roman" w:cs="Times New Roman"/>
                <w:szCs w:val="21"/>
              </w:rPr>
            </w:pPr>
            <w:r>
              <w:rPr>
                <w:rFonts w:ascii="Times New Roman" w:hAnsi="Times New Roman" w:cs="Times New Roman"/>
                <w:szCs w:val="21"/>
              </w:rPr>
              <w:t>一般排放口</w:t>
            </w:r>
          </w:p>
        </w:tc>
        <w:tc>
          <w:tcPr>
            <w:tcW w:w="838" w:type="dxa"/>
            <w:vMerge w:val="restart"/>
            <w:tcBorders>
              <w:tl2br w:val="nil"/>
              <w:tr2bl w:val="nil"/>
            </w:tcBorders>
            <w:vAlign w:val="center"/>
          </w:tcPr>
          <w:p w14:paraId="0B0C3C8A">
            <w:pPr>
              <w:jc w:val="center"/>
              <w:rPr>
                <w:rFonts w:ascii="Times New Roman" w:hAnsi="Times New Roman" w:cs="Times New Roman"/>
                <w:szCs w:val="21"/>
              </w:rPr>
            </w:pPr>
            <w:r>
              <w:rPr>
                <w:rFonts w:ascii="Times New Roman" w:hAnsi="Times New Roman" w:cs="Times New Roman"/>
                <w:szCs w:val="21"/>
              </w:rPr>
              <w:t>DA004</w:t>
            </w:r>
          </w:p>
        </w:tc>
        <w:tc>
          <w:tcPr>
            <w:tcW w:w="1500" w:type="dxa"/>
            <w:tcBorders>
              <w:tl2br w:val="nil"/>
              <w:tr2bl w:val="nil"/>
            </w:tcBorders>
            <w:vAlign w:val="center"/>
          </w:tcPr>
          <w:p w14:paraId="46C52A8B">
            <w:pPr>
              <w:autoSpaceDE w:val="0"/>
              <w:autoSpaceDN w:val="0"/>
              <w:adjustRightInd w:val="0"/>
              <w:jc w:val="center"/>
              <w:rPr>
                <w:rFonts w:ascii="Times New Roman" w:hAnsi="Times New Roman" w:cs="Times New Roman"/>
                <w:szCs w:val="21"/>
              </w:rPr>
            </w:pPr>
            <w:r>
              <w:rPr>
                <w:rFonts w:hint="eastAsia" w:ascii="Times New Roman" w:hAnsi="Times New Roman" w:eastAsia="宋体" w:cs="Times New Roman"/>
                <w:kern w:val="0"/>
                <w:szCs w:val="21"/>
              </w:rPr>
              <w:t>颗粒物</w:t>
            </w:r>
          </w:p>
        </w:tc>
        <w:tc>
          <w:tcPr>
            <w:tcW w:w="2529" w:type="dxa"/>
            <w:vMerge w:val="restart"/>
            <w:tcBorders>
              <w:tl2br w:val="nil"/>
              <w:tr2bl w:val="nil"/>
            </w:tcBorders>
            <w:vAlign w:val="center"/>
          </w:tcPr>
          <w:p w14:paraId="78002019">
            <w:pPr>
              <w:jc w:val="center"/>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水幕帘</w:t>
            </w:r>
            <w:r>
              <w:rPr>
                <w:rFonts w:hint="eastAsia" w:ascii="Times New Roman" w:hAnsi="Times New Roman" w:cs="Times New Roman"/>
                <w:color w:val="000000" w:themeColor="text1"/>
                <w:szCs w:val="21"/>
                <w14:textFill>
                  <w14:solidFill>
                    <w14:schemeClr w14:val="tx1"/>
                  </w14:solidFill>
                </w14:textFill>
              </w:rPr>
              <w:t>+漆雾过滤器+</w:t>
            </w:r>
            <w:r>
              <w:rPr>
                <w:rFonts w:ascii="Times New Roman" w:hAnsi="Times New Roman" w:cs="Times New Roman"/>
                <w:color w:val="000000"/>
                <w:kern w:val="0"/>
                <w:szCs w:val="21"/>
              </w:rPr>
              <w:t>活性炭吸附—脱附催化燃烧</w:t>
            </w:r>
            <w:r>
              <w:rPr>
                <w:rFonts w:hint="eastAsia" w:ascii="Times New Roman" w:hAnsi="Times New Roman" w:cs="Times New Roman"/>
                <w:szCs w:val="21"/>
              </w:rPr>
              <w:t>+15m高排气筒</w:t>
            </w:r>
          </w:p>
        </w:tc>
        <w:tc>
          <w:tcPr>
            <w:tcW w:w="1014" w:type="dxa"/>
            <w:vMerge w:val="restart"/>
            <w:tcBorders>
              <w:tl2br w:val="nil"/>
              <w:tr2bl w:val="nil"/>
            </w:tcBorders>
            <w:vAlign w:val="center"/>
          </w:tcPr>
          <w:p w14:paraId="387CCBC6">
            <w:pPr>
              <w:jc w:val="center"/>
              <w:rPr>
                <w:rFonts w:ascii="Times New Roman" w:hAnsi="Times New Roman" w:cs="Times New Roman"/>
                <w:szCs w:val="21"/>
              </w:rPr>
            </w:pPr>
            <w:r>
              <w:rPr>
                <w:rFonts w:ascii="Times New Roman" w:hAnsi="Times New Roman" w:cs="Times New Roman"/>
                <w:szCs w:val="21"/>
              </w:rPr>
              <w:t>H=</w:t>
            </w:r>
            <w:r>
              <w:rPr>
                <w:rFonts w:hint="eastAsia" w:ascii="Times New Roman" w:hAnsi="Times New Roman" w:cs="Times New Roman"/>
                <w:szCs w:val="21"/>
              </w:rPr>
              <w:t>1</w:t>
            </w:r>
            <w:r>
              <w:rPr>
                <w:rFonts w:ascii="Times New Roman" w:hAnsi="Times New Roman" w:cs="Times New Roman"/>
                <w:szCs w:val="21"/>
              </w:rPr>
              <w:t>5m</w:t>
            </w:r>
          </w:p>
        </w:tc>
        <w:tc>
          <w:tcPr>
            <w:tcW w:w="1104" w:type="dxa"/>
            <w:vMerge w:val="restart"/>
            <w:tcBorders>
              <w:tl2br w:val="nil"/>
              <w:tr2bl w:val="nil"/>
            </w:tcBorders>
            <w:vAlign w:val="center"/>
          </w:tcPr>
          <w:p w14:paraId="35519429">
            <w:pPr>
              <w:adjustRightInd w:val="0"/>
              <w:snapToGrid w:val="0"/>
              <w:jc w:val="center"/>
              <w:textAlignment w:val="baseline"/>
              <w:rPr>
                <w:rFonts w:ascii="Times New Roman" w:hAnsi="Times New Roman" w:cs="Times New Roman"/>
                <w:kern w:val="0"/>
                <w:szCs w:val="21"/>
              </w:rPr>
            </w:pPr>
            <w:r>
              <w:rPr>
                <w:rFonts w:ascii="Times New Roman" w:hAnsi="Times New Roman" w:eastAsia="宋体" w:cs="Times New Roman"/>
                <w:kern w:val="0"/>
                <w:szCs w:val="21"/>
              </w:rPr>
              <w:t>吸附：</w:t>
            </w:r>
            <w:r>
              <w:rPr>
                <w:rFonts w:hint="eastAsia" w:ascii="Times New Roman" w:hAnsi="Times New Roman" w:eastAsia="宋体" w:cs="Times New Roman"/>
                <w:kern w:val="0"/>
                <w:szCs w:val="21"/>
                <w:lang w:val="en-US" w:eastAsia="zh-CN"/>
              </w:rPr>
              <w:t>65</w:t>
            </w:r>
            <w:r>
              <w:rPr>
                <w:rFonts w:ascii="Times New Roman" w:hAnsi="Times New Roman" w:eastAsia="宋体" w:cs="Times New Roman"/>
                <w:kern w:val="0"/>
                <w:szCs w:val="21"/>
              </w:rPr>
              <w:t>0</w:t>
            </w:r>
            <w:r>
              <w:rPr>
                <w:rFonts w:ascii="Times New Roman" w:hAnsi="Times New Roman" w:cs="Times New Roman"/>
                <w:kern w:val="0"/>
                <w:szCs w:val="21"/>
              </w:rPr>
              <w:t>00</w:t>
            </w:r>
          </w:p>
          <w:p w14:paraId="2CB769AC">
            <w:pPr>
              <w:jc w:val="center"/>
              <w:rPr>
                <w:rFonts w:ascii="Times New Roman" w:hAnsi="Times New Roman" w:cs="Times New Roman"/>
                <w:szCs w:val="21"/>
                <w:u w:val="single"/>
              </w:rPr>
            </w:pPr>
            <w:r>
              <w:rPr>
                <w:rFonts w:hint="eastAsia" w:ascii="Times New Roman" w:hAnsi="Times New Roman" w:cs="Times New Roman"/>
                <w:kern w:val="0"/>
                <w:szCs w:val="21"/>
              </w:rPr>
              <w:t>脱附：3000</w:t>
            </w:r>
          </w:p>
        </w:tc>
        <w:tc>
          <w:tcPr>
            <w:tcW w:w="835" w:type="dxa"/>
            <w:vMerge w:val="restart"/>
            <w:tcBorders>
              <w:tl2br w:val="nil"/>
              <w:tr2bl w:val="nil"/>
            </w:tcBorders>
            <w:vAlign w:val="center"/>
          </w:tcPr>
          <w:p w14:paraId="04C2F671">
            <w:pPr>
              <w:jc w:val="center"/>
              <w:rPr>
                <w:rFonts w:ascii="Times New Roman" w:hAnsi="Times New Roman" w:cs="Times New Roman"/>
                <w:szCs w:val="21"/>
              </w:rPr>
            </w:pPr>
            <w:r>
              <w:rPr>
                <w:rFonts w:hint="eastAsia" w:ascii="Times New Roman" w:hAnsi="Times New Roman" w:cs="Times New Roman"/>
                <w:szCs w:val="21"/>
              </w:rPr>
              <w:t>生产期间</w:t>
            </w:r>
            <w:r>
              <w:rPr>
                <w:rFonts w:ascii="Times New Roman" w:hAnsi="Times New Roman" w:cs="Times New Roman"/>
                <w:szCs w:val="21"/>
              </w:rPr>
              <w:t>连续</w:t>
            </w:r>
            <w:r>
              <w:rPr>
                <w:rFonts w:hint="eastAsia" w:ascii="Times New Roman" w:hAnsi="Times New Roman" w:cs="Times New Roman"/>
                <w:szCs w:val="21"/>
              </w:rPr>
              <w:t>排放</w:t>
            </w:r>
          </w:p>
        </w:tc>
        <w:tc>
          <w:tcPr>
            <w:tcW w:w="1419" w:type="dxa"/>
            <w:tcBorders>
              <w:tl2br w:val="nil"/>
              <w:tr2bl w:val="nil"/>
            </w:tcBorders>
            <w:vAlign w:val="center"/>
          </w:tcPr>
          <w:p w14:paraId="0F1CF1EC">
            <w:pPr>
              <w:adjustRightInd w:val="0"/>
              <w:snapToGrid w:val="0"/>
              <w:spacing w:line="280" w:lineRule="exact"/>
              <w:jc w:val="center"/>
              <w:textAlignment w:val="baseline"/>
              <w:rPr>
                <w:rFonts w:ascii="Times New Roman" w:hAnsi="Times New Roman" w:cs="Times New Roman"/>
                <w:color w:val="auto"/>
                <w:szCs w:val="21"/>
              </w:rPr>
            </w:pPr>
            <w:r>
              <w:rPr>
                <w:rFonts w:hint="eastAsia" w:ascii="Times New Roman" w:hAnsi="Times New Roman" w:cs="Times New Roman"/>
                <w:kern w:val="0"/>
                <w:szCs w:val="21"/>
                <w:lang w:val="en-US" w:eastAsia="zh-CN"/>
              </w:rPr>
              <w:t>1.97</w:t>
            </w:r>
          </w:p>
        </w:tc>
        <w:tc>
          <w:tcPr>
            <w:tcW w:w="1056" w:type="dxa"/>
            <w:tcBorders>
              <w:tl2br w:val="nil"/>
              <w:tr2bl w:val="nil"/>
            </w:tcBorders>
            <w:vAlign w:val="center"/>
          </w:tcPr>
          <w:p w14:paraId="5EA9E57C">
            <w:pPr>
              <w:adjustRightInd w:val="0"/>
              <w:snapToGrid w:val="0"/>
              <w:spacing w:line="280" w:lineRule="exact"/>
              <w:jc w:val="center"/>
              <w:textAlignment w:val="baseline"/>
              <w:rPr>
                <w:rFonts w:ascii="Times New Roman" w:hAnsi="Times New Roman" w:cs="Times New Roman"/>
                <w:color w:val="auto"/>
                <w:szCs w:val="21"/>
              </w:rPr>
            </w:pPr>
            <w:r>
              <w:rPr>
                <w:rFonts w:hint="eastAsia" w:ascii="Times New Roman" w:hAnsi="Times New Roman" w:cs="Times New Roman"/>
                <w:kern w:val="0"/>
                <w:szCs w:val="21"/>
                <w:lang w:val="en-US" w:eastAsia="zh-CN"/>
              </w:rPr>
              <w:t xml:space="preserve">0.134 </w:t>
            </w:r>
          </w:p>
        </w:tc>
        <w:tc>
          <w:tcPr>
            <w:tcW w:w="1409" w:type="dxa"/>
            <w:tcBorders>
              <w:tl2br w:val="nil"/>
              <w:tr2bl w:val="nil"/>
            </w:tcBorders>
            <w:vAlign w:val="center"/>
          </w:tcPr>
          <w:p w14:paraId="3E255B36">
            <w:pPr>
              <w:jc w:val="center"/>
              <w:rPr>
                <w:rFonts w:ascii="Times New Roman" w:hAnsi="Times New Roman" w:cs="Times New Roman"/>
                <w:szCs w:val="21"/>
              </w:rPr>
            </w:pPr>
            <w:r>
              <w:rPr>
                <w:rFonts w:hint="eastAsia" w:ascii="Times New Roman" w:hAnsi="Times New Roman" w:cs="Times New Roman"/>
                <w:szCs w:val="21"/>
              </w:rPr>
              <w:t>120</w:t>
            </w:r>
          </w:p>
        </w:tc>
        <w:tc>
          <w:tcPr>
            <w:tcW w:w="1367" w:type="dxa"/>
            <w:tcBorders>
              <w:tl2br w:val="nil"/>
              <w:tr2bl w:val="nil"/>
            </w:tcBorders>
            <w:vAlign w:val="center"/>
          </w:tcPr>
          <w:p w14:paraId="43740728">
            <w:pPr>
              <w:jc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0</w:t>
            </w:r>
          </w:p>
        </w:tc>
      </w:tr>
      <w:tr w14:paraId="781E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889" w:type="dxa"/>
            <w:vMerge w:val="continue"/>
            <w:tcBorders>
              <w:tl2br w:val="nil"/>
              <w:tr2bl w:val="nil"/>
            </w:tcBorders>
            <w:vAlign w:val="center"/>
          </w:tcPr>
          <w:p w14:paraId="63077CCB">
            <w:pPr>
              <w:jc w:val="center"/>
              <w:rPr>
                <w:rFonts w:ascii="Times New Roman" w:hAnsi="Times New Roman" w:cs="Times New Roman"/>
                <w:szCs w:val="21"/>
              </w:rPr>
            </w:pPr>
          </w:p>
        </w:tc>
        <w:tc>
          <w:tcPr>
            <w:tcW w:w="838" w:type="dxa"/>
            <w:vMerge w:val="continue"/>
            <w:tcBorders>
              <w:tl2br w:val="nil"/>
              <w:tr2bl w:val="nil"/>
            </w:tcBorders>
            <w:vAlign w:val="center"/>
          </w:tcPr>
          <w:p w14:paraId="57BFAD70">
            <w:pPr>
              <w:jc w:val="center"/>
              <w:rPr>
                <w:rFonts w:ascii="Times New Roman" w:hAnsi="Times New Roman" w:cs="Times New Roman"/>
                <w:szCs w:val="21"/>
              </w:rPr>
            </w:pPr>
          </w:p>
        </w:tc>
        <w:tc>
          <w:tcPr>
            <w:tcW w:w="1500" w:type="dxa"/>
            <w:tcBorders>
              <w:tl2br w:val="nil"/>
              <w:tr2bl w:val="nil"/>
            </w:tcBorders>
            <w:vAlign w:val="center"/>
          </w:tcPr>
          <w:p w14:paraId="17A3A237">
            <w:pPr>
              <w:autoSpaceDE w:val="0"/>
              <w:autoSpaceDN w:val="0"/>
              <w:adjustRightInd w:val="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苯</w:t>
            </w:r>
          </w:p>
        </w:tc>
        <w:tc>
          <w:tcPr>
            <w:tcW w:w="2529" w:type="dxa"/>
            <w:vMerge w:val="continue"/>
            <w:tcBorders>
              <w:tl2br w:val="nil"/>
              <w:tr2bl w:val="nil"/>
            </w:tcBorders>
            <w:vAlign w:val="center"/>
          </w:tcPr>
          <w:p w14:paraId="0C2B546C">
            <w:pPr>
              <w:jc w:val="center"/>
              <w:rPr>
                <w:rFonts w:ascii="Times New Roman" w:hAnsi="Times New Roman" w:cs="Times New Roman"/>
                <w:color w:val="000000" w:themeColor="text1"/>
                <w:szCs w:val="21"/>
                <w14:textFill>
                  <w14:solidFill>
                    <w14:schemeClr w14:val="tx1"/>
                  </w14:solidFill>
                </w14:textFill>
              </w:rPr>
            </w:pPr>
          </w:p>
        </w:tc>
        <w:tc>
          <w:tcPr>
            <w:tcW w:w="1014" w:type="dxa"/>
            <w:vMerge w:val="continue"/>
            <w:tcBorders>
              <w:tl2br w:val="nil"/>
              <w:tr2bl w:val="nil"/>
            </w:tcBorders>
            <w:vAlign w:val="center"/>
          </w:tcPr>
          <w:p w14:paraId="7DC7969B">
            <w:pPr>
              <w:jc w:val="center"/>
              <w:rPr>
                <w:rFonts w:ascii="Times New Roman" w:hAnsi="Times New Roman" w:cs="Times New Roman"/>
                <w:szCs w:val="21"/>
              </w:rPr>
            </w:pPr>
          </w:p>
        </w:tc>
        <w:tc>
          <w:tcPr>
            <w:tcW w:w="1104" w:type="dxa"/>
            <w:vMerge w:val="continue"/>
            <w:tcBorders>
              <w:tl2br w:val="nil"/>
              <w:tr2bl w:val="nil"/>
            </w:tcBorders>
            <w:vAlign w:val="center"/>
          </w:tcPr>
          <w:p w14:paraId="7E166882">
            <w:pPr>
              <w:jc w:val="center"/>
              <w:rPr>
                <w:rFonts w:hint="eastAsia" w:ascii="Times New Roman" w:hAnsi="Times New Roman" w:cs="Times New Roman"/>
                <w:kern w:val="0"/>
                <w:szCs w:val="21"/>
              </w:rPr>
            </w:pPr>
          </w:p>
        </w:tc>
        <w:tc>
          <w:tcPr>
            <w:tcW w:w="835" w:type="dxa"/>
            <w:vMerge w:val="continue"/>
            <w:tcBorders>
              <w:tl2br w:val="nil"/>
              <w:tr2bl w:val="nil"/>
            </w:tcBorders>
            <w:vAlign w:val="center"/>
          </w:tcPr>
          <w:p w14:paraId="19AF4D7C">
            <w:pPr>
              <w:jc w:val="center"/>
              <w:rPr>
                <w:rFonts w:hint="eastAsia" w:ascii="Times New Roman" w:hAnsi="Times New Roman" w:cs="Times New Roman"/>
                <w:szCs w:val="21"/>
              </w:rPr>
            </w:pPr>
          </w:p>
        </w:tc>
        <w:tc>
          <w:tcPr>
            <w:tcW w:w="1419" w:type="dxa"/>
            <w:tcBorders>
              <w:tl2br w:val="nil"/>
              <w:tr2bl w:val="nil"/>
            </w:tcBorders>
            <w:vAlign w:val="center"/>
          </w:tcPr>
          <w:p w14:paraId="41FAB2D4">
            <w:pPr>
              <w:adjustRightInd w:val="0"/>
              <w:snapToGrid w:val="0"/>
              <w:spacing w:line="28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cs="Times New Roman"/>
                <w:kern w:val="0"/>
                <w:szCs w:val="21"/>
                <w:lang w:val="en-US" w:eastAsia="zh-CN"/>
              </w:rPr>
              <w:t xml:space="preserve">0.23 </w:t>
            </w:r>
          </w:p>
        </w:tc>
        <w:tc>
          <w:tcPr>
            <w:tcW w:w="1056" w:type="dxa"/>
            <w:tcBorders>
              <w:tl2br w:val="nil"/>
              <w:tr2bl w:val="nil"/>
            </w:tcBorders>
            <w:vAlign w:val="center"/>
          </w:tcPr>
          <w:p w14:paraId="4FCE2FCA">
            <w:pPr>
              <w:adjustRightInd w:val="0"/>
              <w:snapToGrid w:val="0"/>
              <w:spacing w:line="280" w:lineRule="exact"/>
              <w:jc w:val="center"/>
              <w:textAlignment w:val="baseline"/>
              <w:rPr>
                <w:rFonts w:hint="eastAsia" w:ascii="Times New Roman" w:hAnsi="Times New Roman" w:cs="Times New Roman"/>
                <w:color w:val="auto"/>
                <w:kern w:val="0"/>
                <w:szCs w:val="21"/>
              </w:rPr>
            </w:pPr>
            <w:r>
              <w:rPr>
                <w:rFonts w:hint="eastAsia" w:ascii="Times New Roman" w:hAnsi="Times New Roman" w:cs="Times New Roman"/>
                <w:kern w:val="0"/>
                <w:szCs w:val="21"/>
                <w:lang w:val="en-US" w:eastAsia="zh-CN"/>
              </w:rPr>
              <w:t>0.0156</w:t>
            </w:r>
          </w:p>
        </w:tc>
        <w:tc>
          <w:tcPr>
            <w:tcW w:w="1409" w:type="dxa"/>
            <w:tcBorders>
              <w:tl2br w:val="nil"/>
              <w:tr2bl w:val="nil"/>
            </w:tcBorders>
            <w:vAlign w:val="center"/>
          </w:tcPr>
          <w:p w14:paraId="36F596A9">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1.0</w:t>
            </w:r>
          </w:p>
        </w:tc>
        <w:tc>
          <w:tcPr>
            <w:tcW w:w="1367" w:type="dxa"/>
            <w:tcBorders>
              <w:tl2br w:val="nil"/>
              <w:tr2bl w:val="nil"/>
            </w:tcBorders>
            <w:vAlign w:val="center"/>
          </w:tcPr>
          <w:p w14:paraId="52A6B0DA">
            <w:pPr>
              <w:jc w:val="center"/>
              <w:rPr>
                <w:rFonts w:hint="eastAsia" w:ascii="Times New Roman" w:hAnsi="Times New Roman" w:cs="Times New Roman"/>
                <w:szCs w:val="21"/>
              </w:rPr>
            </w:pPr>
            <w:r>
              <w:rPr>
                <w:rFonts w:hint="eastAsia" w:ascii="Times New Roman" w:hAnsi="Times New Roman" w:cs="Times New Roman"/>
                <w:szCs w:val="21"/>
              </w:rPr>
              <w:t>/</w:t>
            </w:r>
          </w:p>
        </w:tc>
      </w:tr>
      <w:tr w14:paraId="6096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889" w:type="dxa"/>
            <w:vMerge w:val="continue"/>
            <w:tcBorders>
              <w:tl2br w:val="nil"/>
              <w:tr2bl w:val="nil"/>
            </w:tcBorders>
            <w:vAlign w:val="center"/>
          </w:tcPr>
          <w:p w14:paraId="2E68DCD1">
            <w:pPr>
              <w:jc w:val="center"/>
              <w:rPr>
                <w:rFonts w:ascii="Times New Roman" w:hAnsi="Times New Roman" w:cs="Times New Roman"/>
                <w:szCs w:val="21"/>
              </w:rPr>
            </w:pPr>
          </w:p>
        </w:tc>
        <w:tc>
          <w:tcPr>
            <w:tcW w:w="838" w:type="dxa"/>
            <w:vMerge w:val="continue"/>
            <w:tcBorders>
              <w:tl2br w:val="nil"/>
              <w:tr2bl w:val="nil"/>
            </w:tcBorders>
            <w:vAlign w:val="center"/>
          </w:tcPr>
          <w:p w14:paraId="0EB72885">
            <w:pPr>
              <w:jc w:val="center"/>
              <w:rPr>
                <w:rFonts w:ascii="Times New Roman" w:hAnsi="Times New Roman" w:cs="Times New Roman"/>
                <w:szCs w:val="21"/>
              </w:rPr>
            </w:pPr>
          </w:p>
        </w:tc>
        <w:tc>
          <w:tcPr>
            <w:tcW w:w="1500" w:type="dxa"/>
            <w:tcBorders>
              <w:tl2br w:val="nil"/>
              <w:tr2bl w:val="nil"/>
            </w:tcBorders>
            <w:vAlign w:val="center"/>
          </w:tcPr>
          <w:p w14:paraId="41FF7580">
            <w:pPr>
              <w:autoSpaceDE w:val="0"/>
              <w:autoSpaceDN w:val="0"/>
              <w:adjustRightInd w:val="0"/>
              <w:jc w:val="center"/>
              <w:rPr>
                <w:rFonts w:ascii="Times New Roman" w:hAnsi="Times New Roman" w:cs="Times New Roman"/>
                <w:szCs w:val="21"/>
              </w:rPr>
            </w:pPr>
            <w:r>
              <w:rPr>
                <w:rFonts w:hint="eastAsia" w:ascii="Times New Roman" w:hAnsi="Times New Roman" w:eastAsia="宋体" w:cs="Times New Roman"/>
                <w:kern w:val="0"/>
                <w:szCs w:val="21"/>
              </w:rPr>
              <w:t>甲苯</w:t>
            </w:r>
          </w:p>
        </w:tc>
        <w:tc>
          <w:tcPr>
            <w:tcW w:w="2529" w:type="dxa"/>
            <w:vMerge w:val="continue"/>
            <w:tcBorders>
              <w:tl2br w:val="nil"/>
              <w:tr2bl w:val="nil"/>
            </w:tcBorders>
            <w:vAlign w:val="center"/>
          </w:tcPr>
          <w:p w14:paraId="025E9130">
            <w:pPr>
              <w:jc w:val="center"/>
              <w:rPr>
                <w:rFonts w:ascii="Times New Roman" w:hAnsi="Times New Roman" w:cs="Times New Roman"/>
                <w:szCs w:val="21"/>
              </w:rPr>
            </w:pPr>
          </w:p>
        </w:tc>
        <w:tc>
          <w:tcPr>
            <w:tcW w:w="1014" w:type="dxa"/>
            <w:vMerge w:val="continue"/>
            <w:tcBorders>
              <w:tl2br w:val="nil"/>
              <w:tr2bl w:val="nil"/>
            </w:tcBorders>
            <w:vAlign w:val="center"/>
          </w:tcPr>
          <w:p w14:paraId="09DAE450">
            <w:pPr>
              <w:jc w:val="center"/>
              <w:rPr>
                <w:rFonts w:ascii="Times New Roman" w:hAnsi="Times New Roman" w:cs="Times New Roman"/>
                <w:szCs w:val="21"/>
              </w:rPr>
            </w:pPr>
          </w:p>
        </w:tc>
        <w:tc>
          <w:tcPr>
            <w:tcW w:w="1104" w:type="dxa"/>
            <w:vMerge w:val="continue"/>
            <w:tcBorders>
              <w:tl2br w:val="nil"/>
              <w:tr2bl w:val="nil"/>
            </w:tcBorders>
            <w:vAlign w:val="center"/>
          </w:tcPr>
          <w:p w14:paraId="5AD456E5">
            <w:pPr>
              <w:jc w:val="center"/>
              <w:rPr>
                <w:rFonts w:ascii="Times New Roman" w:hAnsi="Times New Roman" w:cs="Times New Roman"/>
                <w:szCs w:val="21"/>
                <w:u w:val="single"/>
              </w:rPr>
            </w:pPr>
          </w:p>
        </w:tc>
        <w:tc>
          <w:tcPr>
            <w:tcW w:w="835" w:type="dxa"/>
            <w:vMerge w:val="continue"/>
            <w:tcBorders>
              <w:tl2br w:val="nil"/>
              <w:tr2bl w:val="nil"/>
            </w:tcBorders>
            <w:vAlign w:val="center"/>
          </w:tcPr>
          <w:p w14:paraId="3BB512F5">
            <w:pPr>
              <w:jc w:val="center"/>
              <w:rPr>
                <w:rFonts w:ascii="Times New Roman" w:hAnsi="Times New Roman" w:cs="Times New Roman"/>
                <w:szCs w:val="21"/>
                <w:u w:val="single"/>
              </w:rPr>
            </w:pPr>
          </w:p>
        </w:tc>
        <w:tc>
          <w:tcPr>
            <w:tcW w:w="1419" w:type="dxa"/>
            <w:tcBorders>
              <w:tl2br w:val="nil"/>
              <w:tr2bl w:val="nil"/>
            </w:tcBorders>
            <w:vAlign w:val="center"/>
          </w:tcPr>
          <w:p w14:paraId="5B2FED46">
            <w:pPr>
              <w:adjustRightInd w:val="0"/>
              <w:snapToGrid w:val="0"/>
              <w:spacing w:line="280" w:lineRule="exact"/>
              <w:jc w:val="center"/>
              <w:textAlignment w:val="baseline"/>
              <w:rPr>
                <w:rFonts w:hint="default" w:ascii="Times New Roman" w:hAnsi="Times New Roman" w:cs="Times New Roman"/>
                <w:color w:val="auto"/>
                <w:szCs w:val="21"/>
                <w:lang w:val="en-US"/>
              </w:rPr>
            </w:pPr>
            <w:r>
              <w:rPr>
                <w:rFonts w:hint="eastAsia" w:ascii="Times New Roman" w:hAnsi="Times New Roman" w:cs="Times New Roman"/>
                <w:kern w:val="0"/>
                <w:szCs w:val="21"/>
                <w:lang w:val="en-US" w:eastAsia="zh-CN"/>
              </w:rPr>
              <w:t>1.05</w:t>
            </w:r>
          </w:p>
        </w:tc>
        <w:tc>
          <w:tcPr>
            <w:tcW w:w="1056" w:type="dxa"/>
            <w:tcBorders>
              <w:tl2br w:val="nil"/>
              <w:tr2bl w:val="nil"/>
            </w:tcBorders>
            <w:vAlign w:val="center"/>
          </w:tcPr>
          <w:p w14:paraId="628B20D4">
            <w:pPr>
              <w:adjustRightInd w:val="0"/>
              <w:snapToGrid w:val="0"/>
              <w:spacing w:line="280" w:lineRule="exact"/>
              <w:jc w:val="center"/>
              <w:textAlignment w:val="baseline"/>
              <w:rPr>
                <w:rFonts w:ascii="Times New Roman" w:hAnsi="Times New Roman" w:cs="Times New Roman"/>
                <w:color w:val="auto"/>
                <w:szCs w:val="21"/>
              </w:rPr>
            </w:pPr>
            <w:r>
              <w:rPr>
                <w:rFonts w:hint="eastAsia" w:ascii="Times New Roman" w:hAnsi="Times New Roman" w:cs="Times New Roman"/>
                <w:kern w:val="0"/>
                <w:szCs w:val="21"/>
                <w:lang w:val="en-US" w:eastAsia="zh-CN"/>
              </w:rPr>
              <w:t>0.0716</w:t>
            </w:r>
          </w:p>
        </w:tc>
        <w:tc>
          <w:tcPr>
            <w:tcW w:w="1409" w:type="dxa"/>
            <w:tcBorders>
              <w:tl2br w:val="nil"/>
              <w:tr2bl w:val="nil"/>
            </w:tcBorders>
            <w:vAlign w:val="center"/>
          </w:tcPr>
          <w:p w14:paraId="27DB0938">
            <w:pPr>
              <w:jc w:val="center"/>
              <w:rPr>
                <w:rFonts w:ascii="Times New Roman" w:hAnsi="Times New Roman" w:cs="Times New Roman"/>
                <w:szCs w:val="21"/>
              </w:rPr>
            </w:pPr>
            <w:r>
              <w:rPr>
                <w:rFonts w:hint="eastAsia" w:ascii="Times New Roman" w:hAnsi="Times New Roman" w:eastAsia="宋体" w:cs="Times New Roman"/>
                <w:szCs w:val="21"/>
              </w:rPr>
              <w:t>与二甲苯之和小于20</w:t>
            </w:r>
          </w:p>
        </w:tc>
        <w:tc>
          <w:tcPr>
            <w:tcW w:w="1367" w:type="dxa"/>
            <w:tcBorders>
              <w:tl2br w:val="nil"/>
              <w:tr2bl w:val="nil"/>
            </w:tcBorders>
            <w:vAlign w:val="center"/>
          </w:tcPr>
          <w:p w14:paraId="78CC3186">
            <w:pPr>
              <w:jc w:val="center"/>
              <w:rPr>
                <w:rFonts w:ascii="Times New Roman" w:hAnsi="Times New Roman" w:cs="Times New Roman"/>
                <w:szCs w:val="21"/>
              </w:rPr>
            </w:pPr>
            <w:r>
              <w:rPr>
                <w:rFonts w:hint="eastAsia" w:ascii="Times New Roman" w:hAnsi="Times New Roman" w:cs="Times New Roman"/>
                <w:szCs w:val="21"/>
              </w:rPr>
              <w:t>/</w:t>
            </w:r>
          </w:p>
        </w:tc>
      </w:tr>
      <w:tr w14:paraId="4028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89" w:type="dxa"/>
            <w:vMerge w:val="continue"/>
            <w:tcBorders>
              <w:tl2br w:val="nil"/>
              <w:tr2bl w:val="nil"/>
            </w:tcBorders>
            <w:vAlign w:val="center"/>
          </w:tcPr>
          <w:p w14:paraId="6D6C414E">
            <w:pPr>
              <w:jc w:val="center"/>
              <w:rPr>
                <w:rFonts w:ascii="Times New Roman" w:hAnsi="Times New Roman" w:cs="Times New Roman"/>
                <w:szCs w:val="21"/>
              </w:rPr>
            </w:pPr>
          </w:p>
        </w:tc>
        <w:tc>
          <w:tcPr>
            <w:tcW w:w="838" w:type="dxa"/>
            <w:vMerge w:val="continue"/>
            <w:tcBorders>
              <w:tl2br w:val="nil"/>
              <w:tr2bl w:val="nil"/>
            </w:tcBorders>
            <w:vAlign w:val="center"/>
          </w:tcPr>
          <w:p w14:paraId="3704B441">
            <w:pPr>
              <w:jc w:val="center"/>
              <w:rPr>
                <w:rFonts w:ascii="Times New Roman" w:hAnsi="Times New Roman" w:cs="Times New Roman"/>
                <w:szCs w:val="21"/>
              </w:rPr>
            </w:pPr>
          </w:p>
        </w:tc>
        <w:tc>
          <w:tcPr>
            <w:tcW w:w="1500" w:type="dxa"/>
            <w:tcBorders>
              <w:tl2br w:val="nil"/>
              <w:tr2bl w:val="nil"/>
            </w:tcBorders>
            <w:vAlign w:val="center"/>
          </w:tcPr>
          <w:p w14:paraId="32005F50">
            <w:pPr>
              <w:widowControl/>
              <w:jc w:val="center"/>
              <w:textAlignment w:val="center"/>
              <w:rPr>
                <w:rFonts w:ascii="Times New Roman" w:hAnsi="Times New Roman" w:cs="Times New Roman"/>
                <w:szCs w:val="21"/>
              </w:rPr>
            </w:pPr>
            <w:r>
              <w:rPr>
                <w:rFonts w:hint="eastAsia" w:ascii="宋体" w:hAnsi="宋体" w:eastAsia="宋体" w:cs="宋体"/>
                <w:color w:val="000000"/>
                <w:kern w:val="0"/>
                <w:sz w:val="22"/>
                <w:szCs w:val="22"/>
                <w:lang w:bidi="ar"/>
              </w:rPr>
              <w:t>二甲苯</w:t>
            </w:r>
          </w:p>
        </w:tc>
        <w:tc>
          <w:tcPr>
            <w:tcW w:w="2529" w:type="dxa"/>
            <w:vMerge w:val="continue"/>
            <w:tcBorders>
              <w:tl2br w:val="nil"/>
              <w:tr2bl w:val="nil"/>
            </w:tcBorders>
            <w:vAlign w:val="center"/>
          </w:tcPr>
          <w:p w14:paraId="7C95150B">
            <w:pPr>
              <w:jc w:val="center"/>
              <w:rPr>
                <w:rFonts w:ascii="Times New Roman" w:hAnsi="Times New Roman" w:cs="Times New Roman"/>
                <w:szCs w:val="21"/>
              </w:rPr>
            </w:pPr>
          </w:p>
        </w:tc>
        <w:tc>
          <w:tcPr>
            <w:tcW w:w="1014" w:type="dxa"/>
            <w:vMerge w:val="continue"/>
            <w:tcBorders>
              <w:tl2br w:val="nil"/>
              <w:tr2bl w:val="nil"/>
            </w:tcBorders>
            <w:vAlign w:val="center"/>
          </w:tcPr>
          <w:p w14:paraId="53903091">
            <w:pPr>
              <w:jc w:val="center"/>
              <w:rPr>
                <w:rFonts w:ascii="Times New Roman" w:hAnsi="Times New Roman" w:cs="Times New Roman"/>
                <w:szCs w:val="21"/>
              </w:rPr>
            </w:pPr>
          </w:p>
        </w:tc>
        <w:tc>
          <w:tcPr>
            <w:tcW w:w="1104" w:type="dxa"/>
            <w:vMerge w:val="continue"/>
            <w:tcBorders>
              <w:tl2br w:val="nil"/>
              <w:tr2bl w:val="nil"/>
            </w:tcBorders>
            <w:vAlign w:val="center"/>
          </w:tcPr>
          <w:p w14:paraId="18A6C871">
            <w:pPr>
              <w:jc w:val="center"/>
              <w:rPr>
                <w:rFonts w:ascii="Times New Roman" w:hAnsi="Times New Roman" w:cs="Times New Roman"/>
                <w:szCs w:val="21"/>
                <w:u w:val="single"/>
              </w:rPr>
            </w:pPr>
          </w:p>
        </w:tc>
        <w:tc>
          <w:tcPr>
            <w:tcW w:w="835" w:type="dxa"/>
            <w:vMerge w:val="continue"/>
            <w:tcBorders>
              <w:tl2br w:val="nil"/>
              <w:tr2bl w:val="nil"/>
            </w:tcBorders>
            <w:vAlign w:val="center"/>
          </w:tcPr>
          <w:p w14:paraId="09246D8B">
            <w:pPr>
              <w:jc w:val="center"/>
              <w:rPr>
                <w:rFonts w:ascii="Times New Roman" w:hAnsi="Times New Roman" w:cs="Times New Roman"/>
                <w:szCs w:val="21"/>
                <w:u w:val="single"/>
              </w:rPr>
            </w:pPr>
          </w:p>
        </w:tc>
        <w:tc>
          <w:tcPr>
            <w:tcW w:w="1419" w:type="dxa"/>
            <w:tcBorders>
              <w:tl2br w:val="nil"/>
              <w:tr2bl w:val="nil"/>
            </w:tcBorders>
            <w:vAlign w:val="center"/>
          </w:tcPr>
          <w:p w14:paraId="749A3613">
            <w:pPr>
              <w:adjustRightInd w:val="0"/>
              <w:snapToGrid w:val="0"/>
              <w:spacing w:line="280" w:lineRule="exact"/>
              <w:jc w:val="center"/>
              <w:textAlignment w:val="baseline"/>
              <w:rPr>
                <w:rFonts w:hint="default" w:ascii="Times New Roman" w:hAnsi="Times New Roman" w:cs="Times New Roman"/>
                <w:color w:val="auto"/>
                <w:szCs w:val="21"/>
                <w:lang w:val="en-US"/>
              </w:rPr>
            </w:pPr>
            <w:r>
              <w:rPr>
                <w:rFonts w:hint="eastAsia" w:ascii="Times New Roman" w:hAnsi="Times New Roman" w:cs="Times New Roman"/>
                <w:kern w:val="0"/>
                <w:szCs w:val="21"/>
                <w:lang w:val="en-US" w:eastAsia="zh-CN"/>
              </w:rPr>
              <w:t>2.34</w:t>
            </w:r>
          </w:p>
        </w:tc>
        <w:tc>
          <w:tcPr>
            <w:tcW w:w="1056" w:type="dxa"/>
            <w:tcBorders>
              <w:tl2br w:val="nil"/>
              <w:tr2bl w:val="nil"/>
            </w:tcBorders>
            <w:vAlign w:val="center"/>
          </w:tcPr>
          <w:p w14:paraId="6CD15D82">
            <w:pPr>
              <w:adjustRightInd w:val="0"/>
              <w:snapToGrid w:val="0"/>
              <w:spacing w:line="280" w:lineRule="exact"/>
              <w:jc w:val="center"/>
              <w:textAlignment w:val="baseline"/>
              <w:rPr>
                <w:rFonts w:ascii="Times New Roman" w:hAnsi="Times New Roman" w:cs="Times New Roman"/>
                <w:color w:val="auto"/>
                <w:szCs w:val="21"/>
              </w:rPr>
            </w:pPr>
            <w:r>
              <w:rPr>
                <w:rFonts w:hint="eastAsia" w:ascii="Times New Roman" w:hAnsi="Times New Roman" w:cs="Times New Roman"/>
                <w:kern w:val="0"/>
                <w:szCs w:val="21"/>
                <w:lang w:val="en-US" w:eastAsia="zh-CN"/>
              </w:rPr>
              <w:t>0.1588</w:t>
            </w:r>
          </w:p>
        </w:tc>
        <w:tc>
          <w:tcPr>
            <w:tcW w:w="1409" w:type="dxa"/>
            <w:tcBorders>
              <w:tl2br w:val="nil"/>
              <w:tr2bl w:val="nil"/>
            </w:tcBorders>
            <w:vAlign w:val="center"/>
          </w:tcPr>
          <w:p w14:paraId="3EBE9820">
            <w:pPr>
              <w:jc w:val="center"/>
              <w:rPr>
                <w:rFonts w:ascii="Times New Roman" w:hAnsi="Times New Roman" w:cs="Times New Roman"/>
                <w:szCs w:val="21"/>
              </w:rPr>
            </w:pPr>
            <w:r>
              <w:rPr>
                <w:rFonts w:hint="eastAsia" w:ascii="Times New Roman" w:hAnsi="Times New Roman" w:eastAsia="宋体" w:cs="Times New Roman"/>
                <w:szCs w:val="21"/>
              </w:rPr>
              <w:t>与甲苯之和小于20</w:t>
            </w:r>
          </w:p>
        </w:tc>
        <w:tc>
          <w:tcPr>
            <w:tcW w:w="1367" w:type="dxa"/>
            <w:tcBorders>
              <w:tl2br w:val="nil"/>
              <w:tr2bl w:val="nil"/>
            </w:tcBorders>
            <w:vAlign w:val="center"/>
          </w:tcPr>
          <w:p w14:paraId="22653B24">
            <w:pPr>
              <w:jc w:val="center"/>
              <w:rPr>
                <w:rFonts w:ascii="Times New Roman" w:hAnsi="Times New Roman" w:cs="Times New Roman"/>
                <w:szCs w:val="21"/>
              </w:rPr>
            </w:pPr>
            <w:r>
              <w:rPr>
                <w:rFonts w:hint="eastAsia" w:ascii="Times New Roman" w:hAnsi="Times New Roman" w:cs="Times New Roman"/>
                <w:szCs w:val="21"/>
              </w:rPr>
              <w:t>/</w:t>
            </w:r>
          </w:p>
        </w:tc>
      </w:tr>
      <w:tr w14:paraId="53A0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889" w:type="dxa"/>
            <w:vMerge w:val="continue"/>
            <w:tcBorders>
              <w:tl2br w:val="nil"/>
              <w:tr2bl w:val="nil"/>
            </w:tcBorders>
            <w:vAlign w:val="center"/>
          </w:tcPr>
          <w:p w14:paraId="4AD409DD">
            <w:pPr>
              <w:jc w:val="center"/>
              <w:rPr>
                <w:rFonts w:ascii="Times New Roman" w:hAnsi="Times New Roman" w:cs="Times New Roman"/>
                <w:szCs w:val="21"/>
              </w:rPr>
            </w:pPr>
          </w:p>
        </w:tc>
        <w:tc>
          <w:tcPr>
            <w:tcW w:w="838" w:type="dxa"/>
            <w:vMerge w:val="continue"/>
            <w:tcBorders>
              <w:tl2br w:val="nil"/>
              <w:tr2bl w:val="nil"/>
            </w:tcBorders>
            <w:vAlign w:val="center"/>
          </w:tcPr>
          <w:p w14:paraId="747E08E1">
            <w:pPr>
              <w:jc w:val="center"/>
              <w:rPr>
                <w:rFonts w:ascii="Times New Roman" w:hAnsi="Times New Roman" w:cs="Times New Roman"/>
                <w:szCs w:val="21"/>
              </w:rPr>
            </w:pPr>
          </w:p>
        </w:tc>
        <w:tc>
          <w:tcPr>
            <w:tcW w:w="1500" w:type="dxa"/>
            <w:tcBorders>
              <w:tl2br w:val="nil"/>
              <w:tr2bl w:val="nil"/>
            </w:tcBorders>
            <w:vAlign w:val="center"/>
          </w:tcPr>
          <w:p w14:paraId="0C22DE9E">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非甲烷总烃</w:t>
            </w:r>
          </w:p>
        </w:tc>
        <w:tc>
          <w:tcPr>
            <w:tcW w:w="2529" w:type="dxa"/>
            <w:vMerge w:val="continue"/>
            <w:tcBorders>
              <w:tl2br w:val="nil"/>
              <w:tr2bl w:val="nil"/>
            </w:tcBorders>
            <w:vAlign w:val="center"/>
          </w:tcPr>
          <w:p w14:paraId="13F3930A">
            <w:pPr>
              <w:jc w:val="center"/>
              <w:rPr>
                <w:rFonts w:ascii="Times New Roman" w:hAnsi="Times New Roman" w:cs="Times New Roman"/>
                <w:szCs w:val="21"/>
              </w:rPr>
            </w:pPr>
          </w:p>
        </w:tc>
        <w:tc>
          <w:tcPr>
            <w:tcW w:w="1014" w:type="dxa"/>
            <w:vMerge w:val="continue"/>
            <w:tcBorders>
              <w:tl2br w:val="nil"/>
              <w:tr2bl w:val="nil"/>
            </w:tcBorders>
            <w:vAlign w:val="center"/>
          </w:tcPr>
          <w:p w14:paraId="2C1B0B57">
            <w:pPr>
              <w:jc w:val="center"/>
              <w:rPr>
                <w:rFonts w:ascii="Times New Roman" w:hAnsi="Times New Roman" w:cs="Times New Roman"/>
                <w:szCs w:val="21"/>
              </w:rPr>
            </w:pPr>
          </w:p>
        </w:tc>
        <w:tc>
          <w:tcPr>
            <w:tcW w:w="1104" w:type="dxa"/>
            <w:vMerge w:val="continue"/>
            <w:tcBorders>
              <w:tl2br w:val="nil"/>
              <w:tr2bl w:val="nil"/>
            </w:tcBorders>
            <w:vAlign w:val="center"/>
          </w:tcPr>
          <w:p w14:paraId="563C0EB6">
            <w:pPr>
              <w:jc w:val="center"/>
              <w:rPr>
                <w:rFonts w:ascii="Times New Roman" w:hAnsi="Times New Roman" w:cs="Times New Roman"/>
                <w:szCs w:val="21"/>
                <w:u w:val="single"/>
              </w:rPr>
            </w:pPr>
          </w:p>
        </w:tc>
        <w:tc>
          <w:tcPr>
            <w:tcW w:w="835" w:type="dxa"/>
            <w:vMerge w:val="continue"/>
            <w:tcBorders>
              <w:tl2br w:val="nil"/>
              <w:tr2bl w:val="nil"/>
            </w:tcBorders>
            <w:vAlign w:val="center"/>
          </w:tcPr>
          <w:p w14:paraId="19D15B62">
            <w:pPr>
              <w:jc w:val="center"/>
              <w:rPr>
                <w:rFonts w:ascii="Times New Roman" w:hAnsi="Times New Roman" w:cs="Times New Roman"/>
                <w:szCs w:val="21"/>
                <w:u w:val="single"/>
              </w:rPr>
            </w:pPr>
          </w:p>
        </w:tc>
        <w:tc>
          <w:tcPr>
            <w:tcW w:w="1419" w:type="dxa"/>
            <w:tcBorders>
              <w:tl2br w:val="nil"/>
              <w:tr2bl w:val="nil"/>
            </w:tcBorders>
            <w:vAlign w:val="center"/>
          </w:tcPr>
          <w:p w14:paraId="7E82C6B9">
            <w:pPr>
              <w:adjustRightInd w:val="0"/>
              <w:snapToGrid w:val="0"/>
              <w:spacing w:line="280" w:lineRule="exact"/>
              <w:jc w:val="center"/>
              <w:textAlignment w:val="baseline"/>
              <w:rPr>
                <w:rFonts w:hint="default" w:ascii="Times New Roman" w:hAnsi="Times New Roman" w:eastAsia="宋体" w:cs="Times New Roman"/>
                <w:color w:val="auto"/>
                <w:kern w:val="0"/>
                <w:szCs w:val="21"/>
                <w:lang w:val="en-US" w:bidi="ar"/>
              </w:rPr>
            </w:pPr>
            <w:r>
              <w:rPr>
                <w:rFonts w:hint="eastAsia" w:ascii="Times New Roman" w:hAnsi="Times New Roman" w:cs="Times New Roman"/>
                <w:kern w:val="0"/>
                <w:szCs w:val="21"/>
                <w:lang w:val="en-US" w:eastAsia="zh-CN"/>
              </w:rPr>
              <w:t>19.88</w:t>
            </w:r>
          </w:p>
        </w:tc>
        <w:tc>
          <w:tcPr>
            <w:tcW w:w="1056" w:type="dxa"/>
            <w:tcBorders>
              <w:tl2br w:val="nil"/>
              <w:tr2bl w:val="nil"/>
            </w:tcBorders>
            <w:vAlign w:val="center"/>
          </w:tcPr>
          <w:p w14:paraId="7C6C162B">
            <w:pPr>
              <w:adjustRightInd w:val="0"/>
              <w:snapToGrid w:val="0"/>
              <w:spacing w:line="280" w:lineRule="exact"/>
              <w:jc w:val="center"/>
              <w:textAlignment w:val="baseline"/>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val="en-US" w:eastAsia="zh-CN"/>
              </w:rPr>
              <w:t>1.352</w:t>
            </w:r>
          </w:p>
        </w:tc>
        <w:tc>
          <w:tcPr>
            <w:tcW w:w="1409" w:type="dxa"/>
            <w:tcBorders>
              <w:tl2br w:val="nil"/>
              <w:tr2bl w:val="nil"/>
            </w:tcBorders>
            <w:vAlign w:val="center"/>
          </w:tcPr>
          <w:p w14:paraId="4C33B327">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szCs w:val="21"/>
                <w:lang w:val="en-US" w:eastAsia="zh-CN"/>
              </w:rPr>
              <w:t>60</w:t>
            </w:r>
          </w:p>
        </w:tc>
        <w:tc>
          <w:tcPr>
            <w:tcW w:w="1367" w:type="dxa"/>
            <w:tcBorders>
              <w:tl2br w:val="nil"/>
              <w:tr2bl w:val="nil"/>
            </w:tcBorders>
            <w:vAlign w:val="center"/>
          </w:tcPr>
          <w:p w14:paraId="5B74A698">
            <w:pPr>
              <w:jc w:val="center"/>
              <w:rPr>
                <w:rFonts w:ascii="Times New Roman" w:hAnsi="Times New Roman" w:cs="Times New Roman"/>
                <w:szCs w:val="21"/>
              </w:rPr>
            </w:pPr>
            <w:r>
              <w:rPr>
                <w:rFonts w:hint="eastAsia" w:ascii="Times New Roman" w:hAnsi="Times New Roman" w:cs="Times New Roman"/>
                <w:szCs w:val="21"/>
              </w:rPr>
              <w:t>20</w:t>
            </w:r>
          </w:p>
        </w:tc>
      </w:tr>
      <w:tr w14:paraId="598D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27" w:type="dxa"/>
            <w:gridSpan w:val="2"/>
            <w:vMerge w:val="restart"/>
            <w:tcBorders>
              <w:tl2br w:val="nil"/>
              <w:tr2bl w:val="nil"/>
            </w:tcBorders>
            <w:vAlign w:val="center"/>
          </w:tcPr>
          <w:p w14:paraId="201D980B">
            <w:pPr>
              <w:jc w:val="center"/>
              <w:rPr>
                <w:rFonts w:ascii="Times New Roman" w:hAnsi="Times New Roman" w:cs="Times New Roman"/>
                <w:szCs w:val="21"/>
              </w:rPr>
            </w:pPr>
            <w:r>
              <w:rPr>
                <w:rFonts w:hint="eastAsia" w:ascii="Times New Roman" w:hAnsi="Times New Roman" w:eastAsia="宋体" w:cs="Times New Roman"/>
                <w:szCs w:val="21"/>
              </w:rPr>
              <w:t>生产车间（无组织）</w:t>
            </w:r>
          </w:p>
        </w:tc>
        <w:tc>
          <w:tcPr>
            <w:tcW w:w="1500" w:type="dxa"/>
            <w:tcBorders>
              <w:tl2br w:val="nil"/>
              <w:tr2bl w:val="nil"/>
            </w:tcBorders>
            <w:vAlign w:val="center"/>
          </w:tcPr>
          <w:p w14:paraId="0F912FA2">
            <w:pPr>
              <w:jc w:val="center"/>
              <w:rPr>
                <w:rFonts w:ascii="宋体" w:hAnsi="宋体" w:eastAsia="宋体" w:cs="宋体"/>
                <w:color w:val="000000"/>
                <w:kern w:val="0"/>
                <w:sz w:val="22"/>
                <w:szCs w:val="22"/>
                <w:lang w:bidi="ar"/>
              </w:rPr>
            </w:pPr>
            <w:r>
              <w:rPr>
                <w:rFonts w:hint="eastAsia" w:ascii="Times New Roman" w:hAnsi="Times New Roman" w:eastAsia="宋体" w:cs="Times New Roman"/>
                <w:kern w:val="0"/>
                <w:szCs w:val="21"/>
              </w:rPr>
              <w:t>颗粒物</w:t>
            </w:r>
          </w:p>
        </w:tc>
        <w:tc>
          <w:tcPr>
            <w:tcW w:w="4647" w:type="dxa"/>
            <w:gridSpan w:val="3"/>
            <w:vMerge w:val="restart"/>
            <w:tcBorders>
              <w:tl2br w:val="nil"/>
              <w:tr2bl w:val="nil"/>
            </w:tcBorders>
            <w:vAlign w:val="center"/>
          </w:tcPr>
          <w:p w14:paraId="6CC7CD54">
            <w:pPr>
              <w:jc w:val="center"/>
              <w:rPr>
                <w:rFonts w:ascii="Times New Roman" w:hAnsi="Times New Roman" w:cs="Times New Roman"/>
                <w:szCs w:val="21"/>
              </w:rPr>
            </w:pPr>
            <w:r>
              <w:rPr>
                <w:rFonts w:ascii="Times New Roman" w:hAnsi="Times New Roman" w:cs="Times New Roman"/>
                <w:szCs w:val="21"/>
              </w:rPr>
              <w:t>面源长宽高</w:t>
            </w:r>
            <w:r>
              <w:rPr>
                <w:rFonts w:hint="eastAsia" w:ascii="Times New Roman" w:hAnsi="Times New Roman" w:cs="Times New Roman"/>
                <w:szCs w:val="21"/>
              </w:rPr>
              <w:t>175</w:t>
            </w:r>
            <w:r>
              <w:rPr>
                <w:rFonts w:ascii="Times New Roman" w:hAnsi="Times New Roman" w:cs="Times New Roman"/>
                <w:szCs w:val="21"/>
              </w:rPr>
              <w:t>m×</w:t>
            </w:r>
            <w:r>
              <w:rPr>
                <w:rFonts w:hint="eastAsia" w:ascii="Times New Roman" w:hAnsi="Times New Roman" w:cs="Times New Roman"/>
                <w:szCs w:val="21"/>
              </w:rPr>
              <w:t>45</w:t>
            </w:r>
            <w:r>
              <w:rPr>
                <w:rFonts w:ascii="Times New Roman" w:hAnsi="Times New Roman" w:cs="Times New Roman"/>
                <w:szCs w:val="21"/>
              </w:rPr>
              <w:t>m×</w:t>
            </w:r>
            <w:r>
              <w:rPr>
                <w:rFonts w:hint="eastAsia" w:ascii="Times New Roman" w:hAnsi="Times New Roman" w:cs="Times New Roman"/>
                <w:szCs w:val="21"/>
              </w:rPr>
              <w:t>10</w:t>
            </w:r>
            <w:r>
              <w:rPr>
                <w:rFonts w:ascii="Times New Roman" w:hAnsi="Times New Roman" w:cs="Times New Roman"/>
                <w:szCs w:val="21"/>
              </w:rPr>
              <w:t>m</w:t>
            </w:r>
          </w:p>
        </w:tc>
        <w:tc>
          <w:tcPr>
            <w:tcW w:w="835" w:type="dxa"/>
            <w:vMerge w:val="restart"/>
            <w:tcBorders>
              <w:tl2br w:val="nil"/>
              <w:tr2bl w:val="nil"/>
            </w:tcBorders>
            <w:vAlign w:val="center"/>
          </w:tcPr>
          <w:p w14:paraId="27DBD2AF">
            <w:pPr>
              <w:jc w:val="center"/>
              <w:rPr>
                <w:rFonts w:ascii="Times New Roman" w:hAnsi="Times New Roman" w:cs="Times New Roman"/>
                <w:szCs w:val="21"/>
              </w:rPr>
            </w:pPr>
            <w:r>
              <w:rPr>
                <w:rFonts w:hint="eastAsia" w:ascii="Times New Roman" w:hAnsi="Times New Roman" w:cs="Times New Roman"/>
                <w:szCs w:val="21"/>
              </w:rPr>
              <w:t>生产期间</w:t>
            </w:r>
            <w:r>
              <w:rPr>
                <w:rFonts w:ascii="Times New Roman" w:hAnsi="Times New Roman" w:cs="Times New Roman"/>
                <w:szCs w:val="21"/>
              </w:rPr>
              <w:t>连续</w:t>
            </w:r>
            <w:r>
              <w:rPr>
                <w:rFonts w:hint="eastAsia" w:ascii="Times New Roman" w:hAnsi="Times New Roman" w:cs="Times New Roman"/>
                <w:szCs w:val="21"/>
              </w:rPr>
              <w:t>排放</w:t>
            </w:r>
          </w:p>
        </w:tc>
        <w:tc>
          <w:tcPr>
            <w:tcW w:w="1419" w:type="dxa"/>
            <w:tcBorders>
              <w:tl2br w:val="nil"/>
              <w:tr2bl w:val="nil"/>
            </w:tcBorders>
            <w:vAlign w:val="center"/>
          </w:tcPr>
          <w:p w14:paraId="0AFC4C82">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056" w:type="dxa"/>
            <w:tcBorders>
              <w:tl2br w:val="nil"/>
              <w:tr2bl w:val="nil"/>
            </w:tcBorders>
            <w:vAlign w:val="center"/>
          </w:tcPr>
          <w:p w14:paraId="08082D82">
            <w:pPr>
              <w:jc w:val="center"/>
              <w:rPr>
                <w:rFonts w:ascii="Times New Roman" w:hAnsi="Times New Roman" w:cs="Times New Roman"/>
                <w:color w:val="auto"/>
                <w:szCs w:val="21"/>
              </w:rPr>
            </w:pPr>
            <w:r>
              <w:rPr>
                <w:rFonts w:hint="eastAsia" w:ascii="Times New Roman" w:hAnsi="Times New Roman" w:cs="Times New Roman"/>
                <w:kern w:val="0"/>
                <w:szCs w:val="21"/>
                <w:lang w:val="en-US" w:eastAsia="zh-CN"/>
              </w:rPr>
              <w:t xml:space="preserve">0.071 </w:t>
            </w:r>
          </w:p>
        </w:tc>
        <w:tc>
          <w:tcPr>
            <w:tcW w:w="1409" w:type="dxa"/>
            <w:tcBorders>
              <w:tl2br w:val="nil"/>
              <w:tr2bl w:val="nil"/>
            </w:tcBorders>
            <w:vAlign w:val="center"/>
          </w:tcPr>
          <w:p w14:paraId="0124221B">
            <w:pPr>
              <w:jc w:val="center"/>
              <w:rPr>
                <w:rFonts w:ascii="Times New Roman" w:hAnsi="Times New Roman" w:cs="Times New Roman"/>
                <w:szCs w:val="21"/>
              </w:rPr>
            </w:pPr>
            <w:r>
              <w:rPr>
                <w:rFonts w:ascii="Times New Roman" w:hAnsi="Times New Roman" w:eastAsia="宋体" w:cs="Times New Roman"/>
                <w:szCs w:val="21"/>
              </w:rPr>
              <w:t>1.0</w:t>
            </w:r>
          </w:p>
        </w:tc>
        <w:tc>
          <w:tcPr>
            <w:tcW w:w="1367" w:type="dxa"/>
            <w:tcBorders>
              <w:tl2br w:val="nil"/>
              <w:tr2bl w:val="nil"/>
            </w:tcBorders>
            <w:vAlign w:val="center"/>
          </w:tcPr>
          <w:p w14:paraId="54965789">
            <w:pPr>
              <w:jc w:val="center"/>
              <w:rPr>
                <w:rFonts w:ascii="Times New Roman" w:hAnsi="Times New Roman" w:cs="Times New Roman"/>
                <w:szCs w:val="21"/>
              </w:rPr>
            </w:pPr>
            <w:r>
              <w:rPr>
                <w:rFonts w:hint="eastAsia" w:ascii="Times New Roman" w:hAnsi="Times New Roman" w:cs="Times New Roman"/>
                <w:szCs w:val="21"/>
              </w:rPr>
              <w:t>/</w:t>
            </w:r>
          </w:p>
        </w:tc>
      </w:tr>
      <w:tr w14:paraId="397A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27" w:type="dxa"/>
            <w:gridSpan w:val="2"/>
            <w:vMerge w:val="continue"/>
            <w:tcBorders>
              <w:tl2br w:val="nil"/>
              <w:tr2bl w:val="nil"/>
            </w:tcBorders>
            <w:vAlign w:val="center"/>
          </w:tcPr>
          <w:p w14:paraId="595D0488">
            <w:pPr>
              <w:jc w:val="center"/>
              <w:rPr>
                <w:rFonts w:ascii="Times New Roman" w:hAnsi="Times New Roman" w:cs="Times New Roman"/>
                <w:szCs w:val="21"/>
              </w:rPr>
            </w:pPr>
          </w:p>
        </w:tc>
        <w:tc>
          <w:tcPr>
            <w:tcW w:w="1500" w:type="dxa"/>
            <w:tcBorders>
              <w:tl2br w:val="nil"/>
              <w:tr2bl w:val="nil"/>
            </w:tcBorders>
            <w:vAlign w:val="center"/>
          </w:tcPr>
          <w:p w14:paraId="1CD0C185">
            <w:pPr>
              <w:autoSpaceDE w:val="0"/>
              <w:autoSpaceDN w:val="0"/>
              <w:adjustRightInd w:val="0"/>
              <w:jc w:val="center"/>
              <w:rPr>
                <w:rFonts w:ascii="宋体" w:hAnsi="宋体" w:eastAsia="宋体" w:cs="宋体"/>
                <w:color w:val="000000"/>
                <w:kern w:val="0"/>
                <w:sz w:val="22"/>
                <w:szCs w:val="22"/>
                <w:lang w:bidi="ar"/>
              </w:rPr>
            </w:pPr>
            <w:r>
              <w:rPr>
                <w:rFonts w:hint="eastAsia" w:ascii="Times New Roman" w:hAnsi="Times New Roman" w:eastAsia="宋体" w:cs="Times New Roman"/>
                <w:kern w:val="0"/>
                <w:szCs w:val="21"/>
              </w:rPr>
              <w:t>甲苯</w:t>
            </w:r>
          </w:p>
        </w:tc>
        <w:tc>
          <w:tcPr>
            <w:tcW w:w="4647" w:type="dxa"/>
            <w:gridSpan w:val="3"/>
            <w:vMerge w:val="continue"/>
            <w:tcBorders>
              <w:tl2br w:val="nil"/>
              <w:tr2bl w:val="nil"/>
            </w:tcBorders>
            <w:vAlign w:val="center"/>
          </w:tcPr>
          <w:p w14:paraId="298E6C92">
            <w:pPr>
              <w:jc w:val="center"/>
              <w:rPr>
                <w:rFonts w:ascii="Times New Roman" w:hAnsi="Times New Roman" w:cs="Times New Roman"/>
                <w:szCs w:val="21"/>
              </w:rPr>
            </w:pPr>
          </w:p>
        </w:tc>
        <w:tc>
          <w:tcPr>
            <w:tcW w:w="835" w:type="dxa"/>
            <w:vMerge w:val="continue"/>
            <w:tcBorders>
              <w:tl2br w:val="nil"/>
              <w:tr2bl w:val="nil"/>
            </w:tcBorders>
            <w:vAlign w:val="center"/>
          </w:tcPr>
          <w:p w14:paraId="0F56DD02">
            <w:pPr>
              <w:jc w:val="center"/>
              <w:rPr>
                <w:rFonts w:ascii="Times New Roman" w:hAnsi="Times New Roman" w:cs="Times New Roman"/>
                <w:szCs w:val="21"/>
              </w:rPr>
            </w:pPr>
          </w:p>
        </w:tc>
        <w:tc>
          <w:tcPr>
            <w:tcW w:w="1419" w:type="dxa"/>
            <w:tcBorders>
              <w:tl2br w:val="nil"/>
              <w:tr2bl w:val="nil"/>
            </w:tcBorders>
            <w:vAlign w:val="center"/>
          </w:tcPr>
          <w:p w14:paraId="3D61A260">
            <w:pPr>
              <w:jc w:val="center"/>
              <w:rPr>
                <w:rFonts w:ascii="Times New Roman" w:hAnsi="Times New Roman" w:cs="Times New Roman"/>
                <w:szCs w:val="21"/>
              </w:rPr>
            </w:pPr>
            <w:r>
              <w:rPr>
                <w:rFonts w:ascii="Times New Roman" w:hAnsi="Times New Roman" w:cs="Times New Roman"/>
                <w:szCs w:val="21"/>
              </w:rPr>
              <w:t>/</w:t>
            </w:r>
          </w:p>
        </w:tc>
        <w:tc>
          <w:tcPr>
            <w:tcW w:w="1056" w:type="dxa"/>
            <w:tcBorders>
              <w:tl2br w:val="nil"/>
              <w:tr2bl w:val="nil"/>
            </w:tcBorders>
            <w:vAlign w:val="center"/>
          </w:tcPr>
          <w:p w14:paraId="53F99BE4">
            <w:pPr>
              <w:jc w:val="center"/>
              <w:rPr>
                <w:rFonts w:ascii="Times New Roman" w:hAnsi="Times New Roman" w:cs="Times New Roman"/>
                <w:szCs w:val="21"/>
              </w:rPr>
            </w:pPr>
            <w:r>
              <w:rPr>
                <w:rFonts w:hint="eastAsia" w:ascii="Times New Roman" w:hAnsi="Times New Roman" w:cs="Times New Roman"/>
                <w:kern w:val="0"/>
                <w:szCs w:val="21"/>
                <w:lang w:val="en-US" w:eastAsia="zh-CN"/>
              </w:rPr>
              <w:t xml:space="preserve">0.011 </w:t>
            </w:r>
          </w:p>
        </w:tc>
        <w:tc>
          <w:tcPr>
            <w:tcW w:w="1409" w:type="dxa"/>
            <w:tcBorders>
              <w:tl2br w:val="nil"/>
              <w:tr2bl w:val="nil"/>
            </w:tcBorders>
            <w:vAlign w:val="center"/>
          </w:tcPr>
          <w:p w14:paraId="3E5B5BC8">
            <w:pPr>
              <w:jc w:val="center"/>
              <w:rPr>
                <w:rFonts w:ascii="Times New Roman" w:hAnsi="Times New Roman" w:cs="Times New Roman"/>
                <w:szCs w:val="21"/>
              </w:rPr>
            </w:pPr>
            <w:r>
              <w:rPr>
                <w:rFonts w:hint="eastAsia" w:ascii="Times New Roman" w:hAnsi="Times New Roman" w:eastAsia="宋体" w:cs="Times New Roman"/>
                <w:kern w:val="0"/>
                <w:szCs w:val="21"/>
              </w:rPr>
              <w:t>0.6</w:t>
            </w:r>
          </w:p>
        </w:tc>
        <w:tc>
          <w:tcPr>
            <w:tcW w:w="1367" w:type="dxa"/>
            <w:tcBorders>
              <w:tl2br w:val="nil"/>
              <w:tr2bl w:val="nil"/>
            </w:tcBorders>
            <w:vAlign w:val="center"/>
          </w:tcPr>
          <w:p w14:paraId="26D906E1">
            <w:pPr>
              <w:jc w:val="center"/>
              <w:rPr>
                <w:rFonts w:ascii="Times New Roman" w:hAnsi="Times New Roman" w:cs="Times New Roman"/>
                <w:szCs w:val="21"/>
              </w:rPr>
            </w:pPr>
            <w:r>
              <w:rPr>
                <w:rFonts w:hint="eastAsia" w:ascii="Times New Roman" w:hAnsi="Times New Roman" w:cs="Times New Roman"/>
                <w:szCs w:val="21"/>
              </w:rPr>
              <w:t>/</w:t>
            </w:r>
          </w:p>
        </w:tc>
      </w:tr>
      <w:tr w14:paraId="4FEC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27" w:type="dxa"/>
            <w:gridSpan w:val="2"/>
            <w:vMerge w:val="continue"/>
            <w:tcBorders>
              <w:tl2br w:val="nil"/>
              <w:tr2bl w:val="nil"/>
            </w:tcBorders>
            <w:vAlign w:val="center"/>
          </w:tcPr>
          <w:p w14:paraId="165C6AA8">
            <w:pPr>
              <w:jc w:val="center"/>
              <w:rPr>
                <w:rFonts w:ascii="Times New Roman" w:hAnsi="Times New Roman" w:cs="Times New Roman"/>
                <w:szCs w:val="21"/>
              </w:rPr>
            </w:pPr>
          </w:p>
        </w:tc>
        <w:tc>
          <w:tcPr>
            <w:tcW w:w="1500" w:type="dxa"/>
            <w:tcBorders>
              <w:tl2br w:val="nil"/>
              <w:tr2bl w:val="nil"/>
            </w:tcBorders>
            <w:vAlign w:val="center"/>
          </w:tcPr>
          <w:p w14:paraId="2EDAA628">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二甲苯</w:t>
            </w:r>
          </w:p>
        </w:tc>
        <w:tc>
          <w:tcPr>
            <w:tcW w:w="4647" w:type="dxa"/>
            <w:gridSpan w:val="3"/>
            <w:vMerge w:val="continue"/>
            <w:tcBorders>
              <w:tl2br w:val="nil"/>
              <w:tr2bl w:val="nil"/>
            </w:tcBorders>
            <w:vAlign w:val="center"/>
          </w:tcPr>
          <w:p w14:paraId="0EADDCA3">
            <w:pPr>
              <w:jc w:val="center"/>
              <w:rPr>
                <w:rFonts w:ascii="Times New Roman" w:hAnsi="Times New Roman" w:cs="Times New Roman"/>
                <w:szCs w:val="21"/>
              </w:rPr>
            </w:pPr>
          </w:p>
        </w:tc>
        <w:tc>
          <w:tcPr>
            <w:tcW w:w="835" w:type="dxa"/>
            <w:vMerge w:val="continue"/>
            <w:tcBorders>
              <w:tl2br w:val="nil"/>
              <w:tr2bl w:val="nil"/>
            </w:tcBorders>
            <w:vAlign w:val="center"/>
          </w:tcPr>
          <w:p w14:paraId="15CB5089">
            <w:pPr>
              <w:jc w:val="center"/>
              <w:rPr>
                <w:rFonts w:ascii="Times New Roman" w:hAnsi="Times New Roman" w:cs="Times New Roman"/>
                <w:szCs w:val="21"/>
              </w:rPr>
            </w:pPr>
          </w:p>
        </w:tc>
        <w:tc>
          <w:tcPr>
            <w:tcW w:w="1419" w:type="dxa"/>
            <w:tcBorders>
              <w:tl2br w:val="nil"/>
              <w:tr2bl w:val="nil"/>
            </w:tcBorders>
            <w:vAlign w:val="center"/>
          </w:tcPr>
          <w:p w14:paraId="20C46DAA">
            <w:pPr>
              <w:jc w:val="center"/>
              <w:rPr>
                <w:rFonts w:ascii="Times New Roman" w:hAnsi="Times New Roman" w:cs="Times New Roman"/>
                <w:szCs w:val="21"/>
              </w:rPr>
            </w:pPr>
            <w:r>
              <w:rPr>
                <w:rFonts w:ascii="Times New Roman" w:hAnsi="Times New Roman" w:cs="Times New Roman"/>
                <w:szCs w:val="21"/>
              </w:rPr>
              <w:t>/</w:t>
            </w:r>
          </w:p>
        </w:tc>
        <w:tc>
          <w:tcPr>
            <w:tcW w:w="1056" w:type="dxa"/>
            <w:tcBorders>
              <w:tl2br w:val="nil"/>
              <w:tr2bl w:val="nil"/>
            </w:tcBorders>
            <w:vAlign w:val="center"/>
          </w:tcPr>
          <w:p w14:paraId="3AF33C27">
            <w:pPr>
              <w:jc w:val="center"/>
              <w:rPr>
                <w:rFonts w:ascii="Times New Roman" w:hAnsi="Times New Roman" w:cs="Times New Roman"/>
                <w:szCs w:val="21"/>
              </w:rPr>
            </w:pPr>
            <w:r>
              <w:rPr>
                <w:rFonts w:hint="eastAsia" w:ascii="Times New Roman" w:hAnsi="Times New Roman" w:cs="Times New Roman"/>
                <w:kern w:val="0"/>
                <w:szCs w:val="21"/>
                <w:lang w:val="en-US" w:eastAsia="zh-CN"/>
              </w:rPr>
              <w:t>0.023</w:t>
            </w:r>
          </w:p>
        </w:tc>
        <w:tc>
          <w:tcPr>
            <w:tcW w:w="1409" w:type="dxa"/>
            <w:tcBorders>
              <w:tl2br w:val="nil"/>
              <w:tr2bl w:val="nil"/>
            </w:tcBorders>
            <w:vAlign w:val="center"/>
          </w:tcPr>
          <w:p w14:paraId="7FF9BB0A">
            <w:pPr>
              <w:jc w:val="center"/>
              <w:rPr>
                <w:rFonts w:ascii="Times New Roman" w:hAnsi="Times New Roman" w:cs="Times New Roman"/>
                <w:szCs w:val="21"/>
              </w:rPr>
            </w:pPr>
            <w:r>
              <w:rPr>
                <w:rFonts w:hint="eastAsia" w:ascii="Times New Roman" w:hAnsi="Times New Roman" w:eastAsia="宋体" w:cs="Times New Roman"/>
                <w:kern w:val="0"/>
                <w:szCs w:val="21"/>
              </w:rPr>
              <w:t>0.2</w:t>
            </w:r>
          </w:p>
        </w:tc>
        <w:tc>
          <w:tcPr>
            <w:tcW w:w="1367" w:type="dxa"/>
            <w:tcBorders>
              <w:tl2br w:val="nil"/>
              <w:tr2bl w:val="nil"/>
            </w:tcBorders>
            <w:vAlign w:val="center"/>
          </w:tcPr>
          <w:p w14:paraId="06BD2B38">
            <w:pPr>
              <w:jc w:val="center"/>
              <w:rPr>
                <w:rFonts w:ascii="Times New Roman" w:hAnsi="Times New Roman" w:cs="Times New Roman"/>
                <w:szCs w:val="21"/>
              </w:rPr>
            </w:pPr>
            <w:r>
              <w:rPr>
                <w:rFonts w:hint="eastAsia" w:ascii="Times New Roman" w:hAnsi="Times New Roman" w:cs="Times New Roman"/>
                <w:szCs w:val="21"/>
              </w:rPr>
              <w:t>/</w:t>
            </w:r>
          </w:p>
        </w:tc>
      </w:tr>
      <w:tr w14:paraId="49B3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27" w:type="dxa"/>
            <w:gridSpan w:val="2"/>
            <w:vMerge w:val="continue"/>
            <w:tcBorders>
              <w:tl2br w:val="nil"/>
              <w:tr2bl w:val="nil"/>
            </w:tcBorders>
            <w:vAlign w:val="center"/>
          </w:tcPr>
          <w:p w14:paraId="1FBD37D4">
            <w:pPr>
              <w:jc w:val="center"/>
              <w:rPr>
                <w:rFonts w:ascii="Times New Roman" w:hAnsi="Times New Roman" w:cs="Times New Roman"/>
                <w:szCs w:val="21"/>
              </w:rPr>
            </w:pPr>
          </w:p>
        </w:tc>
        <w:tc>
          <w:tcPr>
            <w:tcW w:w="1500" w:type="dxa"/>
            <w:tcBorders>
              <w:tl2br w:val="nil"/>
              <w:tr2bl w:val="nil"/>
            </w:tcBorders>
            <w:vAlign w:val="center"/>
          </w:tcPr>
          <w:p w14:paraId="6FA4423A">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非甲烷总烃</w:t>
            </w:r>
          </w:p>
        </w:tc>
        <w:tc>
          <w:tcPr>
            <w:tcW w:w="4647" w:type="dxa"/>
            <w:gridSpan w:val="3"/>
            <w:vMerge w:val="continue"/>
            <w:tcBorders>
              <w:tl2br w:val="nil"/>
              <w:tr2bl w:val="nil"/>
            </w:tcBorders>
            <w:vAlign w:val="center"/>
          </w:tcPr>
          <w:p w14:paraId="183A8835">
            <w:pPr>
              <w:jc w:val="center"/>
              <w:rPr>
                <w:rFonts w:ascii="Times New Roman" w:hAnsi="Times New Roman" w:cs="Times New Roman"/>
                <w:szCs w:val="21"/>
              </w:rPr>
            </w:pPr>
          </w:p>
        </w:tc>
        <w:tc>
          <w:tcPr>
            <w:tcW w:w="835" w:type="dxa"/>
            <w:vMerge w:val="continue"/>
            <w:tcBorders>
              <w:tl2br w:val="nil"/>
              <w:tr2bl w:val="nil"/>
            </w:tcBorders>
            <w:vAlign w:val="center"/>
          </w:tcPr>
          <w:p w14:paraId="33FC22D0">
            <w:pPr>
              <w:jc w:val="center"/>
              <w:rPr>
                <w:rFonts w:ascii="Times New Roman" w:hAnsi="Times New Roman" w:cs="Times New Roman"/>
                <w:szCs w:val="21"/>
              </w:rPr>
            </w:pPr>
          </w:p>
        </w:tc>
        <w:tc>
          <w:tcPr>
            <w:tcW w:w="1419" w:type="dxa"/>
            <w:tcBorders>
              <w:tl2br w:val="nil"/>
              <w:tr2bl w:val="nil"/>
            </w:tcBorders>
            <w:vAlign w:val="center"/>
          </w:tcPr>
          <w:p w14:paraId="3AD9E9E7">
            <w:pPr>
              <w:jc w:val="center"/>
              <w:rPr>
                <w:rFonts w:ascii="Times New Roman" w:hAnsi="Times New Roman" w:cs="Times New Roman"/>
                <w:szCs w:val="21"/>
              </w:rPr>
            </w:pPr>
            <w:r>
              <w:rPr>
                <w:rFonts w:ascii="Times New Roman" w:hAnsi="Times New Roman" w:cs="Times New Roman"/>
                <w:szCs w:val="21"/>
              </w:rPr>
              <w:t>/</w:t>
            </w:r>
          </w:p>
        </w:tc>
        <w:tc>
          <w:tcPr>
            <w:tcW w:w="1056" w:type="dxa"/>
            <w:tcBorders>
              <w:tl2br w:val="nil"/>
              <w:tr2bl w:val="nil"/>
            </w:tcBorders>
            <w:vAlign w:val="center"/>
          </w:tcPr>
          <w:p w14:paraId="3C57F6DF">
            <w:pPr>
              <w:jc w:val="center"/>
              <w:rPr>
                <w:rFonts w:ascii="Times New Roman" w:hAnsi="Times New Roman" w:cs="Times New Roman"/>
                <w:szCs w:val="21"/>
              </w:rPr>
            </w:pPr>
            <w:r>
              <w:rPr>
                <w:rFonts w:hint="eastAsia" w:ascii="Times New Roman" w:hAnsi="Times New Roman" w:cs="Times New Roman"/>
                <w:kern w:val="0"/>
                <w:szCs w:val="21"/>
                <w:highlight w:val="none"/>
                <w:lang w:val="en-US" w:eastAsia="zh-CN"/>
              </w:rPr>
              <w:t>0.205</w:t>
            </w:r>
          </w:p>
        </w:tc>
        <w:tc>
          <w:tcPr>
            <w:tcW w:w="1409" w:type="dxa"/>
            <w:tcBorders>
              <w:tl2br w:val="nil"/>
              <w:tr2bl w:val="nil"/>
            </w:tcBorders>
            <w:vAlign w:val="center"/>
          </w:tcPr>
          <w:p w14:paraId="4F02DB07">
            <w:pPr>
              <w:jc w:val="center"/>
              <w:rPr>
                <w:rFonts w:ascii="Times New Roman" w:hAnsi="Times New Roman" w:cs="Times New Roman"/>
                <w:szCs w:val="21"/>
              </w:rPr>
            </w:pPr>
            <w:r>
              <w:rPr>
                <w:rFonts w:hint="eastAsia" w:ascii="Times New Roman" w:hAnsi="Times New Roman" w:eastAsia="宋体" w:cs="Times New Roman"/>
                <w:kern w:val="0"/>
                <w:szCs w:val="21"/>
              </w:rPr>
              <w:t>2.0</w:t>
            </w:r>
          </w:p>
        </w:tc>
        <w:tc>
          <w:tcPr>
            <w:tcW w:w="1367" w:type="dxa"/>
            <w:tcBorders>
              <w:tl2br w:val="nil"/>
              <w:tr2bl w:val="nil"/>
            </w:tcBorders>
            <w:vAlign w:val="center"/>
          </w:tcPr>
          <w:p w14:paraId="2160DE53">
            <w:pPr>
              <w:jc w:val="center"/>
              <w:rPr>
                <w:rFonts w:ascii="Times New Roman" w:hAnsi="Times New Roman" w:cs="Times New Roman"/>
                <w:szCs w:val="21"/>
              </w:rPr>
            </w:pPr>
            <w:r>
              <w:rPr>
                <w:rFonts w:hint="eastAsia" w:ascii="Times New Roman" w:hAnsi="Times New Roman" w:cs="Times New Roman"/>
                <w:szCs w:val="21"/>
              </w:rPr>
              <w:t>/</w:t>
            </w:r>
          </w:p>
        </w:tc>
      </w:tr>
    </w:tbl>
    <w:p w14:paraId="149887CD">
      <w:pPr>
        <w:pStyle w:val="80"/>
        <w:tabs>
          <w:tab w:val="left" w:pos="0"/>
        </w:tabs>
        <w:spacing w:before="156" w:beforeLines="50"/>
        <w:jc w:val="center"/>
        <w:rPr>
          <w:rFonts w:ascii="Times New Roman" w:hAnsi="Times New Roman" w:eastAsia="宋体" w:cs="Times New Roman"/>
          <w:b/>
          <w:sz w:val="21"/>
          <w:szCs w:val="21"/>
        </w:rPr>
      </w:pPr>
      <w:r>
        <w:rPr>
          <w:rFonts w:ascii="Times New Roman" w:hAnsi="Times New Roman" w:cs="Times New Roman"/>
          <w:b/>
          <w:sz w:val="21"/>
          <w:szCs w:val="21"/>
        </w:rPr>
        <w:t>表10</w:t>
      </w:r>
      <w:r>
        <w:rPr>
          <w:rFonts w:ascii="Times New Roman" w:hAnsi="Times New Roman" w:eastAsia="宋体" w:cs="Times New Roman"/>
          <w:b/>
          <w:sz w:val="21"/>
          <w:szCs w:val="21"/>
        </w:rPr>
        <w:t>.2-2  废水污染物排放情况表</w:t>
      </w:r>
    </w:p>
    <w:tbl>
      <w:tblPr>
        <w:tblStyle w:val="30"/>
        <w:tblW w:w="13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0"/>
        <w:gridCol w:w="2679"/>
        <w:gridCol w:w="2134"/>
        <w:gridCol w:w="1637"/>
        <w:gridCol w:w="1408"/>
        <w:gridCol w:w="1131"/>
        <w:gridCol w:w="1218"/>
        <w:gridCol w:w="1064"/>
        <w:gridCol w:w="1601"/>
      </w:tblGrid>
      <w:tr w14:paraId="0245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blHeader/>
          <w:jc w:val="center"/>
        </w:trPr>
        <w:tc>
          <w:tcPr>
            <w:tcW w:w="1090" w:type="dxa"/>
            <w:vMerge w:val="restart"/>
            <w:tcBorders>
              <w:tl2br w:val="nil"/>
              <w:tr2bl w:val="nil"/>
            </w:tcBorders>
            <w:vAlign w:val="center"/>
          </w:tcPr>
          <w:p w14:paraId="7477036D">
            <w:pPr>
              <w:jc w:val="center"/>
              <w:rPr>
                <w:rFonts w:ascii="Times New Roman" w:hAnsi="Times New Roman" w:cs="Times New Roman"/>
                <w:szCs w:val="21"/>
              </w:rPr>
            </w:pPr>
            <w:r>
              <w:rPr>
                <w:rFonts w:hint="eastAsia" w:ascii="Times New Roman" w:hAnsi="Times New Roman" w:cs="Times New Roman"/>
                <w:szCs w:val="21"/>
              </w:rPr>
              <w:t>项目</w:t>
            </w:r>
          </w:p>
        </w:tc>
        <w:tc>
          <w:tcPr>
            <w:tcW w:w="2679" w:type="dxa"/>
            <w:vMerge w:val="restart"/>
            <w:tcBorders>
              <w:tl2br w:val="nil"/>
              <w:tr2bl w:val="nil"/>
            </w:tcBorders>
            <w:vAlign w:val="center"/>
          </w:tcPr>
          <w:p w14:paraId="1B095EB9">
            <w:pPr>
              <w:jc w:val="center"/>
              <w:rPr>
                <w:rFonts w:ascii="Times New Roman" w:hAnsi="Times New Roman" w:eastAsia="宋体" w:cs="Times New Roman"/>
                <w:szCs w:val="21"/>
              </w:rPr>
            </w:pPr>
            <w:r>
              <w:rPr>
                <w:rFonts w:ascii="Times New Roman" w:hAnsi="Times New Roman" w:cs="Times New Roman"/>
                <w:szCs w:val="21"/>
              </w:rPr>
              <w:t>废水类型</w:t>
            </w:r>
          </w:p>
        </w:tc>
        <w:tc>
          <w:tcPr>
            <w:tcW w:w="2134" w:type="dxa"/>
            <w:vMerge w:val="restart"/>
            <w:tcBorders>
              <w:tl2br w:val="nil"/>
              <w:tr2bl w:val="nil"/>
            </w:tcBorders>
            <w:vAlign w:val="center"/>
          </w:tcPr>
          <w:p w14:paraId="37DC6618">
            <w:pPr>
              <w:jc w:val="center"/>
              <w:rPr>
                <w:rFonts w:ascii="Times New Roman" w:hAnsi="Times New Roman" w:eastAsia="宋体" w:cs="Times New Roman"/>
                <w:szCs w:val="21"/>
              </w:rPr>
            </w:pPr>
            <w:r>
              <w:rPr>
                <w:rFonts w:ascii="Times New Roman" w:hAnsi="Times New Roman" w:cs="Times New Roman"/>
                <w:szCs w:val="21"/>
              </w:rPr>
              <w:t>污染治理设施</w:t>
            </w:r>
          </w:p>
        </w:tc>
        <w:tc>
          <w:tcPr>
            <w:tcW w:w="5394" w:type="dxa"/>
            <w:gridSpan w:val="4"/>
            <w:tcBorders>
              <w:tl2br w:val="nil"/>
              <w:tr2bl w:val="nil"/>
            </w:tcBorders>
            <w:vAlign w:val="center"/>
          </w:tcPr>
          <w:p w14:paraId="2AED83A7">
            <w:pPr>
              <w:jc w:val="center"/>
              <w:rPr>
                <w:rFonts w:ascii="Times New Roman" w:hAnsi="Times New Roman" w:cs="Times New Roman"/>
                <w:b/>
                <w:bCs/>
                <w:szCs w:val="21"/>
              </w:rPr>
            </w:pPr>
            <w:r>
              <w:rPr>
                <w:rFonts w:hint="eastAsia" w:ascii="Times New Roman" w:hAnsi="Times New Roman" w:cs="Times New Roman"/>
                <w:szCs w:val="21"/>
              </w:rPr>
              <w:t>排污口相关相信</w:t>
            </w:r>
          </w:p>
        </w:tc>
        <w:tc>
          <w:tcPr>
            <w:tcW w:w="2665" w:type="dxa"/>
            <w:gridSpan w:val="2"/>
            <w:vMerge w:val="restart"/>
            <w:tcBorders>
              <w:tl2br w:val="nil"/>
              <w:tr2bl w:val="nil"/>
            </w:tcBorders>
            <w:vAlign w:val="center"/>
          </w:tcPr>
          <w:p w14:paraId="78A49911">
            <w:pPr>
              <w:jc w:val="center"/>
              <w:rPr>
                <w:rFonts w:ascii="Times New Roman" w:hAnsi="Times New Roman" w:cs="Times New Roman"/>
                <w:b/>
                <w:bCs/>
                <w:szCs w:val="21"/>
              </w:rPr>
            </w:pPr>
            <w:r>
              <w:rPr>
                <w:rFonts w:hint="eastAsia" w:ascii="Times New Roman" w:hAnsi="Times New Roman" w:cs="Times New Roman"/>
                <w:szCs w:val="21"/>
              </w:rPr>
              <w:t>污水处理厂</w:t>
            </w:r>
          </w:p>
        </w:tc>
      </w:tr>
      <w:tr w14:paraId="6906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blHeader/>
          <w:jc w:val="center"/>
        </w:trPr>
        <w:tc>
          <w:tcPr>
            <w:tcW w:w="1090" w:type="dxa"/>
            <w:vMerge w:val="continue"/>
            <w:tcBorders>
              <w:tl2br w:val="nil"/>
              <w:tr2bl w:val="nil"/>
            </w:tcBorders>
            <w:vAlign w:val="center"/>
          </w:tcPr>
          <w:p w14:paraId="3E69929D">
            <w:pPr>
              <w:jc w:val="center"/>
            </w:pPr>
          </w:p>
        </w:tc>
        <w:tc>
          <w:tcPr>
            <w:tcW w:w="2679" w:type="dxa"/>
            <w:vMerge w:val="continue"/>
            <w:tcBorders>
              <w:tl2br w:val="nil"/>
              <w:tr2bl w:val="nil"/>
            </w:tcBorders>
            <w:vAlign w:val="center"/>
          </w:tcPr>
          <w:p w14:paraId="15071DE5">
            <w:pPr>
              <w:jc w:val="center"/>
            </w:pPr>
          </w:p>
        </w:tc>
        <w:tc>
          <w:tcPr>
            <w:tcW w:w="2134" w:type="dxa"/>
            <w:vMerge w:val="continue"/>
            <w:tcBorders>
              <w:tl2br w:val="nil"/>
              <w:tr2bl w:val="nil"/>
            </w:tcBorders>
            <w:vAlign w:val="center"/>
          </w:tcPr>
          <w:p w14:paraId="2467031D">
            <w:pPr>
              <w:jc w:val="center"/>
            </w:pPr>
          </w:p>
        </w:tc>
        <w:tc>
          <w:tcPr>
            <w:tcW w:w="1637" w:type="dxa"/>
            <w:tcBorders>
              <w:tl2br w:val="nil"/>
              <w:tr2bl w:val="nil"/>
            </w:tcBorders>
            <w:vAlign w:val="center"/>
          </w:tcPr>
          <w:p w14:paraId="3B28F018">
            <w:pPr>
              <w:jc w:val="center"/>
            </w:pPr>
            <w:r>
              <w:rPr>
                <w:rFonts w:hint="eastAsia"/>
              </w:rPr>
              <w:t>排放口</w:t>
            </w:r>
          </w:p>
        </w:tc>
        <w:tc>
          <w:tcPr>
            <w:tcW w:w="1408" w:type="dxa"/>
            <w:tcBorders>
              <w:tl2br w:val="nil"/>
              <w:tr2bl w:val="nil"/>
            </w:tcBorders>
            <w:vAlign w:val="center"/>
          </w:tcPr>
          <w:p w14:paraId="3D340123">
            <w:pPr>
              <w:jc w:val="center"/>
            </w:pPr>
            <w:r>
              <w:rPr>
                <w:rFonts w:hint="eastAsia"/>
              </w:rPr>
              <w:t>排放口类型</w:t>
            </w:r>
          </w:p>
        </w:tc>
        <w:tc>
          <w:tcPr>
            <w:tcW w:w="1131" w:type="dxa"/>
            <w:tcBorders>
              <w:tl2br w:val="nil"/>
              <w:tr2bl w:val="nil"/>
            </w:tcBorders>
            <w:vAlign w:val="center"/>
          </w:tcPr>
          <w:p w14:paraId="439A6A92">
            <w:pPr>
              <w:jc w:val="center"/>
            </w:pPr>
            <w:r>
              <w:rPr>
                <w:rFonts w:hint="eastAsia"/>
              </w:rPr>
              <w:t>污染因子</w:t>
            </w:r>
          </w:p>
        </w:tc>
        <w:tc>
          <w:tcPr>
            <w:tcW w:w="1218" w:type="dxa"/>
            <w:tcBorders>
              <w:tl2br w:val="nil"/>
              <w:tr2bl w:val="nil"/>
            </w:tcBorders>
            <w:vAlign w:val="center"/>
          </w:tcPr>
          <w:p w14:paraId="173804FC">
            <w:pPr>
              <w:jc w:val="center"/>
            </w:pPr>
            <w:r>
              <w:rPr>
                <w:rFonts w:ascii="Times New Roman" w:hAnsi="Times New Roman" w:cs="Times New Roman"/>
              </w:rPr>
              <w:t>浓度(mg/L)</w:t>
            </w:r>
          </w:p>
        </w:tc>
        <w:tc>
          <w:tcPr>
            <w:tcW w:w="2665" w:type="dxa"/>
            <w:gridSpan w:val="2"/>
            <w:vMerge w:val="continue"/>
            <w:tcBorders>
              <w:tl2br w:val="nil"/>
              <w:tr2bl w:val="nil"/>
            </w:tcBorders>
            <w:vAlign w:val="center"/>
          </w:tcPr>
          <w:p w14:paraId="0A019AC8">
            <w:pPr>
              <w:jc w:val="center"/>
            </w:pPr>
          </w:p>
        </w:tc>
      </w:tr>
      <w:tr w14:paraId="6988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 w:hRule="atLeast"/>
          <w:jc w:val="center"/>
        </w:trPr>
        <w:tc>
          <w:tcPr>
            <w:tcW w:w="1090" w:type="dxa"/>
            <w:vMerge w:val="restart"/>
            <w:tcBorders>
              <w:tl2br w:val="nil"/>
              <w:tr2bl w:val="nil"/>
            </w:tcBorders>
            <w:vAlign w:val="center"/>
          </w:tcPr>
          <w:p w14:paraId="499B2E6F">
            <w:pPr>
              <w:jc w:val="center"/>
              <w:rPr>
                <w:rFonts w:ascii="Times New Roman" w:hAnsi="Times New Roman" w:cs="Times New Roman"/>
                <w:szCs w:val="21"/>
              </w:rPr>
            </w:pPr>
            <w:r>
              <w:rPr>
                <w:rFonts w:hint="eastAsia" w:ascii="Times New Roman" w:hAnsi="Times New Roman" w:cs="Times New Roman"/>
                <w:szCs w:val="21"/>
              </w:rPr>
              <w:t>废水</w:t>
            </w:r>
          </w:p>
        </w:tc>
        <w:tc>
          <w:tcPr>
            <w:tcW w:w="2679" w:type="dxa"/>
            <w:vMerge w:val="restart"/>
            <w:tcBorders>
              <w:tl2br w:val="nil"/>
              <w:tr2bl w:val="nil"/>
            </w:tcBorders>
            <w:vAlign w:val="center"/>
          </w:tcPr>
          <w:p w14:paraId="18D48375">
            <w:pPr>
              <w:jc w:val="center"/>
              <w:rPr>
                <w:rFonts w:ascii="Times New Roman" w:hAnsi="Times New Roman" w:cs="Times New Roman"/>
                <w:szCs w:val="21"/>
              </w:rPr>
            </w:pPr>
            <w:r>
              <w:rPr>
                <w:rFonts w:ascii="Times New Roman" w:hAnsi="Times New Roman" w:cs="Times New Roman"/>
                <w:szCs w:val="21"/>
              </w:rPr>
              <w:t>生活污水</w:t>
            </w:r>
            <w:r>
              <w:rPr>
                <w:rFonts w:hint="eastAsia" w:ascii="Times New Roman" w:hAnsi="Times New Roman" w:cs="Times New Roman"/>
                <w:szCs w:val="21"/>
              </w:rPr>
              <w:t>、水帘废水</w:t>
            </w:r>
          </w:p>
        </w:tc>
        <w:tc>
          <w:tcPr>
            <w:tcW w:w="2134" w:type="dxa"/>
            <w:vMerge w:val="restart"/>
            <w:tcBorders>
              <w:tl2br w:val="nil"/>
              <w:tr2bl w:val="nil"/>
            </w:tcBorders>
            <w:vAlign w:val="center"/>
          </w:tcPr>
          <w:p w14:paraId="38C06C02">
            <w:pPr>
              <w:jc w:val="center"/>
              <w:rPr>
                <w:rFonts w:ascii="Times New Roman" w:hAnsi="Times New Roman" w:eastAsia="宋体" w:cs="Times New Roman"/>
                <w:szCs w:val="21"/>
              </w:rPr>
            </w:pPr>
            <w:r>
              <w:rPr>
                <w:rFonts w:hint="eastAsia" w:ascii="Times New Roman" w:hAnsi="Times New Roman" w:eastAsia="宋体" w:cs="Times New Roman"/>
                <w:szCs w:val="21"/>
              </w:rPr>
              <w:t>生活污水经化粪池、水帘废水经混凝沉淀+</w:t>
            </w:r>
            <w:r>
              <w:rPr>
                <w:rFonts w:ascii="Times New Roman" w:hAnsi="Times New Roman" w:cs="Times New Roman"/>
                <w:color w:val="000000"/>
                <w:szCs w:val="21"/>
              </w:rPr>
              <w:t>fenton氧化处理</w:t>
            </w:r>
          </w:p>
        </w:tc>
        <w:tc>
          <w:tcPr>
            <w:tcW w:w="1637" w:type="dxa"/>
            <w:vMerge w:val="restart"/>
            <w:tcBorders>
              <w:tl2br w:val="nil"/>
              <w:tr2bl w:val="nil"/>
            </w:tcBorders>
            <w:vAlign w:val="center"/>
          </w:tcPr>
          <w:p w14:paraId="15ADEB66">
            <w:pPr>
              <w:jc w:val="center"/>
              <w:rPr>
                <w:rFonts w:ascii="Times New Roman" w:hAnsi="Times New Roman" w:eastAsia="宋体" w:cs="Times New Roman"/>
                <w:szCs w:val="21"/>
              </w:rPr>
            </w:pPr>
            <w:r>
              <w:rPr>
                <w:rFonts w:hint="eastAsia" w:ascii="Times New Roman" w:hAnsi="Times New Roman" w:eastAsia="宋体" w:cs="Times New Roman"/>
                <w:szCs w:val="21"/>
              </w:rPr>
              <w:t>TW001</w:t>
            </w:r>
          </w:p>
        </w:tc>
        <w:tc>
          <w:tcPr>
            <w:tcW w:w="1408" w:type="dxa"/>
            <w:vMerge w:val="restart"/>
            <w:tcBorders>
              <w:tl2br w:val="nil"/>
              <w:tr2bl w:val="nil"/>
            </w:tcBorders>
            <w:vAlign w:val="center"/>
          </w:tcPr>
          <w:p w14:paraId="138AEFFF">
            <w:pPr>
              <w:jc w:val="center"/>
              <w:rPr>
                <w:rFonts w:ascii="Times New Roman" w:hAnsi="Times New Roman" w:cs="Times New Roman"/>
                <w:szCs w:val="21"/>
              </w:rPr>
            </w:pPr>
            <w:r>
              <w:rPr>
                <w:rFonts w:hint="eastAsia" w:ascii="Times New Roman" w:hAnsi="Times New Roman" w:cs="Times New Roman"/>
                <w:szCs w:val="21"/>
              </w:rPr>
              <w:t>一般</w:t>
            </w:r>
            <w:r>
              <w:rPr>
                <w:rFonts w:ascii="Times New Roman" w:hAnsi="Times New Roman" w:cs="Times New Roman"/>
                <w:szCs w:val="21"/>
              </w:rPr>
              <w:t>排放口</w:t>
            </w:r>
          </w:p>
        </w:tc>
        <w:tc>
          <w:tcPr>
            <w:tcW w:w="1131" w:type="dxa"/>
            <w:tcBorders>
              <w:tl2br w:val="nil"/>
              <w:tr2bl w:val="nil"/>
            </w:tcBorders>
            <w:vAlign w:val="center"/>
          </w:tcPr>
          <w:p w14:paraId="35EC84CE">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化学需氧量</w:t>
            </w:r>
          </w:p>
        </w:tc>
        <w:tc>
          <w:tcPr>
            <w:tcW w:w="1218" w:type="dxa"/>
            <w:tcBorders>
              <w:tl2br w:val="nil"/>
              <w:tr2bl w:val="nil"/>
            </w:tcBorders>
            <w:vAlign w:val="center"/>
          </w:tcPr>
          <w:p w14:paraId="58050315">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265.63 </w:t>
            </w:r>
          </w:p>
        </w:tc>
        <w:tc>
          <w:tcPr>
            <w:tcW w:w="1064" w:type="dxa"/>
            <w:vMerge w:val="restart"/>
            <w:tcBorders>
              <w:tl2br w:val="nil"/>
              <w:tr2bl w:val="nil"/>
            </w:tcBorders>
            <w:vAlign w:val="center"/>
          </w:tcPr>
          <w:p w14:paraId="118AFDF9">
            <w:pPr>
              <w:jc w:val="center"/>
              <w:rPr>
                <w:rFonts w:ascii="Times New Roman" w:hAnsi="Times New Roman" w:eastAsia="宋体" w:cs="Times New Roman"/>
                <w:szCs w:val="21"/>
              </w:rPr>
            </w:pPr>
            <w:r>
              <w:rPr>
                <w:rFonts w:hint="eastAsia" w:ascii="Times New Roman" w:hAnsi="Times New Roman" w:cs="Times New Roman"/>
                <w:szCs w:val="21"/>
              </w:rPr>
              <w:t>清丰中州水务有限公司第二污水处理厂</w:t>
            </w:r>
          </w:p>
        </w:tc>
        <w:tc>
          <w:tcPr>
            <w:tcW w:w="1601" w:type="dxa"/>
            <w:vMerge w:val="restart"/>
            <w:tcBorders>
              <w:tl2br w:val="nil"/>
              <w:tr2bl w:val="nil"/>
            </w:tcBorders>
            <w:vAlign w:val="center"/>
          </w:tcPr>
          <w:p w14:paraId="03411D7E">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排放标准：</w:t>
            </w:r>
          </w:p>
          <w:p w14:paraId="0E32F709">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COD：</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0mg/L；</w:t>
            </w:r>
          </w:p>
          <w:p w14:paraId="64269F22">
            <w:pPr>
              <w:jc w:val="center"/>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氨氮：</w:t>
            </w: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mg/L</w:t>
            </w:r>
          </w:p>
        </w:tc>
      </w:tr>
      <w:tr w14:paraId="242A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jc w:val="center"/>
        </w:trPr>
        <w:tc>
          <w:tcPr>
            <w:tcW w:w="1090" w:type="dxa"/>
            <w:vMerge w:val="continue"/>
            <w:tcBorders>
              <w:tl2br w:val="nil"/>
              <w:tr2bl w:val="nil"/>
            </w:tcBorders>
            <w:vAlign w:val="center"/>
          </w:tcPr>
          <w:p w14:paraId="266BD696">
            <w:pPr>
              <w:jc w:val="center"/>
            </w:pPr>
          </w:p>
        </w:tc>
        <w:tc>
          <w:tcPr>
            <w:tcW w:w="2679" w:type="dxa"/>
            <w:vMerge w:val="continue"/>
            <w:tcBorders>
              <w:tl2br w:val="nil"/>
              <w:tr2bl w:val="nil"/>
            </w:tcBorders>
            <w:vAlign w:val="center"/>
          </w:tcPr>
          <w:p w14:paraId="10216D65">
            <w:pPr>
              <w:jc w:val="center"/>
            </w:pPr>
          </w:p>
        </w:tc>
        <w:tc>
          <w:tcPr>
            <w:tcW w:w="2134" w:type="dxa"/>
            <w:vMerge w:val="continue"/>
            <w:tcBorders>
              <w:tl2br w:val="nil"/>
              <w:tr2bl w:val="nil"/>
            </w:tcBorders>
            <w:vAlign w:val="center"/>
          </w:tcPr>
          <w:p w14:paraId="0367EE62">
            <w:pPr>
              <w:jc w:val="center"/>
            </w:pPr>
          </w:p>
        </w:tc>
        <w:tc>
          <w:tcPr>
            <w:tcW w:w="1637" w:type="dxa"/>
            <w:vMerge w:val="continue"/>
            <w:tcBorders>
              <w:tl2br w:val="nil"/>
              <w:tr2bl w:val="nil"/>
            </w:tcBorders>
            <w:vAlign w:val="center"/>
          </w:tcPr>
          <w:p w14:paraId="4D5582D2">
            <w:pPr>
              <w:jc w:val="center"/>
            </w:pPr>
          </w:p>
        </w:tc>
        <w:tc>
          <w:tcPr>
            <w:tcW w:w="1408" w:type="dxa"/>
            <w:vMerge w:val="continue"/>
            <w:tcBorders>
              <w:tl2br w:val="nil"/>
              <w:tr2bl w:val="nil"/>
            </w:tcBorders>
            <w:vAlign w:val="center"/>
          </w:tcPr>
          <w:p w14:paraId="105E64D6">
            <w:pPr>
              <w:jc w:val="center"/>
            </w:pPr>
          </w:p>
        </w:tc>
        <w:tc>
          <w:tcPr>
            <w:tcW w:w="1131" w:type="dxa"/>
            <w:tcBorders>
              <w:tl2br w:val="nil"/>
              <w:tr2bl w:val="nil"/>
            </w:tcBorders>
            <w:vAlign w:val="center"/>
          </w:tcPr>
          <w:p w14:paraId="381E3083">
            <w:pPr>
              <w:pStyle w:val="39"/>
              <w:jc w:val="center"/>
              <w:rPr>
                <w:rFonts w:ascii="Times New Roman" w:hAnsi="Times New Roman" w:cs="Times New Roman"/>
                <w:color w:val="0000FF"/>
                <w:sz w:val="21"/>
                <w:szCs w:val="21"/>
                <w:u w:val="single"/>
              </w:rPr>
            </w:pPr>
            <w:r>
              <w:rPr>
                <w:rFonts w:hint="eastAsia" w:ascii="Times New Roman" w:hAnsi="Times New Roman" w:cs="Times New Roman"/>
                <w:color w:val="auto"/>
                <w:sz w:val="21"/>
                <w:szCs w:val="21"/>
              </w:rPr>
              <w:t>氨氮</w:t>
            </w:r>
          </w:p>
        </w:tc>
        <w:tc>
          <w:tcPr>
            <w:tcW w:w="1218" w:type="dxa"/>
            <w:tcBorders>
              <w:tl2br w:val="nil"/>
              <w:tr2bl w:val="nil"/>
            </w:tcBorders>
            <w:vAlign w:val="center"/>
          </w:tcPr>
          <w:p w14:paraId="5FEB6918">
            <w:pPr>
              <w:pStyle w:val="3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23.87 </w:t>
            </w:r>
          </w:p>
        </w:tc>
        <w:tc>
          <w:tcPr>
            <w:tcW w:w="1064" w:type="dxa"/>
            <w:vMerge w:val="continue"/>
            <w:tcBorders>
              <w:tl2br w:val="nil"/>
              <w:tr2bl w:val="nil"/>
            </w:tcBorders>
            <w:vAlign w:val="center"/>
          </w:tcPr>
          <w:p w14:paraId="67B75191">
            <w:pPr>
              <w:jc w:val="center"/>
              <w:rPr>
                <w:rFonts w:ascii="Times New Roman" w:hAnsi="Times New Roman" w:cs="Times New Roman"/>
                <w:szCs w:val="21"/>
              </w:rPr>
            </w:pPr>
          </w:p>
        </w:tc>
        <w:tc>
          <w:tcPr>
            <w:tcW w:w="1601" w:type="dxa"/>
            <w:vMerge w:val="continue"/>
            <w:tcBorders>
              <w:tl2br w:val="nil"/>
              <w:tr2bl w:val="nil"/>
            </w:tcBorders>
            <w:vAlign w:val="center"/>
          </w:tcPr>
          <w:p w14:paraId="02059671">
            <w:pPr>
              <w:jc w:val="center"/>
              <w:rPr>
                <w:rFonts w:ascii="Times New Roman" w:hAnsi="Times New Roman" w:cs="Times New Roman"/>
                <w:szCs w:val="21"/>
              </w:rPr>
            </w:pPr>
          </w:p>
        </w:tc>
      </w:tr>
    </w:tbl>
    <w:p w14:paraId="0F475857">
      <w:pPr>
        <w:pStyle w:val="80"/>
        <w:tabs>
          <w:tab w:val="left" w:pos="0"/>
        </w:tabs>
        <w:spacing w:before="156" w:beforeLines="50"/>
        <w:jc w:val="center"/>
        <w:rPr>
          <w:rFonts w:ascii="Times New Roman" w:hAnsi="Times New Roman" w:eastAsia="宋体" w:cs="Times New Roman"/>
          <w:b/>
          <w:sz w:val="21"/>
          <w:szCs w:val="21"/>
        </w:rPr>
      </w:pPr>
      <w:r>
        <w:rPr>
          <w:rFonts w:ascii="Times New Roman" w:hAnsi="Times New Roman" w:cs="Times New Roman"/>
          <w:b/>
          <w:sz w:val="21"/>
          <w:szCs w:val="21"/>
        </w:rPr>
        <w:t>表10.2-3</w:t>
      </w:r>
      <w:r>
        <w:rPr>
          <w:rFonts w:ascii="Times New Roman" w:hAnsi="Times New Roman" w:eastAsia="宋体" w:cs="Times New Roman"/>
          <w:b/>
          <w:sz w:val="21"/>
          <w:szCs w:val="21"/>
        </w:rPr>
        <w:t xml:space="preserve">   固体废物产生、处理情况表</w:t>
      </w:r>
    </w:p>
    <w:tbl>
      <w:tblPr>
        <w:tblStyle w:val="30"/>
        <w:tblW w:w="14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2360"/>
        <w:gridCol w:w="817"/>
        <w:gridCol w:w="1248"/>
        <w:gridCol w:w="1189"/>
        <w:gridCol w:w="1919"/>
        <w:gridCol w:w="688"/>
        <w:gridCol w:w="1403"/>
        <w:gridCol w:w="1353"/>
        <w:gridCol w:w="657"/>
        <w:gridCol w:w="665"/>
        <w:gridCol w:w="1350"/>
      </w:tblGrid>
      <w:tr w14:paraId="5715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6" w:type="dxa"/>
            <w:vAlign w:val="center"/>
          </w:tcPr>
          <w:p w14:paraId="398CC028">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序号</w:t>
            </w:r>
          </w:p>
        </w:tc>
        <w:tc>
          <w:tcPr>
            <w:tcW w:w="2360" w:type="dxa"/>
            <w:vAlign w:val="center"/>
          </w:tcPr>
          <w:p w14:paraId="0FB21FB1">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危险</w:t>
            </w:r>
            <w:r>
              <w:rPr>
                <w:rFonts w:hint="eastAsia" w:ascii="Times New Roman" w:hAnsi="Times New Roman" w:eastAsia="宋体" w:cs="Times New Roman"/>
                <w:bCs/>
                <w:kern w:val="0"/>
                <w:szCs w:val="21"/>
              </w:rPr>
              <w:t>废物</w:t>
            </w:r>
            <w:r>
              <w:rPr>
                <w:rFonts w:ascii="Times New Roman" w:hAnsi="Times New Roman" w:eastAsia="宋体" w:cs="Times New Roman"/>
                <w:bCs/>
                <w:kern w:val="0"/>
                <w:szCs w:val="21"/>
              </w:rPr>
              <w:t>名称</w:t>
            </w:r>
          </w:p>
        </w:tc>
        <w:tc>
          <w:tcPr>
            <w:tcW w:w="817" w:type="dxa"/>
            <w:vAlign w:val="center"/>
          </w:tcPr>
          <w:p w14:paraId="11572342">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废物类别</w:t>
            </w:r>
          </w:p>
        </w:tc>
        <w:tc>
          <w:tcPr>
            <w:tcW w:w="1248" w:type="dxa"/>
            <w:vAlign w:val="center"/>
          </w:tcPr>
          <w:p w14:paraId="4E0304A2">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废物代码</w:t>
            </w:r>
          </w:p>
        </w:tc>
        <w:tc>
          <w:tcPr>
            <w:tcW w:w="1189" w:type="dxa"/>
            <w:vAlign w:val="center"/>
          </w:tcPr>
          <w:p w14:paraId="6C7E2FD6">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产生量（t/a）</w:t>
            </w:r>
          </w:p>
        </w:tc>
        <w:tc>
          <w:tcPr>
            <w:tcW w:w="1919" w:type="dxa"/>
            <w:vAlign w:val="center"/>
          </w:tcPr>
          <w:p w14:paraId="67499022">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产生工序及装置</w:t>
            </w:r>
          </w:p>
        </w:tc>
        <w:tc>
          <w:tcPr>
            <w:tcW w:w="688" w:type="dxa"/>
            <w:vAlign w:val="center"/>
          </w:tcPr>
          <w:p w14:paraId="4357FA66">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形态</w:t>
            </w:r>
          </w:p>
        </w:tc>
        <w:tc>
          <w:tcPr>
            <w:tcW w:w="1403" w:type="dxa"/>
            <w:vAlign w:val="center"/>
          </w:tcPr>
          <w:p w14:paraId="1F322CBC">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主要成分</w:t>
            </w:r>
          </w:p>
        </w:tc>
        <w:tc>
          <w:tcPr>
            <w:tcW w:w="1353" w:type="dxa"/>
            <w:vAlign w:val="center"/>
          </w:tcPr>
          <w:p w14:paraId="43496F56">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有害</w:t>
            </w:r>
          </w:p>
          <w:p w14:paraId="691998B8">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成分</w:t>
            </w:r>
          </w:p>
        </w:tc>
        <w:tc>
          <w:tcPr>
            <w:tcW w:w="657" w:type="dxa"/>
            <w:vAlign w:val="center"/>
          </w:tcPr>
          <w:p w14:paraId="0D767002">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产废</w:t>
            </w:r>
          </w:p>
          <w:p w14:paraId="238C3C0F">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周期</w:t>
            </w:r>
          </w:p>
        </w:tc>
        <w:tc>
          <w:tcPr>
            <w:tcW w:w="665" w:type="dxa"/>
            <w:vAlign w:val="center"/>
          </w:tcPr>
          <w:p w14:paraId="2C5ABDBC">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危险</w:t>
            </w:r>
          </w:p>
          <w:p w14:paraId="049CDEC5">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特性</w:t>
            </w:r>
          </w:p>
        </w:tc>
        <w:tc>
          <w:tcPr>
            <w:tcW w:w="1350" w:type="dxa"/>
            <w:vAlign w:val="center"/>
          </w:tcPr>
          <w:p w14:paraId="4EA0388A">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污染防治措施</w:t>
            </w:r>
          </w:p>
        </w:tc>
      </w:tr>
      <w:tr w14:paraId="598E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2623A0DC">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1</w:t>
            </w:r>
          </w:p>
        </w:tc>
        <w:tc>
          <w:tcPr>
            <w:tcW w:w="2360" w:type="dxa"/>
            <w:vAlign w:val="center"/>
          </w:tcPr>
          <w:p w14:paraId="2AF70BA0">
            <w:pPr>
              <w:jc w:val="center"/>
              <w:rPr>
                <w:rFonts w:ascii="Times New Roman" w:hAnsi="Times New Roman" w:eastAsia="宋体" w:cs="Times New Roman"/>
                <w:szCs w:val="21"/>
              </w:rPr>
            </w:pPr>
            <w:r>
              <w:rPr>
                <w:rFonts w:hint="eastAsia" w:ascii="Times New Roman" w:hAnsi="Times New Roman" w:eastAsia="宋体" w:cs="Times New Roman"/>
                <w:szCs w:val="21"/>
              </w:rPr>
              <w:t>废破损包装桶</w:t>
            </w:r>
          </w:p>
        </w:tc>
        <w:tc>
          <w:tcPr>
            <w:tcW w:w="817" w:type="dxa"/>
            <w:vAlign w:val="center"/>
          </w:tcPr>
          <w:p w14:paraId="6798BC69">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48" w:type="dxa"/>
            <w:vAlign w:val="center"/>
          </w:tcPr>
          <w:p w14:paraId="797F1036">
            <w:pPr>
              <w:jc w:val="center"/>
              <w:rPr>
                <w:rFonts w:ascii="Times New Roman" w:hAnsi="Times New Roman" w:eastAsia="宋体" w:cs="Times New Roman"/>
                <w:szCs w:val="21"/>
              </w:rPr>
            </w:pPr>
            <w:r>
              <w:rPr>
                <w:rFonts w:ascii="Times New Roman" w:hAnsi="Times New Roman" w:eastAsia="宋体" w:cs="Times New Roman"/>
                <w:szCs w:val="21"/>
              </w:rPr>
              <w:t>900-041-49</w:t>
            </w:r>
          </w:p>
        </w:tc>
        <w:tc>
          <w:tcPr>
            <w:tcW w:w="1189" w:type="dxa"/>
            <w:vAlign w:val="center"/>
          </w:tcPr>
          <w:p w14:paraId="4217924F">
            <w:pPr>
              <w:jc w:val="center"/>
              <w:rPr>
                <w:rFonts w:ascii="Times New Roman" w:hAnsi="Times New Roman" w:eastAsia="宋体" w:cs="Times New Roman"/>
                <w:szCs w:val="21"/>
              </w:rPr>
            </w:pPr>
            <w:r>
              <w:rPr>
                <w:rFonts w:hint="eastAsia" w:ascii="Times New Roman" w:hAnsi="Times New Roman" w:cs="Times New Roman"/>
                <w:szCs w:val="21"/>
              </w:rPr>
              <w:t>1.0</w:t>
            </w:r>
          </w:p>
        </w:tc>
        <w:tc>
          <w:tcPr>
            <w:tcW w:w="1919" w:type="dxa"/>
            <w:vAlign w:val="center"/>
          </w:tcPr>
          <w:p w14:paraId="6A5E6C3A">
            <w:pPr>
              <w:jc w:val="center"/>
              <w:rPr>
                <w:rFonts w:ascii="Times New Roman" w:hAnsi="Times New Roman" w:eastAsia="宋体" w:cs="Times New Roman"/>
                <w:szCs w:val="21"/>
              </w:rPr>
            </w:pPr>
            <w:r>
              <w:rPr>
                <w:rFonts w:hint="eastAsia" w:ascii="Times New Roman" w:hAnsi="Times New Roman" w:eastAsia="宋体" w:cs="Times New Roman"/>
                <w:szCs w:val="21"/>
              </w:rPr>
              <w:t>原料区</w:t>
            </w:r>
          </w:p>
        </w:tc>
        <w:tc>
          <w:tcPr>
            <w:tcW w:w="688" w:type="dxa"/>
            <w:vAlign w:val="center"/>
          </w:tcPr>
          <w:p w14:paraId="72A0EDEE">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03" w:type="dxa"/>
            <w:vAlign w:val="center"/>
          </w:tcPr>
          <w:p w14:paraId="15FD83CF">
            <w:pPr>
              <w:jc w:val="center"/>
              <w:rPr>
                <w:rFonts w:ascii="Times New Roman" w:hAnsi="Times New Roman" w:eastAsia="宋体" w:cs="Times New Roman"/>
                <w:szCs w:val="21"/>
              </w:rPr>
            </w:pPr>
            <w:r>
              <w:rPr>
                <w:rFonts w:hint="eastAsia" w:ascii="Times New Roman" w:hAnsi="Times New Roman" w:cs="Times New Roman"/>
                <w:bCs/>
                <w:szCs w:val="21"/>
              </w:rPr>
              <w:t>漆料、稀释剂、胶黏剂</w:t>
            </w:r>
          </w:p>
        </w:tc>
        <w:tc>
          <w:tcPr>
            <w:tcW w:w="1353" w:type="dxa"/>
            <w:vAlign w:val="center"/>
          </w:tcPr>
          <w:p w14:paraId="5C9CF0D1">
            <w:pPr>
              <w:jc w:val="center"/>
              <w:rPr>
                <w:rFonts w:ascii="Times New Roman" w:hAnsi="Times New Roman" w:eastAsia="宋体" w:cs="Times New Roman"/>
                <w:bCs/>
                <w:kern w:val="0"/>
                <w:szCs w:val="21"/>
              </w:rPr>
            </w:pPr>
            <w:r>
              <w:rPr>
                <w:rFonts w:hint="eastAsia" w:ascii="Times New Roman" w:hAnsi="Times New Roman" w:cs="Times New Roman"/>
                <w:bCs/>
                <w:szCs w:val="21"/>
              </w:rPr>
              <w:t>漆料、稀释剂、胶黏剂</w:t>
            </w:r>
          </w:p>
        </w:tc>
        <w:tc>
          <w:tcPr>
            <w:tcW w:w="657" w:type="dxa"/>
            <w:vAlign w:val="center"/>
          </w:tcPr>
          <w:p w14:paraId="66780BF3">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1d</w:t>
            </w:r>
          </w:p>
        </w:tc>
        <w:tc>
          <w:tcPr>
            <w:tcW w:w="665" w:type="dxa"/>
            <w:vAlign w:val="center"/>
          </w:tcPr>
          <w:p w14:paraId="5D4C27E3">
            <w:pPr>
              <w:jc w:val="center"/>
              <w:rPr>
                <w:rFonts w:ascii="Times New Roman" w:hAnsi="Times New Roman" w:eastAsia="宋体" w:cs="Times New Roman"/>
                <w:szCs w:val="21"/>
              </w:rPr>
            </w:pPr>
            <w:r>
              <w:rPr>
                <w:rFonts w:hint="eastAsia" w:ascii="Times New Roman" w:hAnsi="Times New Roman" w:eastAsia="宋体" w:cs="Times New Roman"/>
                <w:szCs w:val="21"/>
              </w:rPr>
              <w:t>T/In</w:t>
            </w:r>
          </w:p>
        </w:tc>
        <w:tc>
          <w:tcPr>
            <w:tcW w:w="1350" w:type="dxa"/>
            <w:vMerge w:val="restart"/>
            <w:vAlign w:val="center"/>
          </w:tcPr>
          <w:p w14:paraId="57353D2D">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委托有资质单位处置</w:t>
            </w:r>
          </w:p>
        </w:tc>
      </w:tr>
      <w:tr w14:paraId="2449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4E28A4E1">
            <w:pPr>
              <w:jc w:val="center"/>
              <w:rPr>
                <w:rFonts w:ascii="Times New Roman" w:hAnsi="Times New Roman" w:eastAsia="宋体" w:cs="Times New Roman"/>
                <w:bCs/>
                <w:kern w:val="0"/>
                <w:szCs w:val="21"/>
              </w:rPr>
            </w:pPr>
            <w:r>
              <w:rPr>
                <w:rFonts w:hint="eastAsia" w:ascii="Times New Roman" w:hAnsi="Times New Roman" w:cs="Times New Roman"/>
                <w:bCs/>
                <w:kern w:val="0"/>
                <w:szCs w:val="21"/>
              </w:rPr>
              <w:t>2</w:t>
            </w:r>
          </w:p>
        </w:tc>
        <w:tc>
          <w:tcPr>
            <w:tcW w:w="2360" w:type="dxa"/>
            <w:vAlign w:val="center"/>
          </w:tcPr>
          <w:p w14:paraId="5EB18584">
            <w:pPr>
              <w:jc w:val="center"/>
              <w:rPr>
                <w:rFonts w:ascii="Times New Roman" w:hAnsi="Times New Roman" w:eastAsia="宋体" w:cs="Times New Roman"/>
                <w:szCs w:val="21"/>
              </w:rPr>
            </w:pPr>
            <w:r>
              <w:rPr>
                <w:rFonts w:hint="eastAsia" w:ascii="Times New Roman" w:hAnsi="Times New Roman" w:eastAsia="宋体" w:cs="Times New Roman"/>
                <w:szCs w:val="21"/>
              </w:rPr>
              <w:t>水帘漆渣</w:t>
            </w:r>
          </w:p>
        </w:tc>
        <w:tc>
          <w:tcPr>
            <w:tcW w:w="817" w:type="dxa"/>
            <w:vAlign w:val="center"/>
          </w:tcPr>
          <w:p w14:paraId="13913B70">
            <w:pPr>
              <w:jc w:val="center"/>
              <w:rPr>
                <w:rFonts w:ascii="Times New Roman" w:hAnsi="Times New Roman" w:eastAsia="宋体" w:cs="Times New Roman"/>
                <w:szCs w:val="21"/>
              </w:rPr>
            </w:pPr>
            <w:r>
              <w:rPr>
                <w:rFonts w:hint="eastAsia" w:ascii="Times New Roman" w:hAnsi="Times New Roman" w:eastAsia="宋体" w:cs="Times New Roman"/>
                <w:szCs w:val="21"/>
              </w:rPr>
              <w:t>HW12</w:t>
            </w:r>
          </w:p>
        </w:tc>
        <w:tc>
          <w:tcPr>
            <w:tcW w:w="1248" w:type="dxa"/>
            <w:vAlign w:val="center"/>
          </w:tcPr>
          <w:p w14:paraId="6A70C38B">
            <w:pPr>
              <w:jc w:val="center"/>
              <w:rPr>
                <w:rFonts w:ascii="Times New Roman" w:hAnsi="Times New Roman" w:eastAsia="宋体" w:cs="Times New Roman"/>
                <w:szCs w:val="21"/>
              </w:rPr>
            </w:pPr>
            <w:r>
              <w:rPr>
                <w:rFonts w:hint="eastAsia" w:ascii="Times New Roman" w:hAnsi="Times New Roman" w:eastAsia="宋体" w:cs="Times New Roman"/>
                <w:szCs w:val="21"/>
              </w:rPr>
              <w:t>900-252-12</w:t>
            </w:r>
          </w:p>
        </w:tc>
        <w:tc>
          <w:tcPr>
            <w:tcW w:w="1189" w:type="dxa"/>
            <w:vAlign w:val="center"/>
          </w:tcPr>
          <w:p w14:paraId="0428B51E">
            <w:pPr>
              <w:jc w:val="center"/>
              <w:rPr>
                <w:rFonts w:ascii="Times New Roman" w:hAnsi="Times New Roman" w:eastAsia="宋体" w:cs="Times New Roman"/>
                <w:szCs w:val="21"/>
              </w:rPr>
            </w:pPr>
            <w:r>
              <w:rPr>
                <w:rFonts w:hint="eastAsia" w:ascii="Times New Roman" w:hAnsi="Times New Roman" w:cs="Times New Roman"/>
                <w:szCs w:val="21"/>
              </w:rPr>
              <w:t>3.15</w:t>
            </w:r>
          </w:p>
        </w:tc>
        <w:tc>
          <w:tcPr>
            <w:tcW w:w="1919" w:type="dxa"/>
            <w:vAlign w:val="center"/>
          </w:tcPr>
          <w:p w14:paraId="520966F0">
            <w:pPr>
              <w:jc w:val="center"/>
              <w:rPr>
                <w:rFonts w:ascii="Times New Roman" w:hAnsi="Times New Roman" w:eastAsia="宋体" w:cs="Times New Roman"/>
                <w:szCs w:val="21"/>
              </w:rPr>
            </w:pPr>
            <w:r>
              <w:rPr>
                <w:rFonts w:hint="eastAsia" w:ascii="Times New Roman" w:hAnsi="Times New Roman" w:eastAsia="宋体" w:cs="Times New Roman"/>
                <w:szCs w:val="21"/>
              </w:rPr>
              <w:t>喷漆</w:t>
            </w:r>
          </w:p>
        </w:tc>
        <w:tc>
          <w:tcPr>
            <w:tcW w:w="688" w:type="dxa"/>
            <w:vAlign w:val="center"/>
          </w:tcPr>
          <w:p w14:paraId="1A6DCBA8">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03" w:type="dxa"/>
          </w:tcPr>
          <w:p w14:paraId="7DF6FE73">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353" w:type="dxa"/>
          </w:tcPr>
          <w:p w14:paraId="76226503">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657" w:type="dxa"/>
            <w:vAlign w:val="center"/>
          </w:tcPr>
          <w:p w14:paraId="3891BDD3">
            <w:pPr>
              <w:jc w:val="center"/>
              <w:rPr>
                <w:rFonts w:ascii="Times New Roman" w:hAnsi="Times New Roman" w:eastAsia="宋体" w:cs="Times New Roman"/>
                <w:szCs w:val="21"/>
              </w:rPr>
            </w:pPr>
            <w:r>
              <w:rPr>
                <w:rFonts w:hint="eastAsia" w:ascii="Times New Roman" w:hAnsi="Times New Roman" w:eastAsia="宋体" w:cs="Times New Roman"/>
                <w:bCs/>
                <w:kern w:val="0"/>
                <w:szCs w:val="21"/>
              </w:rPr>
              <w:t>1月</w:t>
            </w:r>
          </w:p>
        </w:tc>
        <w:tc>
          <w:tcPr>
            <w:tcW w:w="665" w:type="dxa"/>
            <w:vAlign w:val="center"/>
          </w:tcPr>
          <w:p w14:paraId="544910A3">
            <w:pPr>
              <w:jc w:val="center"/>
              <w:rPr>
                <w:rFonts w:ascii="Times New Roman" w:hAnsi="Times New Roman" w:eastAsia="宋体" w:cs="Times New Roman"/>
                <w:szCs w:val="21"/>
              </w:rPr>
            </w:pPr>
            <w:r>
              <w:rPr>
                <w:rFonts w:hint="eastAsia" w:ascii="Times New Roman" w:hAnsi="Times New Roman" w:eastAsia="宋体" w:cs="Times New Roman"/>
                <w:szCs w:val="21"/>
              </w:rPr>
              <w:t>T，I</w:t>
            </w:r>
          </w:p>
        </w:tc>
        <w:tc>
          <w:tcPr>
            <w:tcW w:w="1350" w:type="dxa"/>
            <w:vMerge w:val="continue"/>
            <w:vAlign w:val="center"/>
          </w:tcPr>
          <w:p w14:paraId="14857AD4">
            <w:pPr>
              <w:jc w:val="center"/>
              <w:rPr>
                <w:rFonts w:ascii="Times New Roman" w:hAnsi="Times New Roman" w:eastAsia="宋体" w:cs="Times New Roman"/>
                <w:bCs/>
                <w:kern w:val="0"/>
                <w:szCs w:val="21"/>
              </w:rPr>
            </w:pPr>
          </w:p>
        </w:tc>
      </w:tr>
      <w:tr w14:paraId="5857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2D77125D">
            <w:pPr>
              <w:jc w:val="center"/>
              <w:rPr>
                <w:rFonts w:ascii="Times New Roman" w:hAnsi="Times New Roman" w:eastAsia="宋体" w:cs="Times New Roman"/>
                <w:bCs/>
                <w:kern w:val="0"/>
                <w:szCs w:val="21"/>
              </w:rPr>
            </w:pPr>
            <w:r>
              <w:rPr>
                <w:rFonts w:hint="eastAsia" w:ascii="Times New Roman" w:hAnsi="Times New Roman" w:cs="Times New Roman"/>
                <w:bCs/>
                <w:kern w:val="0"/>
                <w:szCs w:val="21"/>
              </w:rPr>
              <w:t>3</w:t>
            </w:r>
          </w:p>
        </w:tc>
        <w:tc>
          <w:tcPr>
            <w:tcW w:w="2360" w:type="dxa"/>
            <w:vAlign w:val="center"/>
          </w:tcPr>
          <w:p w14:paraId="76EDFF18">
            <w:pPr>
              <w:jc w:val="center"/>
              <w:rPr>
                <w:rFonts w:ascii="Times New Roman" w:hAnsi="Times New Roman" w:eastAsia="宋体" w:cs="Times New Roman"/>
                <w:szCs w:val="21"/>
              </w:rPr>
            </w:pPr>
            <w:r>
              <w:rPr>
                <w:rFonts w:hint="eastAsia" w:ascii="Times New Roman" w:hAnsi="Times New Roman" w:eastAsia="宋体" w:cs="Times New Roman"/>
                <w:szCs w:val="21"/>
              </w:rPr>
              <w:t>油磨漆渣</w:t>
            </w:r>
          </w:p>
        </w:tc>
        <w:tc>
          <w:tcPr>
            <w:tcW w:w="817" w:type="dxa"/>
            <w:vAlign w:val="center"/>
          </w:tcPr>
          <w:p w14:paraId="6CDEBD2E">
            <w:pPr>
              <w:jc w:val="center"/>
              <w:rPr>
                <w:rFonts w:ascii="Times New Roman" w:hAnsi="Times New Roman" w:eastAsia="宋体" w:cs="Times New Roman"/>
                <w:szCs w:val="21"/>
              </w:rPr>
            </w:pPr>
            <w:r>
              <w:rPr>
                <w:rFonts w:hint="eastAsia" w:ascii="Times New Roman" w:hAnsi="Times New Roman" w:eastAsia="宋体" w:cs="Times New Roman"/>
                <w:szCs w:val="21"/>
              </w:rPr>
              <w:t>HW12</w:t>
            </w:r>
          </w:p>
        </w:tc>
        <w:tc>
          <w:tcPr>
            <w:tcW w:w="1248" w:type="dxa"/>
            <w:vAlign w:val="center"/>
          </w:tcPr>
          <w:p w14:paraId="3A3F50B6">
            <w:pPr>
              <w:jc w:val="center"/>
              <w:rPr>
                <w:rFonts w:ascii="Times New Roman" w:hAnsi="Times New Roman" w:eastAsia="宋体" w:cs="Times New Roman"/>
                <w:szCs w:val="21"/>
              </w:rPr>
            </w:pPr>
            <w:r>
              <w:rPr>
                <w:rFonts w:ascii="Times New Roman" w:hAnsi="Times New Roman" w:eastAsia="宋体" w:cs="Times New Roman"/>
                <w:szCs w:val="21"/>
              </w:rPr>
              <w:t>900-252-12</w:t>
            </w:r>
          </w:p>
        </w:tc>
        <w:tc>
          <w:tcPr>
            <w:tcW w:w="1189" w:type="dxa"/>
            <w:vAlign w:val="center"/>
          </w:tcPr>
          <w:p w14:paraId="0740930A">
            <w:pPr>
              <w:jc w:val="center"/>
              <w:rPr>
                <w:rFonts w:ascii="Times New Roman" w:hAnsi="Times New Roman" w:eastAsia="宋体" w:cs="Times New Roman"/>
                <w:szCs w:val="21"/>
              </w:rPr>
            </w:pPr>
            <w:r>
              <w:rPr>
                <w:rFonts w:hint="eastAsia" w:ascii="Times New Roman" w:hAnsi="Times New Roman" w:cs="Times New Roman"/>
                <w:szCs w:val="21"/>
              </w:rPr>
              <w:t>1.519</w:t>
            </w:r>
          </w:p>
        </w:tc>
        <w:tc>
          <w:tcPr>
            <w:tcW w:w="1919" w:type="dxa"/>
            <w:vAlign w:val="center"/>
          </w:tcPr>
          <w:p w14:paraId="0E2E42B3">
            <w:pPr>
              <w:jc w:val="center"/>
              <w:rPr>
                <w:rFonts w:ascii="Times New Roman" w:hAnsi="Times New Roman" w:eastAsia="宋体" w:cs="Times New Roman"/>
                <w:szCs w:val="21"/>
              </w:rPr>
            </w:pPr>
            <w:r>
              <w:rPr>
                <w:rFonts w:hint="eastAsia" w:ascii="Times New Roman" w:hAnsi="Times New Roman" w:eastAsia="宋体" w:cs="Times New Roman"/>
                <w:szCs w:val="21"/>
              </w:rPr>
              <w:t>油磨</w:t>
            </w:r>
          </w:p>
        </w:tc>
        <w:tc>
          <w:tcPr>
            <w:tcW w:w="688" w:type="dxa"/>
            <w:vAlign w:val="center"/>
          </w:tcPr>
          <w:p w14:paraId="42A9EFE7">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03" w:type="dxa"/>
          </w:tcPr>
          <w:p w14:paraId="7EB17546">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353" w:type="dxa"/>
          </w:tcPr>
          <w:p w14:paraId="086A4807">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657" w:type="dxa"/>
            <w:vAlign w:val="center"/>
          </w:tcPr>
          <w:p w14:paraId="3654AC46">
            <w:pPr>
              <w:jc w:val="center"/>
              <w:rPr>
                <w:rFonts w:ascii="Times New Roman" w:hAnsi="Times New Roman" w:eastAsia="宋体" w:cs="Times New Roman"/>
                <w:szCs w:val="21"/>
              </w:rPr>
            </w:pPr>
            <w:r>
              <w:rPr>
                <w:rFonts w:hint="eastAsia" w:ascii="Times New Roman" w:hAnsi="Times New Roman" w:eastAsia="宋体" w:cs="Times New Roman"/>
                <w:bCs/>
                <w:kern w:val="0"/>
                <w:szCs w:val="21"/>
              </w:rPr>
              <w:t>1d</w:t>
            </w:r>
          </w:p>
        </w:tc>
        <w:tc>
          <w:tcPr>
            <w:tcW w:w="665" w:type="dxa"/>
            <w:vAlign w:val="center"/>
          </w:tcPr>
          <w:p w14:paraId="370B655F">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T，I </w:t>
            </w:r>
          </w:p>
        </w:tc>
        <w:tc>
          <w:tcPr>
            <w:tcW w:w="1350" w:type="dxa"/>
            <w:vMerge w:val="continue"/>
            <w:vAlign w:val="center"/>
          </w:tcPr>
          <w:p w14:paraId="74774912">
            <w:pPr>
              <w:jc w:val="center"/>
              <w:rPr>
                <w:rFonts w:ascii="Times New Roman" w:hAnsi="Times New Roman" w:eastAsia="宋体" w:cs="Times New Roman"/>
                <w:bCs/>
                <w:kern w:val="0"/>
                <w:szCs w:val="21"/>
              </w:rPr>
            </w:pPr>
          </w:p>
        </w:tc>
      </w:tr>
      <w:tr w14:paraId="0BF6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0B0353CF">
            <w:pPr>
              <w:jc w:val="center"/>
              <w:rPr>
                <w:rFonts w:ascii="Times New Roman" w:hAnsi="Times New Roman" w:eastAsia="宋体" w:cs="Times New Roman"/>
                <w:bCs/>
                <w:kern w:val="0"/>
                <w:szCs w:val="21"/>
              </w:rPr>
            </w:pPr>
            <w:r>
              <w:rPr>
                <w:rFonts w:hint="eastAsia" w:ascii="Times New Roman" w:hAnsi="Times New Roman" w:cs="Times New Roman"/>
                <w:bCs/>
                <w:kern w:val="0"/>
                <w:szCs w:val="21"/>
              </w:rPr>
              <w:t>4</w:t>
            </w:r>
          </w:p>
        </w:tc>
        <w:tc>
          <w:tcPr>
            <w:tcW w:w="2360" w:type="dxa"/>
            <w:vAlign w:val="center"/>
          </w:tcPr>
          <w:p w14:paraId="134070D5">
            <w:pPr>
              <w:jc w:val="center"/>
              <w:rPr>
                <w:rFonts w:ascii="Times New Roman" w:hAnsi="Times New Roman" w:eastAsia="宋体" w:cs="Times New Roman"/>
                <w:szCs w:val="21"/>
              </w:rPr>
            </w:pPr>
            <w:r>
              <w:rPr>
                <w:rFonts w:hint="eastAsia" w:ascii="Times New Roman" w:hAnsi="Times New Roman" w:eastAsia="宋体" w:cs="Times New Roman"/>
                <w:szCs w:val="21"/>
              </w:rPr>
              <w:t>污水处理站絮状沉淀物</w:t>
            </w:r>
          </w:p>
        </w:tc>
        <w:tc>
          <w:tcPr>
            <w:tcW w:w="817" w:type="dxa"/>
            <w:vAlign w:val="center"/>
          </w:tcPr>
          <w:p w14:paraId="3484B1EA">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48" w:type="dxa"/>
            <w:vAlign w:val="center"/>
          </w:tcPr>
          <w:p w14:paraId="2C30006B">
            <w:pPr>
              <w:jc w:val="center"/>
              <w:rPr>
                <w:rFonts w:ascii="Times New Roman" w:hAnsi="Times New Roman" w:eastAsia="宋体" w:cs="Times New Roman"/>
                <w:szCs w:val="21"/>
              </w:rPr>
            </w:pPr>
            <w:r>
              <w:rPr>
                <w:rFonts w:ascii="Times New Roman" w:hAnsi="Times New Roman" w:eastAsia="宋体" w:cs="Times New Roman"/>
                <w:szCs w:val="21"/>
              </w:rPr>
              <w:t>772-006-49</w:t>
            </w:r>
          </w:p>
        </w:tc>
        <w:tc>
          <w:tcPr>
            <w:tcW w:w="1189" w:type="dxa"/>
            <w:vAlign w:val="center"/>
          </w:tcPr>
          <w:p w14:paraId="4673CA5D">
            <w:pPr>
              <w:jc w:val="center"/>
              <w:rPr>
                <w:rFonts w:ascii="Times New Roman" w:hAnsi="Times New Roman" w:cs="Times New Roman"/>
                <w:szCs w:val="21"/>
              </w:rPr>
            </w:pPr>
            <w:r>
              <w:rPr>
                <w:rFonts w:hint="eastAsia" w:ascii="Times New Roman" w:hAnsi="Times New Roman" w:cs="Times New Roman"/>
                <w:szCs w:val="21"/>
              </w:rPr>
              <w:t>0.1</w:t>
            </w:r>
          </w:p>
        </w:tc>
        <w:tc>
          <w:tcPr>
            <w:tcW w:w="1919" w:type="dxa"/>
            <w:vAlign w:val="center"/>
          </w:tcPr>
          <w:p w14:paraId="46691B9F">
            <w:pPr>
              <w:jc w:val="center"/>
              <w:rPr>
                <w:rFonts w:ascii="Times New Roman" w:hAnsi="Times New Roman" w:cs="Times New Roman"/>
                <w:szCs w:val="21"/>
              </w:rPr>
            </w:pPr>
            <w:r>
              <w:rPr>
                <w:rFonts w:hint="eastAsia" w:ascii="Times New Roman" w:hAnsi="Times New Roman" w:eastAsia="宋体" w:cs="Times New Roman"/>
                <w:szCs w:val="21"/>
              </w:rPr>
              <w:t>污水处理站</w:t>
            </w:r>
          </w:p>
        </w:tc>
        <w:tc>
          <w:tcPr>
            <w:tcW w:w="688" w:type="dxa"/>
            <w:vAlign w:val="center"/>
          </w:tcPr>
          <w:p w14:paraId="46F664D2">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403" w:type="dxa"/>
            <w:vAlign w:val="center"/>
          </w:tcPr>
          <w:p w14:paraId="03F84195">
            <w:pPr>
              <w:jc w:val="center"/>
              <w:rPr>
                <w:rFonts w:ascii="Times New Roman" w:hAnsi="Times New Roman" w:cs="Times New Roman"/>
                <w:szCs w:val="21"/>
              </w:rPr>
            </w:pPr>
            <w:r>
              <w:rPr>
                <w:rFonts w:hint="eastAsia" w:ascii="Times New Roman" w:hAnsi="Times New Roman" w:cs="Times New Roman"/>
                <w:bCs/>
                <w:szCs w:val="21"/>
              </w:rPr>
              <w:t>漆料</w:t>
            </w:r>
          </w:p>
        </w:tc>
        <w:tc>
          <w:tcPr>
            <w:tcW w:w="1353" w:type="dxa"/>
            <w:vAlign w:val="center"/>
          </w:tcPr>
          <w:p w14:paraId="0578CD37">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657" w:type="dxa"/>
            <w:vAlign w:val="center"/>
          </w:tcPr>
          <w:p w14:paraId="2D7187A8">
            <w:pPr>
              <w:jc w:val="center"/>
              <w:rPr>
                <w:rFonts w:ascii="Times New Roman" w:hAnsi="Times New Roman" w:eastAsia="宋体" w:cs="Times New Roman"/>
                <w:szCs w:val="21"/>
              </w:rPr>
            </w:pPr>
            <w:r>
              <w:rPr>
                <w:rFonts w:hint="eastAsia" w:ascii="Times New Roman" w:hAnsi="Times New Roman" w:eastAsia="宋体" w:cs="Times New Roman"/>
                <w:szCs w:val="21"/>
              </w:rPr>
              <w:t>1月</w:t>
            </w:r>
          </w:p>
        </w:tc>
        <w:tc>
          <w:tcPr>
            <w:tcW w:w="665" w:type="dxa"/>
            <w:vAlign w:val="center"/>
          </w:tcPr>
          <w:p w14:paraId="1FF1F723">
            <w:pPr>
              <w:jc w:val="center"/>
              <w:rPr>
                <w:rFonts w:ascii="Times New Roman" w:hAnsi="Times New Roman" w:eastAsia="宋体" w:cs="Times New Roman"/>
                <w:szCs w:val="21"/>
              </w:rPr>
            </w:pPr>
            <w:r>
              <w:rPr>
                <w:rFonts w:hint="eastAsia" w:ascii="Times New Roman" w:hAnsi="Times New Roman" w:eastAsia="宋体" w:cs="Times New Roman"/>
                <w:szCs w:val="21"/>
              </w:rPr>
              <w:t>T/In</w:t>
            </w:r>
          </w:p>
        </w:tc>
        <w:tc>
          <w:tcPr>
            <w:tcW w:w="1350" w:type="dxa"/>
            <w:vMerge w:val="continue"/>
            <w:vAlign w:val="center"/>
          </w:tcPr>
          <w:p w14:paraId="49E2B267">
            <w:pPr>
              <w:jc w:val="center"/>
              <w:rPr>
                <w:rFonts w:ascii="Times New Roman" w:hAnsi="Times New Roman" w:eastAsia="宋体" w:cs="Times New Roman"/>
                <w:bCs/>
                <w:kern w:val="0"/>
                <w:szCs w:val="21"/>
              </w:rPr>
            </w:pPr>
          </w:p>
        </w:tc>
      </w:tr>
      <w:tr w14:paraId="537A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4B100194">
            <w:pPr>
              <w:jc w:val="center"/>
              <w:rPr>
                <w:rFonts w:ascii="Times New Roman" w:hAnsi="Times New Roman" w:eastAsia="宋体" w:cs="Times New Roman"/>
                <w:bCs/>
                <w:kern w:val="0"/>
                <w:szCs w:val="21"/>
              </w:rPr>
            </w:pPr>
            <w:r>
              <w:rPr>
                <w:rFonts w:hint="eastAsia" w:ascii="Times New Roman" w:hAnsi="Times New Roman" w:cs="Times New Roman"/>
                <w:bCs/>
                <w:kern w:val="0"/>
                <w:szCs w:val="21"/>
              </w:rPr>
              <w:t>5</w:t>
            </w:r>
          </w:p>
        </w:tc>
        <w:tc>
          <w:tcPr>
            <w:tcW w:w="2360" w:type="dxa"/>
            <w:vAlign w:val="center"/>
          </w:tcPr>
          <w:p w14:paraId="75055246">
            <w:pPr>
              <w:jc w:val="center"/>
              <w:rPr>
                <w:rFonts w:ascii="Times New Roman" w:hAnsi="Times New Roman" w:eastAsia="宋体" w:cs="Times New Roman"/>
                <w:szCs w:val="21"/>
              </w:rPr>
            </w:pPr>
            <w:r>
              <w:rPr>
                <w:rFonts w:hint="eastAsia" w:ascii="Times New Roman" w:hAnsi="Times New Roman" w:eastAsia="宋体" w:cs="Times New Roman"/>
                <w:szCs w:val="21"/>
              </w:rPr>
              <w:t>废活性炭</w:t>
            </w:r>
          </w:p>
        </w:tc>
        <w:tc>
          <w:tcPr>
            <w:tcW w:w="817" w:type="dxa"/>
            <w:vAlign w:val="center"/>
          </w:tcPr>
          <w:p w14:paraId="414AB517">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48" w:type="dxa"/>
            <w:vAlign w:val="center"/>
          </w:tcPr>
          <w:p w14:paraId="26AFE5E4">
            <w:pPr>
              <w:jc w:val="center"/>
              <w:rPr>
                <w:rFonts w:ascii="Times New Roman" w:hAnsi="Times New Roman" w:eastAsia="宋体" w:cs="Times New Roman"/>
                <w:szCs w:val="21"/>
              </w:rPr>
            </w:pPr>
            <w:r>
              <w:rPr>
                <w:rFonts w:hint="eastAsia" w:ascii="Times New Roman" w:hAnsi="Times New Roman" w:eastAsia="宋体" w:cs="Times New Roman"/>
                <w:szCs w:val="21"/>
              </w:rPr>
              <w:t>900-039-49</w:t>
            </w:r>
          </w:p>
        </w:tc>
        <w:tc>
          <w:tcPr>
            <w:tcW w:w="1189" w:type="dxa"/>
            <w:vAlign w:val="center"/>
          </w:tcPr>
          <w:p w14:paraId="5944C54D">
            <w:pPr>
              <w:jc w:val="center"/>
              <w:rPr>
                <w:rFonts w:ascii="Times New Roman" w:hAnsi="Times New Roman" w:cs="Times New Roman"/>
                <w:szCs w:val="21"/>
              </w:rPr>
            </w:pPr>
            <w:r>
              <w:rPr>
                <w:rFonts w:hint="eastAsia" w:ascii="Times New Roman" w:hAnsi="Times New Roman" w:cs="Times New Roman"/>
                <w:szCs w:val="21"/>
              </w:rPr>
              <w:t>2</w:t>
            </w:r>
          </w:p>
        </w:tc>
        <w:tc>
          <w:tcPr>
            <w:tcW w:w="1919" w:type="dxa"/>
            <w:vAlign w:val="center"/>
          </w:tcPr>
          <w:p w14:paraId="136C67C5">
            <w:pPr>
              <w:jc w:val="center"/>
              <w:rPr>
                <w:rFonts w:ascii="Times New Roman" w:hAnsi="Times New Roman" w:eastAsia="宋体" w:cs="Times New Roman"/>
                <w:szCs w:val="21"/>
              </w:rPr>
            </w:pPr>
            <w:r>
              <w:rPr>
                <w:rFonts w:hint="eastAsia" w:ascii="Times New Roman" w:hAnsi="Times New Roman" w:cs="Times New Roman"/>
                <w:szCs w:val="21"/>
              </w:rPr>
              <w:t>废气治理设施</w:t>
            </w:r>
          </w:p>
        </w:tc>
        <w:tc>
          <w:tcPr>
            <w:tcW w:w="688" w:type="dxa"/>
            <w:vAlign w:val="center"/>
          </w:tcPr>
          <w:p w14:paraId="7D76D9B8">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403" w:type="dxa"/>
            <w:vAlign w:val="center"/>
          </w:tcPr>
          <w:p w14:paraId="2F1439A5">
            <w:pPr>
              <w:jc w:val="center"/>
              <w:rPr>
                <w:rFonts w:ascii="Times New Roman" w:hAnsi="Times New Roman" w:cs="Times New Roman"/>
                <w:szCs w:val="21"/>
              </w:rPr>
            </w:pPr>
            <w:r>
              <w:rPr>
                <w:rFonts w:hint="eastAsia" w:ascii="Times New Roman" w:hAnsi="Times New Roman" w:cs="Times New Roman"/>
                <w:szCs w:val="21"/>
              </w:rPr>
              <w:t>有机物、</w:t>
            </w:r>
            <w:r>
              <w:rPr>
                <w:rFonts w:hint="eastAsia" w:ascii="Times New Roman" w:hAnsi="Times New Roman" w:cs="Times New Roman"/>
                <w:bCs/>
                <w:szCs w:val="21"/>
              </w:rPr>
              <w:t>漆料</w:t>
            </w:r>
          </w:p>
        </w:tc>
        <w:tc>
          <w:tcPr>
            <w:tcW w:w="1353" w:type="dxa"/>
            <w:vAlign w:val="center"/>
          </w:tcPr>
          <w:p w14:paraId="325FC288">
            <w:pPr>
              <w:jc w:val="center"/>
              <w:rPr>
                <w:rFonts w:ascii="Times New Roman" w:hAnsi="Times New Roman" w:eastAsia="宋体" w:cs="Times New Roman"/>
                <w:szCs w:val="21"/>
              </w:rPr>
            </w:pPr>
            <w:r>
              <w:rPr>
                <w:rFonts w:hint="eastAsia" w:ascii="Times New Roman" w:hAnsi="Times New Roman" w:cs="Times New Roman"/>
                <w:szCs w:val="21"/>
              </w:rPr>
              <w:t>有机物、</w:t>
            </w:r>
            <w:r>
              <w:rPr>
                <w:rFonts w:hint="eastAsia" w:ascii="Times New Roman" w:hAnsi="Times New Roman" w:cs="Times New Roman"/>
                <w:bCs/>
                <w:szCs w:val="21"/>
              </w:rPr>
              <w:t>漆料</w:t>
            </w:r>
          </w:p>
        </w:tc>
        <w:tc>
          <w:tcPr>
            <w:tcW w:w="657" w:type="dxa"/>
            <w:vAlign w:val="center"/>
          </w:tcPr>
          <w:p w14:paraId="73F9A3E2">
            <w:pPr>
              <w:jc w:val="center"/>
              <w:rPr>
                <w:rFonts w:ascii="Times New Roman" w:hAnsi="Times New Roman" w:eastAsia="宋体" w:cs="Times New Roman"/>
                <w:szCs w:val="21"/>
              </w:rPr>
            </w:pPr>
            <w:r>
              <w:rPr>
                <w:rFonts w:hint="eastAsia" w:ascii="Times New Roman" w:hAnsi="Times New Roman" w:eastAsia="宋体" w:cs="Times New Roman"/>
                <w:szCs w:val="21"/>
              </w:rPr>
              <w:t>3年</w:t>
            </w:r>
          </w:p>
        </w:tc>
        <w:tc>
          <w:tcPr>
            <w:tcW w:w="665" w:type="dxa"/>
            <w:vAlign w:val="center"/>
          </w:tcPr>
          <w:p w14:paraId="263F7CF3">
            <w:pPr>
              <w:jc w:val="center"/>
              <w:rPr>
                <w:rFonts w:ascii="Times New Roman" w:hAnsi="Times New Roman" w:eastAsia="宋体" w:cs="Times New Roman"/>
                <w:szCs w:val="21"/>
              </w:rPr>
            </w:pPr>
            <w:r>
              <w:rPr>
                <w:rFonts w:hint="eastAsia" w:ascii="Times New Roman" w:hAnsi="Times New Roman" w:eastAsia="宋体" w:cs="Times New Roman"/>
                <w:szCs w:val="21"/>
              </w:rPr>
              <w:t>T</w:t>
            </w:r>
          </w:p>
        </w:tc>
        <w:tc>
          <w:tcPr>
            <w:tcW w:w="1350" w:type="dxa"/>
            <w:vMerge w:val="continue"/>
            <w:vAlign w:val="center"/>
          </w:tcPr>
          <w:p w14:paraId="2A5147F1">
            <w:pPr>
              <w:jc w:val="center"/>
              <w:rPr>
                <w:rFonts w:ascii="Times New Roman" w:hAnsi="Times New Roman" w:eastAsia="宋体" w:cs="Times New Roman"/>
                <w:bCs/>
                <w:kern w:val="0"/>
                <w:szCs w:val="21"/>
              </w:rPr>
            </w:pPr>
          </w:p>
        </w:tc>
      </w:tr>
      <w:tr w14:paraId="52D9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4AFED688">
            <w:pPr>
              <w:jc w:val="center"/>
              <w:rPr>
                <w:rFonts w:eastAsia="宋体"/>
              </w:rPr>
            </w:pPr>
            <w:r>
              <w:rPr>
                <w:rFonts w:hint="eastAsia"/>
              </w:rPr>
              <w:t>6</w:t>
            </w:r>
          </w:p>
        </w:tc>
        <w:tc>
          <w:tcPr>
            <w:tcW w:w="2360" w:type="dxa"/>
            <w:vAlign w:val="center"/>
          </w:tcPr>
          <w:p w14:paraId="132E7931">
            <w:pPr>
              <w:jc w:val="center"/>
              <w:rPr>
                <w:rFonts w:ascii="Times New Roman" w:hAnsi="Times New Roman" w:eastAsia="宋体" w:cs="Times New Roman"/>
                <w:szCs w:val="21"/>
              </w:rPr>
            </w:pPr>
            <w:r>
              <w:rPr>
                <w:rFonts w:hint="eastAsia" w:ascii="Times New Roman" w:hAnsi="Times New Roman" w:eastAsia="宋体" w:cs="Times New Roman"/>
                <w:szCs w:val="21"/>
              </w:rPr>
              <w:t>喷枪清洗废水</w:t>
            </w:r>
          </w:p>
        </w:tc>
        <w:tc>
          <w:tcPr>
            <w:tcW w:w="817" w:type="dxa"/>
            <w:vAlign w:val="center"/>
          </w:tcPr>
          <w:p w14:paraId="176CB8ED">
            <w:pPr>
              <w:jc w:val="center"/>
              <w:rPr>
                <w:rFonts w:ascii="Times New Roman" w:hAnsi="Times New Roman" w:eastAsia="宋体" w:cs="Times New Roman"/>
                <w:szCs w:val="21"/>
              </w:rPr>
            </w:pPr>
            <w:r>
              <w:rPr>
                <w:rFonts w:hint="eastAsia" w:ascii="Times New Roman" w:hAnsi="Times New Roman" w:eastAsia="宋体" w:cs="Times New Roman"/>
                <w:szCs w:val="21"/>
              </w:rPr>
              <w:t>HW09</w:t>
            </w:r>
          </w:p>
        </w:tc>
        <w:tc>
          <w:tcPr>
            <w:tcW w:w="1248" w:type="dxa"/>
            <w:vAlign w:val="center"/>
          </w:tcPr>
          <w:p w14:paraId="6974DFC0">
            <w:pPr>
              <w:jc w:val="center"/>
              <w:rPr>
                <w:rFonts w:ascii="Times New Roman" w:hAnsi="Times New Roman" w:eastAsia="宋体" w:cs="Times New Roman"/>
                <w:szCs w:val="21"/>
              </w:rPr>
            </w:pPr>
            <w:r>
              <w:rPr>
                <w:rFonts w:ascii="Times New Roman" w:hAnsi="Times New Roman" w:eastAsia="宋体" w:cs="Times New Roman"/>
                <w:szCs w:val="21"/>
              </w:rPr>
              <w:t>900-007-09</w:t>
            </w:r>
          </w:p>
        </w:tc>
        <w:tc>
          <w:tcPr>
            <w:tcW w:w="1189" w:type="dxa"/>
            <w:vAlign w:val="center"/>
          </w:tcPr>
          <w:p w14:paraId="4A9EE0F4">
            <w:pPr>
              <w:jc w:val="center"/>
              <w:rPr>
                <w:rFonts w:ascii="Times New Roman" w:hAnsi="Times New Roman" w:cs="Times New Roman"/>
                <w:szCs w:val="21"/>
              </w:rPr>
            </w:pPr>
            <w:r>
              <w:rPr>
                <w:rFonts w:hint="eastAsia" w:ascii="Times New Roman" w:hAnsi="Times New Roman" w:cs="Times New Roman"/>
                <w:szCs w:val="21"/>
              </w:rPr>
              <w:t>0.2</w:t>
            </w:r>
          </w:p>
        </w:tc>
        <w:tc>
          <w:tcPr>
            <w:tcW w:w="1919" w:type="dxa"/>
            <w:vAlign w:val="center"/>
          </w:tcPr>
          <w:p w14:paraId="0BACBBB8">
            <w:pPr>
              <w:jc w:val="center"/>
              <w:rPr>
                <w:rFonts w:ascii="Times New Roman" w:hAnsi="Times New Roman" w:cs="Times New Roman"/>
                <w:szCs w:val="21"/>
              </w:rPr>
            </w:pPr>
            <w:r>
              <w:rPr>
                <w:rFonts w:hint="eastAsia" w:ascii="Times New Roman" w:hAnsi="Times New Roman" w:cs="Times New Roman"/>
                <w:szCs w:val="21"/>
              </w:rPr>
              <w:t>喷枪清洗</w:t>
            </w:r>
          </w:p>
        </w:tc>
        <w:tc>
          <w:tcPr>
            <w:tcW w:w="688" w:type="dxa"/>
            <w:vAlign w:val="center"/>
          </w:tcPr>
          <w:p w14:paraId="150CE136">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403" w:type="dxa"/>
            <w:vAlign w:val="center"/>
          </w:tcPr>
          <w:p w14:paraId="60E7A2A4">
            <w:pPr>
              <w:jc w:val="center"/>
              <w:rPr>
                <w:rFonts w:ascii="Times New Roman" w:hAnsi="Times New Roman" w:cs="Times New Roman"/>
                <w:szCs w:val="21"/>
              </w:rPr>
            </w:pPr>
            <w:r>
              <w:rPr>
                <w:rFonts w:hint="eastAsia" w:ascii="Times New Roman" w:hAnsi="Times New Roman" w:cs="Times New Roman"/>
                <w:bCs/>
                <w:szCs w:val="21"/>
              </w:rPr>
              <w:t>漆料</w:t>
            </w:r>
          </w:p>
        </w:tc>
        <w:tc>
          <w:tcPr>
            <w:tcW w:w="1353" w:type="dxa"/>
            <w:vAlign w:val="center"/>
          </w:tcPr>
          <w:p w14:paraId="578C081C">
            <w:pPr>
              <w:jc w:val="center"/>
              <w:rPr>
                <w:rFonts w:ascii="Times New Roman" w:hAnsi="Times New Roman" w:cs="Times New Roman"/>
                <w:szCs w:val="21"/>
              </w:rPr>
            </w:pPr>
            <w:r>
              <w:rPr>
                <w:rFonts w:hint="eastAsia" w:ascii="Times New Roman" w:hAnsi="Times New Roman" w:cs="Times New Roman"/>
                <w:bCs/>
                <w:szCs w:val="21"/>
              </w:rPr>
              <w:t>漆料</w:t>
            </w:r>
          </w:p>
        </w:tc>
        <w:tc>
          <w:tcPr>
            <w:tcW w:w="657" w:type="dxa"/>
            <w:vAlign w:val="center"/>
          </w:tcPr>
          <w:p w14:paraId="2E7DAC8D">
            <w:pPr>
              <w:jc w:val="center"/>
              <w:rPr>
                <w:rFonts w:ascii="Times New Roman" w:hAnsi="Times New Roman" w:eastAsia="宋体" w:cs="Times New Roman"/>
                <w:szCs w:val="21"/>
              </w:rPr>
            </w:pPr>
            <w:r>
              <w:rPr>
                <w:rFonts w:hint="eastAsia" w:ascii="Times New Roman" w:hAnsi="Times New Roman" w:eastAsia="宋体" w:cs="Times New Roman"/>
                <w:szCs w:val="21"/>
              </w:rPr>
              <w:t>1周</w:t>
            </w:r>
          </w:p>
        </w:tc>
        <w:tc>
          <w:tcPr>
            <w:tcW w:w="665" w:type="dxa"/>
            <w:vAlign w:val="center"/>
          </w:tcPr>
          <w:p w14:paraId="22F51DA8">
            <w:pPr>
              <w:jc w:val="center"/>
              <w:rPr>
                <w:rFonts w:ascii="Times New Roman" w:hAnsi="Times New Roman" w:eastAsia="宋体" w:cs="Times New Roman"/>
                <w:szCs w:val="21"/>
              </w:rPr>
            </w:pPr>
            <w:r>
              <w:rPr>
                <w:rFonts w:ascii="Times New Roman" w:hAnsi="Times New Roman" w:eastAsia="宋体" w:cs="Times New Roman"/>
                <w:szCs w:val="21"/>
              </w:rPr>
              <w:t>T</w:t>
            </w:r>
          </w:p>
        </w:tc>
        <w:tc>
          <w:tcPr>
            <w:tcW w:w="1350" w:type="dxa"/>
            <w:vMerge w:val="continue"/>
            <w:vAlign w:val="center"/>
          </w:tcPr>
          <w:p w14:paraId="1318443E">
            <w:pPr>
              <w:jc w:val="center"/>
              <w:rPr>
                <w:rFonts w:ascii="Times New Roman" w:hAnsi="Times New Roman" w:eastAsia="宋体" w:cs="Times New Roman"/>
                <w:szCs w:val="21"/>
              </w:rPr>
            </w:pPr>
          </w:p>
        </w:tc>
      </w:tr>
      <w:tr w14:paraId="3F93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53EB1B4C">
            <w:pPr>
              <w:jc w:val="center"/>
              <w:rPr>
                <w:rFonts w:ascii="Times New Roman" w:hAnsi="Times New Roman" w:eastAsia="宋体" w:cs="Times New Roman"/>
                <w:szCs w:val="21"/>
              </w:rPr>
            </w:pPr>
            <w:r>
              <w:rPr>
                <w:rFonts w:hint="eastAsia" w:ascii="Times New Roman" w:hAnsi="Times New Roman" w:cs="Times New Roman"/>
                <w:szCs w:val="21"/>
              </w:rPr>
              <w:t>7</w:t>
            </w:r>
          </w:p>
        </w:tc>
        <w:tc>
          <w:tcPr>
            <w:tcW w:w="2360" w:type="dxa"/>
            <w:vAlign w:val="center"/>
          </w:tcPr>
          <w:p w14:paraId="2E9446FA">
            <w:pPr>
              <w:jc w:val="center"/>
              <w:rPr>
                <w:rFonts w:ascii="Times New Roman" w:hAnsi="Times New Roman" w:eastAsia="宋体" w:cs="Times New Roman"/>
                <w:szCs w:val="21"/>
              </w:rPr>
            </w:pPr>
            <w:r>
              <w:rPr>
                <w:rFonts w:hint="eastAsia" w:ascii="Times New Roman" w:hAnsi="Times New Roman" w:eastAsia="宋体" w:cs="Times New Roman"/>
                <w:szCs w:val="21"/>
              </w:rPr>
              <w:t>废催化剂</w:t>
            </w:r>
          </w:p>
        </w:tc>
        <w:tc>
          <w:tcPr>
            <w:tcW w:w="817" w:type="dxa"/>
            <w:vAlign w:val="center"/>
          </w:tcPr>
          <w:p w14:paraId="790912EE">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48" w:type="dxa"/>
            <w:vAlign w:val="center"/>
          </w:tcPr>
          <w:p w14:paraId="2E63D1A7">
            <w:pPr>
              <w:jc w:val="center"/>
              <w:rPr>
                <w:rFonts w:ascii="Times New Roman" w:hAnsi="Times New Roman" w:eastAsia="宋体" w:cs="Times New Roman"/>
                <w:szCs w:val="21"/>
              </w:rPr>
            </w:pPr>
            <w:r>
              <w:rPr>
                <w:rFonts w:hint="eastAsia" w:ascii="Times New Roman" w:hAnsi="Times New Roman" w:eastAsia="宋体" w:cs="Times New Roman"/>
                <w:szCs w:val="21"/>
              </w:rPr>
              <w:t>900-041-49</w:t>
            </w:r>
          </w:p>
        </w:tc>
        <w:tc>
          <w:tcPr>
            <w:tcW w:w="1189" w:type="dxa"/>
            <w:vAlign w:val="center"/>
          </w:tcPr>
          <w:p w14:paraId="3FF6DB48">
            <w:pPr>
              <w:jc w:val="center"/>
              <w:rPr>
                <w:rFonts w:ascii="Times New Roman" w:hAnsi="Times New Roman" w:cs="Times New Roman"/>
                <w:szCs w:val="21"/>
              </w:rPr>
            </w:pPr>
            <w:r>
              <w:rPr>
                <w:rFonts w:hint="eastAsia" w:ascii="Times New Roman" w:hAnsi="Times New Roman" w:cs="Times New Roman"/>
                <w:szCs w:val="21"/>
              </w:rPr>
              <w:t>0.33</w:t>
            </w:r>
          </w:p>
        </w:tc>
        <w:tc>
          <w:tcPr>
            <w:tcW w:w="1919" w:type="dxa"/>
            <w:vAlign w:val="center"/>
          </w:tcPr>
          <w:p w14:paraId="6F439F35">
            <w:pPr>
              <w:jc w:val="center"/>
              <w:rPr>
                <w:rFonts w:ascii="Times New Roman" w:hAnsi="Times New Roman" w:cs="Times New Roman"/>
                <w:szCs w:val="21"/>
              </w:rPr>
            </w:pPr>
            <w:r>
              <w:rPr>
                <w:rFonts w:hint="eastAsia" w:ascii="Times New Roman" w:hAnsi="Times New Roman" w:cs="Times New Roman"/>
                <w:szCs w:val="21"/>
              </w:rPr>
              <w:t>废气治理设施</w:t>
            </w:r>
          </w:p>
        </w:tc>
        <w:tc>
          <w:tcPr>
            <w:tcW w:w="688" w:type="dxa"/>
            <w:vAlign w:val="center"/>
          </w:tcPr>
          <w:p w14:paraId="19EFE5EC">
            <w:pPr>
              <w:jc w:val="center"/>
              <w:rPr>
                <w:rFonts w:ascii="Times New Roman" w:hAnsi="Times New Roman" w:cs="Times New Roman"/>
                <w:szCs w:val="21"/>
              </w:rPr>
            </w:pPr>
            <w:r>
              <w:rPr>
                <w:rFonts w:hint="eastAsia" w:ascii="Times New Roman" w:hAnsi="Times New Roman" w:eastAsia="宋体" w:cs="Times New Roman"/>
                <w:szCs w:val="21"/>
              </w:rPr>
              <w:t>固态</w:t>
            </w:r>
          </w:p>
        </w:tc>
        <w:tc>
          <w:tcPr>
            <w:tcW w:w="1403" w:type="dxa"/>
            <w:vAlign w:val="center"/>
          </w:tcPr>
          <w:p w14:paraId="0172EB40">
            <w:pPr>
              <w:jc w:val="center"/>
              <w:rPr>
                <w:rFonts w:ascii="Times New Roman" w:hAnsi="Times New Roman" w:cs="Times New Roman"/>
                <w:szCs w:val="21"/>
              </w:rPr>
            </w:pPr>
            <w:r>
              <w:rPr>
                <w:rFonts w:ascii="Times New Roman" w:hAnsi="Times New Roman" w:cs="Times New Roman"/>
                <w:szCs w:val="21"/>
              </w:rPr>
              <w:t>陶瓷、Pt、Pd</w:t>
            </w:r>
          </w:p>
        </w:tc>
        <w:tc>
          <w:tcPr>
            <w:tcW w:w="1353" w:type="dxa"/>
            <w:vAlign w:val="center"/>
          </w:tcPr>
          <w:p w14:paraId="331392AA">
            <w:pPr>
              <w:jc w:val="center"/>
              <w:rPr>
                <w:rFonts w:ascii="Times New Roman" w:hAnsi="Times New Roman" w:cs="Times New Roman"/>
                <w:szCs w:val="21"/>
              </w:rPr>
            </w:pPr>
            <w:r>
              <w:rPr>
                <w:rFonts w:ascii="Times New Roman" w:hAnsi="Times New Roman" w:cs="Times New Roman"/>
                <w:szCs w:val="21"/>
              </w:rPr>
              <w:t>陶瓷、Pt、Pd</w:t>
            </w:r>
          </w:p>
        </w:tc>
        <w:tc>
          <w:tcPr>
            <w:tcW w:w="657" w:type="dxa"/>
            <w:vAlign w:val="center"/>
          </w:tcPr>
          <w:p w14:paraId="74F514A1">
            <w:pPr>
              <w:jc w:val="center"/>
              <w:rPr>
                <w:rFonts w:ascii="Times New Roman" w:hAnsi="Times New Roman" w:eastAsia="宋体" w:cs="Times New Roman"/>
                <w:szCs w:val="21"/>
              </w:rPr>
            </w:pPr>
            <w:r>
              <w:rPr>
                <w:rFonts w:hint="eastAsia" w:ascii="Times New Roman" w:hAnsi="Times New Roman" w:eastAsia="宋体" w:cs="Times New Roman"/>
                <w:szCs w:val="21"/>
              </w:rPr>
              <w:t>5年</w:t>
            </w:r>
          </w:p>
        </w:tc>
        <w:tc>
          <w:tcPr>
            <w:tcW w:w="665" w:type="dxa"/>
            <w:vAlign w:val="center"/>
          </w:tcPr>
          <w:p w14:paraId="69F8128B">
            <w:pPr>
              <w:jc w:val="center"/>
              <w:rPr>
                <w:rFonts w:ascii="Times New Roman" w:hAnsi="Times New Roman" w:eastAsia="宋体" w:cs="Times New Roman"/>
                <w:szCs w:val="21"/>
              </w:rPr>
            </w:pPr>
            <w:r>
              <w:rPr>
                <w:rFonts w:hint="eastAsia" w:ascii="Times New Roman" w:hAnsi="Times New Roman" w:eastAsia="宋体" w:cs="Times New Roman"/>
                <w:szCs w:val="21"/>
              </w:rPr>
              <w:t>T/In</w:t>
            </w:r>
          </w:p>
        </w:tc>
        <w:tc>
          <w:tcPr>
            <w:tcW w:w="1350" w:type="dxa"/>
            <w:vMerge w:val="continue"/>
            <w:vAlign w:val="center"/>
          </w:tcPr>
          <w:p w14:paraId="16B711AE">
            <w:pPr>
              <w:jc w:val="center"/>
              <w:rPr>
                <w:rFonts w:ascii="Times New Roman" w:hAnsi="Times New Roman" w:eastAsia="宋体" w:cs="Times New Roman"/>
                <w:szCs w:val="21"/>
              </w:rPr>
            </w:pPr>
          </w:p>
        </w:tc>
      </w:tr>
      <w:tr w14:paraId="11EC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49E2FB5D">
            <w:pPr>
              <w:jc w:val="center"/>
              <w:rPr>
                <w:rFonts w:ascii="Times New Roman" w:hAnsi="Times New Roman" w:cs="Times New Roman"/>
                <w:szCs w:val="21"/>
              </w:rPr>
            </w:pPr>
            <w:r>
              <w:rPr>
                <w:rFonts w:hint="eastAsia" w:ascii="Times New Roman" w:hAnsi="Times New Roman" w:cs="Times New Roman"/>
                <w:szCs w:val="21"/>
              </w:rPr>
              <w:t>8</w:t>
            </w:r>
          </w:p>
        </w:tc>
        <w:tc>
          <w:tcPr>
            <w:tcW w:w="2360" w:type="dxa"/>
            <w:vAlign w:val="center"/>
          </w:tcPr>
          <w:p w14:paraId="6EA1C519">
            <w:pPr>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废机油</w:t>
            </w:r>
          </w:p>
        </w:tc>
        <w:tc>
          <w:tcPr>
            <w:tcW w:w="817" w:type="dxa"/>
            <w:vAlign w:val="center"/>
          </w:tcPr>
          <w:p w14:paraId="2D2B5A7B">
            <w:pPr>
              <w:jc w:val="center"/>
              <w:rPr>
                <w:rFonts w:ascii="Times New Roman" w:hAnsi="Times New Roman" w:eastAsia="宋体" w:cs="Times New Roman"/>
                <w:szCs w:val="21"/>
              </w:rPr>
            </w:pPr>
            <w:r>
              <w:rPr>
                <w:rFonts w:hint="eastAsia" w:ascii="Times New Roman" w:hAnsi="Times New Roman" w:eastAsia="宋体" w:cs="Times New Roman"/>
                <w:szCs w:val="21"/>
              </w:rPr>
              <w:t>HW08</w:t>
            </w:r>
          </w:p>
        </w:tc>
        <w:tc>
          <w:tcPr>
            <w:tcW w:w="1248" w:type="dxa"/>
            <w:vAlign w:val="center"/>
          </w:tcPr>
          <w:p w14:paraId="4F3B1D8E">
            <w:pPr>
              <w:jc w:val="center"/>
              <w:rPr>
                <w:rFonts w:ascii="Times New Roman" w:hAnsi="Times New Roman" w:eastAsia="宋体" w:cs="Times New Roman"/>
                <w:szCs w:val="21"/>
              </w:rPr>
            </w:pPr>
            <w:r>
              <w:rPr>
                <w:rFonts w:ascii="Times New Roman" w:hAnsi="Times New Roman" w:eastAsia="宋体" w:cs="Times New Roman"/>
                <w:szCs w:val="21"/>
              </w:rPr>
              <w:t>900-217-08</w:t>
            </w:r>
          </w:p>
        </w:tc>
        <w:tc>
          <w:tcPr>
            <w:tcW w:w="1189" w:type="dxa"/>
            <w:vAlign w:val="center"/>
          </w:tcPr>
          <w:p w14:paraId="1CE6BEDD">
            <w:pPr>
              <w:jc w:val="center"/>
              <w:rPr>
                <w:rFonts w:ascii="Times New Roman" w:hAnsi="Times New Roman" w:eastAsia="宋体" w:cs="Times New Roman"/>
                <w:szCs w:val="21"/>
              </w:rPr>
            </w:pPr>
            <w:r>
              <w:rPr>
                <w:rFonts w:hint="eastAsia" w:ascii="Times New Roman" w:hAnsi="Times New Roman" w:cs="Times New Roman"/>
                <w:szCs w:val="21"/>
              </w:rPr>
              <w:t>0.1</w:t>
            </w:r>
          </w:p>
        </w:tc>
        <w:tc>
          <w:tcPr>
            <w:tcW w:w="1919" w:type="dxa"/>
            <w:vAlign w:val="center"/>
          </w:tcPr>
          <w:p w14:paraId="6BA8686E">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688" w:type="dxa"/>
            <w:vAlign w:val="center"/>
          </w:tcPr>
          <w:p w14:paraId="3D8B41E9">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03" w:type="dxa"/>
            <w:vAlign w:val="center"/>
          </w:tcPr>
          <w:p w14:paraId="2B4FA3DA">
            <w:pPr>
              <w:jc w:val="center"/>
              <w:rPr>
                <w:rFonts w:ascii="Times New Roman" w:hAnsi="Times New Roman" w:eastAsia="宋体" w:cs="Times New Roman"/>
                <w:szCs w:val="21"/>
              </w:rPr>
            </w:pPr>
            <w:r>
              <w:rPr>
                <w:rFonts w:hint="eastAsia" w:ascii="Times New Roman" w:hAnsi="Times New Roman" w:cs="Times New Roman"/>
                <w:szCs w:val="21"/>
              </w:rPr>
              <w:t>油类物质</w:t>
            </w:r>
          </w:p>
        </w:tc>
        <w:tc>
          <w:tcPr>
            <w:tcW w:w="1353" w:type="dxa"/>
            <w:vAlign w:val="center"/>
          </w:tcPr>
          <w:p w14:paraId="6300EF0D">
            <w:pPr>
              <w:jc w:val="center"/>
              <w:rPr>
                <w:rFonts w:ascii="Times New Roman" w:hAnsi="Times New Roman" w:eastAsia="宋体" w:cs="Times New Roman"/>
                <w:szCs w:val="21"/>
              </w:rPr>
            </w:pPr>
            <w:r>
              <w:rPr>
                <w:rFonts w:hint="eastAsia" w:ascii="Times New Roman" w:hAnsi="Times New Roman" w:cs="Times New Roman"/>
                <w:szCs w:val="21"/>
              </w:rPr>
              <w:t>油类物质</w:t>
            </w:r>
          </w:p>
        </w:tc>
        <w:tc>
          <w:tcPr>
            <w:tcW w:w="657" w:type="dxa"/>
            <w:vAlign w:val="center"/>
          </w:tcPr>
          <w:p w14:paraId="171273C2">
            <w:pPr>
              <w:jc w:val="center"/>
              <w:rPr>
                <w:rFonts w:ascii="Times New Roman" w:hAnsi="Times New Roman" w:eastAsia="宋体" w:cs="Times New Roman"/>
                <w:szCs w:val="21"/>
              </w:rPr>
            </w:pPr>
            <w:r>
              <w:rPr>
                <w:rFonts w:hint="eastAsia" w:ascii="Times New Roman" w:hAnsi="Times New Roman" w:eastAsia="宋体" w:cs="Times New Roman"/>
                <w:szCs w:val="21"/>
              </w:rPr>
              <w:t>半年</w:t>
            </w:r>
          </w:p>
        </w:tc>
        <w:tc>
          <w:tcPr>
            <w:tcW w:w="665" w:type="dxa"/>
            <w:vAlign w:val="center"/>
          </w:tcPr>
          <w:p w14:paraId="37A7DC0D">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T，I </w:t>
            </w:r>
          </w:p>
        </w:tc>
        <w:tc>
          <w:tcPr>
            <w:tcW w:w="1350" w:type="dxa"/>
            <w:vMerge w:val="continue"/>
            <w:vAlign w:val="center"/>
          </w:tcPr>
          <w:p w14:paraId="4FF40278">
            <w:pPr>
              <w:jc w:val="center"/>
              <w:rPr>
                <w:rFonts w:ascii="Times New Roman" w:hAnsi="Times New Roman" w:eastAsia="宋体" w:cs="Times New Roman"/>
                <w:szCs w:val="21"/>
              </w:rPr>
            </w:pPr>
          </w:p>
        </w:tc>
      </w:tr>
      <w:tr w14:paraId="6385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478D328A">
            <w:pPr>
              <w:jc w:val="center"/>
              <w:rPr>
                <w:rFonts w:ascii="Times New Roman" w:hAnsi="Times New Roman" w:cs="Times New Roman"/>
                <w:szCs w:val="21"/>
              </w:rPr>
            </w:pPr>
            <w:r>
              <w:rPr>
                <w:rFonts w:hint="eastAsia" w:ascii="Times New Roman" w:hAnsi="Times New Roman" w:cs="Times New Roman"/>
                <w:szCs w:val="21"/>
              </w:rPr>
              <w:t>9</w:t>
            </w:r>
          </w:p>
        </w:tc>
        <w:tc>
          <w:tcPr>
            <w:tcW w:w="2360" w:type="dxa"/>
            <w:vAlign w:val="center"/>
          </w:tcPr>
          <w:p w14:paraId="662BE63B">
            <w:pPr>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废过滤棉（含漆渣）</w:t>
            </w:r>
          </w:p>
        </w:tc>
        <w:tc>
          <w:tcPr>
            <w:tcW w:w="817" w:type="dxa"/>
            <w:vAlign w:val="center"/>
          </w:tcPr>
          <w:p w14:paraId="7A2D962E">
            <w:pPr>
              <w:jc w:val="center"/>
              <w:rPr>
                <w:rFonts w:ascii="Times New Roman" w:hAnsi="Times New Roman" w:eastAsia="宋体" w:cs="Times New Roman"/>
                <w:szCs w:val="21"/>
              </w:rPr>
            </w:pPr>
            <w:r>
              <w:rPr>
                <w:rFonts w:hint="eastAsia" w:ascii="Times New Roman" w:hAnsi="Times New Roman" w:eastAsia="宋体" w:cs="Times New Roman"/>
                <w:szCs w:val="21"/>
              </w:rPr>
              <w:t>HW49</w:t>
            </w:r>
          </w:p>
        </w:tc>
        <w:tc>
          <w:tcPr>
            <w:tcW w:w="1248" w:type="dxa"/>
            <w:vAlign w:val="center"/>
          </w:tcPr>
          <w:p w14:paraId="33C81E01">
            <w:pPr>
              <w:jc w:val="center"/>
              <w:rPr>
                <w:rFonts w:ascii="Times New Roman" w:hAnsi="Times New Roman" w:eastAsia="宋体" w:cs="Times New Roman"/>
                <w:szCs w:val="21"/>
              </w:rPr>
            </w:pPr>
            <w:r>
              <w:rPr>
                <w:rFonts w:hint="eastAsia" w:ascii="Times New Roman" w:hAnsi="Times New Roman" w:eastAsia="宋体" w:cs="Times New Roman"/>
                <w:szCs w:val="21"/>
              </w:rPr>
              <w:t>900-041-49</w:t>
            </w:r>
          </w:p>
        </w:tc>
        <w:tc>
          <w:tcPr>
            <w:tcW w:w="1189" w:type="dxa"/>
            <w:vAlign w:val="center"/>
          </w:tcPr>
          <w:p w14:paraId="24939390">
            <w:pPr>
              <w:jc w:val="center"/>
              <w:rPr>
                <w:rFonts w:ascii="Times New Roman" w:hAnsi="Times New Roman" w:eastAsia="宋体" w:cs="Times New Roman"/>
                <w:szCs w:val="21"/>
              </w:rPr>
            </w:pPr>
            <w:r>
              <w:rPr>
                <w:rFonts w:hint="eastAsia" w:ascii="Times New Roman" w:hAnsi="Times New Roman" w:cs="Times New Roman"/>
                <w:szCs w:val="21"/>
              </w:rPr>
              <w:t>0.5</w:t>
            </w:r>
          </w:p>
        </w:tc>
        <w:tc>
          <w:tcPr>
            <w:tcW w:w="1919" w:type="dxa"/>
            <w:vAlign w:val="center"/>
          </w:tcPr>
          <w:p w14:paraId="35865977">
            <w:pPr>
              <w:jc w:val="center"/>
              <w:rPr>
                <w:rFonts w:ascii="Times New Roman" w:hAnsi="Times New Roman" w:eastAsia="宋体" w:cs="Times New Roman"/>
                <w:szCs w:val="21"/>
              </w:rPr>
            </w:pPr>
            <w:r>
              <w:rPr>
                <w:rFonts w:hint="eastAsia" w:ascii="Times New Roman" w:hAnsi="Times New Roman" w:cs="Times New Roman"/>
                <w:szCs w:val="21"/>
              </w:rPr>
              <w:t>废气治理设施</w:t>
            </w:r>
          </w:p>
        </w:tc>
        <w:tc>
          <w:tcPr>
            <w:tcW w:w="688" w:type="dxa"/>
            <w:vAlign w:val="center"/>
          </w:tcPr>
          <w:p w14:paraId="1CF92455">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03" w:type="dxa"/>
            <w:vAlign w:val="center"/>
          </w:tcPr>
          <w:p w14:paraId="58EC0A11">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1353" w:type="dxa"/>
            <w:vAlign w:val="center"/>
          </w:tcPr>
          <w:p w14:paraId="3EF9693A">
            <w:pPr>
              <w:jc w:val="center"/>
              <w:rPr>
                <w:rFonts w:ascii="Times New Roman" w:hAnsi="Times New Roman" w:eastAsia="宋体" w:cs="Times New Roman"/>
                <w:szCs w:val="21"/>
              </w:rPr>
            </w:pPr>
            <w:r>
              <w:rPr>
                <w:rFonts w:hint="eastAsia" w:ascii="Times New Roman" w:hAnsi="Times New Roman" w:cs="Times New Roman"/>
                <w:bCs/>
                <w:szCs w:val="21"/>
              </w:rPr>
              <w:t>漆料</w:t>
            </w:r>
          </w:p>
        </w:tc>
        <w:tc>
          <w:tcPr>
            <w:tcW w:w="657" w:type="dxa"/>
            <w:vAlign w:val="center"/>
          </w:tcPr>
          <w:p w14:paraId="6CD09269">
            <w:pPr>
              <w:jc w:val="center"/>
              <w:rPr>
                <w:rFonts w:ascii="Times New Roman" w:hAnsi="Times New Roman" w:eastAsia="宋体" w:cs="Times New Roman"/>
                <w:szCs w:val="21"/>
              </w:rPr>
            </w:pPr>
            <w:r>
              <w:rPr>
                <w:rFonts w:hint="eastAsia" w:ascii="Times New Roman" w:hAnsi="Times New Roman" w:eastAsia="宋体" w:cs="Times New Roman"/>
                <w:bCs/>
                <w:kern w:val="0"/>
                <w:szCs w:val="21"/>
              </w:rPr>
              <w:t>1月</w:t>
            </w:r>
          </w:p>
        </w:tc>
        <w:tc>
          <w:tcPr>
            <w:tcW w:w="665" w:type="dxa"/>
            <w:vAlign w:val="center"/>
          </w:tcPr>
          <w:p w14:paraId="4AC5FAF4">
            <w:pPr>
              <w:jc w:val="center"/>
              <w:rPr>
                <w:rFonts w:ascii="Times New Roman" w:hAnsi="Times New Roman" w:eastAsia="宋体" w:cs="Times New Roman"/>
                <w:szCs w:val="21"/>
              </w:rPr>
            </w:pPr>
            <w:r>
              <w:rPr>
                <w:rFonts w:hint="eastAsia" w:ascii="Times New Roman" w:hAnsi="Times New Roman" w:eastAsia="宋体" w:cs="Times New Roman"/>
                <w:szCs w:val="21"/>
              </w:rPr>
              <w:t>T/In</w:t>
            </w:r>
          </w:p>
        </w:tc>
        <w:tc>
          <w:tcPr>
            <w:tcW w:w="1350" w:type="dxa"/>
            <w:vMerge w:val="continue"/>
            <w:vAlign w:val="center"/>
          </w:tcPr>
          <w:p w14:paraId="1EB2AB5A">
            <w:pPr>
              <w:jc w:val="center"/>
              <w:rPr>
                <w:rFonts w:ascii="Times New Roman" w:hAnsi="Times New Roman" w:eastAsia="宋体" w:cs="Times New Roman"/>
                <w:szCs w:val="21"/>
              </w:rPr>
            </w:pPr>
          </w:p>
        </w:tc>
      </w:tr>
      <w:tr w14:paraId="5169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3F51984D">
            <w:pPr>
              <w:jc w:val="center"/>
              <w:rPr>
                <w:rFonts w:ascii="Times New Roman" w:hAnsi="Times New Roman" w:cs="Times New Roman"/>
                <w:szCs w:val="21"/>
              </w:rPr>
            </w:pPr>
            <w:r>
              <w:rPr>
                <w:rFonts w:hint="eastAsia" w:ascii="Times New Roman" w:hAnsi="Times New Roman" w:cs="Times New Roman"/>
                <w:szCs w:val="21"/>
              </w:rPr>
              <w:t>10</w:t>
            </w:r>
          </w:p>
        </w:tc>
        <w:tc>
          <w:tcPr>
            <w:tcW w:w="2360" w:type="dxa"/>
            <w:vAlign w:val="center"/>
          </w:tcPr>
          <w:p w14:paraId="150FE9BF">
            <w:pPr>
              <w:pStyle w:val="39"/>
              <w:jc w:val="center"/>
              <w:rPr>
                <w:rFonts w:ascii="Times New Roman" w:hAnsi="Times New Roman" w:cs="Times New Roman"/>
                <w:color w:val="auto"/>
                <w:kern w:val="2"/>
                <w:sz w:val="21"/>
                <w:szCs w:val="21"/>
              </w:rPr>
            </w:pPr>
            <w:r>
              <w:rPr>
                <w:rFonts w:hint="eastAsia" w:cs="Times New Roman"/>
                <w:color w:val="auto"/>
                <w:sz w:val="21"/>
                <w:szCs w:val="21"/>
              </w:rPr>
              <w:t>废边角料和碎屑</w:t>
            </w:r>
          </w:p>
        </w:tc>
        <w:tc>
          <w:tcPr>
            <w:tcW w:w="817" w:type="dxa"/>
            <w:vAlign w:val="center"/>
          </w:tcPr>
          <w:p w14:paraId="60DC5A39">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48" w:type="dxa"/>
            <w:vAlign w:val="center"/>
          </w:tcPr>
          <w:p w14:paraId="587051B5">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900-999-99</w:t>
            </w:r>
          </w:p>
        </w:tc>
        <w:tc>
          <w:tcPr>
            <w:tcW w:w="1189" w:type="dxa"/>
            <w:vAlign w:val="center"/>
          </w:tcPr>
          <w:p w14:paraId="1CBE2F48">
            <w:pPr>
              <w:jc w:val="center"/>
              <w:rPr>
                <w:rFonts w:ascii="Times New Roman" w:hAnsi="Times New Roman" w:cs="Times New Roman"/>
                <w:szCs w:val="21"/>
              </w:rPr>
            </w:pPr>
            <w:r>
              <w:rPr>
                <w:rFonts w:hint="eastAsia" w:ascii="Times New Roman" w:hAnsi="Times New Roman" w:eastAsia="宋体" w:cs="Times New Roman"/>
                <w:szCs w:val="21"/>
              </w:rPr>
              <w:t>2.0</w:t>
            </w:r>
          </w:p>
        </w:tc>
        <w:tc>
          <w:tcPr>
            <w:tcW w:w="1919" w:type="dxa"/>
            <w:vAlign w:val="center"/>
          </w:tcPr>
          <w:p w14:paraId="59C9C36F">
            <w:pPr>
              <w:jc w:val="center"/>
              <w:rPr>
                <w:rFonts w:ascii="Times New Roman" w:hAnsi="Times New Roman" w:cs="Times New Roman"/>
                <w:szCs w:val="21"/>
              </w:rPr>
            </w:pPr>
            <w:r>
              <w:rPr>
                <w:rFonts w:hint="eastAsia" w:ascii="Times New Roman" w:hAnsi="Times New Roman" w:eastAsia="宋体" w:cs="Times New Roman"/>
                <w:szCs w:val="21"/>
              </w:rPr>
              <w:t>木材加工</w:t>
            </w:r>
          </w:p>
        </w:tc>
        <w:tc>
          <w:tcPr>
            <w:tcW w:w="688" w:type="dxa"/>
            <w:vAlign w:val="center"/>
          </w:tcPr>
          <w:p w14:paraId="20933BC1">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03" w:type="dxa"/>
            <w:vAlign w:val="center"/>
          </w:tcPr>
          <w:p w14:paraId="4C9AC946">
            <w:pPr>
              <w:jc w:val="center"/>
              <w:rPr>
                <w:rFonts w:ascii="Times New Roman" w:hAnsi="Times New Roman" w:cs="Times New Roman"/>
                <w:bCs/>
                <w:szCs w:val="21"/>
              </w:rPr>
            </w:pPr>
            <w:r>
              <w:rPr>
                <w:rFonts w:hint="eastAsia" w:ascii="Times New Roman" w:hAnsi="Times New Roman" w:eastAsia="宋体" w:cs="Times New Roman"/>
                <w:szCs w:val="21"/>
              </w:rPr>
              <w:t>木材、木屑</w:t>
            </w:r>
          </w:p>
        </w:tc>
        <w:tc>
          <w:tcPr>
            <w:tcW w:w="1353" w:type="dxa"/>
            <w:vAlign w:val="center"/>
          </w:tcPr>
          <w:p w14:paraId="0A84ADBF">
            <w:pPr>
              <w:jc w:val="center"/>
              <w:rPr>
                <w:rFonts w:ascii="Times New Roman" w:hAnsi="Times New Roman" w:cs="Times New Roman"/>
                <w:bCs/>
                <w:szCs w:val="21"/>
              </w:rPr>
            </w:pPr>
            <w:r>
              <w:rPr>
                <w:rFonts w:hint="eastAsia" w:ascii="Times New Roman" w:hAnsi="Times New Roman" w:cs="Times New Roman"/>
                <w:bCs/>
                <w:szCs w:val="21"/>
              </w:rPr>
              <w:t>/</w:t>
            </w:r>
          </w:p>
        </w:tc>
        <w:tc>
          <w:tcPr>
            <w:tcW w:w="657" w:type="dxa"/>
            <w:vAlign w:val="center"/>
          </w:tcPr>
          <w:p w14:paraId="51188629">
            <w:pPr>
              <w:jc w:val="center"/>
              <w:rPr>
                <w:rFonts w:ascii="Times New Roman" w:hAnsi="Times New Roman" w:eastAsia="宋体" w:cs="Times New Roman"/>
                <w:bCs/>
                <w:kern w:val="0"/>
                <w:szCs w:val="21"/>
              </w:rPr>
            </w:pPr>
            <w:r>
              <w:rPr>
                <w:rFonts w:hint="eastAsia" w:ascii="Times New Roman" w:hAnsi="Times New Roman" w:cs="Times New Roman"/>
                <w:bCs/>
                <w:szCs w:val="21"/>
              </w:rPr>
              <w:t>/</w:t>
            </w:r>
          </w:p>
        </w:tc>
        <w:tc>
          <w:tcPr>
            <w:tcW w:w="665" w:type="dxa"/>
            <w:vAlign w:val="center"/>
          </w:tcPr>
          <w:p w14:paraId="246153B3">
            <w:pPr>
              <w:jc w:val="center"/>
              <w:rPr>
                <w:rFonts w:ascii="Times New Roman" w:hAnsi="Times New Roman" w:eastAsia="宋体" w:cs="Times New Roman"/>
                <w:szCs w:val="21"/>
              </w:rPr>
            </w:pPr>
            <w:r>
              <w:rPr>
                <w:rFonts w:hint="eastAsia" w:ascii="Times New Roman" w:hAnsi="Times New Roman" w:cs="Times New Roman"/>
                <w:bCs/>
                <w:szCs w:val="21"/>
              </w:rPr>
              <w:t>/</w:t>
            </w:r>
          </w:p>
        </w:tc>
        <w:tc>
          <w:tcPr>
            <w:tcW w:w="1350" w:type="dxa"/>
            <w:vAlign w:val="center"/>
          </w:tcPr>
          <w:p w14:paraId="4159C124">
            <w:pPr>
              <w:jc w:val="center"/>
              <w:rPr>
                <w:rFonts w:ascii="Times New Roman" w:hAnsi="Times New Roman" w:eastAsia="宋体" w:cs="Times New Roman"/>
                <w:szCs w:val="21"/>
              </w:rPr>
            </w:pPr>
            <w:r>
              <w:rPr>
                <w:rFonts w:hint="eastAsia" w:ascii="Times New Roman" w:hAnsi="Times New Roman" w:eastAsia="宋体" w:cs="Times New Roman"/>
                <w:szCs w:val="21"/>
              </w:rPr>
              <w:t>收集后外售</w:t>
            </w:r>
          </w:p>
        </w:tc>
      </w:tr>
      <w:tr w14:paraId="4C59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25CC9CD4">
            <w:pPr>
              <w:jc w:val="center"/>
              <w:rPr>
                <w:rFonts w:ascii="Times New Roman" w:hAnsi="Times New Roman" w:cs="Times New Roman"/>
                <w:szCs w:val="21"/>
              </w:rPr>
            </w:pPr>
            <w:r>
              <w:rPr>
                <w:rFonts w:hint="eastAsia" w:ascii="Times New Roman" w:hAnsi="Times New Roman" w:cs="Times New Roman"/>
                <w:szCs w:val="21"/>
              </w:rPr>
              <w:t>11</w:t>
            </w:r>
          </w:p>
        </w:tc>
        <w:tc>
          <w:tcPr>
            <w:tcW w:w="2360" w:type="dxa"/>
            <w:vAlign w:val="center"/>
          </w:tcPr>
          <w:p w14:paraId="51C8A531">
            <w:pPr>
              <w:pStyle w:val="39"/>
              <w:jc w:val="center"/>
              <w:rPr>
                <w:rFonts w:ascii="Times New Roman" w:hAnsi="Times New Roman" w:cs="Times New Roman"/>
                <w:color w:val="auto"/>
                <w:kern w:val="2"/>
                <w:sz w:val="21"/>
                <w:szCs w:val="21"/>
              </w:rPr>
            </w:pPr>
            <w:r>
              <w:rPr>
                <w:rFonts w:hint="eastAsia" w:ascii="Times New Roman" w:hAnsi="Times New Roman" w:cs="Times New Roman"/>
                <w:color w:val="auto"/>
                <w:sz w:val="21"/>
                <w:szCs w:val="21"/>
              </w:rPr>
              <w:t>除尘器收尘</w:t>
            </w:r>
          </w:p>
        </w:tc>
        <w:tc>
          <w:tcPr>
            <w:tcW w:w="817" w:type="dxa"/>
            <w:vAlign w:val="center"/>
          </w:tcPr>
          <w:p w14:paraId="46A75CAA">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48" w:type="dxa"/>
            <w:vAlign w:val="center"/>
          </w:tcPr>
          <w:p w14:paraId="0338C59E">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900-999-</w:t>
            </w:r>
            <w:r>
              <w:rPr>
                <w:rFonts w:hint="eastAsia" w:ascii="Times New Roman" w:hAnsi="Times New Roman" w:cs="Times New Roman"/>
                <w:color w:val="auto"/>
                <w:sz w:val="21"/>
                <w:szCs w:val="21"/>
              </w:rPr>
              <w:t>66</w:t>
            </w:r>
          </w:p>
        </w:tc>
        <w:tc>
          <w:tcPr>
            <w:tcW w:w="1189" w:type="dxa"/>
            <w:vAlign w:val="center"/>
          </w:tcPr>
          <w:p w14:paraId="3F717888">
            <w:pPr>
              <w:jc w:val="center"/>
              <w:rPr>
                <w:rFonts w:ascii="Times New Roman" w:hAnsi="Times New Roman" w:cs="Times New Roman"/>
                <w:szCs w:val="21"/>
              </w:rPr>
            </w:pPr>
            <w:r>
              <w:rPr>
                <w:rFonts w:hint="eastAsia" w:ascii="Times New Roman" w:hAnsi="Times New Roman" w:cs="Times New Roman"/>
                <w:szCs w:val="21"/>
              </w:rPr>
              <w:t>3.25</w:t>
            </w:r>
          </w:p>
        </w:tc>
        <w:tc>
          <w:tcPr>
            <w:tcW w:w="1919" w:type="dxa"/>
            <w:vAlign w:val="center"/>
          </w:tcPr>
          <w:p w14:paraId="2EAC78A7">
            <w:pPr>
              <w:jc w:val="center"/>
              <w:rPr>
                <w:rFonts w:ascii="Times New Roman" w:hAnsi="Times New Roman" w:cs="Times New Roman"/>
                <w:szCs w:val="21"/>
              </w:rPr>
            </w:pPr>
            <w:r>
              <w:rPr>
                <w:rFonts w:hint="eastAsia" w:ascii="Times New Roman" w:hAnsi="Times New Roman" w:eastAsia="宋体" w:cs="Times New Roman"/>
                <w:szCs w:val="21"/>
              </w:rPr>
              <w:t>除尘器</w:t>
            </w:r>
          </w:p>
        </w:tc>
        <w:tc>
          <w:tcPr>
            <w:tcW w:w="688" w:type="dxa"/>
            <w:vAlign w:val="center"/>
          </w:tcPr>
          <w:p w14:paraId="70DD1990">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03" w:type="dxa"/>
            <w:vAlign w:val="center"/>
          </w:tcPr>
          <w:p w14:paraId="6034AB06">
            <w:pPr>
              <w:jc w:val="center"/>
              <w:rPr>
                <w:rFonts w:ascii="Times New Roman" w:hAnsi="Times New Roman" w:cs="Times New Roman"/>
                <w:bCs/>
                <w:szCs w:val="21"/>
              </w:rPr>
            </w:pPr>
            <w:r>
              <w:rPr>
                <w:rFonts w:hint="eastAsia" w:ascii="Times New Roman" w:hAnsi="Times New Roman" w:eastAsia="宋体" w:cs="Times New Roman"/>
                <w:szCs w:val="21"/>
              </w:rPr>
              <w:t>木材、木屑</w:t>
            </w:r>
          </w:p>
        </w:tc>
        <w:tc>
          <w:tcPr>
            <w:tcW w:w="1353" w:type="dxa"/>
            <w:vAlign w:val="center"/>
          </w:tcPr>
          <w:p w14:paraId="5B2B206E">
            <w:pPr>
              <w:jc w:val="center"/>
              <w:rPr>
                <w:rFonts w:ascii="Times New Roman" w:hAnsi="Times New Roman" w:cs="Times New Roman"/>
                <w:bCs/>
                <w:szCs w:val="21"/>
              </w:rPr>
            </w:pPr>
            <w:r>
              <w:rPr>
                <w:rFonts w:hint="eastAsia" w:ascii="Times New Roman" w:hAnsi="Times New Roman" w:cs="Times New Roman"/>
                <w:bCs/>
                <w:szCs w:val="21"/>
              </w:rPr>
              <w:t>/</w:t>
            </w:r>
          </w:p>
        </w:tc>
        <w:tc>
          <w:tcPr>
            <w:tcW w:w="657" w:type="dxa"/>
            <w:vAlign w:val="center"/>
          </w:tcPr>
          <w:p w14:paraId="7BD1A8C6">
            <w:pPr>
              <w:jc w:val="center"/>
              <w:rPr>
                <w:rFonts w:ascii="Times New Roman" w:hAnsi="Times New Roman" w:eastAsia="宋体" w:cs="Times New Roman"/>
                <w:bCs/>
                <w:kern w:val="0"/>
                <w:szCs w:val="21"/>
              </w:rPr>
            </w:pPr>
            <w:r>
              <w:rPr>
                <w:rFonts w:hint="eastAsia" w:ascii="Times New Roman" w:hAnsi="Times New Roman" w:cs="Times New Roman"/>
                <w:bCs/>
                <w:szCs w:val="21"/>
              </w:rPr>
              <w:t>/</w:t>
            </w:r>
          </w:p>
        </w:tc>
        <w:tc>
          <w:tcPr>
            <w:tcW w:w="665" w:type="dxa"/>
            <w:vAlign w:val="center"/>
          </w:tcPr>
          <w:p w14:paraId="57C50D03">
            <w:pPr>
              <w:jc w:val="center"/>
              <w:rPr>
                <w:rFonts w:ascii="Times New Roman" w:hAnsi="Times New Roman" w:eastAsia="宋体" w:cs="Times New Roman"/>
                <w:szCs w:val="21"/>
              </w:rPr>
            </w:pPr>
            <w:r>
              <w:rPr>
                <w:rFonts w:hint="eastAsia" w:ascii="Times New Roman" w:hAnsi="Times New Roman" w:cs="Times New Roman"/>
                <w:bCs/>
                <w:szCs w:val="21"/>
              </w:rPr>
              <w:t>/</w:t>
            </w:r>
          </w:p>
        </w:tc>
        <w:tc>
          <w:tcPr>
            <w:tcW w:w="1350" w:type="dxa"/>
            <w:vAlign w:val="center"/>
          </w:tcPr>
          <w:p w14:paraId="675D9582">
            <w:pPr>
              <w:jc w:val="center"/>
              <w:rPr>
                <w:rFonts w:ascii="Times New Roman" w:hAnsi="Times New Roman" w:eastAsia="宋体" w:cs="Times New Roman"/>
                <w:szCs w:val="21"/>
              </w:rPr>
            </w:pPr>
            <w:r>
              <w:rPr>
                <w:rFonts w:hint="eastAsia" w:ascii="Times New Roman" w:hAnsi="Times New Roman" w:eastAsia="宋体" w:cs="Times New Roman"/>
                <w:szCs w:val="21"/>
              </w:rPr>
              <w:t>收集后外售</w:t>
            </w:r>
          </w:p>
        </w:tc>
      </w:tr>
      <w:tr w14:paraId="23A4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26" w:type="dxa"/>
            <w:vAlign w:val="center"/>
          </w:tcPr>
          <w:p w14:paraId="5EBFD0B8">
            <w:pPr>
              <w:jc w:val="center"/>
              <w:rPr>
                <w:rFonts w:ascii="Times New Roman" w:hAnsi="Times New Roman" w:cs="Times New Roman"/>
                <w:szCs w:val="21"/>
              </w:rPr>
            </w:pPr>
            <w:r>
              <w:rPr>
                <w:rFonts w:hint="eastAsia" w:ascii="Times New Roman" w:hAnsi="Times New Roman" w:cs="Times New Roman"/>
                <w:szCs w:val="21"/>
              </w:rPr>
              <w:t>12</w:t>
            </w:r>
          </w:p>
        </w:tc>
        <w:tc>
          <w:tcPr>
            <w:tcW w:w="2360" w:type="dxa"/>
            <w:vAlign w:val="center"/>
          </w:tcPr>
          <w:p w14:paraId="433B55D0">
            <w:pPr>
              <w:pStyle w:val="39"/>
              <w:jc w:val="center"/>
              <w:rPr>
                <w:rFonts w:ascii="Times New Roman" w:hAnsi="Times New Roman" w:cs="Times New Roman"/>
                <w:color w:val="auto"/>
                <w:kern w:val="2"/>
                <w:sz w:val="21"/>
                <w:szCs w:val="21"/>
              </w:rPr>
            </w:pPr>
            <w:r>
              <w:rPr>
                <w:rFonts w:hint="eastAsia" w:ascii="Times New Roman" w:hAnsi="Times New Roman" w:cs="Times New Roman"/>
                <w:bCs/>
                <w:color w:val="auto"/>
                <w:sz w:val="21"/>
                <w:szCs w:val="21"/>
              </w:rPr>
              <w:t>废包装材料</w:t>
            </w:r>
          </w:p>
        </w:tc>
        <w:tc>
          <w:tcPr>
            <w:tcW w:w="817" w:type="dxa"/>
            <w:vAlign w:val="center"/>
          </w:tcPr>
          <w:p w14:paraId="71B06063">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48" w:type="dxa"/>
            <w:vAlign w:val="center"/>
          </w:tcPr>
          <w:p w14:paraId="00F5675B">
            <w:pPr>
              <w:pStyle w:val="39"/>
              <w:jc w:val="center"/>
              <w:rPr>
                <w:rFonts w:ascii="Times New Roman" w:hAnsi="Times New Roman" w:cs="Times New Roman"/>
                <w:color w:val="auto"/>
                <w:sz w:val="21"/>
                <w:szCs w:val="21"/>
              </w:rPr>
            </w:pPr>
            <w:r>
              <w:rPr>
                <w:rFonts w:ascii="Times New Roman" w:hAnsi="Times New Roman" w:cs="Times New Roman"/>
                <w:color w:val="auto"/>
                <w:sz w:val="21"/>
                <w:szCs w:val="21"/>
              </w:rPr>
              <w:t>900-999-99</w:t>
            </w:r>
          </w:p>
        </w:tc>
        <w:tc>
          <w:tcPr>
            <w:tcW w:w="1189" w:type="dxa"/>
            <w:vAlign w:val="center"/>
          </w:tcPr>
          <w:p w14:paraId="6F6A324D">
            <w:pPr>
              <w:jc w:val="center"/>
              <w:rPr>
                <w:rFonts w:ascii="Times New Roman" w:hAnsi="Times New Roman" w:cs="Times New Roman"/>
                <w:szCs w:val="21"/>
              </w:rPr>
            </w:pPr>
            <w:r>
              <w:rPr>
                <w:rFonts w:hint="eastAsia" w:ascii="Times New Roman" w:hAnsi="Times New Roman" w:cs="Times New Roman"/>
                <w:szCs w:val="21"/>
              </w:rPr>
              <w:t>0.3</w:t>
            </w:r>
          </w:p>
        </w:tc>
        <w:tc>
          <w:tcPr>
            <w:tcW w:w="1919" w:type="dxa"/>
            <w:vAlign w:val="center"/>
          </w:tcPr>
          <w:p w14:paraId="426FC767">
            <w:pPr>
              <w:jc w:val="center"/>
              <w:rPr>
                <w:rFonts w:ascii="Times New Roman" w:hAnsi="Times New Roman" w:cs="Times New Roman"/>
                <w:szCs w:val="21"/>
              </w:rPr>
            </w:pPr>
            <w:r>
              <w:rPr>
                <w:rFonts w:hint="eastAsia" w:ascii="Times New Roman" w:hAnsi="Times New Roman" w:eastAsia="宋体" w:cs="Times New Roman"/>
                <w:szCs w:val="21"/>
              </w:rPr>
              <w:t>原料包装、拆包</w:t>
            </w:r>
          </w:p>
        </w:tc>
        <w:tc>
          <w:tcPr>
            <w:tcW w:w="688" w:type="dxa"/>
            <w:vAlign w:val="center"/>
          </w:tcPr>
          <w:p w14:paraId="3F7DCC99">
            <w:pPr>
              <w:jc w:val="center"/>
              <w:rPr>
                <w:rFonts w:ascii="Times New Roman" w:hAnsi="Times New Roman" w:eastAsia="宋体" w:cs="Times New Roman"/>
                <w:szCs w:val="21"/>
              </w:rPr>
            </w:pPr>
            <w:r>
              <w:rPr>
                <w:rFonts w:hint="eastAsia" w:ascii="Times New Roman" w:hAnsi="Times New Roman" w:eastAsia="宋体" w:cs="Times New Roman"/>
                <w:szCs w:val="21"/>
              </w:rPr>
              <w:t>固态</w:t>
            </w:r>
          </w:p>
        </w:tc>
        <w:tc>
          <w:tcPr>
            <w:tcW w:w="1403" w:type="dxa"/>
            <w:vAlign w:val="center"/>
          </w:tcPr>
          <w:p w14:paraId="0ADC5657">
            <w:pPr>
              <w:jc w:val="center"/>
              <w:rPr>
                <w:rFonts w:ascii="Times New Roman" w:hAnsi="Times New Roman" w:cs="Times New Roman"/>
                <w:bCs/>
                <w:szCs w:val="21"/>
              </w:rPr>
            </w:pPr>
            <w:r>
              <w:rPr>
                <w:rFonts w:hint="eastAsia" w:ascii="Times New Roman" w:hAnsi="Times New Roman" w:eastAsia="宋体" w:cs="Times New Roman"/>
                <w:szCs w:val="21"/>
              </w:rPr>
              <w:t>塑料、纸</w:t>
            </w:r>
          </w:p>
        </w:tc>
        <w:tc>
          <w:tcPr>
            <w:tcW w:w="1353" w:type="dxa"/>
            <w:vAlign w:val="center"/>
          </w:tcPr>
          <w:p w14:paraId="4E9055FD">
            <w:pPr>
              <w:jc w:val="center"/>
              <w:rPr>
                <w:rFonts w:ascii="Times New Roman" w:hAnsi="Times New Roman" w:cs="Times New Roman"/>
                <w:bCs/>
                <w:szCs w:val="21"/>
              </w:rPr>
            </w:pPr>
            <w:r>
              <w:rPr>
                <w:rFonts w:hint="eastAsia" w:ascii="Times New Roman" w:hAnsi="Times New Roman" w:cs="Times New Roman"/>
                <w:bCs/>
                <w:szCs w:val="21"/>
              </w:rPr>
              <w:t>/</w:t>
            </w:r>
          </w:p>
        </w:tc>
        <w:tc>
          <w:tcPr>
            <w:tcW w:w="657" w:type="dxa"/>
            <w:vAlign w:val="center"/>
          </w:tcPr>
          <w:p w14:paraId="15FC4D76">
            <w:pPr>
              <w:jc w:val="center"/>
              <w:rPr>
                <w:rFonts w:ascii="Times New Roman" w:hAnsi="Times New Roman" w:eastAsia="宋体" w:cs="Times New Roman"/>
                <w:bCs/>
                <w:kern w:val="0"/>
                <w:szCs w:val="21"/>
              </w:rPr>
            </w:pPr>
            <w:r>
              <w:rPr>
                <w:rFonts w:hint="eastAsia" w:ascii="Times New Roman" w:hAnsi="Times New Roman" w:cs="Times New Roman"/>
                <w:bCs/>
                <w:szCs w:val="21"/>
              </w:rPr>
              <w:t>/</w:t>
            </w:r>
          </w:p>
        </w:tc>
        <w:tc>
          <w:tcPr>
            <w:tcW w:w="665" w:type="dxa"/>
            <w:vAlign w:val="center"/>
          </w:tcPr>
          <w:p w14:paraId="544AAEEA">
            <w:pPr>
              <w:jc w:val="center"/>
              <w:rPr>
                <w:rFonts w:ascii="Times New Roman" w:hAnsi="Times New Roman" w:eastAsia="宋体" w:cs="Times New Roman"/>
                <w:szCs w:val="21"/>
              </w:rPr>
            </w:pPr>
            <w:r>
              <w:rPr>
                <w:rFonts w:hint="eastAsia" w:ascii="Times New Roman" w:hAnsi="Times New Roman" w:cs="Times New Roman"/>
                <w:bCs/>
                <w:szCs w:val="21"/>
              </w:rPr>
              <w:t>/</w:t>
            </w:r>
          </w:p>
        </w:tc>
        <w:tc>
          <w:tcPr>
            <w:tcW w:w="1350" w:type="dxa"/>
            <w:vAlign w:val="center"/>
          </w:tcPr>
          <w:p w14:paraId="0AD3B4D5">
            <w:pPr>
              <w:jc w:val="center"/>
              <w:rPr>
                <w:rFonts w:ascii="Times New Roman" w:hAnsi="Times New Roman" w:eastAsia="宋体" w:cs="Times New Roman"/>
                <w:szCs w:val="21"/>
              </w:rPr>
            </w:pPr>
            <w:r>
              <w:rPr>
                <w:rFonts w:hint="eastAsia" w:ascii="Times New Roman" w:hAnsi="Times New Roman" w:eastAsia="宋体" w:cs="Times New Roman"/>
                <w:szCs w:val="21"/>
              </w:rPr>
              <w:t>收集后外售</w:t>
            </w:r>
          </w:p>
        </w:tc>
      </w:tr>
    </w:tbl>
    <w:p w14:paraId="44F98DB0">
      <w:pPr>
        <w:pStyle w:val="17"/>
        <w:ind w:firstLine="0"/>
      </w:pPr>
    </w:p>
    <w:p w14:paraId="45D64FDF">
      <w:pPr>
        <w:sectPr>
          <w:headerReference r:id="rId30" w:type="default"/>
          <w:pgSz w:w="16838" w:h="11906" w:orient="landscape"/>
          <w:pgMar w:top="1800" w:right="1440" w:bottom="1800" w:left="1440" w:header="851" w:footer="992" w:gutter="0"/>
          <w:pgNumType w:fmt="decimal"/>
          <w:cols w:space="425" w:num="1"/>
          <w:docGrid w:type="lines" w:linePitch="312" w:charSpace="0"/>
        </w:sectPr>
      </w:pPr>
    </w:p>
    <w:p w14:paraId="73F2A108">
      <w:pPr>
        <w:pStyle w:val="3"/>
        <w:numPr>
          <w:ilvl w:val="1"/>
          <w:numId w:val="90"/>
        </w:numPr>
        <w:tabs>
          <w:tab w:val="clear" w:pos="0"/>
        </w:tabs>
        <w:adjustRightInd w:val="0"/>
        <w:snapToGrid w:val="0"/>
        <w:ind w:left="720" w:leftChars="0" w:hanging="720" w:firstLineChars="0"/>
      </w:pPr>
      <w:bookmarkStart w:id="383" w:name="_Toc20187"/>
      <w:r>
        <w:t>环境监测</w:t>
      </w:r>
      <w:bookmarkEnd w:id="383"/>
    </w:p>
    <w:p w14:paraId="509482B5">
      <w:pPr>
        <w:pStyle w:val="4"/>
        <w:numPr>
          <w:ilvl w:val="2"/>
          <w:numId w:val="90"/>
        </w:numPr>
        <w:tabs>
          <w:tab w:val="clear" w:pos="0"/>
        </w:tabs>
        <w:adjustRightInd w:val="0"/>
        <w:snapToGrid w:val="0"/>
        <w:ind w:left="720" w:leftChars="0" w:hanging="720" w:firstLineChars="0"/>
      </w:pPr>
      <w:r>
        <w:t>环境监测目的</w:t>
      </w:r>
    </w:p>
    <w:p w14:paraId="38378A63">
      <w:pPr>
        <w:pStyle w:val="15"/>
        <w:adjustRightInd w:val="0"/>
        <w:snapToGrid w:val="0"/>
        <w:spacing w:after="0" w:line="360" w:lineRule="auto"/>
        <w:ind w:firstLine="480" w:firstLineChars="200"/>
        <w:rPr>
          <w:rFonts w:ascii="Times New Roman" w:hAnsi="Times New Roman" w:cs="Times New Roman"/>
          <w:sz w:val="24"/>
          <w:szCs w:val="32"/>
        </w:rPr>
      </w:pPr>
      <w:r>
        <w:rPr>
          <w:rFonts w:ascii="Times New Roman" w:hAnsi="Times New Roman" w:cs="Times New Roman"/>
          <w:sz w:val="24"/>
          <w:szCs w:val="32"/>
        </w:rPr>
        <w:t>环境监测是环境管理技术的支持。同时，环境监测还是企业搞好环境管理， 促进污染治理设施正常运行的主要保障。通过定期的环境监测，了解企业的污染物达标排放情况及当地环境质量状况，可以及时发现问题、解决问题，确保污染治理措施达标排放，周边环境质量稳定。</w:t>
      </w:r>
    </w:p>
    <w:p w14:paraId="6AC3BAFA">
      <w:pPr>
        <w:pStyle w:val="4"/>
        <w:numPr>
          <w:ilvl w:val="2"/>
          <w:numId w:val="90"/>
        </w:numPr>
        <w:tabs>
          <w:tab w:val="clear" w:pos="0"/>
        </w:tabs>
        <w:adjustRightInd w:val="0"/>
        <w:snapToGrid w:val="0"/>
        <w:ind w:left="720" w:leftChars="0" w:hanging="720" w:firstLineChars="0"/>
      </w:pPr>
      <w:bookmarkStart w:id="384" w:name="7.2.2环境监测机构"/>
      <w:bookmarkEnd w:id="384"/>
      <w:bookmarkStart w:id="385" w:name="_bookmark109"/>
      <w:bookmarkEnd w:id="385"/>
      <w:r>
        <w:t>环境监测机构</w:t>
      </w:r>
    </w:p>
    <w:p w14:paraId="291C84C1">
      <w:pPr>
        <w:tabs>
          <w:tab w:val="left" w:pos="6946"/>
        </w:tabs>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color w:val="000000"/>
          <w:sz w:val="24"/>
          <w:szCs w:val="32"/>
        </w:rPr>
        <w:t xml:space="preserve">为了及时准确地了解项目的污染物排放情况和污染物治理设施的运行状况， </w:t>
      </w:r>
      <w:r>
        <w:rPr>
          <w:rFonts w:ascii="Times New Roman" w:hAnsi="Times New Roman" w:cs="Times New Roman"/>
          <w:sz w:val="24"/>
        </w:rPr>
        <w:t>建议企业按照本次环评提出的相关监测计划，日常进行常规监测工作，不具备监测能力的可委托第三方进行，由公司安环部应对公司的监测工作进行管理，针对此情况本次评价对监测机构的选择及监测计划执行提出如下要求具体见下表。</w:t>
      </w:r>
    </w:p>
    <w:p w14:paraId="29101A75">
      <w:pPr>
        <w:pStyle w:val="80"/>
        <w:tabs>
          <w:tab w:val="left" w:pos="0"/>
        </w:tabs>
        <w:adjustRightInd w:val="0"/>
        <w:snapToGrid w:val="0"/>
        <w:jc w:val="center"/>
        <w:rPr>
          <w:rFonts w:ascii="Times New Roman" w:hAnsi="Times New Roman" w:eastAsia="宋体" w:cs="Times New Roman"/>
          <w:b/>
          <w:sz w:val="21"/>
          <w:szCs w:val="21"/>
        </w:rPr>
      </w:pPr>
      <w:r>
        <w:rPr>
          <w:rFonts w:ascii="Times New Roman" w:hAnsi="Times New Roman" w:cs="Times New Roman"/>
          <w:b/>
          <w:sz w:val="21"/>
          <w:szCs w:val="21"/>
        </w:rPr>
        <w:t>表10</w:t>
      </w:r>
      <w:r>
        <w:rPr>
          <w:rFonts w:ascii="Times New Roman" w:hAnsi="Times New Roman" w:eastAsia="宋体" w:cs="Times New Roman"/>
          <w:b/>
          <w:sz w:val="21"/>
          <w:szCs w:val="21"/>
        </w:rPr>
        <w:t>.3-1   环境监测机构选择及监测要求</w:t>
      </w:r>
    </w:p>
    <w:tbl>
      <w:tblPr>
        <w:tblStyle w:val="30"/>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89"/>
        <w:gridCol w:w="6717"/>
      </w:tblGrid>
      <w:tr w14:paraId="1C4E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489" w:type="dxa"/>
            <w:tcBorders>
              <w:tl2br w:val="nil"/>
              <w:tr2bl w:val="nil"/>
            </w:tcBorders>
            <w:vAlign w:val="center"/>
          </w:tcPr>
          <w:p w14:paraId="5762DCDA">
            <w:pPr>
              <w:jc w:val="center"/>
              <w:rPr>
                <w:rFonts w:ascii="Times New Roman" w:hAnsi="Times New Roman" w:cs="Times New Roman"/>
                <w:szCs w:val="21"/>
              </w:rPr>
            </w:pPr>
            <w:r>
              <w:rPr>
                <w:rFonts w:ascii="Times New Roman" w:hAnsi="Times New Roman" w:cs="Times New Roman"/>
                <w:szCs w:val="21"/>
              </w:rPr>
              <w:t>名  称</w:t>
            </w:r>
          </w:p>
        </w:tc>
        <w:tc>
          <w:tcPr>
            <w:tcW w:w="6717" w:type="dxa"/>
            <w:tcBorders>
              <w:tl2br w:val="nil"/>
              <w:tr2bl w:val="nil"/>
            </w:tcBorders>
            <w:vAlign w:val="center"/>
          </w:tcPr>
          <w:p w14:paraId="05207342">
            <w:pPr>
              <w:widowControl/>
              <w:jc w:val="center"/>
              <w:rPr>
                <w:rFonts w:ascii="Times New Roman" w:hAnsi="Times New Roman" w:cs="Times New Roman"/>
                <w:szCs w:val="21"/>
              </w:rPr>
            </w:pPr>
            <w:r>
              <w:rPr>
                <w:rFonts w:ascii="Times New Roman" w:hAnsi="Times New Roman" w:cs="Times New Roman"/>
                <w:szCs w:val="21"/>
              </w:rPr>
              <w:t>监测要求</w:t>
            </w:r>
          </w:p>
        </w:tc>
      </w:tr>
      <w:tr w14:paraId="0BED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1489" w:type="dxa"/>
            <w:tcBorders>
              <w:tl2br w:val="nil"/>
              <w:tr2bl w:val="nil"/>
            </w:tcBorders>
            <w:vAlign w:val="center"/>
          </w:tcPr>
          <w:p w14:paraId="6147093B">
            <w:pPr>
              <w:jc w:val="center"/>
              <w:rPr>
                <w:rFonts w:ascii="Times New Roman" w:hAnsi="Times New Roman" w:cs="Times New Roman"/>
                <w:szCs w:val="21"/>
              </w:rPr>
            </w:pPr>
            <w:r>
              <w:rPr>
                <w:rFonts w:ascii="Times New Roman" w:hAnsi="Times New Roman" w:cs="Times New Roman"/>
                <w:szCs w:val="21"/>
              </w:rPr>
              <w:t>监测机构选择</w:t>
            </w:r>
          </w:p>
        </w:tc>
        <w:tc>
          <w:tcPr>
            <w:tcW w:w="6717" w:type="dxa"/>
            <w:tcBorders>
              <w:tl2br w:val="nil"/>
              <w:tr2bl w:val="nil"/>
            </w:tcBorders>
            <w:vAlign w:val="center"/>
          </w:tcPr>
          <w:p w14:paraId="578B9A2C">
            <w:pPr>
              <w:widowControl/>
              <w:jc w:val="center"/>
              <w:rPr>
                <w:rFonts w:ascii="Times New Roman" w:hAnsi="Times New Roman" w:cs="Times New Roman"/>
                <w:szCs w:val="21"/>
              </w:rPr>
            </w:pPr>
            <w:r>
              <w:rPr>
                <w:rFonts w:ascii="Times New Roman" w:hAnsi="Times New Roman" w:cs="Times New Roman"/>
                <w:szCs w:val="21"/>
              </w:rPr>
              <w:t>选择具备监测相关监测资质类别的监测机构</w:t>
            </w:r>
          </w:p>
        </w:tc>
      </w:tr>
      <w:tr w14:paraId="45C9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4" w:hRule="atLeast"/>
          <w:jc w:val="center"/>
        </w:trPr>
        <w:tc>
          <w:tcPr>
            <w:tcW w:w="1489" w:type="dxa"/>
            <w:tcBorders>
              <w:tl2br w:val="nil"/>
              <w:tr2bl w:val="nil"/>
            </w:tcBorders>
            <w:vAlign w:val="center"/>
          </w:tcPr>
          <w:p w14:paraId="40136E56">
            <w:pPr>
              <w:jc w:val="center"/>
              <w:rPr>
                <w:rFonts w:ascii="Times New Roman" w:hAnsi="Times New Roman" w:cs="Times New Roman"/>
                <w:szCs w:val="21"/>
              </w:rPr>
            </w:pPr>
            <w:r>
              <w:rPr>
                <w:rFonts w:ascii="Times New Roman" w:hAnsi="Times New Roman" w:cs="Times New Roman"/>
                <w:szCs w:val="21"/>
              </w:rPr>
              <w:t>监测工作要求</w:t>
            </w:r>
          </w:p>
        </w:tc>
        <w:tc>
          <w:tcPr>
            <w:tcW w:w="6717" w:type="dxa"/>
            <w:tcBorders>
              <w:tl2br w:val="nil"/>
              <w:tr2bl w:val="nil"/>
            </w:tcBorders>
            <w:vAlign w:val="center"/>
          </w:tcPr>
          <w:p w14:paraId="3B4B80ED">
            <w:pPr>
              <w:adjustRightInd w:val="0"/>
              <w:jc w:val="left"/>
              <w:rPr>
                <w:rFonts w:ascii="Times New Roman" w:hAnsi="Times New Roman" w:cs="Times New Roman"/>
                <w:szCs w:val="21"/>
              </w:rPr>
            </w:pPr>
            <w:r>
              <w:rPr>
                <w:rFonts w:ascii="Times New Roman" w:hAnsi="Times New Roman" w:cs="Times New Roman"/>
                <w:szCs w:val="21"/>
              </w:rPr>
              <w:t>依据国家颁布的环境质量标准、污染物排放标准及环保主管部门的要求，制定全厂的监测计划和工作方案；</w:t>
            </w:r>
          </w:p>
          <w:p w14:paraId="2BF7DCC0">
            <w:pPr>
              <w:adjustRightInd w:val="0"/>
              <w:jc w:val="left"/>
              <w:rPr>
                <w:rFonts w:ascii="Times New Roman" w:hAnsi="Times New Roman" w:cs="Times New Roman"/>
                <w:szCs w:val="21"/>
              </w:rPr>
            </w:pPr>
            <w:r>
              <w:rPr>
                <w:rFonts w:ascii="Times New Roman" w:hAnsi="Times New Roman" w:cs="Times New Roman"/>
                <w:szCs w:val="21"/>
              </w:rPr>
              <w:t>按有关规定及时完成全厂常规监测任务，建立污染源档案</w:t>
            </w:r>
          </w:p>
          <w:p w14:paraId="499F4C55">
            <w:pPr>
              <w:jc w:val="left"/>
              <w:rPr>
                <w:rFonts w:ascii="Times New Roman" w:hAnsi="Times New Roman" w:cs="Times New Roman"/>
                <w:szCs w:val="21"/>
              </w:rPr>
            </w:pPr>
            <w:r>
              <w:rPr>
                <w:rFonts w:ascii="Times New Roman" w:hAnsi="Times New Roman" w:cs="Times New Roman"/>
                <w:szCs w:val="21"/>
              </w:rPr>
              <w:t>监测化验单要报送相关领导，如果出现异常情况要及时通知各管理部门。</w:t>
            </w:r>
          </w:p>
          <w:p w14:paraId="688372E2">
            <w:pPr>
              <w:adjustRightInd w:val="0"/>
              <w:jc w:val="left"/>
              <w:rPr>
                <w:rFonts w:ascii="Times New Roman" w:hAnsi="Times New Roman" w:cs="Times New Roman"/>
                <w:szCs w:val="21"/>
              </w:rPr>
            </w:pPr>
            <w:r>
              <w:rPr>
                <w:rFonts w:ascii="Times New Roman" w:hAnsi="Times New Roman" w:cs="Times New Roman"/>
                <w:szCs w:val="21"/>
              </w:rPr>
              <w:t>定期分析监测结果及发展趋势，防止污染事故的发生</w:t>
            </w:r>
          </w:p>
          <w:p w14:paraId="11C795D6">
            <w:pPr>
              <w:widowControl/>
              <w:jc w:val="left"/>
              <w:rPr>
                <w:rFonts w:ascii="Times New Roman" w:hAnsi="Times New Roman" w:cs="Times New Roman"/>
                <w:szCs w:val="21"/>
              </w:rPr>
            </w:pPr>
            <w:r>
              <w:rPr>
                <w:rFonts w:ascii="Times New Roman" w:hAnsi="Times New Roman" w:cs="Times New Roman"/>
                <w:szCs w:val="21"/>
              </w:rPr>
              <w:t>按规定要求，编制污染监测及环保指标考核表。</w:t>
            </w:r>
          </w:p>
        </w:tc>
      </w:tr>
    </w:tbl>
    <w:p w14:paraId="6F2022B4">
      <w:pPr>
        <w:pStyle w:val="4"/>
        <w:numPr>
          <w:ilvl w:val="2"/>
          <w:numId w:val="90"/>
        </w:numPr>
        <w:tabs>
          <w:tab w:val="clear" w:pos="0"/>
        </w:tabs>
        <w:adjustRightInd w:val="0"/>
        <w:snapToGrid w:val="0"/>
        <w:ind w:left="720" w:leftChars="0" w:hanging="720" w:firstLineChars="0"/>
      </w:pPr>
      <w:r>
        <w:t>监测项目及监测计划</w:t>
      </w:r>
    </w:p>
    <w:p w14:paraId="746AE40C">
      <w:pPr>
        <w:pStyle w:val="15"/>
        <w:adjustRightInd w:val="0"/>
        <w:snapToGrid w:val="0"/>
        <w:spacing w:after="0" w:line="360" w:lineRule="auto"/>
        <w:ind w:firstLine="480" w:firstLineChars="200"/>
        <w:rPr>
          <w:rFonts w:ascii="Times New Roman" w:hAnsi="Times New Roman" w:cs="Times New Roman"/>
          <w:sz w:val="24"/>
          <w:szCs w:val="32"/>
        </w:rPr>
      </w:pPr>
      <w:r>
        <w:rPr>
          <w:rFonts w:ascii="Times New Roman" w:hAnsi="Times New Roman" w:cs="Times New Roman"/>
          <w:sz w:val="24"/>
          <w:szCs w:val="32"/>
        </w:rPr>
        <w:t xml:space="preserve">《环境保护法》第四十二条明确提出“重点排污单位应当按照国家有关规定和监测规范安装使用监测设备，保证监测设备正常运行，保存原始监测记录”；第五十五条要求“重点排污单位应当如实向社会公开其主要污染物的名称、排放方式、排放浓度和总量、超标排放情况，以及防治污染设施的建设和运行情况，接受社会监督”。《排污许可证申请与核发技术规范  </w:t>
      </w:r>
      <w:r>
        <w:rPr>
          <w:rFonts w:hint="eastAsia" w:ascii="Times New Roman" w:hAnsi="Times New Roman" w:cs="Times New Roman"/>
          <w:sz w:val="24"/>
          <w:szCs w:val="32"/>
        </w:rPr>
        <w:t>家具制造工业</w:t>
      </w:r>
      <w:r>
        <w:rPr>
          <w:rFonts w:ascii="Times New Roman" w:hAnsi="Times New Roman" w:cs="Times New Roman"/>
          <w:sz w:val="24"/>
          <w:szCs w:val="32"/>
        </w:rPr>
        <w:t>》（HJ</w:t>
      </w:r>
      <w:r>
        <w:rPr>
          <w:rFonts w:hint="eastAsia" w:ascii="Times New Roman" w:hAnsi="Times New Roman" w:cs="Times New Roman"/>
          <w:sz w:val="24"/>
          <w:szCs w:val="32"/>
        </w:rPr>
        <w:t>1027</w:t>
      </w:r>
      <w:r>
        <w:rPr>
          <w:rFonts w:ascii="Times New Roman" w:hAnsi="Times New Roman" w:cs="Times New Roman"/>
          <w:sz w:val="24"/>
          <w:szCs w:val="32"/>
        </w:rPr>
        <w:t>-201</w:t>
      </w:r>
      <w:r>
        <w:rPr>
          <w:rFonts w:hint="eastAsia" w:ascii="Times New Roman" w:hAnsi="Times New Roman" w:cs="Times New Roman"/>
          <w:sz w:val="24"/>
          <w:szCs w:val="32"/>
        </w:rPr>
        <w:t>9</w:t>
      </w:r>
      <w:r>
        <w:rPr>
          <w:rFonts w:ascii="Times New Roman" w:hAnsi="Times New Roman" w:cs="Times New Roman"/>
          <w:sz w:val="24"/>
          <w:szCs w:val="32"/>
        </w:rPr>
        <w:t xml:space="preserve">）及《排污单位自行监测指南  </w:t>
      </w:r>
      <w:r>
        <w:rPr>
          <w:rFonts w:hint="eastAsia" w:ascii="Times New Roman" w:hAnsi="Times New Roman" w:cs="Times New Roman"/>
          <w:sz w:val="24"/>
          <w:szCs w:val="32"/>
        </w:rPr>
        <w:t>总则</w:t>
      </w:r>
      <w:r>
        <w:rPr>
          <w:rFonts w:ascii="Times New Roman" w:hAnsi="Times New Roman" w:cs="Times New Roman"/>
          <w:sz w:val="24"/>
          <w:szCs w:val="32"/>
        </w:rPr>
        <w:t>》（HJ</w:t>
      </w:r>
      <w:r>
        <w:rPr>
          <w:rFonts w:hint="eastAsia" w:ascii="Times New Roman" w:hAnsi="Times New Roman" w:cs="Times New Roman"/>
          <w:sz w:val="24"/>
          <w:szCs w:val="32"/>
        </w:rPr>
        <w:t>819-2017</w:t>
      </w:r>
      <w:r>
        <w:rPr>
          <w:rFonts w:ascii="Times New Roman" w:hAnsi="Times New Roman" w:cs="Times New Roman"/>
          <w:sz w:val="24"/>
          <w:szCs w:val="32"/>
        </w:rPr>
        <w:t>），排污单位应掌握本单位的污染排放状况及其对周边环境质量的影响，对污染物排放、周边环境质量影响进行监测。</w:t>
      </w:r>
    </w:p>
    <w:p w14:paraId="40FF58AC">
      <w:pPr>
        <w:pStyle w:val="15"/>
        <w:adjustRightInd w:val="0"/>
        <w:snapToGrid w:val="0"/>
        <w:spacing w:after="0" w:line="360" w:lineRule="auto"/>
        <w:ind w:firstLine="480" w:firstLineChars="200"/>
        <w:rPr>
          <w:rFonts w:ascii="Times New Roman" w:hAnsi="Times New Roman" w:cs="Times New Roman"/>
          <w:sz w:val="24"/>
          <w:szCs w:val="32"/>
        </w:rPr>
      </w:pPr>
      <w:r>
        <w:rPr>
          <w:rFonts w:ascii="Times New Roman" w:hAnsi="Times New Roman" w:cs="Times New Roman"/>
          <w:sz w:val="24"/>
          <w:szCs w:val="32"/>
        </w:rPr>
        <w:t>本项目污染源及环境质量监测计划见下表。企业委托有资质的监测单位进行污染源监测，并将监测报告存档。</w:t>
      </w:r>
    </w:p>
    <w:p w14:paraId="10F385B6">
      <w:pPr>
        <w:pStyle w:val="63"/>
        <w:adjustRightInd w:val="0"/>
        <w:snapToGrid w:val="0"/>
        <w:ind w:firstLine="482"/>
        <w:jc w:val="center"/>
        <w:rPr>
          <w:rFonts w:ascii="Times New Roman" w:hAnsi="Times New Roman"/>
          <w:b/>
          <w:kern w:val="0"/>
          <w:szCs w:val="24"/>
        </w:rPr>
      </w:pPr>
    </w:p>
    <w:p w14:paraId="677DC3FD">
      <w:pPr>
        <w:pStyle w:val="63"/>
        <w:adjustRightInd w:val="0"/>
        <w:snapToGrid w:val="0"/>
        <w:spacing w:line="240" w:lineRule="auto"/>
        <w:ind w:firstLine="422"/>
        <w:jc w:val="center"/>
        <w:rPr>
          <w:rFonts w:ascii="Times New Roman" w:hAnsi="Times New Roman"/>
          <w:b/>
          <w:kern w:val="0"/>
          <w:sz w:val="21"/>
          <w:szCs w:val="21"/>
        </w:rPr>
      </w:pPr>
    </w:p>
    <w:p w14:paraId="53DE63A9">
      <w:pPr>
        <w:pStyle w:val="63"/>
        <w:adjustRightInd w:val="0"/>
        <w:snapToGrid w:val="0"/>
        <w:spacing w:line="240" w:lineRule="auto"/>
        <w:ind w:firstLine="422"/>
        <w:jc w:val="center"/>
        <w:rPr>
          <w:rFonts w:ascii="Times New Roman" w:hAnsi="Times New Roman"/>
          <w:b/>
          <w:kern w:val="0"/>
          <w:sz w:val="21"/>
          <w:szCs w:val="21"/>
        </w:rPr>
      </w:pPr>
      <w:r>
        <w:rPr>
          <w:rFonts w:ascii="Times New Roman" w:hAnsi="Times New Roman"/>
          <w:b/>
          <w:kern w:val="0"/>
          <w:sz w:val="21"/>
          <w:szCs w:val="21"/>
        </w:rPr>
        <w:t>表10.3</w:t>
      </w:r>
      <w:r>
        <w:rPr>
          <w:rFonts w:ascii="Times New Roman" w:hAnsi="Times New Roman"/>
          <w:b/>
          <w:kern w:val="0"/>
          <w:sz w:val="21"/>
          <w:szCs w:val="21"/>
        </w:rPr>
        <w:noBreakHyphen/>
      </w:r>
      <w:r>
        <w:rPr>
          <w:rFonts w:ascii="Times New Roman" w:hAnsi="Times New Roman"/>
          <w:b/>
          <w:kern w:val="0"/>
          <w:sz w:val="21"/>
          <w:szCs w:val="21"/>
        </w:rPr>
        <w:t>2   有组织、无组织废气监测计划表</w:t>
      </w:r>
    </w:p>
    <w:tbl>
      <w:tblPr>
        <w:tblStyle w:val="30"/>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46"/>
        <w:gridCol w:w="1162"/>
        <w:gridCol w:w="881"/>
        <w:gridCol w:w="882"/>
        <w:gridCol w:w="4427"/>
      </w:tblGrid>
      <w:tr w14:paraId="0434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1046" w:type="dxa"/>
            <w:vAlign w:val="center"/>
          </w:tcPr>
          <w:p w14:paraId="6790F63D">
            <w:pPr>
              <w:pStyle w:val="60"/>
              <w:spacing w:line="240" w:lineRule="auto"/>
              <w:rPr>
                <w:b/>
                <w:bCs/>
                <w:szCs w:val="21"/>
                <w:u w:val="single"/>
              </w:rPr>
            </w:pPr>
            <w:r>
              <w:rPr>
                <w:b/>
                <w:bCs/>
                <w:szCs w:val="21"/>
                <w:u w:val="single"/>
              </w:rPr>
              <w:t>监测点位</w:t>
            </w:r>
          </w:p>
        </w:tc>
        <w:tc>
          <w:tcPr>
            <w:tcW w:w="1162" w:type="dxa"/>
            <w:vAlign w:val="center"/>
          </w:tcPr>
          <w:p w14:paraId="5587CFE5">
            <w:pPr>
              <w:pStyle w:val="60"/>
              <w:spacing w:line="240" w:lineRule="auto"/>
              <w:rPr>
                <w:b/>
                <w:bCs/>
                <w:szCs w:val="21"/>
                <w:u w:val="single"/>
              </w:rPr>
            </w:pPr>
            <w:r>
              <w:rPr>
                <w:b/>
                <w:bCs/>
                <w:szCs w:val="21"/>
                <w:u w:val="single"/>
              </w:rPr>
              <w:t>监测指标</w:t>
            </w:r>
          </w:p>
        </w:tc>
        <w:tc>
          <w:tcPr>
            <w:tcW w:w="881" w:type="dxa"/>
            <w:vAlign w:val="center"/>
          </w:tcPr>
          <w:p w14:paraId="746D9CA6">
            <w:pPr>
              <w:pStyle w:val="60"/>
              <w:spacing w:line="240" w:lineRule="auto"/>
              <w:rPr>
                <w:b/>
                <w:bCs/>
                <w:szCs w:val="21"/>
                <w:u w:val="single"/>
                <w:lang w:val="en-US"/>
              </w:rPr>
            </w:pPr>
            <w:r>
              <w:rPr>
                <w:b/>
                <w:bCs/>
                <w:szCs w:val="21"/>
                <w:u w:val="single"/>
                <w:lang w:val="en-US"/>
              </w:rPr>
              <w:t>监测方式</w:t>
            </w:r>
          </w:p>
        </w:tc>
        <w:tc>
          <w:tcPr>
            <w:tcW w:w="882" w:type="dxa"/>
            <w:vAlign w:val="center"/>
          </w:tcPr>
          <w:p w14:paraId="382A8FE8">
            <w:pPr>
              <w:pStyle w:val="60"/>
              <w:spacing w:line="240" w:lineRule="auto"/>
              <w:rPr>
                <w:b/>
                <w:bCs/>
                <w:szCs w:val="21"/>
                <w:u w:val="single"/>
              </w:rPr>
            </w:pPr>
            <w:r>
              <w:rPr>
                <w:b/>
                <w:bCs/>
                <w:szCs w:val="21"/>
                <w:u w:val="single"/>
              </w:rPr>
              <w:t>监测频次</w:t>
            </w:r>
          </w:p>
        </w:tc>
        <w:tc>
          <w:tcPr>
            <w:tcW w:w="4427" w:type="dxa"/>
            <w:vAlign w:val="center"/>
          </w:tcPr>
          <w:p w14:paraId="220A1428">
            <w:pPr>
              <w:pStyle w:val="60"/>
              <w:spacing w:line="240" w:lineRule="auto"/>
              <w:rPr>
                <w:b/>
                <w:bCs/>
                <w:szCs w:val="21"/>
                <w:u w:val="single"/>
              </w:rPr>
            </w:pPr>
            <w:r>
              <w:rPr>
                <w:b/>
                <w:bCs/>
                <w:szCs w:val="21"/>
                <w:u w:val="single"/>
              </w:rPr>
              <w:t>执行排放标准</w:t>
            </w:r>
          </w:p>
        </w:tc>
      </w:tr>
      <w:tr w14:paraId="3C63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8398" w:type="dxa"/>
            <w:gridSpan w:val="5"/>
            <w:vAlign w:val="center"/>
          </w:tcPr>
          <w:p w14:paraId="34BC392E">
            <w:pPr>
              <w:pStyle w:val="60"/>
              <w:spacing w:line="240" w:lineRule="auto"/>
              <w:rPr>
                <w:b/>
                <w:bCs/>
                <w:szCs w:val="21"/>
                <w:u w:val="single"/>
              </w:rPr>
            </w:pPr>
            <w:r>
              <w:rPr>
                <w:b/>
                <w:bCs/>
                <w:szCs w:val="21"/>
                <w:u w:val="single"/>
              </w:rPr>
              <w:t>有组织</w:t>
            </w:r>
          </w:p>
        </w:tc>
      </w:tr>
      <w:tr w14:paraId="7303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046" w:type="dxa"/>
            <w:vAlign w:val="center"/>
          </w:tcPr>
          <w:p w14:paraId="05C5AD25">
            <w:pPr>
              <w:jc w:val="center"/>
              <w:rPr>
                <w:rFonts w:ascii="Times New Roman" w:hAnsi="Times New Roman" w:cs="Times New Roman"/>
                <w:b/>
                <w:bCs/>
                <w:u w:val="single"/>
              </w:rPr>
            </w:pPr>
            <w:r>
              <w:rPr>
                <w:rFonts w:ascii="Times New Roman" w:hAnsi="Times New Roman" w:cs="Times New Roman"/>
                <w:b/>
                <w:bCs/>
                <w:szCs w:val="21"/>
                <w:u w:val="single"/>
              </w:rPr>
              <w:t>DA001</w:t>
            </w:r>
          </w:p>
        </w:tc>
        <w:tc>
          <w:tcPr>
            <w:tcW w:w="1162" w:type="dxa"/>
            <w:vAlign w:val="center"/>
          </w:tcPr>
          <w:p w14:paraId="5F23A26A">
            <w:pPr>
              <w:pStyle w:val="60"/>
              <w:spacing w:line="240" w:lineRule="auto"/>
              <w:rPr>
                <w:b/>
                <w:bCs/>
                <w:szCs w:val="21"/>
                <w:u w:val="single"/>
                <w:lang w:val="en-US"/>
              </w:rPr>
            </w:pPr>
            <w:r>
              <w:rPr>
                <w:b/>
                <w:bCs/>
                <w:szCs w:val="21"/>
                <w:u w:val="single"/>
              </w:rPr>
              <w:t>颗粒物</w:t>
            </w:r>
          </w:p>
        </w:tc>
        <w:tc>
          <w:tcPr>
            <w:tcW w:w="881" w:type="dxa"/>
            <w:vAlign w:val="center"/>
          </w:tcPr>
          <w:p w14:paraId="65AD1FA6">
            <w:pPr>
              <w:pStyle w:val="60"/>
              <w:spacing w:line="240" w:lineRule="auto"/>
              <w:rPr>
                <w:b/>
                <w:bCs/>
                <w:szCs w:val="21"/>
                <w:u w:val="single"/>
                <w:lang w:val="en-US"/>
              </w:rPr>
            </w:pPr>
            <w:r>
              <w:rPr>
                <w:b/>
                <w:bCs/>
                <w:szCs w:val="21"/>
                <w:u w:val="single"/>
                <w:lang w:val="en-US"/>
              </w:rPr>
              <w:t>手动监测</w:t>
            </w:r>
          </w:p>
        </w:tc>
        <w:tc>
          <w:tcPr>
            <w:tcW w:w="882" w:type="dxa"/>
            <w:vAlign w:val="center"/>
          </w:tcPr>
          <w:p w14:paraId="49B70E82">
            <w:pPr>
              <w:pStyle w:val="60"/>
              <w:spacing w:line="240" w:lineRule="auto"/>
              <w:rPr>
                <w:b/>
                <w:bCs/>
                <w:szCs w:val="21"/>
                <w:u w:val="single"/>
              </w:rPr>
            </w:pPr>
            <w:r>
              <w:rPr>
                <w:b/>
                <w:bCs/>
                <w:szCs w:val="21"/>
                <w:u w:val="single"/>
              </w:rPr>
              <w:t>每</w:t>
            </w:r>
            <w:r>
              <w:rPr>
                <w:rFonts w:hint="eastAsia"/>
                <w:b/>
                <w:bCs/>
                <w:szCs w:val="21"/>
                <w:u w:val="single"/>
                <w:lang w:val="en-US"/>
              </w:rPr>
              <w:t>年</w:t>
            </w:r>
            <w:r>
              <w:rPr>
                <w:b/>
                <w:bCs/>
                <w:szCs w:val="21"/>
                <w:u w:val="single"/>
              </w:rPr>
              <w:t>一次</w:t>
            </w:r>
          </w:p>
        </w:tc>
        <w:tc>
          <w:tcPr>
            <w:tcW w:w="4427" w:type="dxa"/>
            <w:vAlign w:val="center"/>
          </w:tcPr>
          <w:p w14:paraId="0E7DC9C4">
            <w:pPr>
              <w:pStyle w:val="60"/>
              <w:spacing w:line="240" w:lineRule="auto"/>
              <w:rPr>
                <w:b/>
                <w:bCs/>
                <w:szCs w:val="21"/>
                <w:u w:val="single"/>
                <w:lang w:val="en-US"/>
              </w:rPr>
            </w:pPr>
            <w:r>
              <w:rPr>
                <w:rFonts w:hint="eastAsia"/>
                <w:b/>
                <w:bCs/>
                <w:szCs w:val="21"/>
                <w:u w:val="single"/>
                <w:lang w:val="en-US"/>
              </w:rPr>
              <w:t>《大气污染物综合排放标准》（GB16297-1996）表2二级标准（颗粒物：15m排气筒，浓度≤120mg/m</w:t>
            </w:r>
            <w:r>
              <w:rPr>
                <w:rFonts w:hint="eastAsia"/>
                <w:b/>
                <w:bCs/>
                <w:szCs w:val="21"/>
                <w:u w:val="single"/>
                <w:vertAlign w:val="superscript"/>
                <w:lang w:val="en-US"/>
              </w:rPr>
              <w:t>3</w:t>
            </w:r>
            <w:r>
              <w:rPr>
                <w:rFonts w:hint="eastAsia"/>
                <w:b/>
                <w:bCs/>
                <w:szCs w:val="21"/>
                <w:u w:val="single"/>
                <w:lang w:val="en-US"/>
              </w:rPr>
              <w:t>，速率≤3.5kg/h），同时满足《重污染天气重点行业应急减排措施制定技术指南（2020年修订版）》的函》（环办大气函〔2020〕340号）家具行业绩效分级指标（A级）（PM：10</w:t>
            </w:r>
            <w:r>
              <w:rPr>
                <w:b/>
                <w:bCs/>
                <w:szCs w:val="21"/>
                <w:u w:val="single"/>
              </w:rPr>
              <w:t>mg/m</w:t>
            </w:r>
            <w:r>
              <w:rPr>
                <w:b/>
                <w:bCs/>
                <w:szCs w:val="21"/>
                <w:u w:val="single"/>
                <w:vertAlign w:val="superscript"/>
              </w:rPr>
              <w:t>3</w:t>
            </w:r>
            <w:r>
              <w:rPr>
                <w:rFonts w:hint="eastAsia"/>
                <w:b/>
                <w:bCs/>
                <w:szCs w:val="21"/>
                <w:u w:val="single"/>
                <w:lang w:val="en-US"/>
              </w:rPr>
              <w:t>）</w:t>
            </w:r>
          </w:p>
        </w:tc>
      </w:tr>
      <w:tr w14:paraId="5D21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046" w:type="dxa"/>
            <w:vAlign w:val="center"/>
          </w:tcPr>
          <w:p w14:paraId="62A24613">
            <w:pPr>
              <w:pStyle w:val="60"/>
              <w:spacing w:line="240" w:lineRule="auto"/>
              <w:rPr>
                <w:rFonts w:hint="eastAsia" w:eastAsia="宋体"/>
                <w:b/>
                <w:bCs/>
                <w:kern w:val="0"/>
                <w:szCs w:val="21"/>
                <w:u w:val="single"/>
                <w:lang w:val="en-US" w:eastAsia="zh-CN"/>
              </w:rPr>
            </w:pPr>
            <w:r>
              <w:rPr>
                <w:b/>
                <w:bCs/>
                <w:szCs w:val="21"/>
                <w:u w:val="single"/>
                <w:lang w:val="en-US"/>
              </w:rPr>
              <w:t>DA00</w:t>
            </w:r>
            <w:r>
              <w:rPr>
                <w:rFonts w:hint="eastAsia"/>
                <w:b/>
                <w:bCs/>
                <w:szCs w:val="21"/>
                <w:u w:val="single"/>
                <w:lang w:val="en-US" w:eastAsia="zh-CN"/>
              </w:rPr>
              <w:t>2</w:t>
            </w:r>
          </w:p>
        </w:tc>
        <w:tc>
          <w:tcPr>
            <w:tcW w:w="1162" w:type="dxa"/>
            <w:vAlign w:val="center"/>
          </w:tcPr>
          <w:p w14:paraId="7892FDDF">
            <w:pPr>
              <w:pStyle w:val="60"/>
              <w:spacing w:line="240" w:lineRule="auto"/>
              <w:rPr>
                <w:b/>
                <w:bCs/>
                <w:kern w:val="0"/>
                <w:szCs w:val="21"/>
                <w:u w:val="single"/>
                <w:lang w:val="en-US"/>
              </w:rPr>
            </w:pPr>
            <w:r>
              <w:rPr>
                <w:rFonts w:hint="eastAsia"/>
                <w:b/>
                <w:bCs/>
                <w:kern w:val="0"/>
                <w:szCs w:val="21"/>
                <w:u w:val="single"/>
                <w:lang w:val="en-US"/>
              </w:rPr>
              <w:t>颗粒物、</w:t>
            </w:r>
            <w:r>
              <w:rPr>
                <w:rFonts w:hint="eastAsia"/>
                <w:b/>
                <w:bCs/>
                <w:kern w:val="0"/>
                <w:szCs w:val="21"/>
                <w:u w:val="single"/>
                <w:lang w:val="en-US" w:eastAsia="zh-CN"/>
              </w:rPr>
              <w:t>苯、</w:t>
            </w:r>
            <w:r>
              <w:rPr>
                <w:rFonts w:hint="eastAsia"/>
                <w:b/>
                <w:bCs/>
                <w:kern w:val="0"/>
                <w:szCs w:val="21"/>
                <w:u w:val="single"/>
                <w:lang w:val="en-US"/>
              </w:rPr>
              <w:t>甲苯、二甲苯、非甲烷总烃</w:t>
            </w:r>
          </w:p>
        </w:tc>
        <w:tc>
          <w:tcPr>
            <w:tcW w:w="881" w:type="dxa"/>
            <w:vAlign w:val="center"/>
          </w:tcPr>
          <w:p w14:paraId="60A8F2F4">
            <w:pPr>
              <w:pStyle w:val="60"/>
              <w:spacing w:line="240" w:lineRule="auto"/>
              <w:rPr>
                <w:b/>
                <w:bCs/>
                <w:szCs w:val="21"/>
                <w:u w:val="single"/>
                <w:lang w:val="en-US"/>
              </w:rPr>
            </w:pPr>
            <w:r>
              <w:rPr>
                <w:b/>
                <w:bCs/>
                <w:szCs w:val="21"/>
                <w:u w:val="single"/>
                <w:lang w:val="en-US"/>
              </w:rPr>
              <w:t>手动监测</w:t>
            </w:r>
          </w:p>
        </w:tc>
        <w:tc>
          <w:tcPr>
            <w:tcW w:w="882" w:type="dxa"/>
            <w:vAlign w:val="center"/>
          </w:tcPr>
          <w:p w14:paraId="45D966C6">
            <w:pPr>
              <w:pStyle w:val="60"/>
              <w:spacing w:line="240" w:lineRule="auto"/>
              <w:rPr>
                <w:b/>
                <w:bCs/>
                <w:kern w:val="0"/>
                <w:szCs w:val="21"/>
                <w:u w:val="single"/>
                <w:lang w:val="en-US"/>
              </w:rPr>
            </w:pPr>
            <w:r>
              <w:rPr>
                <w:b/>
                <w:bCs/>
                <w:szCs w:val="21"/>
                <w:u w:val="single"/>
              </w:rPr>
              <w:t>每</w:t>
            </w:r>
            <w:r>
              <w:rPr>
                <w:rFonts w:hint="eastAsia"/>
                <w:b/>
                <w:bCs/>
                <w:szCs w:val="21"/>
                <w:u w:val="single"/>
                <w:lang w:val="en-US"/>
              </w:rPr>
              <w:t>年</w:t>
            </w:r>
            <w:r>
              <w:rPr>
                <w:b/>
                <w:bCs/>
                <w:szCs w:val="21"/>
                <w:u w:val="single"/>
              </w:rPr>
              <w:t>一次</w:t>
            </w:r>
          </w:p>
        </w:tc>
        <w:tc>
          <w:tcPr>
            <w:tcW w:w="4427" w:type="dxa"/>
            <w:vAlign w:val="center"/>
          </w:tcPr>
          <w:p w14:paraId="54B664F1">
            <w:pPr>
              <w:pStyle w:val="60"/>
              <w:spacing w:line="240" w:lineRule="auto"/>
              <w:rPr>
                <w:b/>
                <w:bCs/>
                <w:szCs w:val="21"/>
                <w:u w:val="single"/>
                <w:lang w:val="en-US"/>
              </w:rPr>
            </w:pPr>
            <w:r>
              <w:rPr>
                <w:b/>
                <w:bCs/>
                <w:szCs w:val="21"/>
                <w:u w:val="single"/>
              </w:rPr>
              <w:t>《大气污染物综合排放标准》（GB16297-1996）二级标准</w:t>
            </w:r>
            <w:r>
              <w:rPr>
                <w:rFonts w:hint="eastAsia"/>
                <w:b/>
                <w:bCs/>
                <w:szCs w:val="21"/>
                <w:u w:val="single"/>
              </w:rPr>
              <w:t>（颗粒物：</w:t>
            </w:r>
            <w:r>
              <w:rPr>
                <w:rFonts w:hint="eastAsia"/>
                <w:b/>
                <w:bCs/>
                <w:szCs w:val="21"/>
                <w:u w:val="single"/>
                <w:lang w:val="en-US"/>
              </w:rPr>
              <w:t>15m排气筒，浓度≤120</w:t>
            </w:r>
            <w:r>
              <w:rPr>
                <w:b/>
                <w:bCs/>
                <w:szCs w:val="21"/>
                <w:u w:val="single"/>
              </w:rPr>
              <w:t>mg/m</w:t>
            </w:r>
            <w:r>
              <w:rPr>
                <w:b/>
                <w:bCs/>
                <w:szCs w:val="21"/>
                <w:u w:val="single"/>
                <w:vertAlign w:val="superscript"/>
              </w:rPr>
              <w:t>3</w:t>
            </w:r>
            <w:r>
              <w:rPr>
                <w:b/>
                <w:bCs/>
                <w:szCs w:val="21"/>
                <w:u w:val="single"/>
              </w:rPr>
              <w:t>，速率≤</w:t>
            </w:r>
            <w:r>
              <w:rPr>
                <w:rFonts w:hint="eastAsia"/>
                <w:b/>
                <w:bCs/>
                <w:szCs w:val="21"/>
                <w:u w:val="single"/>
                <w:lang w:val="en-US"/>
              </w:rPr>
              <w:t>3.5</w:t>
            </w:r>
            <w:r>
              <w:rPr>
                <w:b/>
                <w:bCs/>
                <w:szCs w:val="21"/>
                <w:u w:val="single"/>
              </w:rPr>
              <w:t>kg/h</w:t>
            </w:r>
            <w:r>
              <w:rPr>
                <w:rFonts w:hint="eastAsia"/>
                <w:b/>
                <w:bCs/>
                <w:szCs w:val="21"/>
                <w:u w:val="single"/>
              </w:rPr>
              <w:t>；甲苯：</w:t>
            </w:r>
            <w:r>
              <w:rPr>
                <w:rFonts w:hint="eastAsia"/>
                <w:b/>
                <w:bCs/>
                <w:szCs w:val="21"/>
                <w:u w:val="single"/>
                <w:lang w:val="en-US"/>
              </w:rPr>
              <w:t>15m排气筒，浓度≤40</w:t>
            </w:r>
            <w:r>
              <w:rPr>
                <w:b/>
                <w:bCs/>
                <w:szCs w:val="21"/>
                <w:u w:val="single"/>
              </w:rPr>
              <w:t>mg/m</w:t>
            </w:r>
            <w:r>
              <w:rPr>
                <w:b/>
                <w:bCs/>
                <w:szCs w:val="21"/>
                <w:u w:val="single"/>
                <w:vertAlign w:val="superscript"/>
              </w:rPr>
              <w:t>3</w:t>
            </w:r>
            <w:r>
              <w:rPr>
                <w:b/>
                <w:bCs/>
                <w:szCs w:val="21"/>
                <w:u w:val="single"/>
              </w:rPr>
              <w:t>，速率≤</w:t>
            </w:r>
            <w:r>
              <w:rPr>
                <w:rFonts w:hint="eastAsia"/>
                <w:b/>
                <w:bCs/>
                <w:szCs w:val="21"/>
                <w:u w:val="single"/>
                <w:lang w:val="en-US"/>
              </w:rPr>
              <w:t>3.1</w:t>
            </w:r>
            <w:r>
              <w:rPr>
                <w:b/>
                <w:bCs/>
                <w:szCs w:val="21"/>
                <w:u w:val="single"/>
              </w:rPr>
              <w:t>kg/h</w:t>
            </w:r>
            <w:r>
              <w:rPr>
                <w:rFonts w:hint="eastAsia"/>
                <w:b/>
                <w:bCs/>
                <w:szCs w:val="21"/>
                <w:u w:val="single"/>
              </w:rPr>
              <w:t>；二甲苯：</w:t>
            </w:r>
            <w:r>
              <w:rPr>
                <w:rFonts w:hint="eastAsia"/>
                <w:b/>
                <w:bCs/>
                <w:szCs w:val="21"/>
                <w:u w:val="single"/>
                <w:lang w:val="en-US"/>
              </w:rPr>
              <w:t>15m排气筒，浓度≤70</w:t>
            </w:r>
            <w:r>
              <w:rPr>
                <w:b/>
                <w:bCs/>
                <w:szCs w:val="21"/>
                <w:u w:val="single"/>
              </w:rPr>
              <w:t>mg/m</w:t>
            </w:r>
            <w:r>
              <w:rPr>
                <w:b/>
                <w:bCs/>
                <w:szCs w:val="21"/>
                <w:u w:val="single"/>
                <w:vertAlign w:val="superscript"/>
              </w:rPr>
              <w:t>3</w:t>
            </w:r>
            <w:r>
              <w:rPr>
                <w:b/>
                <w:bCs/>
                <w:szCs w:val="21"/>
                <w:u w:val="single"/>
              </w:rPr>
              <w:t>，速率≤</w:t>
            </w:r>
            <w:r>
              <w:rPr>
                <w:rFonts w:hint="eastAsia"/>
                <w:b/>
                <w:bCs/>
                <w:szCs w:val="21"/>
                <w:u w:val="single"/>
                <w:lang w:val="en-US"/>
              </w:rPr>
              <w:t>1.0</w:t>
            </w:r>
            <w:r>
              <w:rPr>
                <w:b/>
                <w:bCs/>
                <w:szCs w:val="21"/>
                <w:u w:val="single"/>
              </w:rPr>
              <w:t>kg/h</w:t>
            </w:r>
            <w:r>
              <w:rPr>
                <w:rFonts w:hint="eastAsia"/>
                <w:b/>
                <w:bCs/>
                <w:szCs w:val="21"/>
                <w:u w:val="single"/>
              </w:rPr>
              <w:t>；非甲烷总烃：</w:t>
            </w:r>
            <w:r>
              <w:rPr>
                <w:rFonts w:hint="eastAsia"/>
                <w:b/>
                <w:bCs/>
                <w:szCs w:val="21"/>
                <w:u w:val="single"/>
                <w:lang w:val="en-US"/>
              </w:rPr>
              <w:t>15m排气筒，浓度≤120</w:t>
            </w:r>
            <w:r>
              <w:rPr>
                <w:b/>
                <w:bCs/>
                <w:szCs w:val="21"/>
                <w:u w:val="single"/>
              </w:rPr>
              <w:t>mg/m</w:t>
            </w:r>
            <w:r>
              <w:rPr>
                <w:b/>
                <w:bCs/>
                <w:szCs w:val="21"/>
                <w:u w:val="single"/>
                <w:vertAlign w:val="superscript"/>
              </w:rPr>
              <w:t>3</w:t>
            </w:r>
            <w:r>
              <w:rPr>
                <w:b/>
                <w:bCs/>
                <w:szCs w:val="21"/>
                <w:u w:val="single"/>
              </w:rPr>
              <w:t>，速率≤</w:t>
            </w:r>
            <w:r>
              <w:rPr>
                <w:rFonts w:hint="eastAsia"/>
                <w:b/>
                <w:bCs/>
                <w:szCs w:val="21"/>
                <w:u w:val="single"/>
                <w:lang w:val="en-US"/>
              </w:rPr>
              <w:t>10</w:t>
            </w:r>
            <w:r>
              <w:rPr>
                <w:b/>
                <w:bCs/>
                <w:szCs w:val="21"/>
                <w:u w:val="single"/>
              </w:rPr>
              <w:t>kg/h</w:t>
            </w:r>
            <w:r>
              <w:rPr>
                <w:rFonts w:hint="eastAsia"/>
                <w:b/>
                <w:bCs/>
                <w:szCs w:val="21"/>
                <w:u w:val="single"/>
              </w:rPr>
              <w:t>）</w:t>
            </w:r>
            <w:r>
              <w:rPr>
                <w:b/>
                <w:bCs/>
                <w:szCs w:val="21"/>
                <w:u w:val="single"/>
              </w:rPr>
              <w:t>、《工业涂装工序挥发性有机物排放标准》（DB41/1951-2020）</w:t>
            </w:r>
            <w:r>
              <w:rPr>
                <w:rFonts w:hint="eastAsia"/>
                <w:b/>
                <w:bCs/>
                <w:szCs w:val="21"/>
                <w:u w:val="single"/>
              </w:rPr>
              <w:t>（</w:t>
            </w:r>
            <w:r>
              <w:rPr>
                <w:b/>
                <w:bCs/>
                <w:szCs w:val="21"/>
                <w:u w:val="single"/>
              </w:rPr>
              <w:t>非甲烷总烃50mg/m</w:t>
            </w:r>
            <w:r>
              <w:rPr>
                <w:b/>
                <w:bCs/>
                <w:szCs w:val="21"/>
                <w:u w:val="single"/>
                <w:vertAlign w:val="superscript"/>
              </w:rPr>
              <w:t>3</w:t>
            </w:r>
            <w:r>
              <w:rPr>
                <w:b/>
                <w:bCs/>
                <w:szCs w:val="21"/>
                <w:u w:val="single"/>
              </w:rPr>
              <w:t>、甲苯与二甲苯合计20mg/m</w:t>
            </w:r>
            <w:r>
              <w:rPr>
                <w:b/>
                <w:bCs/>
                <w:szCs w:val="21"/>
                <w:u w:val="single"/>
                <w:vertAlign w:val="superscript"/>
              </w:rPr>
              <w:t>3</w:t>
            </w:r>
            <w:r>
              <w:rPr>
                <w:rFonts w:hint="eastAsia"/>
                <w:b/>
                <w:bCs/>
                <w:szCs w:val="21"/>
                <w:u w:val="single"/>
              </w:rPr>
              <w:t>）、</w:t>
            </w:r>
            <w:r>
              <w:rPr>
                <w:b/>
                <w:bCs/>
                <w:szCs w:val="21"/>
                <w:u w:val="single"/>
              </w:rPr>
              <w:t>《河南省环境污染防治攻坚战领导小组办公室文件》（豫环攻坚办</w:t>
            </w:r>
            <w:r>
              <w:rPr>
                <w:rFonts w:hint="eastAsia"/>
                <w:b/>
                <w:bCs/>
                <w:szCs w:val="21"/>
                <w:u w:val="single"/>
                <w:lang w:val="en-US"/>
              </w:rPr>
              <w:t>〔2017〕</w:t>
            </w:r>
            <w:r>
              <w:rPr>
                <w:b/>
                <w:bCs/>
                <w:szCs w:val="21"/>
                <w:u w:val="single"/>
              </w:rPr>
              <w:t>162号）关于全省开展工业企业挥发性有机物专项治理工作中排放建议值的通知（家具制造业非甲烷总烃50mg/m</w:t>
            </w:r>
            <w:r>
              <w:rPr>
                <w:b/>
                <w:bCs/>
                <w:szCs w:val="21"/>
                <w:u w:val="single"/>
                <w:vertAlign w:val="superscript"/>
              </w:rPr>
              <w:t>3</w:t>
            </w:r>
            <w:r>
              <w:rPr>
                <w:b/>
                <w:bCs/>
                <w:szCs w:val="21"/>
                <w:u w:val="single"/>
              </w:rPr>
              <w:t>、甲苯与二甲苯合计20mg/m</w:t>
            </w:r>
            <w:r>
              <w:rPr>
                <w:b/>
                <w:bCs/>
                <w:szCs w:val="21"/>
                <w:u w:val="single"/>
                <w:vertAlign w:val="superscript"/>
              </w:rPr>
              <w:t>3</w:t>
            </w:r>
            <w:r>
              <w:rPr>
                <w:b/>
                <w:bCs/>
                <w:szCs w:val="21"/>
                <w:u w:val="single"/>
              </w:rPr>
              <w:t>）</w:t>
            </w:r>
            <w:r>
              <w:rPr>
                <w:rFonts w:hint="eastAsia"/>
                <w:b/>
                <w:bCs/>
                <w:szCs w:val="21"/>
                <w:u w:val="single"/>
              </w:rPr>
              <w:t>以及</w:t>
            </w:r>
            <w:r>
              <w:rPr>
                <w:rFonts w:hint="eastAsia"/>
                <w:b/>
                <w:bCs/>
                <w:szCs w:val="21"/>
                <w:u w:val="single"/>
                <w:lang w:val="en-US"/>
              </w:rPr>
              <w:t>《重污染天气重点行业应急减排措施制定技术指南（2020年修订版）》的函》（环办大气函〔2020〕340号）家具行业绩效分级指标（A级）（PM：10</w:t>
            </w:r>
            <w:r>
              <w:rPr>
                <w:b/>
                <w:bCs/>
                <w:szCs w:val="21"/>
                <w:u w:val="single"/>
              </w:rPr>
              <w:t>mg/m</w:t>
            </w:r>
            <w:r>
              <w:rPr>
                <w:b/>
                <w:bCs/>
                <w:szCs w:val="21"/>
                <w:u w:val="single"/>
                <w:vertAlign w:val="superscript"/>
              </w:rPr>
              <w:t>3</w:t>
            </w:r>
            <w:r>
              <w:rPr>
                <w:rFonts w:hint="eastAsia"/>
                <w:b/>
                <w:bCs/>
                <w:szCs w:val="21"/>
                <w:u w:val="single"/>
                <w:lang w:val="en-US"/>
              </w:rPr>
              <w:t>；NMHC：20</w:t>
            </w:r>
            <w:r>
              <w:rPr>
                <w:b/>
                <w:bCs/>
                <w:szCs w:val="21"/>
                <w:u w:val="single"/>
              </w:rPr>
              <w:t>mg/m</w:t>
            </w:r>
            <w:r>
              <w:rPr>
                <w:b/>
                <w:bCs/>
                <w:szCs w:val="21"/>
                <w:u w:val="single"/>
                <w:vertAlign w:val="superscript"/>
              </w:rPr>
              <w:t>3</w:t>
            </w:r>
            <w:r>
              <w:rPr>
                <w:rFonts w:hint="eastAsia"/>
                <w:b/>
                <w:bCs/>
                <w:szCs w:val="21"/>
                <w:u w:val="single"/>
                <w:lang w:val="en-US"/>
              </w:rPr>
              <w:t>）</w:t>
            </w:r>
          </w:p>
        </w:tc>
      </w:tr>
      <w:tr w14:paraId="59F3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8398" w:type="dxa"/>
            <w:gridSpan w:val="5"/>
            <w:vAlign w:val="center"/>
          </w:tcPr>
          <w:p w14:paraId="1483231A">
            <w:pPr>
              <w:pStyle w:val="60"/>
              <w:spacing w:line="240" w:lineRule="auto"/>
              <w:rPr>
                <w:b/>
                <w:bCs/>
                <w:szCs w:val="21"/>
                <w:u w:val="single"/>
              </w:rPr>
            </w:pPr>
            <w:r>
              <w:rPr>
                <w:b/>
                <w:bCs/>
                <w:szCs w:val="21"/>
                <w:u w:val="single"/>
              </w:rPr>
              <w:t>无组织</w:t>
            </w:r>
          </w:p>
        </w:tc>
      </w:tr>
      <w:tr w14:paraId="5A01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046" w:type="dxa"/>
            <w:vAlign w:val="center"/>
          </w:tcPr>
          <w:p w14:paraId="4E583753">
            <w:pPr>
              <w:pStyle w:val="60"/>
              <w:spacing w:line="240" w:lineRule="auto"/>
              <w:rPr>
                <w:b/>
                <w:bCs/>
                <w:szCs w:val="21"/>
                <w:u w:val="single"/>
                <w:lang w:val="en-US"/>
              </w:rPr>
            </w:pPr>
            <w:r>
              <w:rPr>
                <w:rFonts w:hint="eastAsia"/>
                <w:b/>
                <w:bCs/>
                <w:szCs w:val="21"/>
                <w:u w:val="single"/>
                <w:lang w:val="en-US"/>
              </w:rPr>
              <w:t>厂界</w:t>
            </w:r>
          </w:p>
        </w:tc>
        <w:tc>
          <w:tcPr>
            <w:tcW w:w="1162" w:type="dxa"/>
            <w:vAlign w:val="center"/>
          </w:tcPr>
          <w:p w14:paraId="45C810F0">
            <w:pPr>
              <w:pStyle w:val="60"/>
              <w:spacing w:line="240" w:lineRule="auto"/>
              <w:rPr>
                <w:b/>
                <w:bCs/>
                <w:szCs w:val="21"/>
                <w:u w:val="single"/>
                <w:lang w:val="en-US"/>
              </w:rPr>
            </w:pPr>
            <w:r>
              <w:rPr>
                <w:rFonts w:hint="eastAsia"/>
                <w:b/>
                <w:bCs/>
                <w:kern w:val="0"/>
                <w:szCs w:val="21"/>
                <w:u w:val="single"/>
                <w:lang w:val="en-US"/>
              </w:rPr>
              <w:t>颗粒物</w:t>
            </w:r>
            <w:r>
              <w:rPr>
                <w:b/>
                <w:bCs/>
                <w:szCs w:val="21"/>
                <w:u w:val="single"/>
                <w:lang w:val="en-US"/>
              </w:rPr>
              <w:t>、</w:t>
            </w:r>
            <w:r>
              <w:rPr>
                <w:rFonts w:hint="eastAsia"/>
                <w:b/>
                <w:bCs/>
                <w:szCs w:val="21"/>
                <w:u w:val="single"/>
                <w:lang w:val="en-US" w:eastAsia="zh-CN"/>
              </w:rPr>
              <w:t>苯、</w:t>
            </w:r>
            <w:r>
              <w:rPr>
                <w:rFonts w:hint="eastAsia"/>
                <w:b/>
                <w:bCs/>
                <w:kern w:val="0"/>
                <w:szCs w:val="21"/>
                <w:u w:val="single"/>
                <w:lang w:val="en-US"/>
              </w:rPr>
              <w:t>甲苯、二甲苯、非甲烷总烃</w:t>
            </w:r>
          </w:p>
        </w:tc>
        <w:tc>
          <w:tcPr>
            <w:tcW w:w="881" w:type="dxa"/>
            <w:vAlign w:val="center"/>
          </w:tcPr>
          <w:p w14:paraId="7A80408C">
            <w:pPr>
              <w:pStyle w:val="60"/>
              <w:spacing w:line="240" w:lineRule="auto"/>
              <w:rPr>
                <w:b/>
                <w:bCs/>
                <w:szCs w:val="21"/>
                <w:u w:val="single"/>
                <w:lang w:val="en-US"/>
              </w:rPr>
            </w:pPr>
            <w:r>
              <w:rPr>
                <w:b/>
                <w:bCs/>
                <w:szCs w:val="21"/>
                <w:u w:val="single"/>
                <w:lang w:val="en-US"/>
              </w:rPr>
              <w:t>手动监测</w:t>
            </w:r>
          </w:p>
        </w:tc>
        <w:tc>
          <w:tcPr>
            <w:tcW w:w="882" w:type="dxa"/>
            <w:vAlign w:val="center"/>
          </w:tcPr>
          <w:p w14:paraId="175D051E">
            <w:pPr>
              <w:pStyle w:val="60"/>
              <w:spacing w:line="240" w:lineRule="auto"/>
              <w:rPr>
                <w:b/>
                <w:bCs/>
                <w:szCs w:val="21"/>
                <w:u w:val="single"/>
                <w:lang w:val="en-US"/>
              </w:rPr>
            </w:pPr>
            <w:r>
              <w:rPr>
                <w:b/>
                <w:bCs/>
                <w:szCs w:val="21"/>
                <w:u w:val="single"/>
                <w:lang w:val="en-US"/>
              </w:rPr>
              <w:t>每年一次</w:t>
            </w:r>
          </w:p>
        </w:tc>
        <w:tc>
          <w:tcPr>
            <w:tcW w:w="4427" w:type="dxa"/>
            <w:vAlign w:val="center"/>
          </w:tcPr>
          <w:p w14:paraId="0AAD6670">
            <w:pPr>
              <w:pStyle w:val="60"/>
              <w:spacing w:line="240" w:lineRule="auto"/>
              <w:rPr>
                <w:b/>
                <w:bCs/>
                <w:szCs w:val="21"/>
                <w:u w:val="single"/>
                <w:lang w:val="en-US"/>
              </w:rPr>
            </w:pPr>
            <w:r>
              <w:rPr>
                <w:b/>
                <w:bCs/>
                <w:szCs w:val="21"/>
                <w:u w:val="single"/>
              </w:rPr>
              <w:t>《大气污染物综合排放标准》（GB16297-1996）表2二级标准</w:t>
            </w:r>
            <w:r>
              <w:rPr>
                <w:rFonts w:hint="eastAsia"/>
                <w:b/>
                <w:bCs/>
                <w:szCs w:val="21"/>
                <w:u w:val="single"/>
              </w:rPr>
              <w:t>（颗粒物</w:t>
            </w:r>
            <w:r>
              <w:rPr>
                <w:rFonts w:hint="eastAsia"/>
                <w:b/>
                <w:bCs/>
                <w:szCs w:val="21"/>
                <w:u w:val="single"/>
                <w:lang w:val="en-US"/>
              </w:rPr>
              <w:t>1.0</w:t>
            </w:r>
            <w:r>
              <w:rPr>
                <w:b/>
                <w:bCs/>
                <w:szCs w:val="21"/>
                <w:u w:val="single"/>
              </w:rPr>
              <w:t>mg/m</w:t>
            </w:r>
            <w:r>
              <w:rPr>
                <w:b/>
                <w:bCs/>
                <w:szCs w:val="21"/>
                <w:u w:val="single"/>
                <w:vertAlign w:val="superscript"/>
              </w:rPr>
              <w:t>3</w:t>
            </w:r>
            <w:r>
              <w:rPr>
                <w:rFonts w:hint="eastAsia"/>
                <w:b/>
                <w:bCs/>
                <w:szCs w:val="21"/>
                <w:u w:val="single"/>
              </w:rPr>
              <w:t>）</w:t>
            </w:r>
            <w:r>
              <w:rPr>
                <w:b/>
                <w:bCs/>
                <w:szCs w:val="21"/>
                <w:u w:val="single"/>
              </w:rPr>
              <w:t>、《关于全省开展工业企业挥发性有机物专项治理工作中排放建议值的通知》（豫环攻坚办〔2017〕162）建议值、《挥发性有机物无组织排放控制标准》（GB37822-2019）特别排放限值中的较严格值（非甲烷总烃无组织排放限值：2.0mg/m</w:t>
            </w:r>
            <w:r>
              <w:rPr>
                <w:b/>
                <w:bCs/>
                <w:szCs w:val="21"/>
                <w:u w:val="single"/>
                <w:vertAlign w:val="superscript"/>
              </w:rPr>
              <w:t>3</w:t>
            </w:r>
            <w:r>
              <w:rPr>
                <w:b/>
                <w:bCs/>
                <w:szCs w:val="21"/>
                <w:u w:val="single"/>
              </w:rPr>
              <w:t>；企业边界浓度限值：甲苯：0.6mg/m</w:t>
            </w:r>
            <w:r>
              <w:rPr>
                <w:b/>
                <w:bCs/>
                <w:szCs w:val="21"/>
                <w:u w:val="single"/>
                <w:vertAlign w:val="superscript"/>
              </w:rPr>
              <w:t>3</w:t>
            </w:r>
            <w:r>
              <w:rPr>
                <w:b/>
                <w:bCs/>
                <w:szCs w:val="21"/>
                <w:u w:val="single"/>
              </w:rPr>
              <w:t>、二甲苯：0.2mg/m</w:t>
            </w:r>
            <w:r>
              <w:rPr>
                <w:b/>
                <w:bCs/>
                <w:szCs w:val="21"/>
                <w:u w:val="single"/>
                <w:vertAlign w:val="superscript"/>
              </w:rPr>
              <w:t>3</w:t>
            </w:r>
            <w:r>
              <w:rPr>
                <w:b/>
                <w:bCs/>
                <w:szCs w:val="21"/>
                <w:u w:val="single"/>
              </w:rPr>
              <w:t>）</w:t>
            </w:r>
          </w:p>
        </w:tc>
      </w:tr>
    </w:tbl>
    <w:p w14:paraId="02DA18B9">
      <w:pPr>
        <w:spacing w:line="360" w:lineRule="auto"/>
        <w:ind w:left="420" w:leftChars="200"/>
        <w:rPr>
          <w:rFonts w:ascii="Times New Roman" w:hAnsi="Times New Roman" w:eastAsia="宋体" w:cs="Times New Roman"/>
          <w:sz w:val="24"/>
        </w:rPr>
      </w:pPr>
      <w:r>
        <w:rPr>
          <w:rFonts w:ascii="Times New Roman" w:hAnsi="Times New Roman" w:eastAsia="宋体" w:cs="Times New Roman"/>
          <w:sz w:val="24"/>
        </w:rPr>
        <w:t>（2）废水监测</w:t>
      </w:r>
    </w:p>
    <w:p w14:paraId="343E6F52">
      <w:pPr>
        <w:pStyle w:val="63"/>
        <w:spacing w:line="240" w:lineRule="auto"/>
        <w:ind w:firstLine="422"/>
        <w:jc w:val="center"/>
        <w:rPr>
          <w:rFonts w:ascii="Times New Roman" w:hAnsi="Times New Roman"/>
          <w:b/>
          <w:kern w:val="0"/>
          <w:sz w:val="21"/>
          <w:szCs w:val="21"/>
        </w:rPr>
      </w:pPr>
      <w:r>
        <w:rPr>
          <w:rFonts w:ascii="Times New Roman" w:hAnsi="Times New Roman"/>
          <w:b/>
          <w:kern w:val="0"/>
          <w:sz w:val="21"/>
          <w:szCs w:val="21"/>
        </w:rPr>
        <w:t>表10.3-3   废水监测计划</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745"/>
        <w:gridCol w:w="1260"/>
        <w:gridCol w:w="3212"/>
      </w:tblGrid>
      <w:tr w14:paraId="526B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5" w:type="dxa"/>
            <w:vAlign w:val="center"/>
          </w:tcPr>
          <w:p w14:paraId="170EB6A5">
            <w:pPr>
              <w:pStyle w:val="60"/>
              <w:spacing w:line="240" w:lineRule="auto"/>
              <w:rPr>
                <w:szCs w:val="21"/>
                <w:lang w:val="en-US"/>
              </w:rPr>
            </w:pPr>
            <w:r>
              <w:rPr>
                <w:szCs w:val="21"/>
              </w:rPr>
              <w:t>监测点位</w:t>
            </w:r>
          </w:p>
        </w:tc>
        <w:tc>
          <w:tcPr>
            <w:tcW w:w="2745" w:type="dxa"/>
            <w:vAlign w:val="center"/>
          </w:tcPr>
          <w:p w14:paraId="43DA83B5">
            <w:pPr>
              <w:pStyle w:val="60"/>
              <w:spacing w:line="240" w:lineRule="auto"/>
              <w:rPr>
                <w:szCs w:val="21"/>
                <w:lang w:val="en-US"/>
              </w:rPr>
            </w:pPr>
            <w:r>
              <w:rPr>
                <w:szCs w:val="21"/>
              </w:rPr>
              <w:t>监测指标</w:t>
            </w:r>
          </w:p>
        </w:tc>
        <w:tc>
          <w:tcPr>
            <w:tcW w:w="1260" w:type="dxa"/>
            <w:vAlign w:val="center"/>
          </w:tcPr>
          <w:p w14:paraId="1BF13C64">
            <w:pPr>
              <w:pStyle w:val="60"/>
              <w:spacing w:line="240" w:lineRule="auto"/>
              <w:rPr>
                <w:szCs w:val="21"/>
                <w:lang w:val="en-US"/>
              </w:rPr>
            </w:pPr>
            <w:r>
              <w:rPr>
                <w:szCs w:val="21"/>
              </w:rPr>
              <w:t>监测频次</w:t>
            </w:r>
          </w:p>
        </w:tc>
        <w:tc>
          <w:tcPr>
            <w:tcW w:w="3212" w:type="dxa"/>
            <w:vAlign w:val="center"/>
          </w:tcPr>
          <w:p w14:paraId="7D43C9D5">
            <w:pPr>
              <w:pStyle w:val="60"/>
              <w:spacing w:line="240" w:lineRule="auto"/>
              <w:rPr>
                <w:szCs w:val="21"/>
                <w:lang w:val="en-US"/>
              </w:rPr>
            </w:pPr>
            <w:r>
              <w:rPr>
                <w:szCs w:val="21"/>
              </w:rPr>
              <w:t>执行排放标准</w:t>
            </w:r>
          </w:p>
        </w:tc>
      </w:tr>
      <w:tr w14:paraId="7B59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14:paraId="19408BC1">
            <w:pPr>
              <w:pStyle w:val="39"/>
              <w:jc w:val="center"/>
              <w:rPr>
                <w:rFonts w:ascii="Times New Roman" w:hAnsi="Times New Roman" w:cs="Times New Roman"/>
                <w:color w:val="auto"/>
                <w:sz w:val="21"/>
                <w:szCs w:val="21"/>
              </w:rPr>
            </w:pPr>
            <w:r>
              <w:rPr>
                <w:rFonts w:hint="eastAsia" w:cs="Times New Roman"/>
                <w:color w:val="auto"/>
                <w:sz w:val="21"/>
                <w:szCs w:val="21"/>
              </w:rPr>
              <w:t>废</w:t>
            </w:r>
            <w:r>
              <w:rPr>
                <w:rFonts w:ascii="Times New Roman" w:hAnsi="Times New Roman" w:cs="Times New Roman"/>
                <w:color w:val="auto"/>
                <w:sz w:val="21"/>
                <w:szCs w:val="21"/>
              </w:rPr>
              <w:t>水总排口</w:t>
            </w:r>
          </w:p>
        </w:tc>
        <w:tc>
          <w:tcPr>
            <w:tcW w:w="2745" w:type="dxa"/>
            <w:vAlign w:val="center"/>
          </w:tcPr>
          <w:p w14:paraId="2856F4A1">
            <w:pPr>
              <w:pStyle w:val="39"/>
              <w:jc w:val="center"/>
              <w:rPr>
                <w:rFonts w:ascii="Times New Roman" w:hAnsi="Times New Roman" w:cs="Times New Roman"/>
                <w:color w:val="auto"/>
                <w:sz w:val="21"/>
                <w:szCs w:val="21"/>
              </w:rPr>
            </w:pPr>
            <w:r>
              <w:rPr>
                <w:rFonts w:hint="eastAsia" w:cs="Times New Roman"/>
                <w:color w:val="auto"/>
                <w:sz w:val="21"/>
                <w:szCs w:val="21"/>
              </w:rPr>
              <w:t>流量、</w:t>
            </w:r>
            <w:r>
              <w:rPr>
                <w:rFonts w:ascii="Times New Roman" w:hAnsi="Times New Roman" w:cs="Times New Roman"/>
                <w:color w:val="auto"/>
                <w:sz w:val="21"/>
                <w:szCs w:val="21"/>
              </w:rPr>
              <w:t>pH</w:t>
            </w:r>
            <w:r>
              <w:rPr>
                <w:rFonts w:hint="eastAsia" w:cs="Times New Roman"/>
                <w:color w:val="auto"/>
                <w:sz w:val="21"/>
                <w:szCs w:val="21"/>
              </w:rPr>
              <w:t>值</w:t>
            </w:r>
            <w:r>
              <w:rPr>
                <w:rFonts w:ascii="Times New Roman" w:hAnsi="Times New Roman" w:cs="Times New Roman"/>
                <w:color w:val="auto"/>
                <w:sz w:val="21"/>
                <w:szCs w:val="21"/>
              </w:rPr>
              <w:t>、COD、NH</w:t>
            </w:r>
            <w:r>
              <w:rPr>
                <w:rFonts w:ascii="Times New Roman" w:hAnsi="Times New Roman" w:cs="Times New Roman"/>
                <w:color w:val="auto"/>
                <w:sz w:val="21"/>
                <w:szCs w:val="21"/>
                <w:vertAlign w:val="subscript"/>
              </w:rPr>
              <w:t>3</w:t>
            </w:r>
            <w:r>
              <w:rPr>
                <w:rFonts w:ascii="Times New Roman" w:hAnsi="Times New Roman" w:cs="Times New Roman"/>
                <w:color w:val="auto"/>
                <w:sz w:val="21"/>
                <w:szCs w:val="21"/>
              </w:rPr>
              <w:t>-N</w:t>
            </w:r>
          </w:p>
        </w:tc>
        <w:tc>
          <w:tcPr>
            <w:tcW w:w="1260" w:type="dxa"/>
            <w:vAlign w:val="center"/>
          </w:tcPr>
          <w:p w14:paraId="023082DB">
            <w:pPr>
              <w:pStyle w:val="39"/>
              <w:jc w:val="center"/>
              <w:rPr>
                <w:rFonts w:ascii="Times New Roman" w:hAnsi="Times New Roman" w:cs="Times New Roman"/>
                <w:color w:val="auto"/>
                <w:sz w:val="21"/>
                <w:szCs w:val="21"/>
              </w:rPr>
            </w:pPr>
            <w:r>
              <w:rPr>
                <w:rFonts w:hint="eastAsia" w:cs="Times New Roman"/>
                <w:color w:val="auto"/>
                <w:sz w:val="21"/>
                <w:szCs w:val="21"/>
              </w:rPr>
              <w:t>每年一次</w:t>
            </w:r>
          </w:p>
        </w:tc>
        <w:tc>
          <w:tcPr>
            <w:tcW w:w="3212" w:type="dxa"/>
            <w:vAlign w:val="center"/>
          </w:tcPr>
          <w:p w14:paraId="0E7DED63">
            <w:pPr>
              <w:pStyle w:val="39"/>
              <w:jc w:val="center"/>
              <w:rPr>
                <w:rFonts w:ascii="Times New Roman" w:hAnsi="Times New Roman" w:cs="Times New Roman"/>
                <w:color w:val="auto"/>
                <w:sz w:val="21"/>
                <w:szCs w:val="21"/>
              </w:rPr>
            </w:pPr>
            <w:r>
              <w:rPr>
                <w:rFonts w:ascii="Times New Roman" w:hAnsi="Times New Roman" w:cs="Times New Roman"/>
                <w:bCs/>
                <w:color w:val="auto"/>
                <w:sz w:val="21"/>
                <w:szCs w:val="21"/>
              </w:rPr>
              <w:t>满足</w:t>
            </w:r>
            <w:r>
              <w:rPr>
                <w:rFonts w:hint="eastAsia" w:ascii="Times New Roman" w:hAnsi="Times New Roman" w:cs="Times New Roman"/>
                <w:bCs/>
                <w:color w:val="auto"/>
                <w:sz w:val="21"/>
                <w:szCs w:val="21"/>
              </w:rPr>
              <w:t>清丰中州水务有限公司第二污水处理厂接收</w:t>
            </w:r>
            <w:r>
              <w:rPr>
                <w:rFonts w:ascii="Times New Roman" w:hAnsi="Times New Roman" w:cs="Times New Roman"/>
                <w:bCs/>
                <w:color w:val="auto"/>
                <w:sz w:val="21"/>
                <w:szCs w:val="21"/>
              </w:rPr>
              <w:t>标准</w:t>
            </w:r>
            <w:r>
              <w:rPr>
                <w:rFonts w:hint="eastAsia" w:ascii="Times New Roman" w:hAnsi="Times New Roman" w:cs="Times New Roman"/>
                <w:bCs/>
                <w:color w:val="auto"/>
                <w:sz w:val="21"/>
                <w:szCs w:val="21"/>
              </w:rPr>
              <w:t>和《污水综合排放标准》（GB8978-1996）表4三级标准限值</w:t>
            </w:r>
          </w:p>
        </w:tc>
      </w:tr>
    </w:tbl>
    <w:p w14:paraId="12E2EB77">
      <w:pPr>
        <w:spacing w:line="360" w:lineRule="auto"/>
        <w:ind w:left="420" w:leftChars="200"/>
        <w:rPr>
          <w:rFonts w:ascii="Times New Roman" w:hAnsi="Times New Roman" w:eastAsia="宋体" w:cs="Times New Roman"/>
          <w:sz w:val="24"/>
        </w:rPr>
      </w:pPr>
      <w:r>
        <w:rPr>
          <w:rFonts w:ascii="Times New Roman" w:hAnsi="Times New Roman" w:eastAsia="宋体" w:cs="Times New Roman"/>
          <w:sz w:val="24"/>
        </w:rPr>
        <w:t>（3）噪声监测</w:t>
      </w:r>
    </w:p>
    <w:p w14:paraId="408FF70F">
      <w:pPr>
        <w:pStyle w:val="61"/>
      </w:pPr>
      <w:r>
        <w:rPr>
          <w:kern w:val="0"/>
          <w:szCs w:val="21"/>
        </w:rPr>
        <w:t>表10.3</w:t>
      </w:r>
      <w:r>
        <w:rPr>
          <w:kern w:val="0"/>
          <w:szCs w:val="21"/>
        </w:rPr>
        <w:noBreakHyphen/>
      </w:r>
      <w:r>
        <w:rPr>
          <w:kern w:val="0"/>
          <w:szCs w:val="21"/>
        </w:rPr>
        <w:t xml:space="preserve">4   </w:t>
      </w:r>
      <w:r>
        <w:t>噪声监测计划表</w:t>
      </w:r>
    </w:p>
    <w:tbl>
      <w:tblPr>
        <w:tblStyle w:val="30"/>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258"/>
        <w:gridCol w:w="2040"/>
        <w:gridCol w:w="1171"/>
        <w:gridCol w:w="2867"/>
      </w:tblGrid>
      <w:tr w14:paraId="65D0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jc w:val="center"/>
        </w:trPr>
        <w:tc>
          <w:tcPr>
            <w:tcW w:w="2258" w:type="dxa"/>
            <w:vAlign w:val="center"/>
          </w:tcPr>
          <w:p w14:paraId="78EE7E3D">
            <w:pPr>
              <w:pStyle w:val="60"/>
              <w:spacing w:line="240" w:lineRule="auto"/>
            </w:pPr>
            <w:r>
              <w:t>监测点位</w:t>
            </w:r>
          </w:p>
        </w:tc>
        <w:tc>
          <w:tcPr>
            <w:tcW w:w="2040" w:type="dxa"/>
            <w:vAlign w:val="center"/>
          </w:tcPr>
          <w:p w14:paraId="00293371">
            <w:pPr>
              <w:pStyle w:val="60"/>
              <w:spacing w:line="240" w:lineRule="auto"/>
            </w:pPr>
            <w:r>
              <w:t>监测指标</w:t>
            </w:r>
          </w:p>
        </w:tc>
        <w:tc>
          <w:tcPr>
            <w:tcW w:w="1171" w:type="dxa"/>
            <w:vAlign w:val="center"/>
          </w:tcPr>
          <w:p w14:paraId="36D6F136">
            <w:pPr>
              <w:pStyle w:val="60"/>
              <w:spacing w:line="240" w:lineRule="auto"/>
            </w:pPr>
            <w:r>
              <w:t>监测频次</w:t>
            </w:r>
          </w:p>
        </w:tc>
        <w:tc>
          <w:tcPr>
            <w:tcW w:w="2867" w:type="dxa"/>
            <w:vAlign w:val="center"/>
          </w:tcPr>
          <w:p w14:paraId="2BBD604F">
            <w:pPr>
              <w:pStyle w:val="60"/>
              <w:spacing w:line="240" w:lineRule="auto"/>
            </w:pPr>
            <w:r>
              <w:t>执行排放标准</w:t>
            </w:r>
          </w:p>
        </w:tc>
      </w:tr>
      <w:tr w14:paraId="0732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jc w:val="center"/>
        </w:trPr>
        <w:tc>
          <w:tcPr>
            <w:tcW w:w="2258" w:type="dxa"/>
            <w:vAlign w:val="center"/>
          </w:tcPr>
          <w:p w14:paraId="7E30A104">
            <w:pPr>
              <w:pStyle w:val="60"/>
              <w:spacing w:line="240" w:lineRule="auto"/>
              <w:rPr>
                <w:color w:val="auto"/>
              </w:rPr>
            </w:pPr>
            <w:r>
              <w:rPr>
                <w:color w:val="auto"/>
              </w:rPr>
              <w:t>东厂界</w:t>
            </w:r>
          </w:p>
        </w:tc>
        <w:tc>
          <w:tcPr>
            <w:tcW w:w="2040" w:type="dxa"/>
            <w:vMerge w:val="restart"/>
            <w:vAlign w:val="center"/>
          </w:tcPr>
          <w:p w14:paraId="0A7DDFB1">
            <w:pPr>
              <w:pStyle w:val="60"/>
              <w:spacing w:line="240" w:lineRule="auto"/>
            </w:pPr>
            <w:r>
              <w:t>等效连续A声级</w:t>
            </w:r>
          </w:p>
        </w:tc>
        <w:tc>
          <w:tcPr>
            <w:tcW w:w="1171" w:type="dxa"/>
            <w:vMerge w:val="restart"/>
            <w:vAlign w:val="center"/>
          </w:tcPr>
          <w:p w14:paraId="38AEB6DF">
            <w:pPr>
              <w:pStyle w:val="60"/>
              <w:spacing w:line="240" w:lineRule="auto"/>
            </w:pPr>
            <w:r>
              <w:t>每</w:t>
            </w:r>
            <w:r>
              <w:rPr>
                <w:lang w:val="en-US"/>
              </w:rPr>
              <w:t>季度</w:t>
            </w:r>
            <w:r>
              <w:t>一次</w:t>
            </w:r>
          </w:p>
        </w:tc>
        <w:tc>
          <w:tcPr>
            <w:tcW w:w="2867" w:type="dxa"/>
            <w:vMerge w:val="restart"/>
            <w:vAlign w:val="center"/>
          </w:tcPr>
          <w:p w14:paraId="18FEF436">
            <w:pPr>
              <w:pStyle w:val="60"/>
              <w:spacing w:line="240" w:lineRule="auto"/>
            </w:pPr>
            <w:r>
              <w:t>《工业企业厂界环境噪声排放标准》（GB12348-2008）</w:t>
            </w:r>
            <w:r>
              <w:rPr>
                <w:lang w:val="en-US"/>
              </w:rPr>
              <w:t>3</w:t>
            </w:r>
            <w:r>
              <w:t>类区标准限值</w:t>
            </w:r>
          </w:p>
        </w:tc>
      </w:tr>
      <w:tr w14:paraId="48B3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jc w:val="center"/>
        </w:trPr>
        <w:tc>
          <w:tcPr>
            <w:tcW w:w="2258" w:type="dxa"/>
            <w:vAlign w:val="center"/>
          </w:tcPr>
          <w:p w14:paraId="50C67637">
            <w:pPr>
              <w:pStyle w:val="60"/>
              <w:spacing w:line="240" w:lineRule="auto"/>
              <w:rPr>
                <w:color w:val="auto"/>
              </w:rPr>
            </w:pPr>
            <w:r>
              <w:rPr>
                <w:color w:val="auto"/>
              </w:rPr>
              <w:t>南厂界</w:t>
            </w:r>
          </w:p>
        </w:tc>
        <w:tc>
          <w:tcPr>
            <w:tcW w:w="2040" w:type="dxa"/>
            <w:vMerge w:val="continue"/>
            <w:vAlign w:val="center"/>
          </w:tcPr>
          <w:p w14:paraId="14558CB9">
            <w:pPr>
              <w:pStyle w:val="60"/>
              <w:spacing w:line="240" w:lineRule="auto"/>
            </w:pPr>
          </w:p>
        </w:tc>
        <w:tc>
          <w:tcPr>
            <w:tcW w:w="1171" w:type="dxa"/>
            <w:vMerge w:val="continue"/>
            <w:vAlign w:val="center"/>
          </w:tcPr>
          <w:p w14:paraId="7BE2ABFE">
            <w:pPr>
              <w:pStyle w:val="60"/>
              <w:spacing w:line="240" w:lineRule="auto"/>
            </w:pPr>
          </w:p>
        </w:tc>
        <w:tc>
          <w:tcPr>
            <w:tcW w:w="2867" w:type="dxa"/>
            <w:vMerge w:val="continue"/>
            <w:vAlign w:val="center"/>
          </w:tcPr>
          <w:p w14:paraId="74C729F1">
            <w:pPr>
              <w:pStyle w:val="60"/>
              <w:spacing w:line="240" w:lineRule="auto"/>
            </w:pPr>
          </w:p>
        </w:tc>
      </w:tr>
      <w:tr w14:paraId="08B9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jc w:val="center"/>
        </w:trPr>
        <w:tc>
          <w:tcPr>
            <w:tcW w:w="2258" w:type="dxa"/>
            <w:vAlign w:val="center"/>
          </w:tcPr>
          <w:p w14:paraId="33721342">
            <w:pPr>
              <w:pStyle w:val="60"/>
              <w:spacing w:line="240" w:lineRule="auto"/>
              <w:rPr>
                <w:color w:val="auto"/>
              </w:rPr>
            </w:pPr>
            <w:r>
              <w:rPr>
                <w:color w:val="auto"/>
              </w:rPr>
              <w:t>西厂界</w:t>
            </w:r>
          </w:p>
        </w:tc>
        <w:tc>
          <w:tcPr>
            <w:tcW w:w="2040" w:type="dxa"/>
            <w:vMerge w:val="continue"/>
            <w:vAlign w:val="center"/>
          </w:tcPr>
          <w:p w14:paraId="5A2D9E8A">
            <w:pPr>
              <w:pStyle w:val="60"/>
              <w:spacing w:line="240" w:lineRule="auto"/>
            </w:pPr>
          </w:p>
        </w:tc>
        <w:tc>
          <w:tcPr>
            <w:tcW w:w="1171" w:type="dxa"/>
            <w:vMerge w:val="continue"/>
            <w:vAlign w:val="center"/>
          </w:tcPr>
          <w:p w14:paraId="136AD5D8">
            <w:pPr>
              <w:pStyle w:val="60"/>
              <w:spacing w:line="240" w:lineRule="auto"/>
            </w:pPr>
          </w:p>
        </w:tc>
        <w:tc>
          <w:tcPr>
            <w:tcW w:w="2867" w:type="dxa"/>
            <w:vMerge w:val="continue"/>
            <w:vAlign w:val="center"/>
          </w:tcPr>
          <w:p w14:paraId="404366EA">
            <w:pPr>
              <w:pStyle w:val="60"/>
              <w:spacing w:line="240" w:lineRule="auto"/>
            </w:pPr>
          </w:p>
        </w:tc>
      </w:tr>
      <w:tr w14:paraId="7991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jc w:val="center"/>
        </w:trPr>
        <w:tc>
          <w:tcPr>
            <w:tcW w:w="2258" w:type="dxa"/>
            <w:vAlign w:val="center"/>
          </w:tcPr>
          <w:p w14:paraId="6F052A4D">
            <w:pPr>
              <w:pStyle w:val="60"/>
              <w:spacing w:line="240" w:lineRule="auto"/>
              <w:rPr>
                <w:color w:val="auto"/>
              </w:rPr>
            </w:pPr>
            <w:r>
              <w:rPr>
                <w:color w:val="auto"/>
              </w:rPr>
              <w:t>北厂界</w:t>
            </w:r>
          </w:p>
        </w:tc>
        <w:tc>
          <w:tcPr>
            <w:tcW w:w="2040" w:type="dxa"/>
            <w:vMerge w:val="continue"/>
            <w:vAlign w:val="center"/>
          </w:tcPr>
          <w:p w14:paraId="6F0C7369">
            <w:pPr>
              <w:pStyle w:val="60"/>
              <w:spacing w:line="240" w:lineRule="auto"/>
            </w:pPr>
          </w:p>
        </w:tc>
        <w:tc>
          <w:tcPr>
            <w:tcW w:w="1171" w:type="dxa"/>
            <w:vMerge w:val="continue"/>
            <w:vAlign w:val="center"/>
          </w:tcPr>
          <w:p w14:paraId="0A87A071">
            <w:pPr>
              <w:pStyle w:val="60"/>
              <w:spacing w:line="240" w:lineRule="auto"/>
            </w:pPr>
          </w:p>
        </w:tc>
        <w:tc>
          <w:tcPr>
            <w:tcW w:w="2867" w:type="dxa"/>
            <w:vMerge w:val="continue"/>
            <w:vAlign w:val="center"/>
          </w:tcPr>
          <w:p w14:paraId="318EB484">
            <w:pPr>
              <w:pStyle w:val="60"/>
              <w:spacing w:line="240" w:lineRule="auto"/>
            </w:pPr>
          </w:p>
        </w:tc>
      </w:tr>
    </w:tbl>
    <w:p w14:paraId="693FD642">
      <w:pPr>
        <w:pStyle w:val="4"/>
        <w:numPr>
          <w:ilvl w:val="2"/>
          <w:numId w:val="90"/>
        </w:numPr>
        <w:tabs>
          <w:tab w:val="clear" w:pos="0"/>
        </w:tabs>
        <w:adjustRightInd w:val="0"/>
        <w:snapToGrid w:val="0"/>
        <w:ind w:left="720" w:leftChars="0" w:hanging="720" w:firstLineChars="0"/>
      </w:pPr>
      <w:r>
        <w:t>环境质量监测计划</w:t>
      </w:r>
    </w:p>
    <w:p w14:paraId="5FC95A8D">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1</w:t>
      </w:r>
      <w:r>
        <w:rPr>
          <w:rFonts w:ascii="Times New Roman" w:hAnsi="Times New Roman" w:eastAsia="宋体" w:cs="Times New Roman"/>
          <w:sz w:val="24"/>
        </w:rPr>
        <w:t>）地下水环境监测</w:t>
      </w:r>
    </w:p>
    <w:p w14:paraId="2C242BB3">
      <w:pPr>
        <w:pStyle w:val="63"/>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表10.3</w:t>
      </w:r>
      <w:r>
        <w:rPr>
          <w:rFonts w:ascii="Times New Roman" w:hAnsi="Times New Roman"/>
          <w:b/>
          <w:kern w:val="0"/>
          <w:sz w:val="21"/>
          <w:szCs w:val="21"/>
        </w:rPr>
        <w:noBreakHyphen/>
      </w:r>
      <w:r>
        <w:rPr>
          <w:rFonts w:ascii="Times New Roman" w:hAnsi="Times New Roman"/>
          <w:b/>
          <w:kern w:val="0"/>
          <w:sz w:val="21"/>
          <w:szCs w:val="21"/>
        </w:rPr>
        <w:t>6   地下水环境质量监测计划表</w:t>
      </w:r>
    </w:p>
    <w:tbl>
      <w:tblPr>
        <w:tblStyle w:val="30"/>
        <w:tblW w:w="8336"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1816"/>
        <w:gridCol w:w="3160"/>
        <w:gridCol w:w="1144"/>
        <w:gridCol w:w="2216"/>
      </w:tblGrid>
      <w:tr w14:paraId="315912A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816" w:type="dxa"/>
            <w:vAlign w:val="center"/>
          </w:tcPr>
          <w:p w14:paraId="3A8B3234">
            <w:pPr>
              <w:pStyle w:val="60"/>
            </w:pPr>
            <w:r>
              <w:t>监测点位</w:t>
            </w:r>
          </w:p>
        </w:tc>
        <w:tc>
          <w:tcPr>
            <w:tcW w:w="3160" w:type="dxa"/>
            <w:vAlign w:val="center"/>
          </w:tcPr>
          <w:p w14:paraId="25628655">
            <w:pPr>
              <w:pStyle w:val="60"/>
            </w:pPr>
            <w:r>
              <w:t>监测指标</w:t>
            </w:r>
          </w:p>
        </w:tc>
        <w:tc>
          <w:tcPr>
            <w:tcW w:w="1144" w:type="dxa"/>
            <w:vAlign w:val="center"/>
          </w:tcPr>
          <w:p w14:paraId="3C149860">
            <w:pPr>
              <w:pStyle w:val="60"/>
            </w:pPr>
            <w:r>
              <w:t>监测频次</w:t>
            </w:r>
          </w:p>
        </w:tc>
        <w:tc>
          <w:tcPr>
            <w:tcW w:w="2216" w:type="dxa"/>
            <w:vAlign w:val="center"/>
          </w:tcPr>
          <w:p w14:paraId="7ED0B447">
            <w:pPr>
              <w:pStyle w:val="60"/>
            </w:pPr>
            <w:r>
              <w:t>执行环境质量标准</w:t>
            </w:r>
          </w:p>
        </w:tc>
      </w:tr>
      <w:tr w14:paraId="261A83A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826" w:hRule="atLeast"/>
          <w:jc w:val="center"/>
        </w:trPr>
        <w:tc>
          <w:tcPr>
            <w:tcW w:w="1816" w:type="dxa"/>
            <w:vAlign w:val="center"/>
          </w:tcPr>
          <w:p w14:paraId="0324EEC4">
            <w:pPr>
              <w:pStyle w:val="60"/>
            </w:pPr>
            <w:r>
              <w:t>项目场地上游</w:t>
            </w:r>
          </w:p>
          <w:p w14:paraId="54813080">
            <w:pPr>
              <w:pStyle w:val="60"/>
            </w:pPr>
            <w:r>
              <w:t>（</w:t>
            </w:r>
            <w:r>
              <w:rPr>
                <w:lang w:val="en-US"/>
              </w:rPr>
              <w:t>背景值监测点</w:t>
            </w:r>
            <w:r>
              <w:t>）</w:t>
            </w:r>
          </w:p>
        </w:tc>
        <w:tc>
          <w:tcPr>
            <w:tcW w:w="3160" w:type="dxa"/>
            <w:vMerge w:val="restart"/>
            <w:vAlign w:val="center"/>
          </w:tcPr>
          <w:p w14:paraId="6ABFFCD5">
            <w:pPr>
              <w:pStyle w:val="60"/>
            </w:pPr>
            <w:r>
              <w:t>K</w:t>
            </w:r>
            <w:r>
              <w:rPr>
                <w:vertAlign w:val="superscript"/>
              </w:rPr>
              <w:t>+</w:t>
            </w:r>
            <w:r>
              <w:t>+Na</w:t>
            </w:r>
            <w:r>
              <w:rPr>
                <w:vertAlign w:val="superscript"/>
              </w:rPr>
              <w:t>+</w:t>
            </w:r>
            <w:r>
              <w:t>、Ca</w:t>
            </w:r>
            <w:r>
              <w:rPr>
                <w:vertAlign w:val="superscript"/>
              </w:rPr>
              <w:t>2+</w:t>
            </w:r>
            <w:r>
              <w:t>、Mg</w:t>
            </w:r>
            <w:r>
              <w:rPr>
                <w:vertAlign w:val="superscript"/>
              </w:rPr>
              <w:t>2+</w:t>
            </w:r>
            <w:r>
              <w:t>、CO</w:t>
            </w:r>
            <w:r>
              <w:rPr>
                <w:vertAlign w:val="subscript"/>
              </w:rPr>
              <w:t>3</w:t>
            </w:r>
            <w:r>
              <w:rPr>
                <w:vertAlign w:val="superscript"/>
              </w:rPr>
              <w:t>2-</w:t>
            </w:r>
            <w:r>
              <w:t>、HCO</w:t>
            </w:r>
            <w:r>
              <w:rPr>
                <w:vertAlign w:val="subscript"/>
              </w:rPr>
              <w:t>3</w:t>
            </w:r>
            <w:r>
              <w:rPr>
                <w:vertAlign w:val="superscript"/>
              </w:rPr>
              <w:t>-</w:t>
            </w:r>
            <w:r>
              <w:t>、Cl</w:t>
            </w:r>
            <w:r>
              <w:rPr>
                <w:vertAlign w:val="superscript"/>
              </w:rPr>
              <w:t>-</w:t>
            </w:r>
            <w:r>
              <w:t>、SO</w:t>
            </w:r>
            <w:r>
              <w:rPr>
                <w:vertAlign w:val="subscript"/>
              </w:rPr>
              <w:t>4</w:t>
            </w:r>
            <w:r>
              <w:rPr>
                <w:vertAlign w:val="superscript"/>
              </w:rPr>
              <w:t>2-</w:t>
            </w:r>
            <w:r>
              <w:t>、pH、氨氮、硝酸盐、亚硝酸盐、挥发性酚类、氰化物、砷、汞、六价铬、总硬度、铅、氟、镉、铁、锰、溶解性总固体、高锰酸盐指数、硫酸盐、氯化物、总大肠菌群、细菌总数、</w:t>
            </w:r>
            <w:r>
              <w:rPr>
                <w:rFonts w:hint="eastAsia"/>
                <w:color w:val="000000"/>
                <w:kern w:val="0"/>
                <w:szCs w:val="21"/>
                <w:lang w:val="en-US"/>
              </w:rPr>
              <w:t>甲苯、二甲苯</w:t>
            </w:r>
          </w:p>
        </w:tc>
        <w:tc>
          <w:tcPr>
            <w:tcW w:w="1144" w:type="dxa"/>
            <w:vMerge w:val="restart"/>
            <w:vAlign w:val="center"/>
          </w:tcPr>
          <w:p w14:paraId="350B1C86">
            <w:pPr>
              <w:pStyle w:val="60"/>
            </w:pPr>
            <w:r>
              <w:t>每年</w:t>
            </w:r>
            <w:r>
              <w:rPr>
                <w:lang w:val="en-US"/>
              </w:rPr>
              <w:t>1</w:t>
            </w:r>
            <w:r>
              <w:t>次，在枯水期监测</w:t>
            </w:r>
          </w:p>
        </w:tc>
        <w:tc>
          <w:tcPr>
            <w:tcW w:w="2216" w:type="dxa"/>
            <w:vMerge w:val="restart"/>
            <w:vAlign w:val="center"/>
          </w:tcPr>
          <w:p w14:paraId="5644DF84">
            <w:pPr>
              <w:pStyle w:val="60"/>
            </w:pPr>
            <w:r>
              <w:rPr>
                <w:spacing w:val="8"/>
              </w:rPr>
              <w:t>执行《地下水质量标准》（GB/T14848-2017）Ⅲ类标准</w:t>
            </w:r>
          </w:p>
        </w:tc>
      </w:tr>
      <w:tr w14:paraId="0E1F322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816" w:type="dxa"/>
            <w:vAlign w:val="center"/>
          </w:tcPr>
          <w:p w14:paraId="3832FBAC">
            <w:pPr>
              <w:pStyle w:val="60"/>
            </w:pPr>
            <w:r>
              <w:t>项目场地下游</w:t>
            </w:r>
          </w:p>
          <w:p w14:paraId="29DD959C">
            <w:pPr>
              <w:pStyle w:val="60"/>
            </w:pPr>
            <w:r>
              <w:t>（</w:t>
            </w:r>
            <w:r>
              <w:rPr>
                <w:lang w:val="en-US"/>
              </w:rPr>
              <w:t>污染扩散监测点</w:t>
            </w:r>
            <w:r>
              <w:t>）</w:t>
            </w:r>
          </w:p>
        </w:tc>
        <w:tc>
          <w:tcPr>
            <w:tcW w:w="3160" w:type="dxa"/>
            <w:vMerge w:val="continue"/>
            <w:vAlign w:val="center"/>
          </w:tcPr>
          <w:p w14:paraId="417CCF8D">
            <w:pPr>
              <w:pStyle w:val="60"/>
            </w:pPr>
          </w:p>
        </w:tc>
        <w:tc>
          <w:tcPr>
            <w:tcW w:w="1144" w:type="dxa"/>
            <w:vMerge w:val="continue"/>
            <w:vAlign w:val="center"/>
          </w:tcPr>
          <w:p w14:paraId="40FBFE7C">
            <w:pPr>
              <w:pStyle w:val="60"/>
            </w:pPr>
          </w:p>
        </w:tc>
        <w:tc>
          <w:tcPr>
            <w:tcW w:w="2216" w:type="dxa"/>
            <w:vMerge w:val="continue"/>
            <w:vAlign w:val="center"/>
          </w:tcPr>
          <w:p w14:paraId="2E5E1479">
            <w:pPr>
              <w:pStyle w:val="60"/>
              <w:rPr>
                <w:spacing w:val="8"/>
              </w:rPr>
            </w:pPr>
          </w:p>
        </w:tc>
      </w:tr>
    </w:tbl>
    <w:p w14:paraId="3EFA3953">
      <w:pPr>
        <w:spacing w:line="360" w:lineRule="auto"/>
        <w:ind w:firstLine="384" w:firstLineChars="150"/>
        <w:rPr>
          <w:rFonts w:ascii="Times New Roman" w:hAnsi="Times New Roman" w:eastAsia="宋体" w:cs="Times New Roman"/>
          <w:spacing w:val="8"/>
          <w:sz w:val="24"/>
        </w:rPr>
      </w:pPr>
      <w:r>
        <w:rPr>
          <w:rFonts w:ascii="Times New Roman" w:hAnsi="Times New Roman" w:eastAsia="宋体" w:cs="Times New Roman"/>
          <w:spacing w:val="8"/>
          <w:sz w:val="24"/>
        </w:rPr>
        <w:t>（</w:t>
      </w:r>
      <w:r>
        <w:rPr>
          <w:rFonts w:hint="eastAsia" w:ascii="Times New Roman" w:hAnsi="Times New Roman" w:eastAsia="宋体" w:cs="Times New Roman"/>
          <w:spacing w:val="8"/>
          <w:sz w:val="24"/>
        </w:rPr>
        <w:t>2</w:t>
      </w:r>
      <w:r>
        <w:rPr>
          <w:rFonts w:ascii="Times New Roman" w:hAnsi="Times New Roman" w:eastAsia="宋体" w:cs="Times New Roman"/>
          <w:spacing w:val="8"/>
          <w:sz w:val="24"/>
        </w:rPr>
        <w:t>）土壤环境监测</w:t>
      </w:r>
    </w:p>
    <w:p w14:paraId="0A469B46">
      <w:pPr>
        <w:pStyle w:val="63"/>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表10.3</w:t>
      </w:r>
      <w:r>
        <w:rPr>
          <w:rFonts w:ascii="Times New Roman" w:hAnsi="Times New Roman"/>
          <w:b/>
          <w:kern w:val="0"/>
          <w:sz w:val="21"/>
          <w:szCs w:val="21"/>
        </w:rPr>
        <w:noBreakHyphen/>
      </w:r>
      <w:r>
        <w:rPr>
          <w:rFonts w:ascii="Times New Roman" w:hAnsi="Times New Roman"/>
          <w:b/>
          <w:kern w:val="0"/>
          <w:sz w:val="21"/>
          <w:szCs w:val="21"/>
        </w:rPr>
        <w:t>7   土壤环境质量监测计划表</w:t>
      </w:r>
    </w:p>
    <w:tbl>
      <w:tblPr>
        <w:tblStyle w:val="30"/>
        <w:tblW w:w="8336"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940"/>
        <w:gridCol w:w="3281"/>
        <w:gridCol w:w="862"/>
        <w:gridCol w:w="3253"/>
      </w:tblGrid>
      <w:tr w14:paraId="215CA47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40" w:type="dxa"/>
            <w:vAlign w:val="center"/>
          </w:tcPr>
          <w:p w14:paraId="2CCC3F38">
            <w:pPr>
              <w:pStyle w:val="60"/>
            </w:pPr>
            <w:r>
              <w:t>监测点位</w:t>
            </w:r>
          </w:p>
        </w:tc>
        <w:tc>
          <w:tcPr>
            <w:tcW w:w="3281" w:type="dxa"/>
            <w:vAlign w:val="center"/>
          </w:tcPr>
          <w:p w14:paraId="134D243E">
            <w:pPr>
              <w:pStyle w:val="60"/>
            </w:pPr>
            <w:r>
              <w:t>监测指标</w:t>
            </w:r>
          </w:p>
        </w:tc>
        <w:tc>
          <w:tcPr>
            <w:tcW w:w="862" w:type="dxa"/>
            <w:vAlign w:val="center"/>
          </w:tcPr>
          <w:p w14:paraId="72FA03CC">
            <w:pPr>
              <w:pStyle w:val="60"/>
            </w:pPr>
            <w:r>
              <w:t>监测频次</w:t>
            </w:r>
          </w:p>
        </w:tc>
        <w:tc>
          <w:tcPr>
            <w:tcW w:w="3253" w:type="dxa"/>
            <w:vAlign w:val="center"/>
          </w:tcPr>
          <w:p w14:paraId="2695DCBD">
            <w:pPr>
              <w:pStyle w:val="60"/>
            </w:pPr>
            <w:r>
              <w:t>执行环境质量标准</w:t>
            </w:r>
          </w:p>
        </w:tc>
      </w:tr>
      <w:tr w14:paraId="166D61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40" w:type="dxa"/>
            <w:vAlign w:val="center"/>
          </w:tcPr>
          <w:p w14:paraId="6FFE4414">
            <w:pPr>
              <w:pStyle w:val="60"/>
            </w:pPr>
            <w:r>
              <w:rPr>
                <w:szCs w:val="21"/>
                <w:lang w:val="en-US"/>
              </w:rPr>
              <w:t>厂区污水</w:t>
            </w:r>
            <w:r>
              <w:rPr>
                <w:szCs w:val="21"/>
              </w:rPr>
              <w:t>处理站</w:t>
            </w:r>
          </w:p>
        </w:tc>
        <w:tc>
          <w:tcPr>
            <w:tcW w:w="3281" w:type="dxa"/>
            <w:vMerge w:val="restart"/>
            <w:vAlign w:val="center"/>
          </w:tcPr>
          <w:p w14:paraId="70AA067C">
            <w:pPr>
              <w:pStyle w:val="60"/>
              <w:rPr>
                <w:lang w:val="en-US"/>
              </w:rPr>
            </w:pPr>
            <w:r>
              <w:rPr>
                <w:szCs w:val="21"/>
                <w:lang w:val="en-US"/>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对-二甲苯、邻-二甲苯、硝基苯、苯胺、2-氯酚、苯并[a]蒽、苯并[a]芘、苯并[b]荧蒽、苯并[k]荧蒽、䓛、二苯并[a,h]蒽、茚并[1,2,3-cd]芘、萘</w:t>
            </w:r>
            <w:r>
              <w:rPr>
                <w:lang w:val="en-US"/>
              </w:rPr>
              <w:t>、石油类（C</w:t>
            </w:r>
            <w:r>
              <w:rPr>
                <w:vertAlign w:val="subscript"/>
                <w:lang w:val="en-US"/>
              </w:rPr>
              <w:t>10</w:t>
            </w:r>
            <w:r>
              <w:rPr>
                <w:lang w:val="en-US"/>
              </w:rPr>
              <w:t>~C</w:t>
            </w:r>
            <w:r>
              <w:rPr>
                <w:vertAlign w:val="subscript"/>
                <w:lang w:val="en-US"/>
              </w:rPr>
              <w:t>40</w:t>
            </w:r>
            <w:r>
              <w:rPr>
                <w:lang w:val="en-US"/>
              </w:rPr>
              <w:t>）</w:t>
            </w:r>
          </w:p>
        </w:tc>
        <w:tc>
          <w:tcPr>
            <w:tcW w:w="862" w:type="dxa"/>
            <w:vMerge w:val="restart"/>
            <w:vAlign w:val="center"/>
          </w:tcPr>
          <w:p w14:paraId="774AE726">
            <w:pPr>
              <w:pStyle w:val="60"/>
            </w:pPr>
            <w:r>
              <w:t>每</w:t>
            </w:r>
            <w:r>
              <w:rPr>
                <w:rFonts w:hint="eastAsia"/>
                <w:lang w:val="en-US"/>
              </w:rPr>
              <w:t>5</w:t>
            </w:r>
            <w:r>
              <w:t>年一次</w:t>
            </w:r>
          </w:p>
        </w:tc>
        <w:tc>
          <w:tcPr>
            <w:tcW w:w="3253" w:type="dxa"/>
            <w:vAlign w:val="center"/>
          </w:tcPr>
          <w:p w14:paraId="750F0277">
            <w:pPr>
              <w:pStyle w:val="60"/>
            </w:pPr>
            <w:r>
              <w:rPr>
                <w:spacing w:val="8"/>
              </w:rPr>
              <w:t>《土壤环境质量标准 建设用地土壤污染风险管控标准》（GB 36600-2018）中的第二类用地筛选值</w:t>
            </w:r>
          </w:p>
        </w:tc>
      </w:tr>
      <w:tr w14:paraId="14A5819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40" w:type="dxa"/>
            <w:vAlign w:val="center"/>
          </w:tcPr>
          <w:p w14:paraId="1A6619C9">
            <w:pPr>
              <w:pStyle w:val="60"/>
              <w:rPr>
                <w:lang w:val="en-US"/>
              </w:rPr>
            </w:pPr>
            <w:r>
              <w:rPr>
                <w:rFonts w:hint="eastAsia"/>
                <w:lang w:val="en-US"/>
              </w:rPr>
              <w:t>骆家村</w:t>
            </w:r>
          </w:p>
        </w:tc>
        <w:tc>
          <w:tcPr>
            <w:tcW w:w="3281" w:type="dxa"/>
            <w:vMerge w:val="continue"/>
            <w:vAlign w:val="center"/>
          </w:tcPr>
          <w:p w14:paraId="00738902">
            <w:pPr>
              <w:pStyle w:val="60"/>
            </w:pPr>
          </w:p>
        </w:tc>
        <w:tc>
          <w:tcPr>
            <w:tcW w:w="862" w:type="dxa"/>
            <w:vMerge w:val="continue"/>
            <w:vAlign w:val="center"/>
          </w:tcPr>
          <w:p w14:paraId="4CF7ADD5">
            <w:pPr>
              <w:pStyle w:val="60"/>
            </w:pPr>
          </w:p>
        </w:tc>
        <w:tc>
          <w:tcPr>
            <w:tcW w:w="3253" w:type="dxa"/>
            <w:vAlign w:val="center"/>
          </w:tcPr>
          <w:p w14:paraId="182B4D88">
            <w:pPr>
              <w:pStyle w:val="60"/>
              <w:rPr>
                <w:spacing w:val="8"/>
              </w:rPr>
            </w:pPr>
            <w:r>
              <w:rPr>
                <w:spacing w:val="8"/>
              </w:rPr>
              <w:t>《土壤环境质量标准 建设用地土壤污染风险管控标准》（GB 36600-2018）中的第</w:t>
            </w:r>
            <w:r>
              <w:rPr>
                <w:spacing w:val="8"/>
                <w:lang w:val="en-US"/>
              </w:rPr>
              <w:t>一</w:t>
            </w:r>
            <w:r>
              <w:rPr>
                <w:spacing w:val="8"/>
              </w:rPr>
              <w:t>类用地筛选值</w:t>
            </w:r>
          </w:p>
        </w:tc>
      </w:tr>
    </w:tbl>
    <w:p w14:paraId="3FFCE65E">
      <w:pPr>
        <w:spacing w:line="360" w:lineRule="auto"/>
        <w:ind w:left="420" w:leftChars="200"/>
        <w:rPr>
          <w:rFonts w:ascii="Times New Roman" w:hAnsi="Times New Roman" w:eastAsia="宋体" w:cs="Times New Roman"/>
          <w:sz w:val="24"/>
        </w:rPr>
      </w:pPr>
      <w:r>
        <w:rPr>
          <w:rFonts w:ascii="Times New Roman" w:hAnsi="Times New Roman" w:eastAsia="宋体" w:cs="Times New Roman"/>
          <w:sz w:val="24"/>
        </w:rPr>
        <w:t>（4）声环境监测</w:t>
      </w:r>
    </w:p>
    <w:p w14:paraId="04765737">
      <w:pPr>
        <w:pStyle w:val="63"/>
        <w:spacing w:line="240" w:lineRule="auto"/>
        <w:ind w:firstLine="0" w:firstLineChars="0"/>
        <w:jc w:val="center"/>
        <w:rPr>
          <w:rFonts w:ascii="Times New Roman" w:hAnsi="Times New Roman"/>
          <w:b/>
          <w:kern w:val="0"/>
          <w:sz w:val="21"/>
          <w:szCs w:val="21"/>
        </w:rPr>
      </w:pPr>
      <w:r>
        <w:rPr>
          <w:rFonts w:ascii="Times New Roman" w:hAnsi="Times New Roman"/>
          <w:b/>
          <w:kern w:val="0"/>
          <w:sz w:val="21"/>
          <w:szCs w:val="21"/>
        </w:rPr>
        <w:t>表10.3</w:t>
      </w:r>
      <w:r>
        <w:rPr>
          <w:rFonts w:ascii="Times New Roman" w:hAnsi="Times New Roman"/>
          <w:b/>
          <w:kern w:val="0"/>
          <w:sz w:val="21"/>
          <w:szCs w:val="21"/>
        </w:rPr>
        <w:noBreakHyphen/>
      </w:r>
      <w:r>
        <w:rPr>
          <w:rFonts w:ascii="Times New Roman" w:hAnsi="Times New Roman"/>
          <w:b/>
          <w:kern w:val="0"/>
          <w:sz w:val="21"/>
          <w:szCs w:val="21"/>
        </w:rPr>
        <w:t>8   声环境质量监测计划表</w:t>
      </w:r>
    </w:p>
    <w:tbl>
      <w:tblPr>
        <w:tblStyle w:val="30"/>
        <w:tblW w:w="8336"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1144"/>
        <w:gridCol w:w="2076"/>
        <w:gridCol w:w="1039"/>
        <w:gridCol w:w="4077"/>
      </w:tblGrid>
      <w:tr w14:paraId="441941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144" w:type="dxa"/>
            <w:vAlign w:val="center"/>
          </w:tcPr>
          <w:p w14:paraId="1661D588">
            <w:pPr>
              <w:pStyle w:val="60"/>
            </w:pPr>
            <w:r>
              <w:t>监测点位</w:t>
            </w:r>
          </w:p>
        </w:tc>
        <w:tc>
          <w:tcPr>
            <w:tcW w:w="2076" w:type="dxa"/>
            <w:vAlign w:val="center"/>
          </w:tcPr>
          <w:p w14:paraId="644407F0">
            <w:pPr>
              <w:pStyle w:val="60"/>
            </w:pPr>
            <w:r>
              <w:t>监测指标</w:t>
            </w:r>
          </w:p>
        </w:tc>
        <w:tc>
          <w:tcPr>
            <w:tcW w:w="1039" w:type="dxa"/>
            <w:vAlign w:val="center"/>
          </w:tcPr>
          <w:p w14:paraId="7A108F5A">
            <w:pPr>
              <w:pStyle w:val="60"/>
            </w:pPr>
            <w:r>
              <w:t>监测频次</w:t>
            </w:r>
          </w:p>
        </w:tc>
        <w:tc>
          <w:tcPr>
            <w:tcW w:w="4077" w:type="dxa"/>
            <w:vAlign w:val="center"/>
          </w:tcPr>
          <w:p w14:paraId="15BE1926">
            <w:pPr>
              <w:pStyle w:val="60"/>
            </w:pPr>
            <w:r>
              <w:t>执行环境质量标准</w:t>
            </w:r>
          </w:p>
        </w:tc>
      </w:tr>
      <w:tr w14:paraId="6A71C2B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730" w:hRule="atLeast"/>
          <w:jc w:val="center"/>
        </w:trPr>
        <w:tc>
          <w:tcPr>
            <w:tcW w:w="1144" w:type="dxa"/>
            <w:vAlign w:val="center"/>
          </w:tcPr>
          <w:p w14:paraId="26BF0578">
            <w:pPr>
              <w:pStyle w:val="60"/>
              <w:rPr>
                <w:color w:val="auto"/>
              </w:rPr>
            </w:pPr>
            <w:r>
              <w:rPr>
                <w:rFonts w:hint="eastAsia"/>
                <w:color w:val="auto"/>
                <w:spacing w:val="8"/>
              </w:rPr>
              <w:t>厂界四周</w:t>
            </w:r>
          </w:p>
        </w:tc>
        <w:tc>
          <w:tcPr>
            <w:tcW w:w="2076" w:type="dxa"/>
            <w:vAlign w:val="center"/>
          </w:tcPr>
          <w:p w14:paraId="5ADEC0DB">
            <w:pPr>
              <w:pStyle w:val="60"/>
              <w:rPr>
                <w:color w:val="auto"/>
              </w:rPr>
            </w:pPr>
            <w:r>
              <w:rPr>
                <w:color w:val="auto"/>
                <w:spacing w:val="8"/>
              </w:rPr>
              <w:t>等效连续A声级</w:t>
            </w:r>
          </w:p>
        </w:tc>
        <w:tc>
          <w:tcPr>
            <w:tcW w:w="1039" w:type="dxa"/>
            <w:vAlign w:val="center"/>
          </w:tcPr>
          <w:p w14:paraId="0D678C11">
            <w:pPr>
              <w:pStyle w:val="60"/>
            </w:pPr>
            <w:r>
              <w:t>每年一次</w:t>
            </w:r>
          </w:p>
        </w:tc>
        <w:tc>
          <w:tcPr>
            <w:tcW w:w="4077" w:type="dxa"/>
            <w:vAlign w:val="center"/>
          </w:tcPr>
          <w:p w14:paraId="001F276E">
            <w:pPr>
              <w:pStyle w:val="60"/>
            </w:pPr>
            <w:r>
              <w:rPr>
                <w:spacing w:val="8"/>
              </w:rPr>
              <w:t>《声环境质量标准》（GB3096-2008）</w:t>
            </w:r>
            <w:r>
              <w:rPr>
                <w:spacing w:val="8"/>
                <w:lang w:val="en-US"/>
              </w:rPr>
              <w:t>3</w:t>
            </w:r>
            <w:r>
              <w:rPr>
                <w:spacing w:val="8"/>
              </w:rPr>
              <w:t>类区标准</w:t>
            </w:r>
          </w:p>
        </w:tc>
      </w:tr>
    </w:tbl>
    <w:p w14:paraId="5E19BC9E">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在营运期内，建设单位应满足国家和地方制定的有关环保法律、法规和实现本评价提出的各项环境保护措施和建议管理要求，对项目运营期内的水、气、声等污染源、主要污染物、处置场所的排放源强和污染设施的运行效果进行监测。日常监测由企业自身或委托有监测资质单位进行，年度监测应委托有资质单位环境监测部门进行监测。</w:t>
      </w:r>
    </w:p>
    <w:p w14:paraId="6A3F9AAA">
      <w:pPr>
        <w:pStyle w:val="3"/>
        <w:numPr>
          <w:ilvl w:val="1"/>
          <w:numId w:val="90"/>
        </w:numPr>
        <w:tabs>
          <w:tab w:val="clear" w:pos="0"/>
        </w:tabs>
        <w:ind w:left="720" w:leftChars="0" w:hanging="720" w:firstLineChars="0"/>
      </w:pPr>
      <w:bookmarkStart w:id="386" w:name="_Toc28103"/>
      <w:bookmarkStart w:id="387" w:name="_Toc13620"/>
      <w:bookmarkStart w:id="388" w:name="_Toc32557"/>
      <w:bookmarkStart w:id="389" w:name="_Toc10733"/>
      <w:bookmarkStart w:id="390" w:name="_Toc2601"/>
      <w:bookmarkStart w:id="391" w:name="_Toc513"/>
      <w:bookmarkStart w:id="392" w:name="_Toc19114"/>
      <w:bookmarkStart w:id="393" w:name="_Toc7904"/>
      <w:r>
        <w:t>与排污许可证制度衔接的要求</w:t>
      </w:r>
      <w:bookmarkEnd w:id="386"/>
      <w:bookmarkEnd w:id="387"/>
      <w:bookmarkEnd w:id="388"/>
      <w:bookmarkEnd w:id="389"/>
      <w:bookmarkEnd w:id="390"/>
    </w:p>
    <w:p w14:paraId="105996EB">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关于做好环境影响评价制度与排污许可制衔接相关工作的通知》（环办﹝2017﹞84号）提出：根据国家或地方污染物排放标准、环境质量标准和总量控制要求等管理规定，按照污染源源强核算技术指南、环境影响评价要素导则等技术文件，严格核定排放口数量、位置一级每个排放口的污染物种类、允许排放浓度和允许排放量、排放方式、排放去向、自行监测计划等于污染物排放相关的主要内容。</w:t>
      </w:r>
    </w:p>
    <w:p w14:paraId="57DB08D3">
      <w:pPr>
        <w:spacing w:line="360" w:lineRule="auto"/>
        <w:ind w:firstLine="480" w:firstLineChars="200"/>
        <w:rPr>
          <w:rFonts w:ascii="Times New Roman" w:hAnsi="Times New Roman" w:cs="Times New Roman"/>
        </w:rPr>
      </w:pPr>
      <w:r>
        <w:rPr>
          <w:rFonts w:ascii="Times New Roman" w:hAnsi="Times New Roman" w:eastAsia="宋体" w:cs="Times New Roman"/>
          <w:sz w:val="24"/>
        </w:rPr>
        <w:t>建设项目发生实际排污行为之前，排污单位应当按照国家环境保护相关法律法规以及排污许可证申请与核发技术规范要求申请排污许可证，不得无证排污或不按证排污。排污许可证执行报告、台账记录以及自行监测执行情况等应作为开展建设项目环境影响后评价的重要依据。</w:t>
      </w:r>
    </w:p>
    <w:p w14:paraId="06B01470">
      <w:pPr>
        <w:pStyle w:val="3"/>
        <w:numPr>
          <w:ilvl w:val="1"/>
          <w:numId w:val="90"/>
        </w:numPr>
        <w:tabs>
          <w:tab w:val="clear" w:pos="0"/>
        </w:tabs>
        <w:ind w:left="720" w:leftChars="0" w:hanging="720" w:firstLineChars="0"/>
      </w:pPr>
      <w:bookmarkStart w:id="394" w:name="_Toc29437"/>
      <w:r>
        <w:t>“三同时”环保设施竣工验收内容</w:t>
      </w:r>
      <w:bookmarkEnd w:id="391"/>
      <w:bookmarkEnd w:id="392"/>
      <w:bookmarkEnd w:id="393"/>
      <w:bookmarkEnd w:id="394"/>
    </w:p>
    <w:p w14:paraId="4923E68D">
      <w:pPr>
        <w:spacing w:line="360" w:lineRule="auto"/>
        <w:ind w:firstLine="480" w:firstLineChars="200"/>
        <w:rPr>
          <w:rFonts w:ascii="Times New Roman" w:hAnsi="Times New Roman" w:eastAsia="宋体" w:cs="Times New Roman"/>
          <w:bCs/>
          <w:sz w:val="24"/>
        </w:rPr>
        <w:sectPr>
          <w:headerReference r:id="rId31"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cs="Times New Roman"/>
          <w:bCs/>
          <w:sz w:val="24"/>
        </w:rPr>
        <w:t>本</w:t>
      </w:r>
      <w:r>
        <w:rPr>
          <w:rFonts w:ascii="Times New Roman" w:hAnsi="Times New Roman" w:eastAsia="宋体" w:cs="Times New Roman"/>
          <w:bCs/>
          <w:sz w:val="24"/>
        </w:rPr>
        <w:t>项目环保设施竣工验收内容见</w:t>
      </w:r>
      <w:r>
        <w:rPr>
          <w:rFonts w:ascii="Times New Roman" w:hAnsi="Times New Roman" w:cs="Times New Roman"/>
          <w:bCs/>
          <w:sz w:val="24"/>
        </w:rPr>
        <w:t>下表</w:t>
      </w:r>
      <w:r>
        <w:rPr>
          <w:rFonts w:ascii="Times New Roman" w:hAnsi="Times New Roman" w:eastAsia="宋体" w:cs="Times New Roman"/>
          <w:bCs/>
          <w:sz w:val="24"/>
        </w:rPr>
        <w:t>。</w:t>
      </w:r>
    </w:p>
    <w:p w14:paraId="0DE1920C">
      <w:pPr>
        <w:tabs>
          <w:tab w:val="left" w:pos="0"/>
        </w:tabs>
        <w:jc w:val="center"/>
        <w:rPr>
          <w:rFonts w:ascii="Times New Roman" w:hAnsi="Times New Roman" w:eastAsia="宋体" w:cs="Times New Roman"/>
          <w:b/>
          <w:szCs w:val="21"/>
        </w:rPr>
      </w:pPr>
      <w:r>
        <w:rPr>
          <w:rFonts w:ascii="Times New Roman" w:hAnsi="Times New Roman" w:cs="Times New Roman"/>
          <w:b/>
          <w:szCs w:val="21"/>
        </w:rPr>
        <w:t>表</w:t>
      </w:r>
      <w:r>
        <w:rPr>
          <w:rFonts w:hint="eastAsia" w:ascii="Times New Roman" w:hAnsi="Times New Roman" w:cs="Times New Roman"/>
          <w:b/>
          <w:szCs w:val="21"/>
          <w:lang w:val="en-US" w:eastAsia="zh-CN"/>
        </w:rPr>
        <w:t>9</w:t>
      </w:r>
      <w:r>
        <w:rPr>
          <w:rFonts w:ascii="Times New Roman" w:hAnsi="Times New Roman" w:eastAsia="宋体" w:cs="Times New Roman"/>
          <w:b/>
          <w:szCs w:val="21"/>
        </w:rPr>
        <w:t>.</w:t>
      </w:r>
      <w:r>
        <w:rPr>
          <w:rFonts w:hint="eastAsia" w:ascii="Times New Roman" w:hAnsi="Times New Roman" w:cs="Times New Roman"/>
          <w:b/>
          <w:szCs w:val="21"/>
        </w:rPr>
        <w:t>5</w:t>
      </w:r>
      <w:r>
        <w:rPr>
          <w:rFonts w:ascii="Times New Roman" w:hAnsi="Times New Roman" w:eastAsia="宋体" w:cs="Times New Roman"/>
          <w:b/>
          <w:szCs w:val="21"/>
        </w:rPr>
        <w:t xml:space="preserve">-1   </w:t>
      </w:r>
      <w:r>
        <w:rPr>
          <w:rFonts w:hint="eastAsia" w:ascii="Times New Roman" w:hAnsi="Times New Roman" w:cs="Times New Roman"/>
          <w:b/>
          <w:szCs w:val="21"/>
        </w:rPr>
        <w:t>本</w:t>
      </w:r>
      <w:r>
        <w:rPr>
          <w:rFonts w:ascii="Times New Roman" w:hAnsi="Times New Roman" w:eastAsia="宋体" w:cs="Times New Roman"/>
          <w:b/>
          <w:szCs w:val="21"/>
        </w:rPr>
        <w:t>项目环保设施竣工验收一览表</w:t>
      </w:r>
    </w:p>
    <w:tbl>
      <w:tblPr>
        <w:tblStyle w:val="30"/>
        <w:tblW w:w="14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57" w:type="dxa"/>
          <w:bottom w:w="85" w:type="dxa"/>
          <w:right w:w="57" w:type="dxa"/>
        </w:tblCellMar>
      </w:tblPr>
      <w:tblGrid>
        <w:gridCol w:w="650"/>
        <w:gridCol w:w="805"/>
        <w:gridCol w:w="1421"/>
        <w:gridCol w:w="2409"/>
        <w:gridCol w:w="1089"/>
        <w:gridCol w:w="2192"/>
        <w:gridCol w:w="1159"/>
        <w:gridCol w:w="2780"/>
        <w:gridCol w:w="1559"/>
      </w:tblGrid>
      <w:tr w14:paraId="1C87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jc w:val="center"/>
        </w:trPr>
        <w:tc>
          <w:tcPr>
            <w:tcW w:w="650" w:type="dxa"/>
            <w:tcBorders>
              <w:tl2br w:val="nil"/>
              <w:tr2bl w:val="nil"/>
            </w:tcBorders>
            <w:vAlign w:val="center"/>
          </w:tcPr>
          <w:p w14:paraId="558ACA81">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序号</w:t>
            </w:r>
          </w:p>
        </w:tc>
        <w:tc>
          <w:tcPr>
            <w:tcW w:w="805" w:type="dxa"/>
            <w:tcBorders>
              <w:tl2br w:val="nil"/>
              <w:tr2bl w:val="nil"/>
            </w:tcBorders>
            <w:vAlign w:val="center"/>
          </w:tcPr>
          <w:p w14:paraId="668D07A4">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类别</w:t>
            </w:r>
          </w:p>
        </w:tc>
        <w:tc>
          <w:tcPr>
            <w:tcW w:w="1421" w:type="dxa"/>
            <w:tcBorders>
              <w:tl2br w:val="nil"/>
              <w:tr2bl w:val="nil"/>
            </w:tcBorders>
            <w:vAlign w:val="center"/>
          </w:tcPr>
          <w:p w14:paraId="1F06A432">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产污环节</w:t>
            </w:r>
          </w:p>
        </w:tc>
        <w:tc>
          <w:tcPr>
            <w:tcW w:w="2409" w:type="dxa"/>
            <w:tcBorders>
              <w:tl2br w:val="nil"/>
              <w:tr2bl w:val="nil"/>
            </w:tcBorders>
            <w:vAlign w:val="center"/>
          </w:tcPr>
          <w:p w14:paraId="33FB6C93">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治理措施</w:t>
            </w:r>
          </w:p>
        </w:tc>
        <w:tc>
          <w:tcPr>
            <w:tcW w:w="1089" w:type="dxa"/>
            <w:tcBorders>
              <w:tl2br w:val="nil"/>
              <w:tr2bl w:val="nil"/>
            </w:tcBorders>
            <w:vAlign w:val="center"/>
          </w:tcPr>
          <w:p w14:paraId="09A86EA2">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采样位置</w:t>
            </w:r>
          </w:p>
        </w:tc>
        <w:tc>
          <w:tcPr>
            <w:tcW w:w="2192" w:type="dxa"/>
            <w:tcBorders>
              <w:tl2br w:val="nil"/>
              <w:tr2bl w:val="nil"/>
            </w:tcBorders>
            <w:vAlign w:val="center"/>
          </w:tcPr>
          <w:p w14:paraId="5D1A51FE">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验收内容</w:t>
            </w:r>
          </w:p>
        </w:tc>
        <w:tc>
          <w:tcPr>
            <w:tcW w:w="1159" w:type="dxa"/>
            <w:tcBorders>
              <w:tl2br w:val="nil"/>
              <w:tr2bl w:val="nil"/>
            </w:tcBorders>
            <w:vAlign w:val="center"/>
          </w:tcPr>
          <w:p w14:paraId="3768ECC1">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监测频次</w:t>
            </w:r>
          </w:p>
        </w:tc>
        <w:tc>
          <w:tcPr>
            <w:tcW w:w="4339" w:type="dxa"/>
            <w:gridSpan w:val="2"/>
            <w:tcBorders>
              <w:tl2br w:val="nil"/>
              <w:tr2bl w:val="nil"/>
            </w:tcBorders>
            <w:vAlign w:val="center"/>
          </w:tcPr>
          <w:p w14:paraId="0C8341BC">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排放标准</w:t>
            </w:r>
          </w:p>
        </w:tc>
      </w:tr>
      <w:tr w14:paraId="4748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jc w:val="center"/>
        </w:trPr>
        <w:tc>
          <w:tcPr>
            <w:tcW w:w="650" w:type="dxa"/>
            <w:tcBorders>
              <w:tl2br w:val="nil"/>
              <w:tr2bl w:val="nil"/>
            </w:tcBorders>
            <w:vAlign w:val="center"/>
          </w:tcPr>
          <w:p w14:paraId="527E60E5">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1</w:t>
            </w:r>
          </w:p>
        </w:tc>
        <w:tc>
          <w:tcPr>
            <w:tcW w:w="805" w:type="dxa"/>
            <w:vMerge w:val="restart"/>
            <w:tcBorders>
              <w:tl2br w:val="nil"/>
              <w:tr2bl w:val="nil"/>
            </w:tcBorders>
            <w:vAlign w:val="center"/>
          </w:tcPr>
          <w:p w14:paraId="1C96BAC3">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废水</w:t>
            </w:r>
          </w:p>
          <w:p w14:paraId="03603564">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治理</w:t>
            </w:r>
          </w:p>
        </w:tc>
        <w:tc>
          <w:tcPr>
            <w:tcW w:w="1421" w:type="dxa"/>
            <w:tcBorders>
              <w:tl2br w:val="nil"/>
              <w:tr2bl w:val="nil"/>
            </w:tcBorders>
            <w:vAlign w:val="center"/>
          </w:tcPr>
          <w:p w14:paraId="557FDE02">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生活办公</w:t>
            </w:r>
          </w:p>
        </w:tc>
        <w:tc>
          <w:tcPr>
            <w:tcW w:w="2409" w:type="dxa"/>
            <w:tcBorders>
              <w:tl2br w:val="nil"/>
              <w:tr2bl w:val="nil"/>
            </w:tcBorders>
            <w:vAlign w:val="center"/>
          </w:tcPr>
          <w:p w14:paraId="1314B430">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化粪池（1×5m</w:t>
            </w:r>
            <w:r>
              <w:rPr>
                <w:rFonts w:ascii="Times New Roman" w:hAnsi="Times New Roman" w:cs="Times New Roman"/>
                <w:b/>
                <w:bCs/>
                <w:szCs w:val="21"/>
                <w:u w:val="single"/>
                <w:vertAlign w:val="superscript"/>
              </w:rPr>
              <w:t>3</w:t>
            </w:r>
            <w:r>
              <w:rPr>
                <w:rFonts w:ascii="Times New Roman" w:hAnsi="Times New Roman" w:cs="Times New Roman"/>
                <w:b/>
                <w:bCs/>
                <w:szCs w:val="21"/>
                <w:u w:val="single"/>
              </w:rPr>
              <w:t>）</w:t>
            </w:r>
          </w:p>
        </w:tc>
        <w:tc>
          <w:tcPr>
            <w:tcW w:w="1089" w:type="dxa"/>
            <w:vMerge w:val="restart"/>
            <w:tcBorders>
              <w:tl2br w:val="nil"/>
              <w:tr2bl w:val="nil"/>
            </w:tcBorders>
            <w:vAlign w:val="center"/>
          </w:tcPr>
          <w:p w14:paraId="6C211A60">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厂区总排放口</w:t>
            </w:r>
          </w:p>
        </w:tc>
        <w:tc>
          <w:tcPr>
            <w:tcW w:w="2192" w:type="dxa"/>
            <w:vMerge w:val="restart"/>
            <w:tcBorders>
              <w:tl2br w:val="nil"/>
              <w:tr2bl w:val="nil"/>
            </w:tcBorders>
            <w:vAlign w:val="center"/>
          </w:tcPr>
          <w:p w14:paraId="62F82B1A">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废水排放量、COD、氨氮浓度</w:t>
            </w:r>
          </w:p>
        </w:tc>
        <w:tc>
          <w:tcPr>
            <w:tcW w:w="1159" w:type="dxa"/>
            <w:vMerge w:val="restart"/>
            <w:tcBorders>
              <w:tl2br w:val="nil"/>
              <w:tr2bl w:val="nil"/>
            </w:tcBorders>
            <w:vAlign w:val="center"/>
          </w:tcPr>
          <w:p w14:paraId="1854325B">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4次/天</w:t>
            </w:r>
          </w:p>
          <w:p w14:paraId="5C8558F9">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连续</w:t>
            </w:r>
            <w:r>
              <w:rPr>
                <w:rFonts w:hint="eastAsia" w:ascii="Times New Roman" w:hAnsi="Times New Roman" w:cs="Times New Roman"/>
                <w:b/>
                <w:bCs/>
                <w:szCs w:val="21"/>
                <w:u w:val="single"/>
                <w:lang w:val="en-US" w:eastAsia="zh-CN"/>
              </w:rPr>
              <w:t>2</w:t>
            </w:r>
            <w:r>
              <w:rPr>
                <w:rFonts w:ascii="Times New Roman" w:hAnsi="Times New Roman" w:cs="Times New Roman"/>
                <w:b/>
                <w:bCs/>
                <w:szCs w:val="21"/>
                <w:u w:val="single"/>
              </w:rPr>
              <w:t>天</w:t>
            </w:r>
          </w:p>
        </w:tc>
        <w:tc>
          <w:tcPr>
            <w:tcW w:w="4339" w:type="dxa"/>
            <w:gridSpan w:val="2"/>
            <w:vMerge w:val="restart"/>
            <w:tcBorders>
              <w:tl2br w:val="nil"/>
              <w:tr2bl w:val="nil"/>
            </w:tcBorders>
            <w:vAlign w:val="center"/>
          </w:tcPr>
          <w:p w14:paraId="6EDB93AC">
            <w:pPr>
              <w:snapToGrid w:val="0"/>
              <w:spacing w:line="240" w:lineRule="exact"/>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污水综合排放标准（GB8978-1996）表4三级，清丰中州水务有限公司第二污水处理厂</w:t>
            </w:r>
            <w:r>
              <w:rPr>
                <w:rFonts w:ascii="Times New Roman" w:hAnsi="Times New Roman" w:cs="Times New Roman"/>
                <w:b/>
                <w:bCs/>
                <w:szCs w:val="21"/>
                <w:u w:val="single"/>
              </w:rPr>
              <w:t>受纳水质标准</w:t>
            </w:r>
            <w:r>
              <w:rPr>
                <w:rFonts w:hint="eastAsia" w:ascii="Times New Roman" w:hAnsi="Times New Roman" w:cs="Times New Roman"/>
                <w:b/>
                <w:bCs/>
                <w:szCs w:val="21"/>
                <w:u w:val="single"/>
              </w:rPr>
              <w:t>（COD≤350mg/L，NH</w:t>
            </w:r>
            <w:r>
              <w:rPr>
                <w:rFonts w:hint="eastAsia" w:ascii="Times New Roman" w:hAnsi="Times New Roman" w:cs="Times New Roman"/>
                <w:b/>
                <w:bCs/>
                <w:szCs w:val="21"/>
                <w:u w:val="single"/>
                <w:vertAlign w:val="subscript"/>
              </w:rPr>
              <w:t>3</w:t>
            </w:r>
            <w:r>
              <w:rPr>
                <w:rFonts w:hint="eastAsia" w:ascii="Times New Roman" w:hAnsi="Times New Roman" w:cs="Times New Roman"/>
                <w:b/>
                <w:bCs/>
                <w:szCs w:val="21"/>
                <w:u w:val="single"/>
              </w:rPr>
              <w:t>-N≤30mg/L）</w:t>
            </w:r>
          </w:p>
        </w:tc>
      </w:tr>
      <w:tr w14:paraId="78FC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jc w:val="center"/>
        </w:trPr>
        <w:tc>
          <w:tcPr>
            <w:tcW w:w="650" w:type="dxa"/>
            <w:tcBorders>
              <w:tl2br w:val="nil"/>
              <w:tr2bl w:val="nil"/>
            </w:tcBorders>
            <w:vAlign w:val="center"/>
          </w:tcPr>
          <w:p w14:paraId="2713FBA7">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2</w:t>
            </w:r>
          </w:p>
        </w:tc>
        <w:tc>
          <w:tcPr>
            <w:tcW w:w="805" w:type="dxa"/>
            <w:vMerge w:val="continue"/>
            <w:tcBorders>
              <w:tl2br w:val="nil"/>
              <w:tr2bl w:val="nil"/>
            </w:tcBorders>
            <w:vAlign w:val="center"/>
          </w:tcPr>
          <w:p w14:paraId="5FD82410">
            <w:pPr>
              <w:snapToGrid w:val="0"/>
              <w:spacing w:line="240" w:lineRule="exact"/>
              <w:jc w:val="center"/>
              <w:rPr>
                <w:rFonts w:ascii="Times New Roman" w:hAnsi="Times New Roman" w:cs="Times New Roman"/>
                <w:b/>
                <w:bCs/>
                <w:szCs w:val="21"/>
                <w:u w:val="single"/>
              </w:rPr>
            </w:pPr>
          </w:p>
        </w:tc>
        <w:tc>
          <w:tcPr>
            <w:tcW w:w="1421" w:type="dxa"/>
            <w:tcBorders>
              <w:tl2br w:val="nil"/>
              <w:tr2bl w:val="nil"/>
            </w:tcBorders>
            <w:vAlign w:val="center"/>
          </w:tcPr>
          <w:p w14:paraId="349D30DC">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喷漆房</w:t>
            </w:r>
          </w:p>
        </w:tc>
        <w:tc>
          <w:tcPr>
            <w:tcW w:w="2409" w:type="dxa"/>
            <w:tcBorders>
              <w:tl2br w:val="nil"/>
              <w:tr2bl w:val="nil"/>
            </w:tcBorders>
            <w:vAlign w:val="center"/>
          </w:tcPr>
          <w:p w14:paraId="2080B9B6">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污水处理设施（混凝+芬顿法，1×</w:t>
            </w:r>
            <w:r>
              <w:rPr>
                <w:rFonts w:hint="eastAsia" w:ascii="Times New Roman" w:hAnsi="Times New Roman" w:cs="Times New Roman"/>
                <w:b/>
                <w:bCs/>
                <w:szCs w:val="21"/>
                <w:u w:val="single"/>
              </w:rPr>
              <w:t>2</w:t>
            </w:r>
            <w:r>
              <w:rPr>
                <w:rFonts w:ascii="Times New Roman" w:hAnsi="Times New Roman" w:cs="Times New Roman"/>
                <w:b/>
                <w:bCs/>
                <w:szCs w:val="21"/>
                <w:u w:val="single"/>
              </w:rPr>
              <w:t>t/d）</w:t>
            </w:r>
          </w:p>
        </w:tc>
        <w:tc>
          <w:tcPr>
            <w:tcW w:w="1089" w:type="dxa"/>
            <w:vMerge w:val="continue"/>
            <w:tcBorders>
              <w:tl2br w:val="nil"/>
              <w:tr2bl w:val="nil"/>
            </w:tcBorders>
            <w:vAlign w:val="center"/>
          </w:tcPr>
          <w:p w14:paraId="54D73D37">
            <w:pPr>
              <w:snapToGrid w:val="0"/>
              <w:spacing w:line="240" w:lineRule="exact"/>
              <w:jc w:val="center"/>
              <w:rPr>
                <w:rFonts w:ascii="Times New Roman" w:hAnsi="Times New Roman" w:cs="Times New Roman"/>
                <w:b/>
                <w:bCs/>
                <w:szCs w:val="21"/>
                <w:u w:val="single"/>
              </w:rPr>
            </w:pPr>
          </w:p>
        </w:tc>
        <w:tc>
          <w:tcPr>
            <w:tcW w:w="2192" w:type="dxa"/>
            <w:vMerge w:val="continue"/>
            <w:tcBorders>
              <w:tl2br w:val="nil"/>
              <w:tr2bl w:val="nil"/>
            </w:tcBorders>
            <w:vAlign w:val="center"/>
          </w:tcPr>
          <w:p w14:paraId="6C811EB2">
            <w:pPr>
              <w:snapToGrid w:val="0"/>
              <w:spacing w:line="240" w:lineRule="exact"/>
              <w:jc w:val="center"/>
              <w:rPr>
                <w:rFonts w:ascii="Times New Roman" w:hAnsi="Times New Roman" w:cs="Times New Roman"/>
                <w:b/>
                <w:bCs/>
                <w:szCs w:val="21"/>
                <w:u w:val="single"/>
              </w:rPr>
            </w:pPr>
          </w:p>
        </w:tc>
        <w:tc>
          <w:tcPr>
            <w:tcW w:w="1159" w:type="dxa"/>
            <w:vMerge w:val="continue"/>
            <w:tcBorders>
              <w:tl2br w:val="nil"/>
              <w:tr2bl w:val="nil"/>
            </w:tcBorders>
            <w:vAlign w:val="center"/>
          </w:tcPr>
          <w:p w14:paraId="21985EA1">
            <w:pPr>
              <w:snapToGrid w:val="0"/>
              <w:spacing w:line="240" w:lineRule="exact"/>
              <w:jc w:val="center"/>
              <w:rPr>
                <w:rFonts w:ascii="Times New Roman" w:hAnsi="Times New Roman" w:cs="Times New Roman"/>
                <w:b/>
                <w:bCs/>
                <w:szCs w:val="21"/>
                <w:u w:val="single"/>
              </w:rPr>
            </w:pPr>
          </w:p>
        </w:tc>
        <w:tc>
          <w:tcPr>
            <w:tcW w:w="4339" w:type="dxa"/>
            <w:gridSpan w:val="2"/>
            <w:vMerge w:val="continue"/>
            <w:tcBorders>
              <w:tl2br w:val="nil"/>
              <w:tr2bl w:val="nil"/>
            </w:tcBorders>
            <w:vAlign w:val="center"/>
          </w:tcPr>
          <w:p w14:paraId="05832C22">
            <w:pPr>
              <w:snapToGrid w:val="0"/>
              <w:spacing w:line="240" w:lineRule="exact"/>
              <w:jc w:val="center"/>
              <w:rPr>
                <w:rFonts w:ascii="Times New Roman" w:hAnsi="Times New Roman" w:cs="Times New Roman"/>
                <w:b/>
                <w:bCs/>
                <w:szCs w:val="21"/>
                <w:u w:val="single"/>
              </w:rPr>
            </w:pPr>
          </w:p>
        </w:tc>
      </w:tr>
      <w:tr w14:paraId="46B3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600" w:hRule="atLeast"/>
          <w:jc w:val="center"/>
        </w:trPr>
        <w:tc>
          <w:tcPr>
            <w:tcW w:w="650" w:type="dxa"/>
            <w:tcBorders>
              <w:tl2br w:val="nil"/>
              <w:tr2bl w:val="nil"/>
            </w:tcBorders>
            <w:vAlign w:val="center"/>
          </w:tcPr>
          <w:p w14:paraId="1F3F88D1">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3</w:t>
            </w:r>
          </w:p>
        </w:tc>
        <w:tc>
          <w:tcPr>
            <w:tcW w:w="805" w:type="dxa"/>
            <w:vMerge w:val="restart"/>
            <w:tcBorders>
              <w:tl2br w:val="nil"/>
              <w:tr2bl w:val="nil"/>
            </w:tcBorders>
            <w:vAlign w:val="center"/>
          </w:tcPr>
          <w:p w14:paraId="7BB9B39E">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废气</w:t>
            </w:r>
          </w:p>
          <w:p w14:paraId="3D7074A0">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治理</w:t>
            </w:r>
          </w:p>
        </w:tc>
        <w:tc>
          <w:tcPr>
            <w:tcW w:w="1421" w:type="dxa"/>
            <w:tcBorders>
              <w:tl2br w:val="nil"/>
              <w:tr2bl w:val="nil"/>
            </w:tcBorders>
            <w:vAlign w:val="center"/>
          </w:tcPr>
          <w:p w14:paraId="525418D4">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rPr>
              <w:t>木加工工序</w:t>
            </w:r>
          </w:p>
        </w:tc>
        <w:tc>
          <w:tcPr>
            <w:tcW w:w="2409" w:type="dxa"/>
            <w:tcBorders>
              <w:tl2br w:val="nil"/>
              <w:tr2bl w:val="nil"/>
            </w:tcBorders>
            <w:vAlign w:val="center"/>
          </w:tcPr>
          <w:p w14:paraId="73F379C9">
            <w:pPr>
              <w:snapToGrid w:val="0"/>
              <w:spacing w:line="240" w:lineRule="exact"/>
              <w:jc w:val="center"/>
              <w:rPr>
                <w:rFonts w:ascii="Times New Roman" w:hAnsi="Times New Roman" w:eastAsia="宋体" w:cs="Times New Roman"/>
                <w:b/>
                <w:bCs/>
                <w:szCs w:val="21"/>
                <w:u w:val="single"/>
              </w:rPr>
            </w:pPr>
            <w:r>
              <w:rPr>
                <w:rFonts w:ascii="Times New Roman" w:hAnsi="Times New Roman" w:cs="Times New Roman"/>
                <w:b/>
                <w:bCs/>
                <w:szCs w:val="21"/>
                <w:u w:val="single"/>
              </w:rPr>
              <w:t>集气罩+中央集尘管道+除尘器+15m高排气筒</w:t>
            </w:r>
            <w:r>
              <w:rPr>
                <w:rFonts w:hint="eastAsia" w:ascii="Times New Roman" w:hAnsi="Times New Roman" w:cs="Times New Roman"/>
                <w:b/>
                <w:bCs/>
                <w:szCs w:val="21"/>
                <w:u w:val="single"/>
              </w:rPr>
              <w:t>（DA001）</w:t>
            </w:r>
          </w:p>
        </w:tc>
        <w:tc>
          <w:tcPr>
            <w:tcW w:w="1089" w:type="dxa"/>
            <w:tcBorders>
              <w:tl2br w:val="nil"/>
              <w:tr2bl w:val="nil"/>
            </w:tcBorders>
            <w:vAlign w:val="center"/>
          </w:tcPr>
          <w:p w14:paraId="246C0954">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排气</w:t>
            </w:r>
          </w:p>
          <w:p w14:paraId="30E109A6">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筒</w:t>
            </w:r>
            <w:r>
              <w:rPr>
                <w:rFonts w:hint="eastAsia" w:ascii="Times New Roman" w:hAnsi="Times New Roman" w:cs="Times New Roman"/>
                <w:b/>
                <w:bCs/>
                <w:szCs w:val="21"/>
                <w:u w:val="single"/>
              </w:rPr>
              <w:t>出</w:t>
            </w:r>
            <w:r>
              <w:rPr>
                <w:rFonts w:ascii="Times New Roman" w:hAnsi="Times New Roman" w:cs="Times New Roman"/>
                <w:b/>
                <w:bCs/>
                <w:szCs w:val="21"/>
                <w:u w:val="single"/>
              </w:rPr>
              <w:t>口</w:t>
            </w:r>
          </w:p>
        </w:tc>
        <w:tc>
          <w:tcPr>
            <w:tcW w:w="2192" w:type="dxa"/>
            <w:tcBorders>
              <w:tl2br w:val="nil"/>
              <w:tr2bl w:val="nil"/>
            </w:tcBorders>
            <w:vAlign w:val="center"/>
          </w:tcPr>
          <w:p w14:paraId="1D5A1016">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颗粒物排放速率及浓度</w:t>
            </w:r>
          </w:p>
        </w:tc>
        <w:tc>
          <w:tcPr>
            <w:tcW w:w="1159" w:type="dxa"/>
            <w:tcBorders>
              <w:tl2br w:val="nil"/>
              <w:tr2bl w:val="nil"/>
            </w:tcBorders>
            <w:vAlign w:val="center"/>
          </w:tcPr>
          <w:p w14:paraId="3148271D">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3次/周期，连续2个周期</w:t>
            </w:r>
          </w:p>
        </w:tc>
        <w:tc>
          <w:tcPr>
            <w:tcW w:w="4339" w:type="dxa"/>
            <w:gridSpan w:val="2"/>
            <w:vMerge w:val="restart"/>
            <w:tcBorders>
              <w:tl2br w:val="nil"/>
              <w:tr2bl w:val="nil"/>
            </w:tcBorders>
            <w:vAlign w:val="center"/>
          </w:tcPr>
          <w:p w14:paraId="7B2275AD">
            <w:pPr>
              <w:snapToGrid w:val="0"/>
              <w:spacing w:line="240" w:lineRule="exact"/>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《大气污染物综合排放标准》（GB16297-1996）表2二级标准（颗粒物：15m排气筒，浓度≤120mg/m</w:t>
            </w:r>
            <w:r>
              <w:rPr>
                <w:rFonts w:hint="eastAsia" w:ascii="Times New Roman" w:hAnsi="Times New Roman" w:cs="Times New Roman"/>
                <w:b/>
                <w:bCs/>
                <w:szCs w:val="21"/>
                <w:u w:val="single"/>
                <w:vertAlign w:val="superscript"/>
              </w:rPr>
              <w:t>3</w:t>
            </w:r>
            <w:r>
              <w:rPr>
                <w:rFonts w:hint="eastAsia" w:ascii="Times New Roman" w:hAnsi="Times New Roman" w:cs="Times New Roman"/>
                <w:b/>
                <w:bCs/>
                <w:szCs w:val="21"/>
                <w:u w:val="single"/>
              </w:rPr>
              <w:t>，速率≤3.5kg/h），同时满足</w:t>
            </w:r>
            <w:r>
              <w:rPr>
                <w:rFonts w:hint="eastAsia" w:ascii="Times New Roman" w:hAnsi="Times New Roman"/>
                <w:b/>
                <w:bCs/>
                <w:szCs w:val="21"/>
                <w:u w:val="single"/>
              </w:rPr>
              <w:t>《重污染天气重点行业应急减排措施制定技术指南（2020年修订版）》的函》（环办大气函〔2020〕340号）家具行业绩效分级指标（A级）（PM：10</w:t>
            </w:r>
            <w:r>
              <w:rPr>
                <w:rFonts w:ascii="Times New Roman" w:hAnsi="Times New Roman"/>
                <w:b/>
                <w:bCs/>
                <w:szCs w:val="21"/>
                <w:u w:val="single"/>
              </w:rPr>
              <w:t>mg/m</w:t>
            </w:r>
            <w:r>
              <w:rPr>
                <w:rFonts w:ascii="Times New Roman" w:hAnsi="Times New Roman"/>
                <w:b/>
                <w:bCs/>
                <w:szCs w:val="21"/>
                <w:u w:val="single"/>
                <w:vertAlign w:val="superscript"/>
              </w:rPr>
              <w:t>3</w:t>
            </w:r>
            <w:r>
              <w:rPr>
                <w:rFonts w:hint="eastAsia" w:ascii="Times New Roman" w:hAnsi="Times New Roman"/>
                <w:b/>
                <w:bCs/>
                <w:szCs w:val="21"/>
                <w:u w:val="single"/>
              </w:rPr>
              <w:t>）</w:t>
            </w:r>
          </w:p>
        </w:tc>
      </w:tr>
      <w:tr w14:paraId="57D3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540" w:hRule="atLeast"/>
          <w:jc w:val="center"/>
        </w:trPr>
        <w:tc>
          <w:tcPr>
            <w:tcW w:w="650" w:type="dxa"/>
            <w:tcBorders>
              <w:tl2br w:val="nil"/>
              <w:tr2bl w:val="nil"/>
            </w:tcBorders>
            <w:vAlign w:val="center"/>
          </w:tcPr>
          <w:p w14:paraId="6F49124F">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rPr>
              <w:t>4</w:t>
            </w:r>
          </w:p>
        </w:tc>
        <w:tc>
          <w:tcPr>
            <w:tcW w:w="805" w:type="dxa"/>
            <w:vMerge w:val="continue"/>
            <w:tcBorders>
              <w:tl2br w:val="nil"/>
              <w:tr2bl w:val="nil"/>
            </w:tcBorders>
            <w:vAlign w:val="center"/>
          </w:tcPr>
          <w:p w14:paraId="7FAEF218">
            <w:pPr>
              <w:snapToGrid w:val="0"/>
              <w:spacing w:line="240" w:lineRule="exact"/>
              <w:jc w:val="center"/>
              <w:rPr>
                <w:rFonts w:ascii="Times New Roman" w:hAnsi="Times New Roman" w:cs="Times New Roman"/>
                <w:b/>
                <w:bCs/>
                <w:szCs w:val="21"/>
                <w:u w:val="single"/>
              </w:rPr>
            </w:pPr>
          </w:p>
        </w:tc>
        <w:tc>
          <w:tcPr>
            <w:tcW w:w="1421" w:type="dxa"/>
            <w:tcBorders>
              <w:tl2br w:val="nil"/>
              <w:tr2bl w:val="nil"/>
            </w:tcBorders>
            <w:vAlign w:val="center"/>
          </w:tcPr>
          <w:p w14:paraId="71F64D62">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rPr>
              <w:t>修正油磨</w:t>
            </w:r>
          </w:p>
        </w:tc>
        <w:tc>
          <w:tcPr>
            <w:tcW w:w="2409" w:type="dxa"/>
            <w:tcBorders>
              <w:tl2br w:val="nil"/>
              <w:tr2bl w:val="nil"/>
            </w:tcBorders>
            <w:vAlign w:val="center"/>
          </w:tcPr>
          <w:p w14:paraId="676902A5">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rPr>
              <w:t>负压</w:t>
            </w:r>
            <w:r>
              <w:rPr>
                <w:rFonts w:ascii="Times New Roman" w:hAnsi="Times New Roman" w:cs="Times New Roman"/>
                <w:b/>
                <w:bCs/>
                <w:szCs w:val="21"/>
                <w:u w:val="single"/>
              </w:rPr>
              <w:t>脉冲布袋除尘器</w:t>
            </w:r>
          </w:p>
        </w:tc>
        <w:tc>
          <w:tcPr>
            <w:tcW w:w="1089" w:type="dxa"/>
            <w:tcBorders>
              <w:tl2br w:val="nil"/>
              <w:tr2bl w:val="nil"/>
            </w:tcBorders>
            <w:vAlign w:val="center"/>
          </w:tcPr>
          <w:p w14:paraId="714EC8A1">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厂界</w:t>
            </w:r>
          </w:p>
        </w:tc>
        <w:tc>
          <w:tcPr>
            <w:tcW w:w="2192" w:type="dxa"/>
            <w:tcBorders>
              <w:tl2br w:val="nil"/>
              <w:tr2bl w:val="nil"/>
            </w:tcBorders>
            <w:vAlign w:val="center"/>
          </w:tcPr>
          <w:p w14:paraId="2BDC6445">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颗粒物排放浓度</w:t>
            </w:r>
          </w:p>
        </w:tc>
        <w:tc>
          <w:tcPr>
            <w:tcW w:w="1159" w:type="dxa"/>
            <w:tcBorders>
              <w:tl2br w:val="nil"/>
              <w:tr2bl w:val="nil"/>
            </w:tcBorders>
            <w:vAlign w:val="center"/>
          </w:tcPr>
          <w:p w14:paraId="37E258AF">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3次/周期，连续2个周期</w:t>
            </w:r>
          </w:p>
        </w:tc>
        <w:tc>
          <w:tcPr>
            <w:tcW w:w="4339" w:type="dxa"/>
            <w:gridSpan w:val="2"/>
            <w:vMerge w:val="continue"/>
            <w:tcBorders>
              <w:tl2br w:val="nil"/>
              <w:tr2bl w:val="nil"/>
            </w:tcBorders>
            <w:vAlign w:val="center"/>
          </w:tcPr>
          <w:p w14:paraId="7BA9124B">
            <w:pPr>
              <w:snapToGrid w:val="0"/>
              <w:spacing w:line="240" w:lineRule="exact"/>
              <w:jc w:val="center"/>
              <w:rPr>
                <w:rFonts w:ascii="Times New Roman" w:hAnsi="Times New Roman" w:cs="Times New Roman"/>
                <w:b/>
                <w:bCs/>
                <w:szCs w:val="21"/>
                <w:u w:val="single"/>
              </w:rPr>
            </w:pPr>
          </w:p>
        </w:tc>
      </w:tr>
      <w:tr w14:paraId="1043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1853" w:hRule="atLeast"/>
          <w:jc w:val="center"/>
        </w:trPr>
        <w:tc>
          <w:tcPr>
            <w:tcW w:w="650" w:type="dxa"/>
            <w:tcBorders>
              <w:tl2br w:val="nil"/>
              <w:tr2bl w:val="nil"/>
            </w:tcBorders>
            <w:vAlign w:val="center"/>
          </w:tcPr>
          <w:p w14:paraId="64116D81">
            <w:pPr>
              <w:snapToGrid w:val="0"/>
              <w:spacing w:line="240" w:lineRule="exact"/>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5</w:t>
            </w:r>
          </w:p>
        </w:tc>
        <w:tc>
          <w:tcPr>
            <w:tcW w:w="805" w:type="dxa"/>
            <w:vMerge w:val="continue"/>
            <w:tcBorders>
              <w:tl2br w:val="nil"/>
              <w:tr2bl w:val="nil"/>
            </w:tcBorders>
            <w:vAlign w:val="center"/>
          </w:tcPr>
          <w:p w14:paraId="31CE640D">
            <w:pPr>
              <w:snapToGrid w:val="0"/>
              <w:spacing w:line="240" w:lineRule="exact"/>
              <w:jc w:val="center"/>
              <w:rPr>
                <w:rFonts w:ascii="Times New Roman" w:hAnsi="Times New Roman" w:cs="Times New Roman"/>
                <w:b/>
                <w:bCs/>
                <w:szCs w:val="21"/>
                <w:u w:val="single"/>
              </w:rPr>
            </w:pPr>
          </w:p>
        </w:tc>
        <w:tc>
          <w:tcPr>
            <w:tcW w:w="1421" w:type="dxa"/>
            <w:tcBorders>
              <w:tl2br w:val="nil"/>
              <w:tr2bl w:val="nil"/>
            </w:tcBorders>
            <w:vAlign w:val="center"/>
          </w:tcPr>
          <w:p w14:paraId="556825EF">
            <w:pPr>
              <w:jc w:val="center"/>
              <w:rPr>
                <w:rFonts w:ascii="Times New Roman" w:hAnsi="Times New Roman" w:cs="Times New Roman"/>
                <w:b/>
                <w:bCs/>
                <w:szCs w:val="21"/>
                <w:u w:val="single"/>
              </w:rPr>
            </w:pPr>
            <w:r>
              <w:rPr>
                <w:b/>
                <w:bCs/>
                <w:szCs w:val="21"/>
                <w:u w:val="single"/>
              </w:rPr>
              <w:t>拼板冷压、封边、热压、擦色、</w:t>
            </w:r>
            <w:r>
              <w:rPr>
                <w:rFonts w:hint="eastAsia"/>
                <w:b/>
                <w:bCs/>
                <w:szCs w:val="21"/>
                <w:u w:val="single"/>
                <w:lang w:val="en-US" w:eastAsia="zh-CN"/>
              </w:rPr>
              <w:t>喷</w:t>
            </w:r>
            <w:r>
              <w:rPr>
                <w:b/>
                <w:bCs/>
                <w:szCs w:val="21"/>
                <w:u w:val="single"/>
              </w:rPr>
              <w:t>漆房（含</w:t>
            </w:r>
            <w:r>
              <w:rPr>
                <w:rFonts w:hint="eastAsia" w:ascii="Times New Roman" w:hAnsi="Times New Roman" w:eastAsia="宋体" w:cs="Times New Roman"/>
                <w:b/>
                <w:bCs/>
                <w:color w:val="000000" w:themeColor="text1"/>
                <w:szCs w:val="21"/>
                <w:u w:val="single"/>
                <w14:textFill>
                  <w14:solidFill>
                    <w14:schemeClr w14:val="tx1"/>
                  </w14:solidFill>
                </w14:textFill>
              </w:rPr>
              <w:t>调漆、</w:t>
            </w:r>
            <w:r>
              <w:rPr>
                <w:b/>
                <w:bCs/>
                <w:szCs w:val="21"/>
                <w:u w:val="single"/>
              </w:rPr>
              <w:t>晾干）</w:t>
            </w:r>
          </w:p>
        </w:tc>
        <w:tc>
          <w:tcPr>
            <w:tcW w:w="2409" w:type="dxa"/>
            <w:tcBorders>
              <w:tl2br w:val="nil"/>
              <w:tr2bl w:val="nil"/>
            </w:tcBorders>
            <w:vAlign w:val="center"/>
          </w:tcPr>
          <w:p w14:paraId="56151120">
            <w:pPr>
              <w:jc w:val="center"/>
              <w:rPr>
                <w:rFonts w:ascii="Times New Roman" w:hAnsi="Times New Roman" w:cs="Times New Roman"/>
                <w:b/>
                <w:bCs/>
                <w:szCs w:val="21"/>
                <w:u w:val="single"/>
              </w:rPr>
            </w:pPr>
            <w:r>
              <w:rPr>
                <w:rFonts w:ascii="Times New Roman" w:hAnsi="Times New Roman" w:cs="Times New Roman"/>
                <w:b/>
                <w:bCs/>
                <w:color w:val="000000" w:themeColor="text1"/>
                <w:szCs w:val="21"/>
                <w:u w:val="single"/>
                <w14:textFill>
                  <w14:solidFill>
                    <w14:schemeClr w14:val="tx1"/>
                  </w14:solidFill>
                </w14:textFill>
              </w:rPr>
              <w:t>水幕帘</w:t>
            </w:r>
            <w:r>
              <w:rPr>
                <w:rFonts w:hint="eastAsia" w:ascii="Times New Roman" w:hAnsi="Times New Roman" w:cs="Times New Roman"/>
                <w:b/>
                <w:bCs/>
                <w:color w:val="000000" w:themeColor="text1"/>
                <w:szCs w:val="21"/>
                <w:u w:val="single"/>
                <w14:textFill>
                  <w14:solidFill>
                    <w14:schemeClr w14:val="tx1"/>
                  </w14:solidFill>
                </w14:textFill>
              </w:rPr>
              <w:t>+漆雾过滤器+</w:t>
            </w:r>
            <w:r>
              <w:rPr>
                <w:rFonts w:ascii="Times New Roman" w:hAnsi="Times New Roman" w:cs="Times New Roman"/>
                <w:b/>
                <w:bCs/>
                <w:color w:val="000000"/>
                <w:kern w:val="0"/>
                <w:szCs w:val="21"/>
                <w:u w:val="single"/>
              </w:rPr>
              <w:t>活性炭吸附—脱附催化燃烧</w:t>
            </w:r>
            <w:r>
              <w:rPr>
                <w:rFonts w:hint="eastAsia" w:ascii="Times New Roman" w:hAnsi="Times New Roman" w:cs="Times New Roman"/>
                <w:b/>
                <w:bCs/>
                <w:szCs w:val="21"/>
                <w:u w:val="single"/>
              </w:rPr>
              <w:t>+15m高排气筒（DA00</w:t>
            </w:r>
            <w:r>
              <w:rPr>
                <w:rFonts w:hint="eastAsia" w:ascii="Times New Roman" w:hAnsi="Times New Roman" w:cs="Times New Roman"/>
                <w:b/>
                <w:bCs/>
                <w:szCs w:val="21"/>
                <w:u w:val="single"/>
                <w:lang w:val="en-US" w:eastAsia="zh-CN"/>
              </w:rPr>
              <w:t>2</w:t>
            </w:r>
            <w:r>
              <w:rPr>
                <w:rFonts w:hint="eastAsia" w:ascii="Times New Roman" w:hAnsi="Times New Roman" w:cs="Times New Roman"/>
                <w:b/>
                <w:bCs/>
                <w:szCs w:val="21"/>
                <w:u w:val="single"/>
              </w:rPr>
              <w:t>）</w:t>
            </w:r>
          </w:p>
        </w:tc>
        <w:tc>
          <w:tcPr>
            <w:tcW w:w="1089" w:type="dxa"/>
            <w:tcBorders>
              <w:tl2br w:val="nil"/>
              <w:tr2bl w:val="nil"/>
            </w:tcBorders>
            <w:vAlign w:val="center"/>
          </w:tcPr>
          <w:p w14:paraId="1F2A7489">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排气筒</w:t>
            </w:r>
            <w:r>
              <w:rPr>
                <w:rFonts w:hint="eastAsia" w:ascii="Times New Roman" w:hAnsi="Times New Roman" w:cs="Times New Roman"/>
                <w:b/>
                <w:bCs/>
                <w:szCs w:val="21"/>
                <w:u w:val="single"/>
              </w:rPr>
              <w:t>进口、出口</w:t>
            </w:r>
          </w:p>
        </w:tc>
        <w:tc>
          <w:tcPr>
            <w:tcW w:w="2192" w:type="dxa"/>
            <w:tcBorders>
              <w:tl2br w:val="nil"/>
              <w:tr2bl w:val="nil"/>
            </w:tcBorders>
            <w:vAlign w:val="center"/>
          </w:tcPr>
          <w:p w14:paraId="53611F81">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lang w:val="en-US" w:eastAsia="zh-CN"/>
              </w:rPr>
              <w:t>苯、</w:t>
            </w:r>
            <w:r>
              <w:rPr>
                <w:rFonts w:hint="eastAsia" w:ascii="Times New Roman" w:hAnsi="Times New Roman" w:cs="Times New Roman"/>
                <w:b/>
                <w:bCs/>
                <w:szCs w:val="21"/>
                <w:u w:val="single"/>
              </w:rPr>
              <w:t>甲苯、二甲苯、</w:t>
            </w:r>
            <w:r>
              <w:rPr>
                <w:rFonts w:ascii="Times New Roman" w:hAnsi="Times New Roman" w:cs="Times New Roman"/>
                <w:b/>
                <w:bCs/>
                <w:szCs w:val="21"/>
                <w:u w:val="single"/>
              </w:rPr>
              <w:t>非甲烷总烃排放速率及浓度</w:t>
            </w:r>
          </w:p>
        </w:tc>
        <w:tc>
          <w:tcPr>
            <w:tcW w:w="1159" w:type="dxa"/>
            <w:tcBorders>
              <w:tl2br w:val="nil"/>
              <w:tr2bl w:val="nil"/>
            </w:tcBorders>
            <w:vAlign w:val="center"/>
          </w:tcPr>
          <w:p w14:paraId="511AC62A">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3次/周期，连续2个周期</w:t>
            </w:r>
          </w:p>
        </w:tc>
        <w:tc>
          <w:tcPr>
            <w:tcW w:w="2780" w:type="dxa"/>
            <w:tcBorders>
              <w:tl2br w:val="nil"/>
              <w:tr2bl w:val="nil"/>
            </w:tcBorders>
            <w:vAlign w:val="center"/>
          </w:tcPr>
          <w:p w14:paraId="32A62DC3">
            <w:pPr>
              <w:snapToGrid w:val="0"/>
              <w:spacing w:line="240" w:lineRule="exact"/>
              <w:rPr>
                <w:rFonts w:ascii="Times New Roman" w:hAnsi="Times New Roman" w:cs="Times New Roman"/>
                <w:b/>
                <w:bCs/>
                <w:szCs w:val="21"/>
                <w:u w:val="single"/>
              </w:rPr>
            </w:pPr>
            <w:r>
              <w:rPr>
                <w:rFonts w:ascii="Times New Roman" w:hAnsi="Times New Roman" w:cs="Times New Roman"/>
                <w:b/>
                <w:bCs/>
                <w:szCs w:val="21"/>
                <w:u w:val="single"/>
              </w:rPr>
              <w:t>《大气污染物综合排放标准》（GB16297-1996）表2二级标准</w:t>
            </w:r>
            <w:r>
              <w:rPr>
                <w:rFonts w:hint="eastAsia" w:ascii="Times New Roman" w:hAnsi="Times New Roman" w:cs="Times New Roman"/>
                <w:b/>
                <w:bCs/>
                <w:szCs w:val="21"/>
                <w:u w:val="single"/>
              </w:rPr>
              <w:t>、</w:t>
            </w:r>
            <w:r>
              <w:rPr>
                <w:rFonts w:ascii="Times New Roman" w:hAnsi="Times New Roman" w:cs="Times New Roman"/>
                <w:b/>
                <w:bCs/>
                <w:szCs w:val="21"/>
                <w:u w:val="single"/>
              </w:rPr>
              <w:t>《关于全省开展工业企业挥发性有机物专项治理工作中排放建议值的通知》（豫环攻坚办〔2017〕162）建议值</w:t>
            </w:r>
            <w:r>
              <w:rPr>
                <w:rFonts w:hint="eastAsia" w:ascii="Times New Roman" w:hAnsi="Times New Roman" w:cs="Times New Roman"/>
                <w:b/>
                <w:bCs/>
                <w:szCs w:val="21"/>
                <w:u w:val="single"/>
              </w:rPr>
              <w:t>、</w:t>
            </w:r>
            <w:r>
              <w:rPr>
                <w:rFonts w:ascii="Times New Roman" w:hAnsi="Times New Roman" w:cs="Times New Roman"/>
                <w:b/>
                <w:bCs/>
                <w:szCs w:val="21"/>
                <w:u w:val="single"/>
              </w:rPr>
              <w:t>《工业涂装工序挥发性有机物排放标准》（DB41/1951-2020）</w:t>
            </w:r>
            <w:r>
              <w:rPr>
                <w:rFonts w:hint="eastAsia" w:ascii="Times New Roman" w:hAnsi="Times New Roman" w:cs="Times New Roman"/>
                <w:b/>
                <w:bCs/>
                <w:szCs w:val="21"/>
                <w:u w:val="single"/>
              </w:rPr>
              <w:t>，同时满足</w:t>
            </w:r>
            <w:r>
              <w:rPr>
                <w:rFonts w:hint="eastAsia" w:ascii="Times New Roman" w:hAnsi="Times New Roman"/>
                <w:b/>
                <w:bCs/>
                <w:szCs w:val="21"/>
                <w:u w:val="single"/>
              </w:rPr>
              <w:t>《重污染天气重点行业应急减排措施制定技术指南（2020年修订版）》的函》（环办大气函〔2020〕340号）家具行业绩效分级指标（A级）</w:t>
            </w:r>
          </w:p>
        </w:tc>
        <w:tc>
          <w:tcPr>
            <w:tcW w:w="1559" w:type="dxa"/>
            <w:tcBorders>
              <w:tl2br w:val="nil"/>
              <w:tr2bl w:val="nil"/>
            </w:tcBorders>
            <w:vAlign w:val="center"/>
          </w:tcPr>
          <w:p w14:paraId="35276D76">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非甲烷总烃：排气筒排放限值</w:t>
            </w:r>
            <w:r>
              <w:rPr>
                <w:rFonts w:hint="eastAsia" w:ascii="Times New Roman" w:hAnsi="Times New Roman" w:cs="Times New Roman"/>
                <w:b/>
                <w:bCs/>
                <w:szCs w:val="21"/>
                <w:u w:val="single"/>
              </w:rPr>
              <w:t>2</w:t>
            </w:r>
            <w:r>
              <w:rPr>
                <w:rFonts w:ascii="Times New Roman" w:hAnsi="Times New Roman" w:cs="Times New Roman"/>
                <w:b/>
                <w:bCs/>
                <w:szCs w:val="21"/>
                <w:u w:val="single"/>
              </w:rPr>
              <w:t>0mg/m</w:t>
            </w:r>
            <w:r>
              <w:rPr>
                <w:rFonts w:ascii="Times New Roman" w:hAnsi="Times New Roman" w:cs="Times New Roman"/>
                <w:b/>
                <w:bCs/>
                <w:szCs w:val="21"/>
                <w:u w:val="single"/>
                <w:vertAlign w:val="superscript"/>
              </w:rPr>
              <w:t>3</w:t>
            </w:r>
            <w:r>
              <w:rPr>
                <w:rFonts w:ascii="Times New Roman" w:hAnsi="Times New Roman" w:cs="Times New Roman"/>
                <w:b/>
                <w:bCs/>
                <w:szCs w:val="21"/>
                <w:u w:val="single"/>
              </w:rPr>
              <w:t>，</w:t>
            </w:r>
            <w:r>
              <w:rPr>
                <w:rFonts w:hint="eastAsia" w:ascii="Times New Roman" w:hAnsi="Times New Roman" w:cs="Times New Roman"/>
                <w:b/>
                <w:bCs/>
                <w:szCs w:val="21"/>
                <w:u w:val="single"/>
                <w:lang w:val="en-US" w:eastAsia="zh-CN"/>
              </w:rPr>
              <w:t>苯</w:t>
            </w:r>
            <w:r>
              <w:rPr>
                <w:rFonts w:ascii="Times New Roman" w:hAnsi="Times New Roman" w:cs="Times New Roman"/>
                <w:b/>
                <w:bCs/>
                <w:szCs w:val="21"/>
                <w:u w:val="single"/>
              </w:rPr>
              <w:t>：</w:t>
            </w:r>
            <w:r>
              <w:rPr>
                <w:rFonts w:hint="eastAsia" w:ascii="Times New Roman" w:hAnsi="Times New Roman" w:cs="Times New Roman"/>
                <w:b/>
                <w:bCs/>
                <w:szCs w:val="21"/>
                <w:u w:val="single"/>
                <w:lang w:val="en-US" w:eastAsia="zh-CN"/>
              </w:rPr>
              <w:t>1.0</w:t>
            </w:r>
            <w:r>
              <w:rPr>
                <w:rFonts w:ascii="Times New Roman" w:hAnsi="Times New Roman" w:cs="Times New Roman"/>
                <w:b/>
                <w:bCs/>
                <w:szCs w:val="21"/>
                <w:u w:val="single"/>
              </w:rPr>
              <w:t>mg/m</w:t>
            </w:r>
            <w:r>
              <w:rPr>
                <w:rFonts w:ascii="Times New Roman" w:hAnsi="Times New Roman" w:cs="Times New Roman"/>
                <w:b/>
                <w:bCs/>
                <w:szCs w:val="21"/>
                <w:u w:val="single"/>
                <w:vertAlign w:val="superscript"/>
              </w:rPr>
              <w:t>3</w:t>
            </w:r>
            <w:r>
              <w:rPr>
                <w:rFonts w:ascii="Times New Roman" w:hAnsi="Times New Roman" w:cs="Times New Roman"/>
                <w:b/>
                <w:bCs/>
                <w:szCs w:val="21"/>
                <w:u w:val="single"/>
              </w:rPr>
              <w:t>，甲苯、二甲苯：排气筒排放限值：甲苯与二甲苯合计20mg/m</w:t>
            </w:r>
            <w:r>
              <w:rPr>
                <w:rFonts w:ascii="Times New Roman" w:hAnsi="Times New Roman" w:cs="Times New Roman"/>
                <w:b/>
                <w:bCs/>
                <w:szCs w:val="21"/>
                <w:u w:val="single"/>
                <w:vertAlign w:val="superscript"/>
              </w:rPr>
              <w:t>3</w:t>
            </w:r>
          </w:p>
        </w:tc>
      </w:tr>
      <w:tr w14:paraId="49B8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jc w:val="center"/>
        </w:trPr>
        <w:tc>
          <w:tcPr>
            <w:tcW w:w="650" w:type="dxa"/>
            <w:tcBorders>
              <w:tl2br w:val="nil"/>
              <w:tr2bl w:val="nil"/>
            </w:tcBorders>
            <w:vAlign w:val="center"/>
          </w:tcPr>
          <w:p w14:paraId="154BF8FE">
            <w:pPr>
              <w:snapToGrid w:val="0"/>
              <w:spacing w:line="240" w:lineRule="exact"/>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7</w:t>
            </w:r>
          </w:p>
        </w:tc>
        <w:tc>
          <w:tcPr>
            <w:tcW w:w="805" w:type="dxa"/>
            <w:vMerge w:val="continue"/>
            <w:tcBorders>
              <w:tl2br w:val="nil"/>
              <w:tr2bl w:val="nil"/>
            </w:tcBorders>
            <w:vAlign w:val="center"/>
          </w:tcPr>
          <w:p w14:paraId="39121DE2">
            <w:pPr>
              <w:snapToGrid w:val="0"/>
              <w:spacing w:line="240" w:lineRule="exact"/>
              <w:jc w:val="center"/>
              <w:rPr>
                <w:rFonts w:ascii="Times New Roman" w:hAnsi="Times New Roman" w:cs="Times New Roman"/>
                <w:b/>
                <w:bCs/>
                <w:szCs w:val="21"/>
                <w:u w:val="single"/>
              </w:rPr>
            </w:pPr>
          </w:p>
        </w:tc>
        <w:tc>
          <w:tcPr>
            <w:tcW w:w="1421" w:type="dxa"/>
            <w:tcBorders>
              <w:tl2br w:val="nil"/>
              <w:tr2bl w:val="nil"/>
            </w:tcBorders>
            <w:vAlign w:val="center"/>
          </w:tcPr>
          <w:p w14:paraId="486983E1">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rPr>
              <w:t>厂界无组织废气</w:t>
            </w:r>
          </w:p>
        </w:tc>
        <w:tc>
          <w:tcPr>
            <w:tcW w:w="2409" w:type="dxa"/>
            <w:tcBorders>
              <w:tl2br w:val="nil"/>
              <w:tr2bl w:val="nil"/>
            </w:tcBorders>
            <w:vAlign w:val="center"/>
          </w:tcPr>
          <w:p w14:paraId="4EBCB70A">
            <w:pPr>
              <w:snapToGrid w:val="0"/>
              <w:spacing w:line="240" w:lineRule="exact"/>
              <w:jc w:val="center"/>
              <w:rPr>
                <w:rFonts w:ascii="Times New Roman" w:hAnsi="Times New Roman" w:eastAsia="宋体" w:cs="Times New Roman"/>
                <w:b/>
                <w:bCs/>
                <w:szCs w:val="21"/>
                <w:u w:val="single"/>
              </w:rPr>
            </w:pPr>
            <w:r>
              <w:rPr>
                <w:rFonts w:hint="eastAsia" w:ascii="Times New Roman" w:hAnsi="Times New Roman" w:cs="Times New Roman"/>
                <w:b/>
                <w:bCs/>
                <w:szCs w:val="21"/>
                <w:u w:val="single"/>
              </w:rPr>
              <w:t>车间二次密闭</w:t>
            </w:r>
          </w:p>
        </w:tc>
        <w:tc>
          <w:tcPr>
            <w:tcW w:w="1089" w:type="dxa"/>
            <w:tcBorders>
              <w:tl2br w:val="nil"/>
              <w:tr2bl w:val="nil"/>
            </w:tcBorders>
            <w:vAlign w:val="center"/>
          </w:tcPr>
          <w:p w14:paraId="1C557295">
            <w:pPr>
              <w:snapToGrid w:val="0"/>
              <w:spacing w:line="240" w:lineRule="exact"/>
              <w:jc w:val="center"/>
              <w:rPr>
                <w:rFonts w:ascii="Times New Roman" w:hAnsi="Times New Roman" w:eastAsia="宋体" w:cs="Times New Roman"/>
                <w:b/>
                <w:bCs/>
                <w:szCs w:val="21"/>
                <w:u w:val="single"/>
              </w:rPr>
            </w:pPr>
            <w:r>
              <w:rPr>
                <w:rFonts w:ascii="Times New Roman" w:hAnsi="Times New Roman" w:cs="Times New Roman"/>
                <w:b/>
                <w:bCs/>
                <w:szCs w:val="21"/>
                <w:u w:val="single"/>
              </w:rPr>
              <w:t>厂界</w:t>
            </w:r>
          </w:p>
        </w:tc>
        <w:tc>
          <w:tcPr>
            <w:tcW w:w="2192" w:type="dxa"/>
            <w:tcBorders>
              <w:tl2br w:val="nil"/>
              <w:tr2bl w:val="nil"/>
            </w:tcBorders>
            <w:vAlign w:val="center"/>
          </w:tcPr>
          <w:p w14:paraId="65273A5B">
            <w:pPr>
              <w:snapToGrid w:val="0"/>
              <w:spacing w:line="240" w:lineRule="exact"/>
              <w:jc w:val="center"/>
              <w:rPr>
                <w:rFonts w:ascii="Times New Roman" w:hAnsi="Times New Roman" w:eastAsia="宋体" w:cs="Times New Roman"/>
                <w:b/>
                <w:bCs/>
                <w:szCs w:val="21"/>
                <w:u w:val="single"/>
              </w:rPr>
            </w:pPr>
            <w:r>
              <w:rPr>
                <w:rFonts w:ascii="Times New Roman" w:hAnsi="Times New Roman" w:cs="Times New Roman"/>
                <w:b/>
                <w:bCs/>
                <w:szCs w:val="21"/>
                <w:u w:val="single"/>
              </w:rPr>
              <w:t>颗粒物</w:t>
            </w:r>
            <w:r>
              <w:rPr>
                <w:rFonts w:hint="eastAsia" w:ascii="Times New Roman" w:hAnsi="Times New Roman" w:cs="Times New Roman"/>
                <w:b/>
                <w:bCs/>
                <w:szCs w:val="21"/>
                <w:u w:val="single"/>
              </w:rPr>
              <w:t>、</w:t>
            </w:r>
            <w:r>
              <w:rPr>
                <w:rFonts w:hint="eastAsia" w:ascii="Times New Roman" w:hAnsi="Times New Roman" w:cs="Times New Roman"/>
                <w:b/>
                <w:bCs/>
                <w:szCs w:val="21"/>
                <w:u w:val="single"/>
                <w:lang w:val="en-US" w:eastAsia="zh-CN"/>
              </w:rPr>
              <w:t>苯、</w:t>
            </w:r>
            <w:r>
              <w:rPr>
                <w:rFonts w:ascii="Times New Roman" w:hAnsi="Times New Roman" w:cs="Times New Roman"/>
                <w:b/>
                <w:bCs/>
                <w:szCs w:val="21"/>
                <w:u w:val="single"/>
              </w:rPr>
              <w:t>非甲烷总烃</w:t>
            </w:r>
            <w:r>
              <w:rPr>
                <w:rFonts w:hint="eastAsia" w:ascii="Times New Roman" w:hAnsi="Times New Roman" w:cs="Times New Roman"/>
                <w:b/>
                <w:bCs/>
                <w:szCs w:val="21"/>
                <w:u w:val="single"/>
              </w:rPr>
              <w:t>、</w:t>
            </w:r>
            <w:r>
              <w:rPr>
                <w:rFonts w:ascii="Times New Roman" w:hAnsi="Times New Roman" w:cs="Times New Roman"/>
                <w:b/>
                <w:bCs/>
                <w:szCs w:val="21"/>
                <w:u w:val="single"/>
              </w:rPr>
              <w:t>甲苯、二甲苯排放浓度</w:t>
            </w:r>
          </w:p>
        </w:tc>
        <w:tc>
          <w:tcPr>
            <w:tcW w:w="1159" w:type="dxa"/>
            <w:tcBorders>
              <w:tl2br w:val="nil"/>
              <w:tr2bl w:val="nil"/>
            </w:tcBorders>
            <w:vAlign w:val="center"/>
          </w:tcPr>
          <w:p w14:paraId="4EED913E">
            <w:pPr>
              <w:snapToGrid w:val="0"/>
              <w:spacing w:line="240" w:lineRule="exact"/>
              <w:jc w:val="center"/>
              <w:rPr>
                <w:rFonts w:ascii="Times New Roman" w:hAnsi="Times New Roman" w:eastAsia="宋体" w:cs="Times New Roman"/>
                <w:b/>
                <w:bCs/>
                <w:szCs w:val="21"/>
                <w:u w:val="single"/>
              </w:rPr>
            </w:pPr>
            <w:r>
              <w:rPr>
                <w:rFonts w:ascii="Times New Roman" w:hAnsi="Times New Roman" w:cs="Times New Roman"/>
                <w:b/>
                <w:bCs/>
                <w:szCs w:val="21"/>
                <w:u w:val="single"/>
              </w:rPr>
              <w:t>4次/天，连续</w:t>
            </w:r>
            <w:r>
              <w:rPr>
                <w:rFonts w:hint="eastAsia" w:ascii="Times New Roman" w:hAnsi="Times New Roman" w:cs="Times New Roman"/>
                <w:b/>
                <w:bCs/>
                <w:szCs w:val="21"/>
                <w:u w:val="single"/>
                <w:lang w:val="en-US" w:eastAsia="zh-CN"/>
              </w:rPr>
              <w:t>2</w:t>
            </w:r>
            <w:r>
              <w:rPr>
                <w:rFonts w:ascii="Times New Roman" w:hAnsi="Times New Roman" w:cs="Times New Roman"/>
                <w:b/>
                <w:bCs/>
                <w:szCs w:val="21"/>
                <w:u w:val="single"/>
              </w:rPr>
              <w:t>天</w:t>
            </w:r>
          </w:p>
        </w:tc>
        <w:tc>
          <w:tcPr>
            <w:tcW w:w="2780" w:type="dxa"/>
            <w:tcBorders>
              <w:tl2br w:val="nil"/>
              <w:tr2bl w:val="nil"/>
            </w:tcBorders>
            <w:vAlign w:val="center"/>
          </w:tcPr>
          <w:p w14:paraId="531EB244">
            <w:pPr>
              <w:snapToGrid w:val="0"/>
              <w:spacing w:line="240" w:lineRule="exact"/>
              <w:jc w:val="center"/>
              <w:rPr>
                <w:rFonts w:ascii="Times New Roman" w:hAnsi="Times New Roman" w:eastAsia="宋体" w:cs="Times New Roman"/>
                <w:b/>
                <w:bCs/>
                <w:szCs w:val="21"/>
                <w:u w:val="single"/>
              </w:rPr>
            </w:pPr>
            <w:r>
              <w:rPr>
                <w:rFonts w:ascii="Times New Roman" w:hAnsi="Times New Roman" w:cs="Times New Roman"/>
                <w:b/>
                <w:bCs/>
                <w:szCs w:val="21"/>
                <w:u w:val="single"/>
              </w:rPr>
              <w:t>《大气污染物综合排放标准》（GB16297-1996）表2无组织排放监控浓度限值</w:t>
            </w:r>
            <w:r>
              <w:rPr>
                <w:rFonts w:hint="eastAsia" w:ascii="Times New Roman" w:hAnsi="Times New Roman" w:cs="Times New Roman"/>
                <w:b/>
                <w:bCs/>
                <w:szCs w:val="21"/>
                <w:u w:val="single"/>
              </w:rPr>
              <w:t>、</w:t>
            </w:r>
            <w:r>
              <w:rPr>
                <w:rFonts w:ascii="Times New Roman" w:hAnsi="Times New Roman" w:cs="Times New Roman"/>
                <w:b/>
                <w:bCs/>
                <w:szCs w:val="21"/>
                <w:u w:val="single"/>
              </w:rPr>
              <w:t>《关于全省开展工业企业挥发性有机物专项治理工作中排放建议值的通知》（豫环攻坚办〔2017〕162）建议值、《挥发性有机物无组织排放控制标准》（GB37822-2019）特别排放限值中的较严格值</w:t>
            </w:r>
          </w:p>
        </w:tc>
        <w:tc>
          <w:tcPr>
            <w:tcW w:w="1559" w:type="dxa"/>
            <w:tcBorders>
              <w:tl2br w:val="nil"/>
              <w:tr2bl w:val="nil"/>
            </w:tcBorders>
            <w:vAlign w:val="center"/>
          </w:tcPr>
          <w:p w14:paraId="16141C99">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rPr>
              <w:t>颗粒物：1.0</w:t>
            </w:r>
            <w:r>
              <w:rPr>
                <w:rFonts w:ascii="Times New Roman" w:hAnsi="Times New Roman" w:cs="Times New Roman"/>
                <w:b/>
                <w:bCs/>
                <w:szCs w:val="21"/>
                <w:u w:val="single"/>
              </w:rPr>
              <w:t>mg/m</w:t>
            </w:r>
            <w:r>
              <w:rPr>
                <w:rFonts w:ascii="Times New Roman" w:hAnsi="Times New Roman" w:cs="Times New Roman"/>
                <w:b/>
                <w:bCs/>
                <w:szCs w:val="21"/>
                <w:u w:val="single"/>
                <w:vertAlign w:val="superscript"/>
              </w:rPr>
              <w:t>3</w:t>
            </w:r>
            <w:r>
              <w:rPr>
                <w:rFonts w:hint="eastAsia" w:ascii="Times New Roman" w:hAnsi="Times New Roman" w:cs="Times New Roman"/>
                <w:b/>
                <w:bCs/>
                <w:szCs w:val="21"/>
                <w:u w:val="single"/>
              </w:rPr>
              <w:t>，</w:t>
            </w:r>
            <w:r>
              <w:rPr>
                <w:rFonts w:ascii="Times New Roman" w:hAnsi="Times New Roman" w:cs="Times New Roman"/>
                <w:b/>
                <w:bCs/>
                <w:szCs w:val="21"/>
                <w:u w:val="single"/>
              </w:rPr>
              <w:t>非甲烷总烃无组织排放限值2.0mg/m</w:t>
            </w:r>
            <w:r>
              <w:rPr>
                <w:rFonts w:ascii="Times New Roman" w:hAnsi="Times New Roman" w:cs="Times New Roman"/>
                <w:b/>
                <w:bCs/>
                <w:szCs w:val="21"/>
                <w:u w:val="single"/>
                <w:vertAlign w:val="superscript"/>
              </w:rPr>
              <w:t>3</w:t>
            </w:r>
            <w:r>
              <w:rPr>
                <w:rFonts w:hint="eastAsia" w:ascii="Times New Roman" w:hAnsi="Times New Roman" w:cs="Times New Roman"/>
                <w:b/>
                <w:bCs/>
                <w:szCs w:val="21"/>
                <w:u w:val="single"/>
              </w:rPr>
              <w:t>，</w:t>
            </w:r>
            <w:r>
              <w:rPr>
                <w:rFonts w:ascii="Times New Roman" w:hAnsi="Times New Roman" w:cs="Times New Roman"/>
                <w:b/>
                <w:bCs/>
                <w:szCs w:val="21"/>
                <w:u w:val="single"/>
              </w:rPr>
              <w:t>甲苯、二甲苯企业边界浓度限值：</w:t>
            </w:r>
            <w:r>
              <w:rPr>
                <w:rFonts w:hint="eastAsia" w:ascii="Times New Roman" w:hAnsi="Times New Roman" w:cs="Times New Roman"/>
                <w:b/>
                <w:bCs/>
                <w:szCs w:val="21"/>
                <w:u w:val="single"/>
                <w:lang w:val="en-US" w:eastAsia="zh-CN"/>
              </w:rPr>
              <w:t>苯：</w:t>
            </w:r>
            <w:r>
              <w:rPr>
                <w:rFonts w:ascii="Times New Roman" w:hAnsi="Times New Roman" w:cs="Times New Roman"/>
                <w:b/>
                <w:bCs/>
                <w:szCs w:val="21"/>
                <w:u w:val="single"/>
              </w:rPr>
              <w:t>0.</w:t>
            </w:r>
            <w:r>
              <w:rPr>
                <w:rFonts w:hint="eastAsia" w:ascii="Times New Roman" w:hAnsi="Times New Roman" w:cs="Times New Roman"/>
                <w:b/>
                <w:bCs/>
                <w:szCs w:val="21"/>
                <w:u w:val="single"/>
                <w:lang w:val="en-US" w:eastAsia="zh-CN"/>
              </w:rPr>
              <w:t>1</w:t>
            </w:r>
            <w:r>
              <w:rPr>
                <w:rFonts w:ascii="Times New Roman" w:hAnsi="Times New Roman" w:cs="Times New Roman"/>
                <w:b/>
                <w:bCs/>
                <w:szCs w:val="21"/>
                <w:u w:val="single"/>
              </w:rPr>
              <w:t>mg/m</w:t>
            </w:r>
            <w:r>
              <w:rPr>
                <w:rFonts w:ascii="Times New Roman" w:hAnsi="Times New Roman" w:cs="Times New Roman"/>
                <w:b/>
                <w:bCs/>
                <w:szCs w:val="21"/>
                <w:u w:val="single"/>
                <w:vertAlign w:val="superscript"/>
              </w:rPr>
              <w:t>3</w:t>
            </w:r>
            <w:r>
              <w:rPr>
                <w:rFonts w:hint="eastAsia" w:ascii="Times New Roman" w:hAnsi="Times New Roman" w:cs="Times New Roman"/>
                <w:b/>
                <w:bCs/>
                <w:szCs w:val="21"/>
                <w:u w:val="single"/>
                <w:vertAlign w:val="baseline"/>
                <w:lang w:eastAsia="zh-CN"/>
              </w:rPr>
              <w:t>、</w:t>
            </w:r>
            <w:r>
              <w:rPr>
                <w:rFonts w:ascii="Times New Roman" w:hAnsi="Times New Roman" w:cs="Times New Roman"/>
                <w:b/>
                <w:bCs/>
                <w:szCs w:val="21"/>
                <w:u w:val="single"/>
              </w:rPr>
              <w:t>甲苯：0.6mg/m</w:t>
            </w:r>
            <w:r>
              <w:rPr>
                <w:rFonts w:ascii="Times New Roman" w:hAnsi="Times New Roman" w:cs="Times New Roman"/>
                <w:b/>
                <w:bCs/>
                <w:szCs w:val="21"/>
                <w:u w:val="single"/>
                <w:vertAlign w:val="superscript"/>
              </w:rPr>
              <w:t>3</w:t>
            </w:r>
            <w:r>
              <w:rPr>
                <w:rFonts w:ascii="Times New Roman" w:hAnsi="Times New Roman" w:cs="Times New Roman"/>
                <w:b/>
                <w:bCs/>
                <w:szCs w:val="21"/>
                <w:u w:val="single"/>
              </w:rPr>
              <w:t>、二甲苯：0.2mg/m</w:t>
            </w:r>
            <w:r>
              <w:rPr>
                <w:rFonts w:ascii="Times New Roman" w:hAnsi="Times New Roman" w:cs="Times New Roman"/>
                <w:b/>
                <w:bCs/>
                <w:szCs w:val="21"/>
                <w:u w:val="single"/>
                <w:vertAlign w:val="superscript"/>
              </w:rPr>
              <w:t>3</w:t>
            </w:r>
          </w:p>
        </w:tc>
      </w:tr>
      <w:tr w14:paraId="0E14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675" w:hRule="atLeast"/>
          <w:jc w:val="center"/>
        </w:trPr>
        <w:tc>
          <w:tcPr>
            <w:tcW w:w="650" w:type="dxa"/>
            <w:tcBorders>
              <w:tl2br w:val="nil"/>
              <w:tr2bl w:val="nil"/>
            </w:tcBorders>
            <w:vAlign w:val="center"/>
          </w:tcPr>
          <w:p w14:paraId="136BF7F1">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8</w:t>
            </w:r>
          </w:p>
        </w:tc>
        <w:tc>
          <w:tcPr>
            <w:tcW w:w="805" w:type="dxa"/>
            <w:vMerge w:val="restart"/>
            <w:tcBorders>
              <w:tl2br w:val="nil"/>
              <w:tr2bl w:val="nil"/>
            </w:tcBorders>
            <w:vAlign w:val="center"/>
          </w:tcPr>
          <w:p w14:paraId="0D518E20">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固废</w:t>
            </w:r>
          </w:p>
          <w:p w14:paraId="082D0EC8">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治理</w:t>
            </w:r>
          </w:p>
        </w:tc>
        <w:tc>
          <w:tcPr>
            <w:tcW w:w="1421" w:type="dxa"/>
            <w:tcBorders>
              <w:tl2br w:val="nil"/>
              <w:tr2bl w:val="nil"/>
            </w:tcBorders>
            <w:vAlign w:val="center"/>
          </w:tcPr>
          <w:p w14:paraId="75A8AE0E">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一般固废</w:t>
            </w:r>
          </w:p>
        </w:tc>
        <w:tc>
          <w:tcPr>
            <w:tcW w:w="2409" w:type="dxa"/>
            <w:tcBorders>
              <w:tl2br w:val="nil"/>
              <w:tr2bl w:val="nil"/>
            </w:tcBorders>
            <w:vAlign w:val="center"/>
          </w:tcPr>
          <w:p w14:paraId="2DD41EF0">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分类收集定期外售</w:t>
            </w:r>
          </w:p>
        </w:tc>
        <w:tc>
          <w:tcPr>
            <w:tcW w:w="1089" w:type="dxa"/>
            <w:tcBorders>
              <w:tl2br w:val="nil"/>
              <w:tr2bl w:val="nil"/>
            </w:tcBorders>
            <w:vAlign w:val="center"/>
          </w:tcPr>
          <w:p w14:paraId="680900A4">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2192" w:type="dxa"/>
            <w:tcBorders>
              <w:tl2br w:val="nil"/>
              <w:tr2bl w:val="nil"/>
            </w:tcBorders>
            <w:vAlign w:val="center"/>
          </w:tcPr>
          <w:p w14:paraId="5EA7BACD">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1×20m</w:t>
            </w:r>
            <w:r>
              <w:rPr>
                <w:rFonts w:ascii="Times New Roman" w:hAnsi="Times New Roman" w:cs="Times New Roman"/>
                <w:b/>
                <w:bCs/>
                <w:szCs w:val="21"/>
                <w:u w:val="single"/>
                <w:vertAlign w:val="superscript"/>
              </w:rPr>
              <w:t>2</w:t>
            </w:r>
            <w:r>
              <w:rPr>
                <w:rFonts w:ascii="Times New Roman" w:hAnsi="Times New Roman" w:cs="Times New Roman"/>
                <w:b/>
                <w:bCs/>
                <w:szCs w:val="21"/>
                <w:u w:val="single"/>
              </w:rPr>
              <w:t>临时固废堆放场</w:t>
            </w:r>
          </w:p>
        </w:tc>
        <w:tc>
          <w:tcPr>
            <w:tcW w:w="1159" w:type="dxa"/>
            <w:tcBorders>
              <w:tl2br w:val="nil"/>
              <w:tr2bl w:val="nil"/>
            </w:tcBorders>
            <w:vAlign w:val="center"/>
          </w:tcPr>
          <w:p w14:paraId="105AF22E">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4339" w:type="dxa"/>
            <w:gridSpan w:val="2"/>
            <w:tcBorders>
              <w:tl2br w:val="nil"/>
              <w:tr2bl w:val="nil"/>
            </w:tcBorders>
            <w:vAlign w:val="center"/>
          </w:tcPr>
          <w:p w14:paraId="33F1E0CC">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《一般工业固体废物贮存</w:t>
            </w:r>
            <w:r>
              <w:rPr>
                <w:rFonts w:hint="eastAsia" w:ascii="Times New Roman" w:hAnsi="Times New Roman" w:cs="Times New Roman"/>
                <w:b/>
                <w:bCs/>
                <w:szCs w:val="21"/>
                <w:u w:val="single"/>
              </w:rPr>
              <w:t>和填埋</w:t>
            </w:r>
            <w:r>
              <w:rPr>
                <w:rFonts w:ascii="Times New Roman" w:hAnsi="Times New Roman" w:cs="Times New Roman"/>
                <w:b/>
                <w:bCs/>
                <w:szCs w:val="21"/>
                <w:u w:val="single"/>
              </w:rPr>
              <w:t>污染控制标准》（</w:t>
            </w:r>
            <w:r>
              <w:rPr>
                <w:rFonts w:hint="eastAsia" w:ascii="Times New Roman" w:hAnsi="Times New Roman" w:cs="Times New Roman"/>
                <w:b/>
                <w:bCs/>
                <w:szCs w:val="21"/>
                <w:u w:val="single"/>
              </w:rPr>
              <w:t>GB18599-2020</w:t>
            </w:r>
            <w:r>
              <w:rPr>
                <w:rFonts w:ascii="Times New Roman" w:hAnsi="Times New Roman" w:cs="Times New Roman"/>
                <w:b/>
                <w:bCs/>
                <w:szCs w:val="21"/>
                <w:u w:val="single"/>
              </w:rPr>
              <w:t>）</w:t>
            </w:r>
          </w:p>
        </w:tc>
      </w:tr>
      <w:tr w14:paraId="68BA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jc w:val="center"/>
        </w:trPr>
        <w:tc>
          <w:tcPr>
            <w:tcW w:w="650" w:type="dxa"/>
            <w:tcBorders>
              <w:tl2br w:val="nil"/>
              <w:tr2bl w:val="nil"/>
            </w:tcBorders>
            <w:vAlign w:val="center"/>
          </w:tcPr>
          <w:p w14:paraId="1E8C7130">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9</w:t>
            </w:r>
          </w:p>
        </w:tc>
        <w:tc>
          <w:tcPr>
            <w:tcW w:w="805" w:type="dxa"/>
            <w:vMerge w:val="continue"/>
            <w:tcBorders>
              <w:tl2br w:val="nil"/>
              <w:tr2bl w:val="nil"/>
            </w:tcBorders>
            <w:vAlign w:val="center"/>
          </w:tcPr>
          <w:p w14:paraId="10570358">
            <w:pPr>
              <w:snapToGrid w:val="0"/>
              <w:spacing w:line="240" w:lineRule="exact"/>
              <w:jc w:val="center"/>
              <w:rPr>
                <w:rFonts w:ascii="Times New Roman" w:hAnsi="Times New Roman" w:cs="Times New Roman"/>
                <w:b/>
                <w:bCs/>
                <w:szCs w:val="21"/>
                <w:u w:val="single"/>
              </w:rPr>
            </w:pPr>
          </w:p>
        </w:tc>
        <w:tc>
          <w:tcPr>
            <w:tcW w:w="1421" w:type="dxa"/>
            <w:tcBorders>
              <w:tl2br w:val="nil"/>
              <w:tr2bl w:val="nil"/>
            </w:tcBorders>
            <w:vAlign w:val="center"/>
          </w:tcPr>
          <w:p w14:paraId="46CA6591">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危险废物</w:t>
            </w:r>
          </w:p>
        </w:tc>
        <w:tc>
          <w:tcPr>
            <w:tcW w:w="2409" w:type="dxa"/>
            <w:tcBorders>
              <w:tl2br w:val="nil"/>
              <w:tr2bl w:val="nil"/>
            </w:tcBorders>
            <w:vAlign w:val="center"/>
          </w:tcPr>
          <w:p w14:paraId="3077343F">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交有资质单位安全处置</w:t>
            </w:r>
          </w:p>
        </w:tc>
        <w:tc>
          <w:tcPr>
            <w:tcW w:w="1089" w:type="dxa"/>
            <w:tcBorders>
              <w:tl2br w:val="nil"/>
              <w:tr2bl w:val="nil"/>
            </w:tcBorders>
            <w:vAlign w:val="center"/>
          </w:tcPr>
          <w:p w14:paraId="094DFC9D">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2192" w:type="dxa"/>
            <w:tcBorders>
              <w:tl2br w:val="nil"/>
              <w:tr2bl w:val="nil"/>
            </w:tcBorders>
            <w:vAlign w:val="center"/>
          </w:tcPr>
          <w:p w14:paraId="4C533885">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1×</w:t>
            </w:r>
            <w:r>
              <w:rPr>
                <w:rFonts w:hint="eastAsia" w:ascii="Times New Roman" w:hAnsi="Times New Roman" w:cs="Times New Roman"/>
                <w:b/>
                <w:bCs/>
                <w:szCs w:val="21"/>
                <w:u w:val="single"/>
              </w:rPr>
              <w:t>3</w:t>
            </w:r>
            <w:r>
              <w:rPr>
                <w:rFonts w:ascii="Times New Roman" w:hAnsi="Times New Roman" w:cs="Times New Roman"/>
                <w:b/>
                <w:bCs/>
                <w:szCs w:val="21"/>
                <w:u w:val="single"/>
              </w:rPr>
              <w:t>0m</w:t>
            </w:r>
            <w:r>
              <w:rPr>
                <w:rFonts w:ascii="Times New Roman" w:hAnsi="Times New Roman" w:cs="Times New Roman"/>
                <w:b/>
                <w:bCs/>
                <w:szCs w:val="21"/>
                <w:u w:val="single"/>
                <w:vertAlign w:val="superscript"/>
              </w:rPr>
              <w:t>2</w:t>
            </w:r>
            <w:r>
              <w:rPr>
                <w:rFonts w:ascii="Times New Roman" w:hAnsi="Times New Roman" w:cs="Times New Roman"/>
                <w:b/>
                <w:bCs/>
                <w:szCs w:val="21"/>
                <w:u w:val="single"/>
              </w:rPr>
              <w:t>危废间</w:t>
            </w:r>
          </w:p>
        </w:tc>
        <w:tc>
          <w:tcPr>
            <w:tcW w:w="1159" w:type="dxa"/>
            <w:tcBorders>
              <w:tl2br w:val="nil"/>
              <w:tr2bl w:val="nil"/>
            </w:tcBorders>
            <w:vAlign w:val="center"/>
          </w:tcPr>
          <w:p w14:paraId="7F1A316F">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4339" w:type="dxa"/>
            <w:gridSpan w:val="2"/>
            <w:tcBorders>
              <w:tl2br w:val="nil"/>
              <w:tr2bl w:val="nil"/>
            </w:tcBorders>
            <w:vAlign w:val="center"/>
          </w:tcPr>
          <w:p w14:paraId="5C1DD05C">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《危险废物贮存污染控制标准》（GB18597-20</w:t>
            </w:r>
            <w:r>
              <w:rPr>
                <w:rFonts w:hint="eastAsia" w:ascii="Times New Roman" w:hAnsi="Times New Roman" w:cs="Times New Roman"/>
                <w:b/>
                <w:bCs/>
                <w:szCs w:val="21"/>
                <w:u w:val="single"/>
              </w:rPr>
              <w:t>23</w:t>
            </w:r>
            <w:r>
              <w:rPr>
                <w:rFonts w:ascii="Times New Roman" w:hAnsi="Times New Roman" w:cs="Times New Roman"/>
                <w:b/>
                <w:bCs/>
                <w:szCs w:val="21"/>
                <w:u w:val="single"/>
              </w:rPr>
              <w:t>）</w:t>
            </w:r>
          </w:p>
        </w:tc>
      </w:tr>
      <w:tr w14:paraId="5C63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jc w:val="center"/>
        </w:trPr>
        <w:tc>
          <w:tcPr>
            <w:tcW w:w="650" w:type="dxa"/>
            <w:tcBorders>
              <w:tl2br w:val="nil"/>
              <w:tr2bl w:val="nil"/>
            </w:tcBorders>
            <w:vAlign w:val="center"/>
          </w:tcPr>
          <w:p w14:paraId="1E1874B7">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10</w:t>
            </w:r>
          </w:p>
        </w:tc>
        <w:tc>
          <w:tcPr>
            <w:tcW w:w="805" w:type="dxa"/>
            <w:vMerge w:val="continue"/>
            <w:tcBorders>
              <w:tl2br w:val="nil"/>
              <w:tr2bl w:val="nil"/>
            </w:tcBorders>
            <w:vAlign w:val="center"/>
          </w:tcPr>
          <w:p w14:paraId="59CC60E2">
            <w:pPr>
              <w:snapToGrid w:val="0"/>
              <w:spacing w:line="240" w:lineRule="exact"/>
              <w:jc w:val="center"/>
              <w:rPr>
                <w:rFonts w:ascii="Times New Roman" w:hAnsi="Times New Roman" w:cs="Times New Roman"/>
                <w:b/>
                <w:bCs/>
                <w:szCs w:val="21"/>
                <w:u w:val="single"/>
              </w:rPr>
            </w:pPr>
          </w:p>
        </w:tc>
        <w:tc>
          <w:tcPr>
            <w:tcW w:w="1421" w:type="dxa"/>
            <w:tcBorders>
              <w:tl2br w:val="nil"/>
              <w:tr2bl w:val="nil"/>
            </w:tcBorders>
            <w:vAlign w:val="center"/>
          </w:tcPr>
          <w:p w14:paraId="647EEABB">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生活垃圾</w:t>
            </w:r>
          </w:p>
        </w:tc>
        <w:tc>
          <w:tcPr>
            <w:tcW w:w="2409" w:type="dxa"/>
            <w:tcBorders>
              <w:tl2br w:val="nil"/>
              <w:tr2bl w:val="nil"/>
            </w:tcBorders>
            <w:vAlign w:val="center"/>
          </w:tcPr>
          <w:p w14:paraId="2B4093EB">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收集后交环卫部门统一处理</w:t>
            </w:r>
          </w:p>
        </w:tc>
        <w:tc>
          <w:tcPr>
            <w:tcW w:w="1089" w:type="dxa"/>
            <w:tcBorders>
              <w:tl2br w:val="nil"/>
              <w:tr2bl w:val="nil"/>
            </w:tcBorders>
            <w:vAlign w:val="center"/>
          </w:tcPr>
          <w:p w14:paraId="50FBA77C">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2192" w:type="dxa"/>
            <w:tcBorders>
              <w:tl2br w:val="nil"/>
              <w:tr2bl w:val="nil"/>
            </w:tcBorders>
            <w:vAlign w:val="center"/>
          </w:tcPr>
          <w:p w14:paraId="62491692">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垃圾桶</w:t>
            </w:r>
          </w:p>
        </w:tc>
        <w:tc>
          <w:tcPr>
            <w:tcW w:w="1159" w:type="dxa"/>
            <w:tcBorders>
              <w:tl2br w:val="nil"/>
              <w:tr2bl w:val="nil"/>
            </w:tcBorders>
            <w:vAlign w:val="center"/>
          </w:tcPr>
          <w:p w14:paraId="38A2352E">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4339" w:type="dxa"/>
            <w:gridSpan w:val="2"/>
            <w:tcBorders>
              <w:tl2br w:val="nil"/>
              <w:tr2bl w:val="nil"/>
            </w:tcBorders>
            <w:vAlign w:val="center"/>
          </w:tcPr>
          <w:p w14:paraId="0F4133CF">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r>
      <w:tr w14:paraId="064B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jc w:val="center"/>
        </w:trPr>
        <w:tc>
          <w:tcPr>
            <w:tcW w:w="650" w:type="dxa"/>
            <w:tcBorders>
              <w:tl2br w:val="nil"/>
              <w:tr2bl w:val="nil"/>
            </w:tcBorders>
            <w:vAlign w:val="center"/>
          </w:tcPr>
          <w:p w14:paraId="07BED79F">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11</w:t>
            </w:r>
          </w:p>
        </w:tc>
        <w:tc>
          <w:tcPr>
            <w:tcW w:w="805" w:type="dxa"/>
            <w:tcBorders>
              <w:tl2br w:val="nil"/>
              <w:tr2bl w:val="nil"/>
            </w:tcBorders>
            <w:vAlign w:val="center"/>
          </w:tcPr>
          <w:p w14:paraId="0A42BA87">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噪声</w:t>
            </w:r>
          </w:p>
          <w:p w14:paraId="657F7EC5">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治理</w:t>
            </w:r>
          </w:p>
        </w:tc>
        <w:tc>
          <w:tcPr>
            <w:tcW w:w="1421" w:type="dxa"/>
            <w:tcBorders>
              <w:tl2br w:val="nil"/>
              <w:tr2bl w:val="nil"/>
            </w:tcBorders>
            <w:vAlign w:val="center"/>
          </w:tcPr>
          <w:p w14:paraId="35E9060D">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设备噪声</w:t>
            </w:r>
          </w:p>
        </w:tc>
        <w:tc>
          <w:tcPr>
            <w:tcW w:w="2409" w:type="dxa"/>
            <w:tcBorders>
              <w:tl2br w:val="nil"/>
              <w:tr2bl w:val="nil"/>
            </w:tcBorders>
            <w:vAlign w:val="center"/>
          </w:tcPr>
          <w:p w14:paraId="0BDAD356">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减震垫</w:t>
            </w:r>
          </w:p>
        </w:tc>
        <w:tc>
          <w:tcPr>
            <w:tcW w:w="1089" w:type="dxa"/>
            <w:tcBorders>
              <w:tl2br w:val="nil"/>
              <w:tr2bl w:val="nil"/>
            </w:tcBorders>
            <w:vAlign w:val="center"/>
          </w:tcPr>
          <w:p w14:paraId="24AB368F">
            <w:pPr>
              <w:snapToGrid w:val="0"/>
              <w:spacing w:line="240" w:lineRule="exact"/>
              <w:jc w:val="center"/>
              <w:rPr>
                <w:rFonts w:ascii="Times New Roman" w:hAnsi="Times New Roman" w:eastAsia="宋体" w:cs="Times New Roman"/>
                <w:b/>
                <w:bCs/>
                <w:szCs w:val="21"/>
                <w:u w:val="single"/>
              </w:rPr>
            </w:pPr>
            <w:r>
              <w:rPr>
                <w:rFonts w:ascii="Times New Roman" w:hAnsi="Times New Roman" w:cs="Times New Roman"/>
                <w:b/>
                <w:bCs/>
                <w:szCs w:val="21"/>
                <w:u w:val="single"/>
              </w:rPr>
              <w:t>厂界外1m</w:t>
            </w:r>
            <w:r>
              <w:rPr>
                <w:rFonts w:hint="eastAsia" w:ascii="Times New Roman" w:hAnsi="Times New Roman" w:cs="Times New Roman"/>
                <w:b/>
                <w:bCs/>
                <w:szCs w:val="21"/>
                <w:u w:val="single"/>
              </w:rPr>
              <w:t>及环境敏感点</w:t>
            </w:r>
          </w:p>
        </w:tc>
        <w:tc>
          <w:tcPr>
            <w:tcW w:w="2192" w:type="dxa"/>
            <w:tcBorders>
              <w:tl2br w:val="nil"/>
              <w:tr2bl w:val="nil"/>
            </w:tcBorders>
            <w:vAlign w:val="center"/>
          </w:tcPr>
          <w:p w14:paraId="0FE02BF2">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等效连续</w:t>
            </w:r>
          </w:p>
          <w:p w14:paraId="765F6EF4">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A声级</w:t>
            </w:r>
          </w:p>
        </w:tc>
        <w:tc>
          <w:tcPr>
            <w:tcW w:w="1159" w:type="dxa"/>
            <w:tcBorders>
              <w:tl2br w:val="nil"/>
              <w:tr2bl w:val="nil"/>
            </w:tcBorders>
            <w:vAlign w:val="center"/>
          </w:tcPr>
          <w:p w14:paraId="3D4BB681">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昼夜各1次/天，连续2天</w:t>
            </w:r>
          </w:p>
        </w:tc>
        <w:tc>
          <w:tcPr>
            <w:tcW w:w="4339" w:type="dxa"/>
            <w:gridSpan w:val="2"/>
            <w:tcBorders>
              <w:tl2br w:val="nil"/>
              <w:tr2bl w:val="nil"/>
            </w:tcBorders>
            <w:vAlign w:val="center"/>
          </w:tcPr>
          <w:p w14:paraId="714FE171">
            <w:pPr>
              <w:snapToGrid w:val="0"/>
              <w:spacing w:line="240" w:lineRule="exact"/>
              <w:jc w:val="center"/>
              <w:rPr>
                <w:rFonts w:ascii="Times New Roman" w:hAnsi="Times New Roman" w:eastAsia="宋体" w:cs="Times New Roman"/>
                <w:b/>
                <w:bCs/>
                <w:szCs w:val="21"/>
                <w:u w:val="single"/>
              </w:rPr>
            </w:pPr>
            <w:r>
              <w:rPr>
                <w:rFonts w:ascii="Times New Roman" w:hAnsi="Times New Roman" w:cs="Times New Roman"/>
                <w:b/>
                <w:bCs/>
                <w:szCs w:val="21"/>
                <w:u w:val="single"/>
              </w:rPr>
              <w:t>《工业企业厂界环境噪声排放标准》（GB12348-2008）3类标准</w:t>
            </w:r>
            <w:r>
              <w:rPr>
                <w:rFonts w:hint="eastAsia" w:ascii="Times New Roman" w:hAnsi="Times New Roman" w:cs="Times New Roman"/>
                <w:b/>
                <w:bCs/>
                <w:szCs w:val="21"/>
                <w:u w:val="single"/>
              </w:rPr>
              <w:t>（昼间</w:t>
            </w:r>
            <w:r>
              <w:rPr>
                <w:rFonts w:ascii="Times New Roman" w:hAnsi="Times New Roman" w:cs="Times New Roman"/>
                <w:b/>
                <w:bCs/>
                <w:szCs w:val="21"/>
                <w:u w:val="single"/>
              </w:rPr>
              <w:t>≤</w:t>
            </w:r>
            <w:r>
              <w:rPr>
                <w:rFonts w:hint="eastAsia" w:ascii="Times New Roman" w:hAnsi="Times New Roman" w:cs="Times New Roman"/>
                <w:b/>
                <w:bCs/>
                <w:szCs w:val="21"/>
                <w:u w:val="single"/>
              </w:rPr>
              <w:t>65dB（A），夜间</w:t>
            </w:r>
            <w:r>
              <w:rPr>
                <w:rFonts w:ascii="Times New Roman" w:hAnsi="Times New Roman" w:cs="Times New Roman"/>
                <w:b/>
                <w:bCs/>
                <w:szCs w:val="21"/>
                <w:u w:val="single"/>
              </w:rPr>
              <w:t>≤</w:t>
            </w:r>
            <w:r>
              <w:rPr>
                <w:rFonts w:hint="eastAsia" w:ascii="Times New Roman" w:hAnsi="Times New Roman" w:cs="Times New Roman"/>
                <w:b/>
                <w:bCs/>
                <w:szCs w:val="21"/>
                <w:u w:val="single"/>
              </w:rPr>
              <w:t>55dB（A）），敏感点执行《声环境质量标准》（GB3096-2008）2类标准（昼间</w:t>
            </w:r>
            <w:r>
              <w:rPr>
                <w:rFonts w:ascii="Times New Roman" w:hAnsi="Times New Roman" w:cs="Times New Roman"/>
                <w:b/>
                <w:bCs/>
                <w:szCs w:val="21"/>
                <w:u w:val="single"/>
              </w:rPr>
              <w:t>≤</w:t>
            </w:r>
            <w:r>
              <w:rPr>
                <w:rFonts w:hint="eastAsia" w:ascii="Times New Roman" w:hAnsi="Times New Roman" w:cs="Times New Roman"/>
                <w:b/>
                <w:bCs/>
                <w:szCs w:val="21"/>
                <w:u w:val="single"/>
              </w:rPr>
              <w:t>60dB（A），夜间</w:t>
            </w:r>
            <w:r>
              <w:rPr>
                <w:rFonts w:ascii="Times New Roman" w:hAnsi="Times New Roman" w:cs="Times New Roman"/>
                <w:b/>
                <w:bCs/>
                <w:szCs w:val="21"/>
                <w:u w:val="single"/>
              </w:rPr>
              <w:t>≤</w:t>
            </w:r>
            <w:r>
              <w:rPr>
                <w:rFonts w:hint="eastAsia" w:ascii="Times New Roman" w:hAnsi="Times New Roman" w:cs="Times New Roman"/>
                <w:b/>
                <w:bCs/>
                <w:szCs w:val="21"/>
                <w:u w:val="single"/>
              </w:rPr>
              <w:t>50dB（A））</w:t>
            </w:r>
          </w:p>
        </w:tc>
      </w:tr>
      <w:tr w14:paraId="0F99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jc w:val="center"/>
        </w:trPr>
        <w:tc>
          <w:tcPr>
            <w:tcW w:w="650" w:type="dxa"/>
            <w:tcBorders>
              <w:tl2br w:val="nil"/>
              <w:tr2bl w:val="nil"/>
            </w:tcBorders>
            <w:vAlign w:val="center"/>
          </w:tcPr>
          <w:p w14:paraId="1C7339BF">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12</w:t>
            </w:r>
          </w:p>
        </w:tc>
        <w:tc>
          <w:tcPr>
            <w:tcW w:w="805" w:type="dxa"/>
            <w:vMerge w:val="restart"/>
            <w:tcBorders>
              <w:tl2br w:val="nil"/>
              <w:tr2bl w:val="nil"/>
            </w:tcBorders>
            <w:vAlign w:val="center"/>
          </w:tcPr>
          <w:p w14:paraId="0EC7F9C8">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厂区防渗</w:t>
            </w:r>
          </w:p>
        </w:tc>
        <w:tc>
          <w:tcPr>
            <w:tcW w:w="1421" w:type="dxa"/>
            <w:tcBorders>
              <w:tl2br w:val="nil"/>
              <w:tr2bl w:val="nil"/>
            </w:tcBorders>
            <w:vAlign w:val="center"/>
          </w:tcPr>
          <w:p w14:paraId="592E0038">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危废暂存间</w:t>
            </w:r>
            <w:r>
              <w:rPr>
                <w:rFonts w:hint="eastAsia" w:ascii="Times New Roman" w:hAnsi="Times New Roman" w:cs="Times New Roman"/>
                <w:b/>
                <w:bCs/>
                <w:szCs w:val="21"/>
                <w:u w:val="single"/>
              </w:rPr>
              <w:t>、</w:t>
            </w:r>
            <w:r>
              <w:rPr>
                <w:rFonts w:ascii="Times New Roman" w:hAnsi="Times New Roman" w:cs="Times New Roman"/>
                <w:b/>
                <w:bCs/>
                <w:szCs w:val="21"/>
                <w:u w:val="single"/>
              </w:rPr>
              <w:t>喷漆房</w:t>
            </w:r>
          </w:p>
        </w:tc>
        <w:tc>
          <w:tcPr>
            <w:tcW w:w="2409" w:type="dxa"/>
            <w:tcBorders>
              <w:tl2br w:val="nil"/>
              <w:tr2bl w:val="nil"/>
            </w:tcBorders>
            <w:vAlign w:val="center"/>
          </w:tcPr>
          <w:p w14:paraId="64CE6BCC">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重点防渗</w:t>
            </w:r>
          </w:p>
        </w:tc>
        <w:tc>
          <w:tcPr>
            <w:tcW w:w="1089" w:type="dxa"/>
            <w:tcBorders>
              <w:tl2br w:val="nil"/>
              <w:tr2bl w:val="nil"/>
            </w:tcBorders>
            <w:vAlign w:val="center"/>
          </w:tcPr>
          <w:p w14:paraId="5BC51E00">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2192" w:type="dxa"/>
            <w:tcBorders>
              <w:tl2br w:val="nil"/>
              <w:tr2bl w:val="nil"/>
            </w:tcBorders>
            <w:vAlign w:val="center"/>
          </w:tcPr>
          <w:p w14:paraId="3CB4EAFF">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1159" w:type="dxa"/>
            <w:tcBorders>
              <w:tl2br w:val="nil"/>
              <w:tr2bl w:val="nil"/>
            </w:tcBorders>
            <w:vAlign w:val="center"/>
          </w:tcPr>
          <w:p w14:paraId="43647B6E">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4339" w:type="dxa"/>
            <w:gridSpan w:val="2"/>
            <w:tcBorders>
              <w:tl2br w:val="nil"/>
              <w:tr2bl w:val="nil"/>
            </w:tcBorders>
            <w:vAlign w:val="center"/>
          </w:tcPr>
          <w:p w14:paraId="54D97ECC">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r>
      <w:tr w14:paraId="79D2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jc w:val="center"/>
        </w:trPr>
        <w:tc>
          <w:tcPr>
            <w:tcW w:w="650" w:type="dxa"/>
            <w:tcBorders>
              <w:tl2br w:val="nil"/>
              <w:tr2bl w:val="nil"/>
            </w:tcBorders>
            <w:vAlign w:val="center"/>
          </w:tcPr>
          <w:p w14:paraId="71F18DF0">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rPr>
              <w:t>13</w:t>
            </w:r>
          </w:p>
        </w:tc>
        <w:tc>
          <w:tcPr>
            <w:tcW w:w="805" w:type="dxa"/>
            <w:vMerge w:val="continue"/>
            <w:tcBorders>
              <w:tl2br w:val="nil"/>
              <w:tr2bl w:val="nil"/>
            </w:tcBorders>
            <w:vAlign w:val="center"/>
          </w:tcPr>
          <w:p w14:paraId="5885C06C">
            <w:pPr>
              <w:snapToGrid w:val="0"/>
              <w:spacing w:line="240" w:lineRule="exact"/>
              <w:jc w:val="center"/>
              <w:rPr>
                <w:rFonts w:ascii="Times New Roman" w:hAnsi="Times New Roman" w:cs="Times New Roman"/>
                <w:b/>
                <w:bCs/>
                <w:szCs w:val="21"/>
                <w:u w:val="single"/>
              </w:rPr>
            </w:pPr>
          </w:p>
        </w:tc>
        <w:tc>
          <w:tcPr>
            <w:tcW w:w="1421" w:type="dxa"/>
            <w:tcBorders>
              <w:tl2br w:val="nil"/>
              <w:tr2bl w:val="nil"/>
            </w:tcBorders>
            <w:vAlign w:val="center"/>
          </w:tcPr>
          <w:p w14:paraId="32F58E09">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rPr>
              <w:t>生产车间1F、一般固废间</w:t>
            </w:r>
          </w:p>
        </w:tc>
        <w:tc>
          <w:tcPr>
            <w:tcW w:w="2409" w:type="dxa"/>
            <w:tcBorders>
              <w:tl2br w:val="nil"/>
              <w:tr2bl w:val="nil"/>
            </w:tcBorders>
            <w:vAlign w:val="center"/>
          </w:tcPr>
          <w:p w14:paraId="69FF1A98">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rPr>
              <w:t>一般</w:t>
            </w:r>
            <w:r>
              <w:rPr>
                <w:rFonts w:ascii="Times New Roman" w:hAnsi="Times New Roman" w:cs="Times New Roman"/>
                <w:b/>
                <w:bCs/>
                <w:szCs w:val="21"/>
                <w:u w:val="single"/>
              </w:rPr>
              <w:t>防渗</w:t>
            </w:r>
          </w:p>
        </w:tc>
        <w:tc>
          <w:tcPr>
            <w:tcW w:w="1089" w:type="dxa"/>
            <w:tcBorders>
              <w:tl2br w:val="nil"/>
              <w:tr2bl w:val="nil"/>
            </w:tcBorders>
            <w:vAlign w:val="center"/>
          </w:tcPr>
          <w:p w14:paraId="1F9A6918">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2192" w:type="dxa"/>
            <w:tcBorders>
              <w:tl2br w:val="nil"/>
              <w:tr2bl w:val="nil"/>
            </w:tcBorders>
            <w:vAlign w:val="center"/>
          </w:tcPr>
          <w:p w14:paraId="4EB6602F">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一般地面硬化</w:t>
            </w:r>
          </w:p>
        </w:tc>
        <w:tc>
          <w:tcPr>
            <w:tcW w:w="1159" w:type="dxa"/>
            <w:tcBorders>
              <w:tl2br w:val="nil"/>
              <w:tr2bl w:val="nil"/>
            </w:tcBorders>
            <w:vAlign w:val="center"/>
          </w:tcPr>
          <w:p w14:paraId="3426C391">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4339" w:type="dxa"/>
            <w:gridSpan w:val="2"/>
            <w:tcBorders>
              <w:tl2br w:val="nil"/>
              <w:tr2bl w:val="nil"/>
            </w:tcBorders>
            <w:vAlign w:val="center"/>
          </w:tcPr>
          <w:p w14:paraId="3B56847F">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r>
      <w:tr w14:paraId="4405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jc w:val="center"/>
        </w:trPr>
        <w:tc>
          <w:tcPr>
            <w:tcW w:w="650" w:type="dxa"/>
            <w:tcBorders>
              <w:tl2br w:val="nil"/>
              <w:tr2bl w:val="nil"/>
            </w:tcBorders>
            <w:vAlign w:val="center"/>
          </w:tcPr>
          <w:p w14:paraId="4FC4546E">
            <w:pPr>
              <w:snapToGrid w:val="0"/>
              <w:spacing w:line="240" w:lineRule="exact"/>
              <w:jc w:val="center"/>
              <w:rPr>
                <w:rFonts w:ascii="Times New Roman" w:hAnsi="Times New Roman" w:cs="Times New Roman"/>
                <w:b/>
                <w:bCs/>
                <w:szCs w:val="21"/>
                <w:u w:val="single"/>
              </w:rPr>
            </w:pPr>
            <w:r>
              <w:rPr>
                <w:rFonts w:hint="eastAsia" w:ascii="Times New Roman" w:hAnsi="Times New Roman" w:cs="Times New Roman"/>
                <w:b/>
                <w:bCs/>
                <w:szCs w:val="21"/>
                <w:u w:val="single"/>
              </w:rPr>
              <w:t>14</w:t>
            </w:r>
          </w:p>
        </w:tc>
        <w:tc>
          <w:tcPr>
            <w:tcW w:w="805" w:type="dxa"/>
            <w:tcBorders>
              <w:tl2br w:val="nil"/>
              <w:tr2bl w:val="nil"/>
            </w:tcBorders>
            <w:vAlign w:val="center"/>
          </w:tcPr>
          <w:p w14:paraId="391D77AB">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风险</w:t>
            </w:r>
          </w:p>
        </w:tc>
        <w:tc>
          <w:tcPr>
            <w:tcW w:w="1421" w:type="dxa"/>
            <w:tcBorders>
              <w:tl2br w:val="nil"/>
              <w:tr2bl w:val="nil"/>
            </w:tcBorders>
            <w:vAlign w:val="center"/>
          </w:tcPr>
          <w:p w14:paraId="602561EC">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2409" w:type="dxa"/>
            <w:tcBorders>
              <w:tl2br w:val="nil"/>
              <w:tr2bl w:val="nil"/>
            </w:tcBorders>
            <w:vAlign w:val="center"/>
          </w:tcPr>
          <w:p w14:paraId="0BA1F210">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灭火器等消防器材、消防物品、防护用具等、事故消防贮池等</w:t>
            </w:r>
          </w:p>
        </w:tc>
        <w:tc>
          <w:tcPr>
            <w:tcW w:w="1089" w:type="dxa"/>
            <w:tcBorders>
              <w:tl2br w:val="nil"/>
              <w:tr2bl w:val="nil"/>
            </w:tcBorders>
            <w:vAlign w:val="center"/>
          </w:tcPr>
          <w:p w14:paraId="7AFF49D2">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2192" w:type="dxa"/>
            <w:tcBorders>
              <w:tl2br w:val="nil"/>
              <w:tr2bl w:val="nil"/>
            </w:tcBorders>
            <w:vAlign w:val="center"/>
          </w:tcPr>
          <w:p w14:paraId="05E74628">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灭火器等消防器材、消防物品、防护用具等、事故消防贮池等</w:t>
            </w:r>
          </w:p>
        </w:tc>
        <w:tc>
          <w:tcPr>
            <w:tcW w:w="1159" w:type="dxa"/>
            <w:tcBorders>
              <w:tl2br w:val="nil"/>
              <w:tr2bl w:val="nil"/>
            </w:tcBorders>
            <w:vAlign w:val="center"/>
          </w:tcPr>
          <w:p w14:paraId="1A2EA452">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c>
          <w:tcPr>
            <w:tcW w:w="4339" w:type="dxa"/>
            <w:gridSpan w:val="2"/>
            <w:tcBorders>
              <w:tl2br w:val="nil"/>
              <w:tr2bl w:val="nil"/>
            </w:tcBorders>
            <w:vAlign w:val="center"/>
          </w:tcPr>
          <w:p w14:paraId="3AD8BC29">
            <w:pPr>
              <w:snapToGrid w:val="0"/>
              <w:spacing w:line="240" w:lineRule="exact"/>
              <w:jc w:val="center"/>
              <w:rPr>
                <w:rFonts w:ascii="Times New Roman" w:hAnsi="Times New Roman" w:cs="Times New Roman"/>
                <w:b/>
                <w:bCs/>
                <w:szCs w:val="21"/>
                <w:u w:val="single"/>
              </w:rPr>
            </w:pPr>
            <w:r>
              <w:rPr>
                <w:rFonts w:ascii="Times New Roman" w:hAnsi="Times New Roman" w:cs="Times New Roman"/>
                <w:b/>
                <w:bCs/>
                <w:szCs w:val="21"/>
                <w:u w:val="single"/>
              </w:rPr>
              <w:t>/</w:t>
            </w:r>
          </w:p>
        </w:tc>
      </w:tr>
    </w:tbl>
    <w:p w14:paraId="007FB732">
      <w:pPr>
        <w:sectPr>
          <w:headerReference r:id="rId32" w:type="default"/>
          <w:pgSz w:w="16838" w:h="11906" w:orient="landscape"/>
          <w:pgMar w:top="1800" w:right="1440" w:bottom="1800" w:left="1440" w:header="851" w:footer="992" w:gutter="0"/>
          <w:pgNumType w:fmt="decimal"/>
          <w:cols w:space="425" w:num="1"/>
          <w:docGrid w:type="lines" w:linePitch="312" w:charSpace="0"/>
        </w:sectPr>
      </w:pPr>
    </w:p>
    <w:p w14:paraId="102EAD27">
      <w:pPr>
        <w:spacing w:line="360" w:lineRule="auto"/>
        <w:rPr>
          <w:sz w:val="24"/>
        </w:rPr>
      </w:pPr>
    </w:p>
    <w:p w14:paraId="0E2222D9">
      <w:pPr>
        <w:pStyle w:val="2"/>
        <w:numPr>
          <w:ilvl w:val="0"/>
          <w:numId w:val="90"/>
        </w:numPr>
        <w:tabs>
          <w:tab w:val="clear" w:pos="0"/>
        </w:tabs>
        <w:ind w:left="432" w:leftChars="0" w:hanging="432" w:firstLineChars="0"/>
      </w:pPr>
      <w:bookmarkStart w:id="395" w:name="_Toc28124"/>
      <w:r>
        <w:rPr>
          <w:rFonts w:hint="eastAsia"/>
        </w:rPr>
        <w:t>结论</w:t>
      </w:r>
      <w:bookmarkEnd w:id="395"/>
    </w:p>
    <w:p w14:paraId="7226DA3F">
      <w:pPr>
        <w:spacing w:line="360" w:lineRule="auto"/>
        <w:rPr>
          <w:rFonts w:ascii="Times New Roman" w:hAnsi="Times New Roman" w:eastAsia="宋体" w:cs="Times New Roman"/>
          <w:sz w:val="24"/>
        </w:rPr>
      </w:pPr>
    </w:p>
    <w:p w14:paraId="4E00F522">
      <w:pPr>
        <w:pStyle w:val="3"/>
        <w:numPr>
          <w:ilvl w:val="1"/>
          <w:numId w:val="90"/>
        </w:numPr>
        <w:tabs>
          <w:tab w:val="clear" w:pos="0"/>
        </w:tabs>
        <w:adjustRightInd w:val="0"/>
        <w:snapToGrid w:val="0"/>
        <w:ind w:left="720" w:leftChars="0" w:hanging="720" w:firstLineChars="0"/>
      </w:pPr>
      <w:bookmarkStart w:id="396" w:name="_Toc3199"/>
      <w:bookmarkStart w:id="397" w:name="_Toc18936"/>
      <w:r>
        <w:t>项目概况</w:t>
      </w:r>
      <w:bookmarkEnd w:id="396"/>
      <w:bookmarkEnd w:id="397"/>
    </w:p>
    <w:p w14:paraId="6D1925C7">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汉玉伟木（清丰县）家居有限公司拟在濮阳市清丰县河南省濮阳市清丰县产业集聚区人民路南侧、建设路东侧6号投资建设年产1万套实木复合门、4万平方米全屋定制项目。</w:t>
      </w:r>
      <w:r>
        <w:rPr>
          <w:rFonts w:hint="eastAsia" w:ascii="Times New Roman" w:hAnsi="Times New Roman" w:eastAsia="宋体" w:cs="Times New Roman"/>
          <w:sz w:val="24"/>
        </w:rPr>
        <w:t>本项目租赁一栋已建成厂房，</w:t>
      </w:r>
      <w:r>
        <w:rPr>
          <w:rFonts w:hint="eastAsia" w:ascii="Times New Roman" w:hAnsi="Times New Roman" w:eastAsia="宋体" w:cs="Times New Roman"/>
          <w:bCs/>
          <w:kern w:val="0"/>
          <w:sz w:val="24"/>
        </w:rPr>
        <w:t>占地8000平方米，建筑面积16000平方米，本项目总投资4000万元。</w:t>
      </w:r>
    </w:p>
    <w:p w14:paraId="72626F26">
      <w:pPr>
        <w:pStyle w:val="3"/>
        <w:numPr>
          <w:ilvl w:val="1"/>
          <w:numId w:val="90"/>
        </w:numPr>
        <w:tabs>
          <w:tab w:val="clear" w:pos="0"/>
        </w:tabs>
        <w:adjustRightInd w:val="0"/>
        <w:snapToGrid w:val="0"/>
        <w:ind w:left="720" w:leftChars="0" w:hanging="720" w:firstLineChars="0"/>
      </w:pPr>
      <w:bookmarkStart w:id="398" w:name="_Toc31888"/>
      <w:bookmarkStart w:id="399" w:name="_Toc8151"/>
      <w:bookmarkStart w:id="400" w:name="_Toc23423"/>
      <w:bookmarkStart w:id="401" w:name="_Toc15642"/>
      <w:bookmarkStart w:id="402" w:name="_Toc6497"/>
      <w:bookmarkStart w:id="403" w:name="_Toc19056"/>
      <w:bookmarkStart w:id="404" w:name="_Toc16130"/>
      <w:bookmarkStart w:id="405" w:name="_Toc26880"/>
      <w:r>
        <w:t>环境质量现状评价结论</w:t>
      </w:r>
      <w:bookmarkEnd w:id="398"/>
      <w:bookmarkEnd w:id="399"/>
      <w:bookmarkEnd w:id="400"/>
      <w:bookmarkEnd w:id="401"/>
      <w:bookmarkEnd w:id="402"/>
      <w:bookmarkEnd w:id="403"/>
      <w:bookmarkEnd w:id="404"/>
      <w:bookmarkEnd w:id="405"/>
    </w:p>
    <w:p w14:paraId="2A1A8FAE">
      <w:pPr>
        <w:pStyle w:val="4"/>
        <w:numPr>
          <w:ilvl w:val="2"/>
          <w:numId w:val="90"/>
        </w:numPr>
        <w:tabs>
          <w:tab w:val="clear" w:pos="0"/>
        </w:tabs>
        <w:adjustRightInd w:val="0"/>
        <w:snapToGrid w:val="0"/>
        <w:ind w:left="720" w:leftChars="0" w:hanging="720" w:firstLineChars="0"/>
      </w:pPr>
      <w:r>
        <w:t>环境空气质量现状</w:t>
      </w:r>
    </w:p>
    <w:p w14:paraId="268D1856">
      <w:pPr>
        <w:adjustRightInd w:val="0"/>
        <w:snapToGrid w:val="0"/>
        <w:spacing w:line="360" w:lineRule="auto"/>
        <w:ind w:firstLine="480" w:firstLineChars="200"/>
        <w:jc w:val="left"/>
        <w:rPr>
          <w:rFonts w:ascii="Times New Roman" w:hAnsi="Times New Roman" w:eastAsia="宋体" w:cs="Times New Roman"/>
          <w:bCs/>
          <w:kern w:val="0"/>
          <w:sz w:val="24"/>
        </w:rPr>
      </w:pPr>
      <w:r>
        <w:rPr>
          <w:rFonts w:ascii="Times New Roman" w:hAnsi="Times New Roman" w:eastAsia="宋体" w:cs="Times New Roman"/>
          <w:bCs/>
          <w:kern w:val="0"/>
          <w:sz w:val="24"/>
        </w:rPr>
        <w:t>本项目所在区域属于环境空气质量二类功能区，环境空气质量应执行《环境空气质量标准》（GB3095-2012）及其修改清单中的二级标准。</w:t>
      </w:r>
    </w:p>
    <w:p w14:paraId="692E7A33">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濮阳市</w:t>
      </w:r>
      <w:r>
        <w:rPr>
          <w:rFonts w:ascii="Times New Roman" w:hAnsi="Times New Roman" w:eastAsia="宋体" w:cs="Times New Roman"/>
          <w:sz w:val="24"/>
        </w:rPr>
        <w:t>202</w:t>
      </w:r>
      <w:r>
        <w:rPr>
          <w:rFonts w:hint="eastAsia" w:ascii="Times New Roman" w:hAnsi="Times New Roman" w:eastAsia="宋体" w:cs="Times New Roman"/>
          <w:sz w:val="24"/>
        </w:rPr>
        <w:t>2</w:t>
      </w:r>
      <w:r>
        <w:rPr>
          <w:rFonts w:ascii="Times New Roman" w:hAnsi="Times New Roman" w:eastAsia="宋体" w:cs="Times New Roman"/>
          <w:sz w:val="24"/>
        </w:rPr>
        <w:t>年SO</w:t>
      </w:r>
      <w:r>
        <w:rPr>
          <w:rFonts w:ascii="Times New Roman" w:hAnsi="Times New Roman" w:eastAsia="宋体" w:cs="Times New Roman"/>
          <w:sz w:val="24"/>
          <w:vertAlign w:val="subscript"/>
        </w:rPr>
        <w:t>2</w:t>
      </w:r>
      <w:r>
        <w:rPr>
          <w:rFonts w:ascii="Times New Roman" w:hAnsi="Times New Roman" w:eastAsia="宋体" w:cs="Times New Roman"/>
          <w:sz w:val="24"/>
        </w:rPr>
        <w:t>、NO</w:t>
      </w:r>
      <w:r>
        <w:rPr>
          <w:rFonts w:ascii="Times New Roman" w:hAnsi="Times New Roman" w:eastAsia="宋体" w:cs="Times New Roman"/>
          <w:sz w:val="24"/>
          <w:vertAlign w:val="subscript"/>
        </w:rPr>
        <w:t>2</w:t>
      </w:r>
      <w:r>
        <w:rPr>
          <w:rFonts w:ascii="Times New Roman" w:hAnsi="Times New Roman" w:eastAsia="宋体" w:cs="Times New Roman"/>
          <w:sz w:val="24"/>
        </w:rPr>
        <w:t>年平均浓度、CO日平均质量浓度以及日平均特定百分位数浓度均满足《环境空气质量标准》</w:t>
      </w:r>
      <w:r>
        <w:rPr>
          <w:rFonts w:hint="eastAsia" w:ascii="Times New Roman" w:hAnsi="Times New Roman" w:eastAsia="宋体" w:cs="Times New Roman"/>
          <w:sz w:val="24"/>
        </w:rPr>
        <w:t>（</w:t>
      </w:r>
      <w:r>
        <w:rPr>
          <w:rFonts w:ascii="Times New Roman" w:hAnsi="Times New Roman" w:eastAsia="宋体" w:cs="Times New Roman"/>
          <w:sz w:val="24"/>
        </w:rPr>
        <w:t>GB3095-2012</w:t>
      </w:r>
      <w:r>
        <w:rPr>
          <w:rFonts w:hint="eastAsia" w:ascii="Times New Roman" w:hAnsi="Times New Roman" w:eastAsia="宋体" w:cs="Times New Roman"/>
          <w:sz w:val="24"/>
        </w:rPr>
        <w:t>）</w:t>
      </w:r>
      <w:r>
        <w:rPr>
          <w:rFonts w:ascii="Times New Roman" w:hAnsi="Times New Roman" w:eastAsia="宋体" w:cs="Times New Roman"/>
          <w:sz w:val="24"/>
        </w:rPr>
        <w:t>二级标准。</w:t>
      </w:r>
      <w:r>
        <w:rPr>
          <w:rFonts w:ascii="Times New Roman" w:hAnsi="Times New Roman" w:eastAsia="宋体" w:cs="Times New Roman"/>
          <w:color w:val="000000"/>
          <w:sz w:val="24"/>
          <w:szCs w:val="22"/>
        </w:rPr>
        <w:t>202</w:t>
      </w:r>
      <w:r>
        <w:rPr>
          <w:rFonts w:hint="eastAsia" w:ascii="Times New Roman" w:hAnsi="Times New Roman" w:eastAsia="宋体" w:cs="Times New Roman"/>
          <w:color w:val="000000"/>
          <w:sz w:val="24"/>
          <w:szCs w:val="22"/>
        </w:rPr>
        <w:t>2</w:t>
      </w:r>
      <w:r>
        <w:rPr>
          <w:rFonts w:ascii="Times New Roman" w:hAnsi="Times New Roman" w:eastAsia="宋体" w:cs="Times New Roman"/>
          <w:color w:val="000000"/>
          <w:sz w:val="24"/>
          <w:szCs w:val="22"/>
        </w:rPr>
        <w:t>年，PM</w:t>
      </w:r>
      <w:r>
        <w:rPr>
          <w:rFonts w:ascii="Times New Roman" w:hAnsi="Times New Roman" w:eastAsia="宋体" w:cs="Times New Roman"/>
          <w:color w:val="000000"/>
          <w:sz w:val="24"/>
          <w:szCs w:val="22"/>
          <w:vertAlign w:val="subscript"/>
        </w:rPr>
        <w:t>10</w:t>
      </w:r>
      <w:r>
        <w:rPr>
          <w:rFonts w:ascii="Times New Roman" w:hAnsi="Times New Roman" w:eastAsia="宋体" w:cs="Times New Roman"/>
          <w:color w:val="000000"/>
          <w:sz w:val="24"/>
          <w:szCs w:val="22"/>
        </w:rPr>
        <w:t>年平均浓度超标倍数为0.</w:t>
      </w:r>
      <w:r>
        <w:rPr>
          <w:rFonts w:hint="eastAsia" w:ascii="Times New Roman" w:hAnsi="Times New Roman" w:eastAsia="宋体" w:cs="Times New Roman"/>
          <w:color w:val="000000"/>
          <w:sz w:val="24"/>
          <w:szCs w:val="22"/>
        </w:rPr>
        <w:t>129</w:t>
      </w:r>
      <w:r>
        <w:rPr>
          <w:rFonts w:ascii="Times New Roman" w:hAnsi="Times New Roman" w:eastAsia="宋体" w:cs="Times New Roman"/>
          <w:color w:val="000000"/>
          <w:sz w:val="24"/>
          <w:szCs w:val="22"/>
        </w:rPr>
        <w:t>；PM</w:t>
      </w:r>
      <w:r>
        <w:rPr>
          <w:rFonts w:ascii="Times New Roman" w:hAnsi="Times New Roman" w:eastAsia="宋体" w:cs="Times New Roman"/>
          <w:color w:val="000000"/>
          <w:sz w:val="24"/>
          <w:szCs w:val="22"/>
          <w:vertAlign w:val="subscript"/>
        </w:rPr>
        <w:t>2.5</w:t>
      </w:r>
      <w:r>
        <w:rPr>
          <w:rFonts w:ascii="Times New Roman" w:hAnsi="Times New Roman" w:eastAsia="宋体" w:cs="Times New Roman"/>
          <w:color w:val="000000"/>
          <w:sz w:val="24"/>
          <w:szCs w:val="22"/>
        </w:rPr>
        <w:t>年平均浓度超标倍数为0.51；O</w:t>
      </w:r>
      <w:r>
        <w:rPr>
          <w:rFonts w:ascii="Times New Roman" w:hAnsi="Times New Roman" w:eastAsia="宋体" w:cs="Times New Roman"/>
          <w:color w:val="000000"/>
          <w:sz w:val="24"/>
          <w:szCs w:val="22"/>
          <w:vertAlign w:val="subscript"/>
        </w:rPr>
        <w:t>3</w:t>
      </w:r>
      <w:r>
        <w:rPr>
          <w:rFonts w:hint="eastAsia" w:ascii="Times New Roman" w:hAnsi="Times New Roman" w:eastAsia="宋体" w:cs="Times New Roman"/>
          <w:color w:val="000000"/>
          <w:sz w:val="24"/>
          <w:szCs w:val="22"/>
        </w:rPr>
        <w:t>最大8h平均浓度</w:t>
      </w:r>
      <w:r>
        <w:rPr>
          <w:rFonts w:ascii="Times New Roman" w:hAnsi="Times New Roman" w:eastAsia="宋体" w:cs="Times New Roman"/>
          <w:color w:val="000000"/>
          <w:sz w:val="24"/>
          <w:szCs w:val="22"/>
        </w:rPr>
        <w:t>特定百分位数浓度超标倍数为0.</w:t>
      </w:r>
      <w:r>
        <w:rPr>
          <w:rFonts w:hint="eastAsia" w:ascii="Times New Roman" w:hAnsi="Times New Roman" w:eastAsia="宋体" w:cs="Times New Roman"/>
          <w:color w:val="000000"/>
          <w:sz w:val="24"/>
          <w:szCs w:val="22"/>
        </w:rPr>
        <w:t>056</w:t>
      </w:r>
      <w:r>
        <w:rPr>
          <w:rFonts w:ascii="Times New Roman" w:hAnsi="Times New Roman" w:eastAsia="宋体" w:cs="Times New Roman"/>
          <w:sz w:val="24"/>
        </w:rPr>
        <w:t>；为不达标区。</w:t>
      </w:r>
    </w:p>
    <w:p w14:paraId="7ED733DF">
      <w:pPr>
        <w:adjustRightInd w:val="0"/>
        <w:snapToGrid w:val="0"/>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根据补充监测结果，评价区域大气环境中监测点位</w:t>
      </w:r>
      <w:r>
        <w:rPr>
          <w:rFonts w:hint="eastAsia" w:ascii="Times New Roman" w:hAnsi="Times New Roman" w:eastAsia="宋体" w:cs="Times New Roman"/>
          <w:sz w:val="24"/>
          <w:szCs w:val="22"/>
          <w:lang w:val="en-US" w:eastAsia="zh-CN"/>
        </w:rPr>
        <w:t>苯、</w:t>
      </w:r>
      <w:r>
        <w:rPr>
          <w:rFonts w:hint="eastAsia" w:ascii="Times New Roman" w:hAnsi="Times New Roman" w:eastAsia="宋体"/>
          <w:sz w:val="24"/>
        </w:rPr>
        <w:t>甲苯、二甲苯、非甲烷总烃</w:t>
      </w:r>
      <w:r>
        <w:rPr>
          <w:rFonts w:ascii="Times New Roman" w:hAnsi="Times New Roman" w:eastAsia="宋体"/>
          <w:sz w:val="24"/>
        </w:rPr>
        <w:t>均满足评价标准要求</w:t>
      </w:r>
      <w:r>
        <w:rPr>
          <w:rFonts w:hint="eastAsia" w:ascii="Times New Roman" w:hAnsi="Times New Roman" w:eastAsia="宋体"/>
          <w:sz w:val="24"/>
        </w:rPr>
        <w:t>。</w:t>
      </w:r>
    </w:p>
    <w:p w14:paraId="6C4BCA68">
      <w:pPr>
        <w:pStyle w:val="4"/>
        <w:numPr>
          <w:ilvl w:val="2"/>
          <w:numId w:val="90"/>
        </w:numPr>
        <w:tabs>
          <w:tab w:val="clear" w:pos="0"/>
        </w:tabs>
        <w:adjustRightInd w:val="0"/>
        <w:snapToGrid w:val="0"/>
        <w:ind w:left="720" w:leftChars="0" w:hanging="720" w:firstLineChars="0"/>
      </w:pPr>
      <w:r>
        <w:t>地表水环境质量现状</w:t>
      </w:r>
    </w:p>
    <w:p w14:paraId="34A455A3">
      <w:pPr>
        <w:adjustRightInd w:val="0"/>
        <w:snapToGrid w:val="0"/>
        <w:spacing w:line="360" w:lineRule="auto"/>
        <w:ind w:firstLine="480" w:firstLineChars="200"/>
        <w:rPr>
          <w:rFonts w:ascii="Times New Roman" w:hAnsi="Times New Roman" w:eastAsia="宋体" w:cs="Times New Roman"/>
          <w:color w:val="0000FF"/>
          <w:sz w:val="24"/>
        </w:rPr>
      </w:pPr>
      <w:r>
        <w:rPr>
          <w:rFonts w:hint="eastAsia" w:ascii="Times New Roman" w:hAnsi="Times New Roman" w:eastAsia="宋体" w:cs="Times New Roman"/>
          <w:sz w:val="24"/>
        </w:rPr>
        <w:t>马颊河西吉七</w:t>
      </w:r>
      <w:r>
        <w:rPr>
          <w:rFonts w:ascii="Times New Roman" w:hAnsi="Times New Roman" w:eastAsia="宋体" w:cs="Times New Roman"/>
          <w:sz w:val="24"/>
        </w:rPr>
        <w:t>断面202</w:t>
      </w:r>
      <w:r>
        <w:rPr>
          <w:rFonts w:hint="eastAsia" w:ascii="Times New Roman" w:hAnsi="Times New Roman" w:eastAsia="宋体" w:cs="Times New Roman"/>
          <w:sz w:val="24"/>
        </w:rPr>
        <w:t>2</w:t>
      </w:r>
      <w:r>
        <w:rPr>
          <w:rFonts w:ascii="Times New Roman" w:hAnsi="Times New Roman" w:eastAsia="宋体" w:cs="Times New Roman"/>
          <w:sz w:val="24"/>
        </w:rPr>
        <w:t>年NH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hint="eastAsia" w:ascii="Times New Roman" w:hAnsi="Times New Roman" w:eastAsia="宋体" w:cs="Times New Roman"/>
          <w:sz w:val="24"/>
        </w:rPr>
        <w:t>第3、4季度</w:t>
      </w:r>
      <w:r>
        <w:rPr>
          <w:rFonts w:ascii="Times New Roman" w:hAnsi="Times New Roman" w:eastAsia="宋体" w:cs="Times New Roman"/>
          <w:sz w:val="24"/>
        </w:rPr>
        <w:t>均有不同程度超标。</w:t>
      </w:r>
      <w:r>
        <w:rPr>
          <w:rFonts w:hint="eastAsia" w:ascii="Times New Roman" w:hAnsi="Times New Roman" w:eastAsia="宋体" w:cs="Times New Roman"/>
          <w:bCs/>
          <w:sz w:val="24"/>
        </w:rPr>
        <w:t>超标原因主要是沿岸农业面源污染严重，上游及支流来水水质不稳定，内源污染呈加重趋势，局部河段泥位较深，天然径流匮乏，污净比较高，因此部分月份水质出现超标情况。</w:t>
      </w:r>
    </w:p>
    <w:p w14:paraId="5166C8CB">
      <w:pPr>
        <w:spacing w:line="360" w:lineRule="auto"/>
        <w:ind w:firstLine="480" w:firstLineChars="200"/>
        <w:rPr>
          <w:rFonts w:ascii="Times New Roman" w:hAnsi="Times New Roman" w:eastAsia="宋体" w:cs="Times New Roman"/>
          <w:sz w:val="24"/>
        </w:rPr>
      </w:pPr>
      <w:r>
        <w:rPr>
          <w:rFonts w:ascii="Times New Roman" w:hAnsi="Times New Roman" w:eastAsia="Calibri" w:cs="Times New Roman"/>
          <w:sz w:val="24"/>
        </w:rPr>
        <w:t>由监测数据统计分析可知，</w:t>
      </w:r>
      <w:r>
        <w:rPr>
          <w:rFonts w:hint="eastAsia" w:ascii="Times New Roman" w:hAnsi="Times New Roman" w:eastAsia="宋体" w:cs="Times New Roman"/>
          <w:sz w:val="24"/>
        </w:rPr>
        <w:t>清丰中州水务有限公司第二污水处理厂纳污口上游500m、清丰中州水务有限公司第二污水处理厂纳污口下游200m、清丰中州水务有限公司第二污水处理厂纳污口下游2500m断面水质</w:t>
      </w:r>
      <w:r>
        <w:rPr>
          <w:rFonts w:hint="eastAsia" w:ascii="Times New Roman" w:hAnsi="Times New Roman" w:eastAsia="Calibri" w:cs="Times New Roman"/>
          <w:sz w:val="24"/>
        </w:rPr>
        <w:t>均满足</w:t>
      </w:r>
      <w:r>
        <w:rPr>
          <w:rFonts w:ascii="Times New Roman" w:hAnsi="Times New Roman" w:eastAsia="Calibri" w:cs="Times New Roman"/>
          <w:sz w:val="24"/>
        </w:rPr>
        <w:t>《地表水环境质量标准》（GB3838-2002）中</w:t>
      </w:r>
      <w:r>
        <w:rPr>
          <w:rFonts w:hint="eastAsia" w:ascii="Times New Roman" w:hAnsi="Times New Roman" w:eastAsia="宋体" w:cs="Times New Roman"/>
          <w:sz w:val="24"/>
        </w:rPr>
        <w:t>III</w:t>
      </w:r>
      <w:r>
        <w:rPr>
          <w:rFonts w:ascii="Times New Roman" w:hAnsi="Times New Roman" w:eastAsia="Calibri" w:cs="Times New Roman"/>
          <w:sz w:val="24"/>
        </w:rPr>
        <w:t>类水质要求</w:t>
      </w:r>
      <w:r>
        <w:rPr>
          <w:rFonts w:ascii="Times New Roman" w:hAnsi="Times New Roman" w:eastAsia="宋体" w:cs="Times New Roman"/>
          <w:sz w:val="24"/>
        </w:rPr>
        <w:t>。</w:t>
      </w:r>
    </w:p>
    <w:p w14:paraId="1A0885AC">
      <w:pPr>
        <w:pStyle w:val="4"/>
        <w:numPr>
          <w:ilvl w:val="2"/>
          <w:numId w:val="90"/>
        </w:numPr>
        <w:tabs>
          <w:tab w:val="clear" w:pos="0"/>
        </w:tabs>
        <w:adjustRightInd w:val="0"/>
        <w:snapToGrid w:val="0"/>
        <w:ind w:left="720" w:leftChars="0" w:hanging="720" w:firstLineChars="0"/>
      </w:pPr>
      <w:r>
        <w:rPr>
          <w:rFonts w:hint="eastAsia"/>
        </w:rPr>
        <w:t>地</w:t>
      </w:r>
      <w:r>
        <w:t>下水环境质量现状</w:t>
      </w:r>
    </w:p>
    <w:p w14:paraId="439041F1">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2"/>
        </w:rPr>
      </w:pPr>
      <w:r>
        <w:rPr>
          <w:rFonts w:hint="eastAsia" w:ascii="Times New Roman" w:hAnsi="Times New Roman" w:eastAsia="宋体" w:cs="Times New Roman"/>
          <w:sz w:val="24"/>
        </w:rPr>
        <w:t>本项目</w:t>
      </w:r>
      <w:r>
        <w:rPr>
          <w:rFonts w:ascii="Times New Roman" w:hAnsi="Times New Roman" w:eastAsia="宋体" w:cs="Times New Roman"/>
          <w:sz w:val="24"/>
        </w:rPr>
        <w:t>执行《地下水质量标准》（</w:t>
      </w:r>
      <w:r>
        <w:rPr>
          <w:rFonts w:hint="eastAsia" w:ascii="Times New Roman" w:hAnsi="Times New Roman" w:eastAsia="宋体" w:cs="Times New Roman"/>
          <w:sz w:val="24"/>
        </w:rPr>
        <w:t>GT/B14848-2017</w:t>
      </w:r>
      <w:r>
        <w:rPr>
          <w:rFonts w:ascii="Times New Roman" w:hAnsi="Times New Roman" w:eastAsia="宋体" w:cs="Times New Roman"/>
          <w:sz w:val="24"/>
        </w:rPr>
        <w:t>）</w:t>
      </w:r>
      <w:r>
        <w:rPr>
          <w:rFonts w:hint="eastAsia" w:ascii="Times New Roman" w:hAnsi="Times New Roman" w:eastAsia="宋体" w:cs="Times New Roman"/>
          <w:sz w:val="24"/>
        </w:rPr>
        <w:t>表1和表3</w:t>
      </w:r>
      <w:r>
        <w:rPr>
          <w:rFonts w:ascii="Times New Roman" w:hAnsi="Times New Roman" w:eastAsia="宋体" w:cs="Times New Roman"/>
          <w:sz w:val="24"/>
        </w:rPr>
        <w:t>中的</w:t>
      </w:r>
      <w:r>
        <w:rPr>
          <w:rFonts w:hint="eastAsia" w:ascii="宋体" w:hAnsi="宋体" w:eastAsia="宋体" w:cs="宋体"/>
          <w:sz w:val="24"/>
        </w:rPr>
        <w:t>Ⅲ</w:t>
      </w:r>
      <w:r>
        <w:rPr>
          <w:rFonts w:ascii="Times New Roman" w:hAnsi="Times New Roman" w:eastAsia="宋体" w:cs="Times New Roman"/>
          <w:sz w:val="24"/>
        </w:rPr>
        <w:t>类标准</w:t>
      </w:r>
      <w:r>
        <w:rPr>
          <w:rFonts w:hint="eastAsia" w:ascii="Times New Roman" w:hAnsi="Times New Roman" w:eastAsia="宋体" w:cs="Times New Roman"/>
          <w:sz w:val="24"/>
        </w:rPr>
        <w:t>。</w:t>
      </w:r>
    </w:p>
    <w:p w14:paraId="44FFC6EE">
      <w:pPr>
        <w:widowControl/>
        <w:adjustRightInd w:val="0"/>
        <w:snapToGrid w:val="0"/>
        <w:spacing w:line="360" w:lineRule="auto"/>
        <w:ind w:firstLine="480" w:firstLineChars="20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由监测结果可知，</w:t>
      </w:r>
      <w:r>
        <w:rPr>
          <w:rFonts w:ascii="Times New Roman" w:hAnsi="Times New Roman" w:eastAsia="宋体" w:cs="Times New Roman"/>
          <w:sz w:val="24"/>
          <w:szCs w:val="21"/>
        </w:rPr>
        <w:t>根据监测数据表明，地下水环境质量现状各监测点位pH、总硬度、氨氮、耗氧量、硝酸盐、亚硝酸盐、总氰化物、溶解性总固体、硫酸盐、氯化物、砷、汞、六价铬、铅、镉、铁、锰、总大肠菌群、菌落总数、</w:t>
      </w:r>
      <w:r>
        <w:rPr>
          <w:rFonts w:hint="eastAsia" w:ascii="Times New Roman" w:hAnsi="Times New Roman" w:eastAsia="宋体" w:cs="Times New Roman"/>
          <w:sz w:val="24"/>
          <w:szCs w:val="21"/>
        </w:rPr>
        <w:t>甲苯、二甲苯</w:t>
      </w:r>
      <w:r>
        <w:rPr>
          <w:rFonts w:ascii="Times New Roman" w:hAnsi="Times New Roman" w:eastAsia="宋体" w:cs="Times New Roman"/>
          <w:sz w:val="24"/>
          <w:szCs w:val="21"/>
        </w:rPr>
        <w:t>等监测值均能满足GB/T14848-2017《地下水质量标准》Ⅲ类标准要求。</w:t>
      </w:r>
    </w:p>
    <w:p w14:paraId="5884B512">
      <w:pPr>
        <w:pStyle w:val="4"/>
        <w:numPr>
          <w:ilvl w:val="2"/>
          <w:numId w:val="90"/>
        </w:numPr>
        <w:tabs>
          <w:tab w:val="clear" w:pos="0"/>
        </w:tabs>
        <w:adjustRightInd w:val="0"/>
        <w:snapToGrid w:val="0"/>
        <w:ind w:left="720" w:leftChars="0" w:hanging="720" w:firstLineChars="0"/>
      </w:pPr>
      <w:r>
        <w:t>声环境质量现状</w:t>
      </w:r>
    </w:p>
    <w:p w14:paraId="11A58353">
      <w:pPr>
        <w:adjustRightInd w:val="0"/>
        <w:snapToGrid w:val="0"/>
        <w:spacing w:line="360" w:lineRule="auto"/>
        <w:ind w:firstLine="482"/>
        <w:rPr>
          <w:rFonts w:ascii="Times New Roman" w:hAnsi="Times New Roman" w:eastAsia="宋体" w:cs="Times New Roman"/>
          <w:bCs/>
          <w:kern w:val="0"/>
          <w:sz w:val="24"/>
        </w:rPr>
      </w:pPr>
      <w:r>
        <w:rPr>
          <w:rFonts w:hint="eastAsia" w:ascii="Times New Roman" w:hAnsi="Times New Roman" w:eastAsia="宋体" w:cs="Times New Roman"/>
          <w:bCs/>
          <w:kern w:val="0"/>
          <w:sz w:val="24"/>
        </w:rPr>
        <w:t>本项目位于清丰县产业集聚区，项目所在区域属于3类声功能区。</w:t>
      </w:r>
    </w:p>
    <w:p w14:paraId="5A4B8CFF">
      <w:pPr>
        <w:widowControl/>
        <w:adjustRightInd w:val="0"/>
        <w:snapToGrid w:val="0"/>
        <w:spacing w:line="360" w:lineRule="auto"/>
        <w:ind w:firstLine="480" w:firstLineChars="200"/>
        <w:jc w:val="left"/>
        <w:rPr>
          <w:rFonts w:ascii="Times New Roman" w:hAnsi="Times New Roman" w:eastAsia="宋体" w:cs="Times New Roman"/>
          <w:sz w:val="24"/>
          <w:szCs w:val="21"/>
        </w:rPr>
      </w:pPr>
      <w:r>
        <w:rPr>
          <w:rFonts w:ascii="Times New Roman" w:hAnsi="Times New Roman" w:eastAsia="宋体" w:cs="Times New Roman"/>
          <w:sz w:val="24"/>
          <w:szCs w:val="21"/>
        </w:rPr>
        <w:t>由监测数据可知，</w:t>
      </w:r>
      <w:r>
        <w:rPr>
          <w:rFonts w:hint="eastAsia" w:ascii="Times New Roman" w:hAnsi="Times New Roman" w:eastAsia="宋体" w:cs="Times New Roman"/>
          <w:sz w:val="24"/>
          <w:szCs w:val="21"/>
        </w:rPr>
        <w:t>拟建项目</w:t>
      </w:r>
      <w:r>
        <w:rPr>
          <w:rFonts w:ascii="Times New Roman" w:hAnsi="Times New Roman" w:eastAsia="宋体" w:cs="Times New Roman"/>
          <w:sz w:val="24"/>
          <w:szCs w:val="21"/>
        </w:rPr>
        <w:t>厂界</w:t>
      </w:r>
      <w:r>
        <w:rPr>
          <w:rFonts w:hint="eastAsia" w:ascii="Times New Roman" w:hAnsi="Times New Roman" w:eastAsia="宋体" w:cs="Times New Roman"/>
          <w:sz w:val="24"/>
          <w:szCs w:val="21"/>
        </w:rPr>
        <w:t>声环境现状</w:t>
      </w:r>
      <w:r>
        <w:rPr>
          <w:rFonts w:ascii="Times New Roman" w:hAnsi="Times New Roman" w:eastAsia="宋体" w:cs="Times New Roman"/>
          <w:sz w:val="24"/>
          <w:szCs w:val="21"/>
        </w:rPr>
        <w:t>可以满足《声环境质量标准》（GB3096-2008）3类标准限值要求</w:t>
      </w:r>
      <w:r>
        <w:rPr>
          <w:rFonts w:hint="eastAsia" w:ascii="Times New Roman" w:hAnsi="Times New Roman" w:eastAsia="宋体" w:cs="Times New Roman"/>
          <w:sz w:val="24"/>
          <w:szCs w:val="21"/>
        </w:rPr>
        <w:t>，周边敏感目标声环境现状</w:t>
      </w:r>
      <w:r>
        <w:rPr>
          <w:rFonts w:ascii="Times New Roman" w:hAnsi="Times New Roman" w:eastAsia="宋体" w:cs="Times New Roman"/>
          <w:sz w:val="24"/>
          <w:szCs w:val="21"/>
        </w:rPr>
        <w:t>可以满足《声环境质量标准》（GB3096-2008）</w:t>
      </w:r>
      <w:r>
        <w:rPr>
          <w:rFonts w:hint="eastAsia" w:ascii="Times New Roman" w:hAnsi="Times New Roman" w:eastAsia="宋体" w:cs="Times New Roman"/>
          <w:sz w:val="24"/>
          <w:szCs w:val="21"/>
        </w:rPr>
        <w:t>2</w:t>
      </w:r>
      <w:r>
        <w:rPr>
          <w:rFonts w:ascii="Times New Roman" w:hAnsi="Times New Roman" w:eastAsia="宋体" w:cs="Times New Roman"/>
          <w:sz w:val="24"/>
          <w:szCs w:val="21"/>
        </w:rPr>
        <w:t>类标准限值要求。</w:t>
      </w:r>
    </w:p>
    <w:p w14:paraId="620EBE5C">
      <w:pPr>
        <w:pStyle w:val="4"/>
        <w:numPr>
          <w:ilvl w:val="2"/>
          <w:numId w:val="90"/>
        </w:numPr>
        <w:tabs>
          <w:tab w:val="clear" w:pos="0"/>
        </w:tabs>
        <w:adjustRightInd w:val="0"/>
        <w:snapToGrid w:val="0"/>
        <w:ind w:left="720" w:leftChars="0" w:hanging="720" w:firstLineChars="0"/>
      </w:pPr>
      <w:r>
        <w:t>土壤环境现状</w:t>
      </w:r>
    </w:p>
    <w:p w14:paraId="28B049FD">
      <w:pPr>
        <w:widowControl/>
        <w:adjustRightInd w:val="0"/>
        <w:snapToGrid w:val="0"/>
        <w:spacing w:line="360" w:lineRule="auto"/>
        <w:ind w:firstLine="480" w:firstLineChars="200"/>
        <w:jc w:val="left"/>
        <w:rPr>
          <w:rFonts w:ascii="Times New Roman" w:hAnsi="Times New Roman" w:eastAsia="宋体" w:cs="Times New Roman"/>
          <w:sz w:val="24"/>
          <w:szCs w:val="21"/>
        </w:rPr>
      </w:pPr>
      <w:r>
        <w:rPr>
          <w:rFonts w:ascii="Times New Roman" w:hAnsi="Times New Roman" w:eastAsia="宋体" w:cs="Times New Roman"/>
          <w:sz w:val="24"/>
          <w:szCs w:val="21"/>
        </w:rPr>
        <w:t>由监测数据可知，土壤各监测点位中各监测因子均满足《土壤环境质量建设用地土壤污染风险管控标准》（试行）（GB36600-2018）表1</w:t>
      </w:r>
      <w:r>
        <w:rPr>
          <w:rFonts w:hint="eastAsia" w:ascii="Times New Roman" w:hAnsi="Times New Roman" w:eastAsia="宋体" w:cs="Times New Roman"/>
          <w:sz w:val="24"/>
          <w:szCs w:val="21"/>
        </w:rPr>
        <w:t>、表2</w:t>
      </w:r>
      <w:r>
        <w:rPr>
          <w:rFonts w:ascii="Times New Roman" w:hAnsi="Times New Roman" w:eastAsia="宋体" w:cs="Times New Roman"/>
          <w:sz w:val="24"/>
          <w:szCs w:val="21"/>
        </w:rPr>
        <w:t>第二类用地风险筛选值。</w:t>
      </w:r>
    </w:p>
    <w:p w14:paraId="26D4A3CF">
      <w:pPr>
        <w:pStyle w:val="3"/>
        <w:numPr>
          <w:ilvl w:val="1"/>
          <w:numId w:val="90"/>
        </w:numPr>
        <w:tabs>
          <w:tab w:val="clear" w:pos="0"/>
        </w:tabs>
        <w:adjustRightInd w:val="0"/>
        <w:snapToGrid w:val="0"/>
        <w:ind w:left="720" w:leftChars="0" w:hanging="720" w:firstLineChars="0"/>
      </w:pPr>
      <w:bookmarkStart w:id="406" w:name="_Toc30185"/>
      <w:bookmarkStart w:id="407" w:name="_Toc28770"/>
      <w:bookmarkStart w:id="408" w:name="_Toc28068"/>
      <w:bookmarkStart w:id="409" w:name="_Toc27293"/>
      <w:bookmarkStart w:id="410" w:name="_Toc7399"/>
      <w:bookmarkStart w:id="411" w:name="_Toc10004"/>
      <w:bookmarkStart w:id="412" w:name="_Toc1957"/>
      <w:bookmarkStart w:id="413" w:name="_Toc14129"/>
      <w:r>
        <w:t>污染物排放情况</w:t>
      </w:r>
      <w:bookmarkEnd w:id="406"/>
      <w:r>
        <w:t>及环境保护措施</w:t>
      </w:r>
      <w:bookmarkEnd w:id="407"/>
      <w:bookmarkEnd w:id="408"/>
      <w:bookmarkEnd w:id="409"/>
      <w:bookmarkEnd w:id="410"/>
      <w:bookmarkEnd w:id="411"/>
      <w:bookmarkEnd w:id="412"/>
      <w:bookmarkEnd w:id="413"/>
    </w:p>
    <w:p w14:paraId="66816AEF">
      <w:pPr>
        <w:pStyle w:val="4"/>
        <w:numPr>
          <w:ilvl w:val="2"/>
          <w:numId w:val="90"/>
        </w:numPr>
        <w:tabs>
          <w:tab w:val="clear" w:pos="0"/>
        </w:tabs>
        <w:adjustRightInd w:val="0"/>
        <w:snapToGrid w:val="0"/>
        <w:ind w:left="720" w:leftChars="0" w:hanging="720" w:firstLineChars="0"/>
      </w:pPr>
      <w:r>
        <w:t>废气</w:t>
      </w:r>
    </w:p>
    <w:p w14:paraId="77EED090">
      <w:pPr>
        <w:pStyle w:val="17"/>
        <w:adjustRightInd w:val="0"/>
        <w:snapToGrid w:val="0"/>
        <w:spacing w:line="360" w:lineRule="auto"/>
        <w:ind w:firstLine="480" w:firstLineChars="200"/>
        <w:rPr>
          <w:rFonts w:ascii="Times New Roman" w:hAnsi="Times New Roman"/>
          <w:sz w:val="24"/>
          <w:szCs w:val="24"/>
        </w:rPr>
      </w:pPr>
      <w:r>
        <w:rPr>
          <w:rFonts w:hint="eastAsia" w:ascii="Times New Roman" w:hAnsi="Times New Roman" w:cs="Times New Roman"/>
          <w:sz w:val="24"/>
          <w:szCs w:val="24"/>
        </w:rPr>
        <w:t>（1）木加工粉尘：根据工程分析，</w:t>
      </w:r>
      <w:r>
        <w:rPr>
          <w:rFonts w:ascii="Times New Roman" w:hAnsi="Times New Roman" w:cs="Times New Roman"/>
          <w:sz w:val="24"/>
          <w:szCs w:val="24"/>
        </w:rPr>
        <w:t>本项目运营期</w:t>
      </w:r>
      <w:r>
        <w:rPr>
          <w:rFonts w:hint="eastAsia" w:ascii="Times New Roman" w:hAnsi="Times New Roman" w:cs="Times New Roman"/>
          <w:sz w:val="24"/>
          <w:szCs w:val="24"/>
        </w:rPr>
        <w:t>木加工工序粉尘经中央除尘系统处理后经15m高排气筒排放（DA001），颗粒物排放浓度为</w:t>
      </w:r>
      <w:r>
        <w:rPr>
          <w:rFonts w:hint="eastAsia" w:ascii="Times New Roman" w:hAnsi="Times New Roman" w:cs="Times New Roman"/>
          <w:sz w:val="24"/>
          <w:szCs w:val="24"/>
          <w:lang w:val="en-US" w:eastAsia="zh-CN"/>
        </w:rPr>
        <w:t>0.52</w:t>
      </w:r>
      <w:r>
        <w:rPr>
          <w:rFonts w:hint="eastAsia" w:ascii="Times New Roman" w:hAnsi="Times New Roman" w:cs="Times New Roman"/>
          <w:sz w:val="24"/>
          <w:szCs w:val="24"/>
        </w:rPr>
        <w:t>mg/m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，排放速率为</w:t>
      </w:r>
      <w:r>
        <w:rPr>
          <w:rFonts w:hint="eastAsia" w:ascii="Times New Roman" w:hAnsi="Times New Roman" w:cs="Times New Roman"/>
          <w:sz w:val="24"/>
          <w:szCs w:val="24"/>
          <w:lang w:val="en-US" w:eastAsia="zh-CN"/>
        </w:rPr>
        <w:t>0.011</w:t>
      </w:r>
      <w:r>
        <w:rPr>
          <w:rFonts w:hint="eastAsia" w:ascii="Times New Roman" w:hAnsi="Times New Roman" w:cs="Times New Roman"/>
          <w:sz w:val="24"/>
          <w:szCs w:val="24"/>
        </w:rPr>
        <w:t>kg/h。</w:t>
      </w:r>
    </w:p>
    <w:p w14:paraId="24EFBD0A">
      <w:pPr>
        <w:pStyle w:val="17"/>
        <w:adjustRightInd w:val="0"/>
        <w:snapToGrid w:val="0"/>
        <w:spacing w:line="360" w:lineRule="auto"/>
        <w:ind w:firstLine="480" w:firstLineChars="200"/>
        <w:rPr>
          <w:rFonts w:ascii="Times New Roman" w:hAnsi="Times New Roman" w:eastAsia="宋体" w:cs="Times New Roman"/>
          <w:color w:val="000000" w:themeColor="text1"/>
          <w:sz w:val="24"/>
          <w:szCs w:val="24"/>
          <w:vertAlign w:val="superscript"/>
          <w14:textFill>
            <w14:solidFill>
              <w14:schemeClr w14:val="tx1"/>
            </w14:solidFill>
          </w14:textFill>
        </w:rPr>
      </w:pPr>
      <w:r>
        <w:rPr>
          <w:rFonts w:hint="eastAsia" w:ascii="Times New Roman" w:hAnsi="Times New Roman" w:cs="Times New Roman"/>
          <w:sz w:val="24"/>
          <w:szCs w:val="24"/>
        </w:rPr>
        <w:t>（2）打磨粉尘：</w:t>
      </w:r>
      <w:r>
        <w:rPr>
          <w:rFonts w:hint="eastAsia" w:ascii="Times New Roman" w:hAnsi="Times New Roman" w:eastAsia="宋体" w:cs="Times New Roman"/>
          <w:sz w:val="24"/>
          <w:szCs w:val="24"/>
        </w:rPr>
        <w:t>打磨工序产生的粉尘经负压收集后引入脉冲布袋除尘器</w:t>
      </w:r>
      <w:r>
        <w:rPr>
          <w:rFonts w:hint="eastAsia" w:ascii="Times New Roman" w:hAnsi="Times New Roman" w:eastAsia="宋体" w:cs="Times New Roman"/>
          <w:sz w:val="24"/>
          <w:szCs w:val="24"/>
          <w:lang w:val="en-US" w:eastAsia="zh-CN"/>
        </w:rPr>
        <w:t>无组织排放</w:t>
      </w:r>
      <w:r>
        <w:rPr>
          <w:rFonts w:hint="eastAsia" w:ascii="Times New Roman" w:hAnsi="Times New Roman" w:eastAsia="宋体" w:cs="Times New Roman"/>
          <w:color w:val="000000" w:themeColor="text1"/>
          <w:sz w:val="24"/>
          <w:szCs w:val="24"/>
          <w14:textFill>
            <w14:solidFill>
              <w14:schemeClr w14:val="tx1"/>
            </w14:solidFill>
          </w14:textFill>
        </w:rPr>
        <w:t>。</w:t>
      </w:r>
    </w:p>
    <w:p w14:paraId="508562D0">
      <w:pPr>
        <w:adjustRightInd w:val="0"/>
        <w:snapToGrid w:val="0"/>
        <w:spacing w:line="360" w:lineRule="auto"/>
        <w:ind w:firstLine="480"/>
        <w:rPr>
          <w:rFonts w:ascii="Times New Roman" w:hAnsi="Times New Roman"/>
          <w:color w:val="auto"/>
          <w:sz w:val="24"/>
          <w:highlight w:val="yellow"/>
        </w:rPr>
      </w:pPr>
      <w:r>
        <w:rPr>
          <w:rFonts w:hint="eastAsia" w:ascii="Times New Roman" w:hAnsi="Times New Roman" w:cs="Times New Roman"/>
          <w:sz w:val="24"/>
        </w:rPr>
        <w:t>（</w:t>
      </w:r>
      <w:r>
        <w:rPr>
          <w:rFonts w:hint="eastAsia" w:ascii="Times New Roman" w:hAnsi="Times New Roman" w:cs="Times New Roman"/>
          <w:color w:val="auto"/>
          <w:sz w:val="24"/>
        </w:rPr>
        <w:t>3）</w:t>
      </w:r>
      <w:r>
        <w:rPr>
          <w:rFonts w:hint="eastAsia" w:ascii="Times New Roman" w:hAnsi="Times New Roman"/>
          <w:color w:val="auto"/>
          <w:sz w:val="24"/>
        </w:rPr>
        <w:t>本</w:t>
      </w:r>
      <w:r>
        <w:rPr>
          <w:rFonts w:ascii="Times New Roman" w:hAnsi="Times New Roman"/>
          <w:color w:val="auto"/>
          <w:sz w:val="24"/>
        </w:rPr>
        <w:t>项目拼板</w:t>
      </w:r>
      <w:r>
        <w:rPr>
          <w:rFonts w:hint="eastAsia" w:ascii="Times New Roman" w:hAnsi="Times New Roman"/>
          <w:color w:val="auto"/>
          <w:sz w:val="24"/>
        </w:rPr>
        <w:t>冷压、封边、热压</w:t>
      </w:r>
      <w:r>
        <w:rPr>
          <w:rFonts w:ascii="Times New Roman" w:hAnsi="Times New Roman"/>
          <w:color w:val="auto"/>
          <w:sz w:val="24"/>
        </w:rPr>
        <w:t>、擦色过程产生的废气经</w:t>
      </w:r>
      <w:r>
        <w:rPr>
          <w:rFonts w:hint="eastAsia" w:ascii="Times New Roman" w:hAnsi="Times New Roman"/>
          <w:color w:val="auto"/>
          <w:sz w:val="24"/>
        </w:rPr>
        <w:t>集气罩</w:t>
      </w:r>
      <w:r>
        <w:rPr>
          <w:rFonts w:ascii="Times New Roman" w:hAnsi="Times New Roman"/>
          <w:color w:val="auto"/>
          <w:sz w:val="24"/>
        </w:rPr>
        <w:t>装置收集后一并经活性炭吸附—脱附催化燃烧装置处理（与</w:t>
      </w:r>
      <w:r>
        <w:rPr>
          <w:rFonts w:hint="eastAsia" w:ascii="Times New Roman" w:hAnsi="Times New Roman"/>
          <w:color w:val="auto"/>
          <w:sz w:val="24"/>
        </w:rPr>
        <w:t>底</w:t>
      </w:r>
      <w:r>
        <w:rPr>
          <w:rFonts w:ascii="Times New Roman" w:hAnsi="Times New Roman"/>
          <w:color w:val="auto"/>
          <w:sz w:val="24"/>
        </w:rPr>
        <w:t>漆房采用同一套废气处理装置），喷漆房废气采用水帘</w:t>
      </w:r>
      <w:r>
        <w:rPr>
          <w:rFonts w:hint="eastAsia" w:ascii="Times New Roman" w:hAnsi="Times New Roman"/>
          <w:color w:val="auto"/>
          <w:sz w:val="24"/>
        </w:rPr>
        <w:t>+漆雾过滤器</w:t>
      </w:r>
      <w:r>
        <w:rPr>
          <w:rFonts w:ascii="Times New Roman" w:hAnsi="Times New Roman"/>
          <w:color w:val="auto"/>
          <w:sz w:val="24"/>
        </w:rPr>
        <w:t>处理后和晾干废气一起经活性炭吸附—脱附催化燃烧装置处理后</w:t>
      </w:r>
      <w:r>
        <w:rPr>
          <w:rFonts w:hint="eastAsia" w:ascii="Times New Roman" w:hAnsi="Times New Roman"/>
          <w:color w:val="auto"/>
          <w:sz w:val="24"/>
          <w:lang w:eastAsia="zh-CN"/>
        </w:rPr>
        <w:t>，</w:t>
      </w:r>
      <w:r>
        <w:rPr>
          <w:rFonts w:ascii="Times New Roman" w:hAnsi="Times New Roman"/>
          <w:color w:val="auto"/>
          <w:sz w:val="24"/>
        </w:rPr>
        <w:t>有组织排放的</w:t>
      </w:r>
      <w:r>
        <w:rPr>
          <w:rFonts w:hint="eastAsia" w:ascii="Times New Roman" w:hAnsi="Times New Roman"/>
          <w:color w:val="auto"/>
          <w:sz w:val="24"/>
        </w:rPr>
        <w:t>颗粒物排放量</w:t>
      </w:r>
      <w:r>
        <w:rPr>
          <w:rFonts w:hint="eastAsia" w:ascii="Times New Roman" w:hAnsi="Times New Roman"/>
          <w:color w:val="auto"/>
          <w:sz w:val="24"/>
          <w:lang w:val="en-US" w:eastAsia="zh-CN"/>
        </w:rPr>
        <w:t>0.322t</w:t>
      </w:r>
      <w:r>
        <w:rPr>
          <w:rFonts w:hint="eastAsia" w:ascii="Times New Roman" w:hAnsi="Times New Roman"/>
          <w:color w:val="auto"/>
          <w:sz w:val="24"/>
        </w:rPr>
        <w:t>/a（</w:t>
      </w:r>
      <w:r>
        <w:rPr>
          <w:rFonts w:hint="eastAsia" w:ascii="Times New Roman" w:hAnsi="Times New Roman"/>
          <w:color w:val="auto"/>
          <w:sz w:val="24"/>
          <w:lang w:val="en-US" w:eastAsia="zh-CN"/>
        </w:rPr>
        <w:t>0.134</w:t>
      </w:r>
      <w:r>
        <w:rPr>
          <w:rFonts w:hint="eastAsia" w:ascii="Times New Roman" w:hAnsi="Times New Roman"/>
          <w:color w:val="auto"/>
          <w:sz w:val="24"/>
        </w:rPr>
        <w:t>kg/h），</w:t>
      </w:r>
      <w:r>
        <w:rPr>
          <w:rFonts w:hint="eastAsia" w:ascii="Times New Roman" w:hAnsi="Times New Roman"/>
          <w:color w:val="auto"/>
          <w:sz w:val="24"/>
          <w:highlight w:val="none"/>
        </w:rPr>
        <w:t>排放浓度为</w:t>
      </w:r>
      <w:r>
        <w:rPr>
          <w:rFonts w:hint="eastAsia" w:ascii="Times New Roman" w:hAnsi="Times New Roman"/>
          <w:color w:val="auto"/>
          <w:sz w:val="24"/>
          <w:highlight w:val="none"/>
          <w:lang w:val="en-US" w:eastAsia="zh-CN"/>
        </w:rPr>
        <w:t>1.97</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；苯排放量</w:t>
      </w:r>
      <w:r>
        <w:rPr>
          <w:rFonts w:hint="eastAsia" w:ascii="Times New Roman" w:hAnsi="Times New Roman"/>
          <w:color w:val="auto"/>
          <w:sz w:val="24"/>
          <w:highlight w:val="none"/>
          <w:lang w:val="en-US" w:eastAsia="zh-CN"/>
        </w:rPr>
        <w:t>0.0135</w:t>
      </w:r>
      <w:r>
        <w:rPr>
          <w:rFonts w:hint="eastAsia" w:ascii="Times New Roman" w:hAnsi="Times New Roman"/>
          <w:color w:val="auto"/>
          <w:sz w:val="24"/>
          <w:highlight w:val="none"/>
        </w:rPr>
        <w:t>t/a（0.0</w:t>
      </w:r>
      <w:r>
        <w:rPr>
          <w:rFonts w:hint="eastAsia" w:ascii="Times New Roman" w:hAnsi="Times New Roman"/>
          <w:color w:val="auto"/>
          <w:sz w:val="24"/>
          <w:highlight w:val="none"/>
          <w:lang w:val="en-US" w:eastAsia="zh-CN"/>
        </w:rPr>
        <w:t>156</w:t>
      </w:r>
      <w:r>
        <w:rPr>
          <w:rFonts w:hint="eastAsia" w:ascii="Times New Roman" w:hAnsi="Times New Roman"/>
          <w:color w:val="auto"/>
          <w:sz w:val="24"/>
          <w:highlight w:val="none"/>
        </w:rPr>
        <w:t>kg/h），排放浓度为</w:t>
      </w:r>
      <w:r>
        <w:rPr>
          <w:rFonts w:hint="eastAsia" w:ascii="Times New Roman" w:hAnsi="Times New Roman"/>
          <w:color w:val="auto"/>
          <w:sz w:val="24"/>
          <w:highlight w:val="none"/>
          <w:lang w:val="en-US" w:eastAsia="zh-CN"/>
        </w:rPr>
        <w:t>0.23</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；甲苯排放量</w:t>
      </w:r>
      <w:r>
        <w:rPr>
          <w:rFonts w:hint="eastAsia" w:ascii="Times New Roman" w:hAnsi="Times New Roman"/>
          <w:color w:val="auto"/>
          <w:sz w:val="24"/>
          <w:highlight w:val="none"/>
          <w:lang w:val="en-US" w:eastAsia="zh-CN"/>
        </w:rPr>
        <w:t>0.0608</w:t>
      </w:r>
      <w:r>
        <w:rPr>
          <w:rFonts w:hint="eastAsia" w:ascii="Times New Roman" w:hAnsi="Times New Roman"/>
          <w:color w:val="auto"/>
          <w:sz w:val="24"/>
          <w:highlight w:val="none"/>
        </w:rPr>
        <w:t>t/a（0.0</w:t>
      </w:r>
      <w:r>
        <w:rPr>
          <w:rFonts w:hint="eastAsia" w:ascii="Times New Roman" w:hAnsi="Times New Roman"/>
          <w:color w:val="auto"/>
          <w:sz w:val="24"/>
          <w:highlight w:val="none"/>
          <w:lang w:val="en-US" w:eastAsia="zh-CN"/>
        </w:rPr>
        <w:t>716</w:t>
      </w:r>
      <w:r>
        <w:rPr>
          <w:rFonts w:hint="eastAsia" w:ascii="Times New Roman" w:hAnsi="Times New Roman"/>
          <w:color w:val="auto"/>
          <w:sz w:val="24"/>
          <w:highlight w:val="none"/>
        </w:rPr>
        <w:t>kg/h），排放浓度为1.</w:t>
      </w:r>
      <w:r>
        <w:rPr>
          <w:rFonts w:hint="eastAsia" w:ascii="Times New Roman" w:hAnsi="Times New Roman"/>
          <w:color w:val="auto"/>
          <w:sz w:val="24"/>
          <w:highlight w:val="none"/>
          <w:lang w:val="en-US" w:eastAsia="zh-CN"/>
        </w:rPr>
        <w:t>05</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；二甲苯排放量</w:t>
      </w:r>
      <w:r>
        <w:rPr>
          <w:rFonts w:hint="eastAsia" w:ascii="Times New Roman" w:hAnsi="Times New Roman"/>
          <w:color w:val="auto"/>
          <w:sz w:val="24"/>
          <w:highlight w:val="none"/>
          <w:lang w:val="en-US" w:eastAsia="zh-CN"/>
        </w:rPr>
        <w:t>0.1351</w:t>
      </w:r>
      <w:r>
        <w:rPr>
          <w:rFonts w:hint="eastAsia" w:ascii="Times New Roman" w:hAnsi="Times New Roman"/>
          <w:color w:val="auto"/>
          <w:sz w:val="24"/>
          <w:highlight w:val="none"/>
        </w:rPr>
        <w:t>t/a（0.</w:t>
      </w:r>
      <w:r>
        <w:rPr>
          <w:rFonts w:hint="eastAsia" w:ascii="Times New Roman" w:hAnsi="Times New Roman"/>
          <w:color w:val="auto"/>
          <w:sz w:val="24"/>
          <w:highlight w:val="none"/>
          <w:lang w:val="en-US" w:eastAsia="zh-CN"/>
        </w:rPr>
        <w:t>1588</w:t>
      </w:r>
      <w:r>
        <w:rPr>
          <w:rFonts w:hint="eastAsia" w:ascii="Times New Roman" w:hAnsi="Times New Roman"/>
          <w:color w:val="auto"/>
          <w:sz w:val="24"/>
          <w:highlight w:val="none"/>
        </w:rPr>
        <w:t>kg/h），排放浓度为</w:t>
      </w:r>
      <w:r>
        <w:rPr>
          <w:rFonts w:hint="eastAsia" w:ascii="Times New Roman" w:hAnsi="Times New Roman"/>
          <w:color w:val="auto"/>
          <w:sz w:val="24"/>
          <w:highlight w:val="none"/>
          <w:lang w:val="en-US" w:eastAsia="zh-CN"/>
        </w:rPr>
        <w:t>2.34</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；非甲烷总烃排放量</w:t>
      </w:r>
      <w:r>
        <w:rPr>
          <w:rFonts w:hint="eastAsia" w:ascii="Times New Roman" w:hAnsi="Times New Roman"/>
          <w:color w:val="auto"/>
          <w:sz w:val="24"/>
          <w:highlight w:val="none"/>
          <w:lang w:val="en-US" w:eastAsia="zh-CN"/>
        </w:rPr>
        <w:t>1.1473</w:t>
      </w:r>
      <w:r>
        <w:rPr>
          <w:rFonts w:hint="eastAsia" w:ascii="Times New Roman" w:hAnsi="Times New Roman"/>
          <w:color w:val="auto"/>
          <w:sz w:val="24"/>
          <w:highlight w:val="none"/>
        </w:rPr>
        <w:t>t/a（</w:t>
      </w:r>
      <w:r>
        <w:rPr>
          <w:rFonts w:hint="eastAsia" w:ascii="Times New Roman" w:hAnsi="Times New Roman"/>
          <w:color w:val="auto"/>
          <w:sz w:val="24"/>
          <w:highlight w:val="none"/>
          <w:lang w:val="en-US" w:eastAsia="zh-CN"/>
        </w:rPr>
        <w:t>1.352</w:t>
      </w:r>
      <w:r>
        <w:rPr>
          <w:rFonts w:hint="eastAsia" w:ascii="Times New Roman" w:hAnsi="Times New Roman"/>
          <w:color w:val="auto"/>
          <w:sz w:val="24"/>
          <w:highlight w:val="none"/>
        </w:rPr>
        <w:t>kg/h），排放浓度为</w:t>
      </w:r>
      <w:r>
        <w:rPr>
          <w:rFonts w:hint="eastAsia" w:ascii="Times New Roman" w:hAnsi="Times New Roman"/>
          <w:color w:val="auto"/>
          <w:sz w:val="24"/>
          <w:highlight w:val="none"/>
          <w:lang w:val="en-US" w:eastAsia="zh-CN"/>
        </w:rPr>
        <w:t>19.88</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w:t>
      </w:r>
    </w:p>
    <w:p w14:paraId="7C8D97E2">
      <w:pPr>
        <w:adjustRightInd w:val="0"/>
        <w:snapToGrid w:val="0"/>
        <w:spacing w:line="360" w:lineRule="auto"/>
        <w:ind w:firstLine="480"/>
        <w:rPr>
          <w:rFonts w:ascii="Times New Roman" w:hAnsi="Times New Roman"/>
          <w:color w:val="auto"/>
          <w:sz w:val="24"/>
        </w:rPr>
      </w:pPr>
      <w:r>
        <w:rPr>
          <w:rFonts w:ascii="Times New Roman" w:hAnsi="Times New Roman"/>
          <w:sz w:val="24"/>
        </w:rPr>
        <w:t>项目废气经治理后，</w:t>
      </w:r>
      <w:r>
        <w:rPr>
          <w:rFonts w:hint="eastAsia" w:ascii="Times New Roman" w:hAnsi="Times New Roman"/>
          <w:sz w:val="24"/>
        </w:rPr>
        <w:t>颗粒物</w:t>
      </w:r>
      <w:r>
        <w:rPr>
          <w:rFonts w:ascii="Times New Roman" w:hAnsi="Times New Roman"/>
          <w:sz w:val="24"/>
        </w:rPr>
        <w:t>、</w:t>
      </w:r>
      <w:r>
        <w:rPr>
          <w:rFonts w:hint="eastAsia" w:ascii="Times New Roman" w:hAnsi="Times New Roman"/>
          <w:sz w:val="24"/>
          <w:lang w:val="en-US" w:eastAsia="zh-CN"/>
        </w:rPr>
        <w:t>苯、</w:t>
      </w:r>
      <w:r>
        <w:rPr>
          <w:rFonts w:ascii="Times New Roman" w:hAnsi="Times New Roman"/>
          <w:sz w:val="24"/>
        </w:rPr>
        <w:t>甲苯、二甲苯、非甲烷总烃能够达到《大气污染物综合排放标准》（GB16297-1996）二级标准</w:t>
      </w:r>
      <w:r>
        <w:rPr>
          <w:rFonts w:hint="eastAsia" w:ascii="Times New Roman" w:hAnsi="Times New Roman" w:cs="Times New Roman"/>
          <w:sz w:val="24"/>
        </w:rPr>
        <w:t>（颗粒物：15m排气筒，浓度≤120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3.5</w:t>
      </w:r>
      <w:r>
        <w:rPr>
          <w:rFonts w:ascii="Times New Roman" w:hAnsi="Times New Roman" w:cs="Times New Roman"/>
          <w:sz w:val="24"/>
        </w:rPr>
        <w:t>kg/h</w:t>
      </w:r>
      <w:r>
        <w:rPr>
          <w:rFonts w:hint="eastAsia" w:ascii="Times New Roman" w:hAnsi="Times New Roman" w:cs="Times New Roman"/>
          <w:sz w:val="24"/>
        </w:rPr>
        <w:t>；甲苯：15m排气筒，浓度≤40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3.1</w:t>
      </w:r>
      <w:r>
        <w:rPr>
          <w:rFonts w:ascii="Times New Roman" w:hAnsi="Times New Roman" w:cs="Times New Roman"/>
          <w:sz w:val="24"/>
        </w:rPr>
        <w:t>kg/h</w:t>
      </w:r>
      <w:r>
        <w:rPr>
          <w:rFonts w:hint="eastAsia" w:ascii="Times New Roman" w:hAnsi="Times New Roman" w:cs="Times New Roman"/>
          <w:sz w:val="24"/>
        </w:rPr>
        <w:t>；二甲苯：15m排气筒，浓度≤70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1.0</w:t>
      </w:r>
      <w:r>
        <w:rPr>
          <w:rFonts w:ascii="Times New Roman" w:hAnsi="Times New Roman" w:cs="Times New Roman"/>
          <w:sz w:val="24"/>
        </w:rPr>
        <w:t>kg/h</w:t>
      </w:r>
      <w:r>
        <w:rPr>
          <w:rFonts w:hint="eastAsia" w:ascii="Times New Roman" w:hAnsi="Times New Roman" w:cs="Times New Roman"/>
          <w:sz w:val="24"/>
        </w:rPr>
        <w:t>；非甲烷总烃：15m排气筒，浓度≤120</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rPr>
        <w:t>10</w:t>
      </w:r>
      <w:r>
        <w:rPr>
          <w:rFonts w:ascii="Times New Roman" w:hAnsi="Times New Roman" w:cs="Times New Roman"/>
          <w:sz w:val="24"/>
        </w:rPr>
        <w:t>kg/h</w:t>
      </w:r>
      <w:r>
        <w:rPr>
          <w:rFonts w:hint="eastAsia" w:ascii="Times New Roman" w:hAnsi="Times New Roman" w:cs="Times New Roman"/>
          <w:sz w:val="24"/>
          <w:lang w:eastAsia="zh-CN"/>
        </w:rPr>
        <w:t>、</w:t>
      </w:r>
      <w:r>
        <w:rPr>
          <w:rFonts w:hint="eastAsia" w:ascii="Times New Roman" w:hAnsi="Times New Roman" w:cs="Times New Roman"/>
          <w:sz w:val="24"/>
        </w:rPr>
        <w:t>苯：15m排气筒，浓度≤</w:t>
      </w:r>
      <w:r>
        <w:rPr>
          <w:rFonts w:hint="eastAsia" w:ascii="Times New Roman" w:hAnsi="Times New Roman" w:cs="Times New Roman"/>
          <w:sz w:val="24"/>
          <w:lang w:val="en-US" w:eastAsia="zh-CN"/>
        </w:rPr>
        <w:t>12</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，速率≤</w:t>
      </w:r>
      <w:r>
        <w:rPr>
          <w:rFonts w:hint="eastAsia" w:ascii="Times New Roman" w:hAnsi="Times New Roman" w:cs="Times New Roman"/>
          <w:sz w:val="24"/>
          <w:lang w:val="en-US" w:eastAsia="zh-CN"/>
        </w:rPr>
        <w:t>0.5</w:t>
      </w:r>
      <w:r>
        <w:rPr>
          <w:rFonts w:ascii="Times New Roman" w:hAnsi="Times New Roman" w:cs="Times New Roman"/>
          <w:sz w:val="24"/>
        </w:rPr>
        <w:t>kg/h</w:t>
      </w:r>
      <w:r>
        <w:rPr>
          <w:rFonts w:hint="eastAsia" w:ascii="Times New Roman" w:hAnsi="Times New Roman" w:cs="Times New Roman"/>
          <w:sz w:val="24"/>
        </w:rPr>
        <w:t>；）</w:t>
      </w:r>
      <w:r>
        <w:rPr>
          <w:rFonts w:ascii="Times New Roman" w:hAnsi="Times New Roman"/>
          <w:sz w:val="24"/>
        </w:rPr>
        <w:t>、《工业涂装工序挥发性有机物排放</w:t>
      </w:r>
      <w:r>
        <w:rPr>
          <w:rFonts w:ascii="Times New Roman" w:hAnsi="Times New Roman"/>
          <w:color w:val="auto"/>
          <w:sz w:val="24"/>
        </w:rPr>
        <w:t>标准》（DB41/1951-2020）</w:t>
      </w:r>
      <w:r>
        <w:rPr>
          <w:rFonts w:hint="eastAsia" w:ascii="Times New Roman" w:hAnsi="Times New Roman"/>
          <w:color w:val="auto"/>
          <w:sz w:val="24"/>
        </w:rPr>
        <w:t>（</w:t>
      </w:r>
      <w:r>
        <w:rPr>
          <w:rFonts w:ascii="Times New Roman" w:hAnsi="Times New Roman"/>
          <w:color w:val="auto"/>
          <w:sz w:val="24"/>
        </w:rPr>
        <w:t>非甲烷总烃50mg/m</w:t>
      </w:r>
      <w:r>
        <w:rPr>
          <w:rFonts w:ascii="Times New Roman" w:hAnsi="Times New Roman"/>
          <w:color w:val="auto"/>
          <w:sz w:val="24"/>
          <w:vertAlign w:val="superscript"/>
        </w:rPr>
        <w:t>3</w:t>
      </w:r>
      <w:r>
        <w:rPr>
          <w:rFonts w:ascii="Times New Roman" w:hAnsi="Times New Roman"/>
          <w:color w:val="auto"/>
          <w:sz w:val="24"/>
        </w:rPr>
        <w:t>、甲苯与二甲苯合计20mg/m</w:t>
      </w:r>
      <w:r>
        <w:rPr>
          <w:rFonts w:ascii="Times New Roman" w:hAnsi="Times New Roman"/>
          <w:color w:val="auto"/>
          <w:sz w:val="24"/>
          <w:vertAlign w:val="superscript"/>
        </w:rPr>
        <w:t>3</w:t>
      </w:r>
      <w:r>
        <w:rPr>
          <w:rFonts w:hint="eastAsia" w:ascii="Times New Roman" w:hAnsi="Times New Roman"/>
          <w:color w:val="auto"/>
          <w:sz w:val="24"/>
          <w:vertAlign w:val="baseline"/>
          <w:lang w:eastAsia="zh-CN"/>
        </w:rPr>
        <w:t>、</w:t>
      </w:r>
      <w:r>
        <w:rPr>
          <w:rFonts w:hint="default" w:ascii="Times New Roman" w:hAnsi="Times New Roman" w:cs="Times New Roman"/>
          <w:b w:val="0"/>
          <w:bCs w:val="0"/>
          <w:color w:val="auto"/>
          <w:sz w:val="24"/>
          <w:szCs w:val="24"/>
          <w:highlight w:val="none"/>
          <w:u w:val="none"/>
          <w:lang w:val="en-US" w:eastAsia="zh-CN"/>
        </w:rPr>
        <w:t>苯1.0mg/m</w:t>
      </w:r>
      <w:r>
        <w:rPr>
          <w:rFonts w:hint="default" w:ascii="Times New Roman" w:hAnsi="Times New Roman" w:cs="Times New Roman"/>
          <w:b w:val="0"/>
          <w:bCs w:val="0"/>
          <w:color w:val="auto"/>
          <w:sz w:val="24"/>
          <w:szCs w:val="24"/>
          <w:highlight w:val="none"/>
          <w:u w:val="none"/>
          <w:vertAlign w:val="superscript"/>
          <w:lang w:val="en-US" w:eastAsia="zh-CN"/>
        </w:rPr>
        <w:t>3</w:t>
      </w:r>
      <w:r>
        <w:rPr>
          <w:rFonts w:hint="eastAsia" w:ascii="Times New Roman" w:hAnsi="Times New Roman"/>
          <w:color w:val="auto"/>
          <w:sz w:val="24"/>
        </w:rPr>
        <w:t>）、</w:t>
      </w:r>
      <w:r>
        <w:rPr>
          <w:rFonts w:ascii="Times New Roman" w:hAnsi="Times New Roman"/>
          <w:color w:val="auto"/>
          <w:sz w:val="24"/>
        </w:rPr>
        <w:t>《河南省环境污染防治攻坚战领导小组办公室文件》（豫环攻坚办</w:t>
      </w:r>
      <w:r>
        <w:rPr>
          <w:rFonts w:hint="eastAsia" w:ascii="Times New Roman" w:hAnsi="Times New Roman"/>
          <w:color w:val="auto"/>
          <w:sz w:val="24"/>
        </w:rPr>
        <w:t>〔2017〕</w:t>
      </w:r>
      <w:r>
        <w:rPr>
          <w:rFonts w:ascii="Times New Roman" w:hAnsi="Times New Roman"/>
          <w:color w:val="auto"/>
          <w:sz w:val="24"/>
        </w:rPr>
        <w:t>162号）关于全省开展工业企业挥发性有机物专项治理工作中排放建议值的通知（家具制造业非甲烷总烃</w:t>
      </w:r>
      <w:r>
        <w:rPr>
          <w:rFonts w:hint="eastAsia" w:ascii="Times New Roman" w:hAnsi="Times New Roman"/>
          <w:color w:val="auto"/>
          <w:sz w:val="24"/>
        </w:rPr>
        <w:t>6</w:t>
      </w:r>
      <w:r>
        <w:rPr>
          <w:rFonts w:ascii="Times New Roman" w:hAnsi="Times New Roman"/>
          <w:color w:val="auto"/>
          <w:sz w:val="24"/>
        </w:rPr>
        <w:t>0mg/m</w:t>
      </w:r>
      <w:r>
        <w:rPr>
          <w:rFonts w:ascii="Times New Roman" w:hAnsi="Times New Roman"/>
          <w:color w:val="auto"/>
          <w:sz w:val="24"/>
          <w:vertAlign w:val="superscript"/>
        </w:rPr>
        <w:t>3</w:t>
      </w:r>
      <w:r>
        <w:rPr>
          <w:rFonts w:ascii="Times New Roman" w:hAnsi="Times New Roman"/>
          <w:color w:val="auto"/>
          <w:sz w:val="24"/>
        </w:rPr>
        <w:t>、甲苯与二甲苯合计20mg/m</w:t>
      </w:r>
      <w:r>
        <w:rPr>
          <w:rFonts w:ascii="Times New Roman" w:hAnsi="Times New Roman"/>
          <w:color w:val="auto"/>
          <w:sz w:val="24"/>
          <w:vertAlign w:val="superscript"/>
        </w:rPr>
        <w:t>3</w:t>
      </w:r>
      <w:r>
        <w:rPr>
          <w:rFonts w:hint="eastAsia" w:ascii="Times New Roman" w:hAnsi="Times New Roman"/>
          <w:color w:val="auto"/>
          <w:sz w:val="24"/>
          <w:vertAlign w:val="baseline"/>
          <w:lang w:eastAsia="zh-CN"/>
        </w:rPr>
        <w:t>、</w:t>
      </w:r>
      <w:r>
        <w:rPr>
          <w:rFonts w:hint="default" w:ascii="Times New Roman" w:hAnsi="Times New Roman" w:cs="Times New Roman"/>
          <w:b w:val="0"/>
          <w:bCs w:val="0"/>
          <w:color w:val="auto"/>
          <w:sz w:val="24"/>
          <w:szCs w:val="24"/>
          <w:highlight w:val="none"/>
          <w:u w:val="none"/>
          <w:lang w:val="en-US" w:eastAsia="zh-CN"/>
        </w:rPr>
        <w:t>苯1.0mg/m</w:t>
      </w:r>
      <w:r>
        <w:rPr>
          <w:rFonts w:hint="default" w:ascii="Times New Roman" w:hAnsi="Times New Roman" w:cs="Times New Roman"/>
          <w:b w:val="0"/>
          <w:bCs w:val="0"/>
          <w:color w:val="auto"/>
          <w:sz w:val="24"/>
          <w:szCs w:val="24"/>
          <w:highlight w:val="none"/>
          <w:u w:val="none"/>
          <w:vertAlign w:val="superscript"/>
          <w:lang w:val="en-US" w:eastAsia="zh-CN"/>
        </w:rPr>
        <w:t>3</w:t>
      </w:r>
      <w:r>
        <w:rPr>
          <w:rFonts w:ascii="Times New Roman" w:hAnsi="Times New Roman"/>
          <w:color w:val="auto"/>
          <w:sz w:val="24"/>
        </w:rPr>
        <w:t>）</w:t>
      </w:r>
      <w:r>
        <w:rPr>
          <w:rFonts w:hint="eastAsia" w:ascii="Times New Roman" w:hAnsi="Times New Roman"/>
          <w:color w:val="auto"/>
          <w:sz w:val="24"/>
        </w:rPr>
        <w:t>以及《重污染天气重点行业应急减排措施制定技术指南（2020年修订版）》的函》（环办大气函〔2020〕340号）家具行业绩效分级指标（A级）（PM：10</w:t>
      </w:r>
      <w:r>
        <w:rPr>
          <w:rFonts w:ascii="Times New Roman" w:hAnsi="Times New Roman"/>
          <w:color w:val="auto"/>
          <w:sz w:val="24"/>
        </w:rPr>
        <w:t>mg/m</w:t>
      </w:r>
      <w:r>
        <w:rPr>
          <w:rFonts w:ascii="Times New Roman" w:hAnsi="Times New Roman"/>
          <w:color w:val="auto"/>
          <w:sz w:val="24"/>
          <w:vertAlign w:val="superscript"/>
        </w:rPr>
        <w:t>3</w:t>
      </w:r>
      <w:r>
        <w:rPr>
          <w:rFonts w:hint="eastAsia" w:ascii="Times New Roman" w:hAnsi="Times New Roman"/>
          <w:color w:val="auto"/>
          <w:sz w:val="24"/>
        </w:rPr>
        <w:t>；NMHC：20</w:t>
      </w:r>
      <w:r>
        <w:rPr>
          <w:rFonts w:ascii="Times New Roman" w:hAnsi="Times New Roman"/>
          <w:color w:val="auto"/>
          <w:sz w:val="24"/>
        </w:rPr>
        <w:t>mg/m</w:t>
      </w:r>
      <w:r>
        <w:rPr>
          <w:rFonts w:ascii="Times New Roman" w:hAnsi="Times New Roman"/>
          <w:color w:val="auto"/>
          <w:sz w:val="24"/>
          <w:vertAlign w:val="superscript"/>
        </w:rPr>
        <w:t>3</w:t>
      </w:r>
      <w:r>
        <w:rPr>
          <w:rFonts w:hint="eastAsia" w:ascii="Times New Roman" w:hAnsi="Times New Roman"/>
          <w:color w:val="auto"/>
          <w:sz w:val="24"/>
        </w:rPr>
        <w:t>）</w:t>
      </w:r>
      <w:r>
        <w:rPr>
          <w:rFonts w:ascii="Times New Roman" w:hAnsi="Times New Roman"/>
          <w:color w:val="auto"/>
          <w:sz w:val="24"/>
        </w:rPr>
        <w:t>。</w:t>
      </w:r>
    </w:p>
    <w:p w14:paraId="756530B6">
      <w:pPr>
        <w:pStyle w:val="4"/>
        <w:numPr>
          <w:ilvl w:val="2"/>
          <w:numId w:val="90"/>
        </w:numPr>
        <w:tabs>
          <w:tab w:val="clear" w:pos="0"/>
        </w:tabs>
        <w:adjustRightInd w:val="0"/>
        <w:snapToGrid w:val="0"/>
        <w:ind w:left="720" w:leftChars="0" w:hanging="720" w:firstLineChars="0"/>
      </w:pPr>
      <w:r>
        <w:t>废水</w:t>
      </w:r>
    </w:p>
    <w:p w14:paraId="480A5E15">
      <w:pPr>
        <w:pStyle w:val="17"/>
        <w:adjustRightInd w:val="0"/>
        <w:snapToGrid w:val="0"/>
        <w:spacing w:line="360" w:lineRule="auto"/>
        <w:ind w:firstLine="480" w:firstLineChars="200"/>
        <w:rPr>
          <w:rFonts w:ascii="Times New Roman" w:hAnsi="Times New Roman" w:eastAsia="宋体" w:cs="Times New Roman"/>
          <w:sz w:val="24"/>
          <w:szCs w:val="24"/>
        </w:rPr>
      </w:pPr>
      <w:r>
        <w:rPr>
          <w:rFonts w:hint="eastAsia" w:ascii="宋体" w:hAnsi="宋体" w:eastAsia="宋体" w:cs="宋体"/>
          <w:sz w:val="24"/>
          <w:szCs w:val="24"/>
        </w:rPr>
        <w:t>生活污水经厂区内的化粪池处理、水帘废水经厂区污水处理站处理后</w:t>
      </w:r>
      <w:r>
        <w:rPr>
          <w:rFonts w:hint="eastAsia" w:eastAsia="宋体" w:cs="宋体"/>
          <w:sz w:val="24"/>
          <w:szCs w:val="24"/>
        </w:rPr>
        <w:t>通过厂区总排口</w:t>
      </w:r>
      <w:r>
        <w:rPr>
          <w:rFonts w:hint="eastAsia" w:ascii="宋体" w:hAnsi="宋体" w:eastAsia="宋体" w:cs="宋体"/>
          <w:sz w:val="24"/>
          <w:szCs w:val="24"/>
        </w:rPr>
        <w:t>接管排入清丰中州水务有限公司第二污水处理厂，达标尾水排入潴龙河</w:t>
      </w:r>
      <w:r>
        <w:rPr>
          <w:rFonts w:ascii="Times New Roman" w:hAnsi="Times New Roman" w:eastAsia="宋体" w:cs="Times New Roman"/>
          <w:sz w:val="24"/>
          <w:szCs w:val="24"/>
        </w:rPr>
        <w:t>。</w:t>
      </w:r>
    </w:p>
    <w:p w14:paraId="72C6A4AC">
      <w:pPr>
        <w:pStyle w:val="4"/>
        <w:numPr>
          <w:ilvl w:val="2"/>
          <w:numId w:val="90"/>
        </w:numPr>
        <w:tabs>
          <w:tab w:val="clear" w:pos="0"/>
        </w:tabs>
        <w:adjustRightInd w:val="0"/>
        <w:snapToGrid w:val="0"/>
        <w:ind w:left="720" w:leftChars="0" w:hanging="720" w:firstLineChars="0"/>
      </w:pPr>
      <w:r>
        <w:t>地下水</w:t>
      </w:r>
    </w:p>
    <w:p w14:paraId="74342607">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1、源头控制措施</w:t>
      </w:r>
    </w:p>
    <w:p w14:paraId="1633E326">
      <w:pPr>
        <w:adjustRightInd w:val="0"/>
        <w:snapToGrid w:val="0"/>
        <w:spacing w:line="360" w:lineRule="auto"/>
        <w:ind w:firstLine="480" w:firstLineChars="200"/>
        <w:rPr>
          <w:rFonts w:ascii="Times New Roman" w:hAnsi="Times New Roman" w:eastAsia="宋体" w:cs="Times New Roman"/>
          <w:szCs w:val="22"/>
        </w:rPr>
      </w:pPr>
      <w:r>
        <w:rPr>
          <w:rFonts w:ascii="Times New Roman" w:hAnsi="Times New Roman" w:eastAsia="宋体" w:cs="Times New Roman"/>
          <w:sz w:val="24"/>
        </w:rPr>
        <w:t>对于地下水污染防治首先进行源头控制，主要包括提出实施清洁生产及各类废物循环利用的具体方案，减少污染物的排放量；提出工艺、管道、设备、污水储存及处理构筑物应采取的控制措施防止污染物的跑、冒、滴、漏，将污染物泄漏的环境风险事故降到最低限度。本项目应对可能造成地下水污染的装置或设施所在位置及周边进行防渗。管线敷设尽量采用“可视化”原则，即管道尽可能地上敷设，做到污染物“早发现、早处理”，减少由于埋地管道泄漏而造成的地下水污染。</w:t>
      </w:r>
    </w:p>
    <w:p w14:paraId="33616710">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2、分区防控措施</w:t>
      </w:r>
    </w:p>
    <w:p w14:paraId="25DACA2D">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根据导则，按照场地天然包气带防污性能、污染控制难易程度及污染物类型，将全场进行分区防治，将建设场地划分为重点防渗区、一般防渗区和简单防渗区，防渗设计应根据污染防治分区采取相应的防渗方案。</w:t>
      </w:r>
    </w:p>
    <w:p w14:paraId="1364A9E7">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重点防渗区：是指对地下水环境有污染的物料或污染物泄漏后，难以及时发现和处理的区域或部位，主要包括：</w:t>
      </w:r>
      <w:r>
        <w:rPr>
          <w:rFonts w:hint="eastAsia" w:ascii="Times New Roman" w:hAnsi="Times New Roman" w:eastAsia="宋体" w:cs="Times New Roman"/>
          <w:sz w:val="24"/>
        </w:rPr>
        <w:t>熔炼和合金化工序所在车间、铝灰渣回收系统所在车间、生产废水处理站、事故应急池、初期雨水池和危险废物仓库等。</w:t>
      </w:r>
    </w:p>
    <w:p w14:paraId="42838C4E">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一般防渗区</w:t>
      </w:r>
      <w:r>
        <w:rPr>
          <w:rFonts w:ascii="Times New Roman" w:hAnsi="Times New Roman" w:eastAsia="宋体" w:cs="Times New Roman"/>
          <w:sz w:val="24"/>
        </w:rPr>
        <w:t>：是指对地下水环境有污染的物料或污染物泄漏后，不能及时发现和处理的区域或部位，主要包括：</w:t>
      </w:r>
      <w:r>
        <w:rPr>
          <w:rFonts w:hint="eastAsia" w:ascii="Times New Roman" w:hAnsi="Times New Roman" w:eastAsia="宋体" w:cs="Times New Roman"/>
          <w:sz w:val="24"/>
        </w:rPr>
        <w:t>原料仓库、预处理工序所在车间、压铸件生产车间、一般工业固废仓库和产品仓库</w:t>
      </w:r>
      <w:r>
        <w:rPr>
          <w:rFonts w:ascii="Times New Roman" w:hAnsi="Times New Roman" w:eastAsia="宋体" w:cs="Times New Roman"/>
          <w:sz w:val="24"/>
        </w:rPr>
        <w:t>等。</w:t>
      </w:r>
    </w:p>
    <w:p w14:paraId="7EDF0FBC">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简单防渗区：</w:t>
      </w:r>
      <w:r>
        <w:rPr>
          <w:rFonts w:hint="eastAsia" w:ascii="Times New Roman" w:hAnsi="Times New Roman" w:eastAsia="宋体" w:cs="Times New Roman"/>
          <w:sz w:val="24"/>
        </w:rPr>
        <w:t>厂区内除重点防渗区和一般防渗区外的其他区域</w:t>
      </w:r>
      <w:r>
        <w:rPr>
          <w:rFonts w:ascii="Times New Roman" w:hAnsi="Times New Roman" w:eastAsia="宋体" w:cs="Times New Roman"/>
          <w:sz w:val="24"/>
        </w:rPr>
        <w:t>。</w:t>
      </w:r>
    </w:p>
    <w:p w14:paraId="7425331D">
      <w:pPr>
        <w:adjustRightInd w:val="0"/>
        <w:snapToGrid w:val="0"/>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3、监控措施</w:t>
      </w:r>
    </w:p>
    <w:p w14:paraId="5908CCF0">
      <w:pPr>
        <w:adjustRightInd w:val="0"/>
        <w:snapToGrid w:val="0"/>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项目运行期间，</w:t>
      </w:r>
      <w:r>
        <w:rPr>
          <w:rFonts w:hint="eastAsia" w:ascii="Times New Roman" w:hAnsi="Times New Roman" w:eastAsia="宋体" w:cs="Times New Roman"/>
          <w:bCs/>
          <w:kern w:val="0"/>
          <w:sz w:val="24"/>
        </w:rPr>
        <w:t>需在建设项目场地，上、下游各布设一个监测点位，在枯水期进行监测，</w:t>
      </w:r>
      <w:r>
        <w:rPr>
          <w:rFonts w:ascii="Times New Roman" w:hAnsi="Times New Roman" w:eastAsia="宋体" w:cs="Times New Roman"/>
          <w:bCs/>
          <w:kern w:val="0"/>
          <w:sz w:val="24"/>
        </w:rPr>
        <w:t>通过营运期的监测，可以及时发现可能的地下水污染，采取补救措施。</w:t>
      </w:r>
    </w:p>
    <w:p w14:paraId="1F2610F3">
      <w:pPr>
        <w:pStyle w:val="4"/>
        <w:numPr>
          <w:ilvl w:val="2"/>
          <w:numId w:val="90"/>
        </w:numPr>
        <w:tabs>
          <w:tab w:val="clear" w:pos="0"/>
        </w:tabs>
        <w:adjustRightInd w:val="0"/>
        <w:snapToGrid w:val="0"/>
        <w:ind w:left="720" w:leftChars="0" w:hanging="720" w:firstLineChars="0"/>
      </w:pPr>
      <w:r>
        <w:t>噪声</w:t>
      </w:r>
    </w:p>
    <w:p w14:paraId="463B8F47">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项目主要噪声源主要为精密推台锯、砂光机、封边机、空压机、木线机、排钻、侧孔机、立铣机、打砂机等</w:t>
      </w:r>
      <w:r>
        <w:rPr>
          <w:rFonts w:ascii="Times New Roman" w:hAnsi="Times New Roman" w:eastAsia="宋体" w:cs="Times New Roman"/>
          <w:bCs/>
          <w:kern w:val="0"/>
          <w:sz w:val="24"/>
        </w:rPr>
        <w:t>，通过选用低噪设备；对高噪声设备安装消声、隔声、减震等处理，</w:t>
      </w:r>
      <w:r>
        <w:rPr>
          <w:rFonts w:ascii="Times New Roman" w:hAnsi="Times New Roman" w:eastAsia="宋体" w:cs="Times New Roman"/>
          <w:sz w:val="24"/>
        </w:rPr>
        <w:t>本项目产生的噪声能达到相应区域的噪声排放标准，本项目的建设对周围声环境不会造成明显影响。</w:t>
      </w:r>
    </w:p>
    <w:p w14:paraId="2F6ECBC2">
      <w:pPr>
        <w:pStyle w:val="4"/>
        <w:numPr>
          <w:ilvl w:val="2"/>
          <w:numId w:val="90"/>
        </w:numPr>
        <w:tabs>
          <w:tab w:val="clear" w:pos="0"/>
        </w:tabs>
        <w:adjustRightInd w:val="0"/>
        <w:snapToGrid w:val="0"/>
        <w:ind w:left="720" w:leftChars="0" w:hanging="720" w:firstLineChars="0"/>
      </w:pPr>
      <w:r>
        <w:t>固废</w:t>
      </w:r>
    </w:p>
    <w:p w14:paraId="49A444A0">
      <w:pPr>
        <w:adjustRightInd w:val="0"/>
        <w:snapToGrid w:val="0"/>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本项目生活垃圾委托当地环卫部门</w:t>
      </w:r>
      <w:r>
        <w:rPr>
          <w:rFonts w:hint="eastAsia" w:ascii="Times New Roman" w:hAnsi="Times New Roman" w:eastAsia="宋体" w:cs="Times New Roman"/>
          <w:bCs/>
          <w:kern w:val="0"/>
          <w:sz w:val="24"/>
        </w:rPr>
        <w:t>统一处理</w:t>
      </w:r>
      <w:r>
        <w:rPr>
          <w:rFonts w:ascii="Times New Roman" w:hAnsi="Times New Roman" w:eastAsia="宋体" w:cs="Times New Roman"/>
          <w:bCs/>
          <w:kern w:val="0"/>
          <w:sz w:val="24"/>
        </w:rPr>
        <w:t>。</w:t>
      </w:r>
    </w:p>
    <w:p w14:paraId="06AECE43">
      <w:pPr>
        <w:adjustRightInd w:val="0"/>
        <w:snapToGrid w:val="0"/>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本项目产生的一般工业固废包括</w:t>
      </w:r>
      <w:r>
        <w:rPr>
          <w:rFonts w:hint="eastAsia" w:ascii="Times New Roman" w:hAnsi="Times New Roman" w:eastAsia="宋体" w:cs="Times New Roman"/>
          <w:bCs/>
          <w:kern w:val="0"/>
          <w:sz w:val="24"/>
        </w:rPr>
        <w:t>：</w:t>
      </w:r>
      <w:r>
        <w:rPr>
          <w:rFonts w:ascii="Times New Roman" w:hAnsi="Times New Roman" w:eastAsia="宋体" w:cs="Times New Roman"/>
          <w:bCs/>
          <w:kern w:val="0"/>
          <w:sz w:val="24"/>
        </w:rPr>
        <w:t>木材加工过程中产生的木屑、废边角废料、废包装材料、除尘器收集的粉尘。木材加工过程中产生的木屑、废边角废料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废包装材料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除尘器收集的粉尘</w:t>
      </w:r>
      <w:r>
        <w:rPr>
          <w:rFonts w:hint="eastAsia" w:ascii="Times New Roman" w:hAnsi="Times New Roman" w:eastAsia="宋体" w:cs="Times New Roman"/>
          <w:bCs/>
          <w:kern w:val="0"/>
          <w:sz w:val="24"/>
        </w:rPr>
        <w:t>收集后外售。</w:t>
      </w:r>
    </w:p>
    <w:p w14:paraId="36F3495F">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本项目产生的危险废物包括：废破损包装桶（废油漆桶、废胶桶、稀释剂桶）、水帘漆渣、油磨漆渣、污水处理中产生的絮状沉淀物、废活性炭、喷枪清洗废水、废催化剂、废机油、废过滤棉（含漆渣），分别交由相应资质单位处理。</w:t>
      </w:r>
    </w:p>
    <w:p w14:paraId="36DB5BB8">
      <w:pPr>
        <w:pStyle w:val="4"/>
        <w:numPr>
          <w:ilvl w:val="2"/>
          <w:numId w:val="90"/>
        </w:numPr>
        <w:tabs>
          <w:tab w:val="clear" w:pos="0"/>
        </w:tabs>
        <w:adjustRightInd w:val="0"/>
        <w:snapToGrid w:val="0"/>
        <w:ind w:left="720" w:leftChars="0" w:hanging="720" w:firstLineChars="0"/>
      </w:pPr>
      <w:r>
        <w:t>土壤</w:t>
      </w:r>
    </w:p>
    <w:p w14:paraId="424B62AA">
      <w:pPr>
        <w:numPr>
          <w:ilvl w:val="0"/>
          <w:numId w:val="92"/>
        </w:numPr>
        <w:autoSpaceDE w:val="0"/>
        <w:autoSpaceDN w:val="0"/>
        <w:adjustRightInd w:val="0"/>
        <w:snapToGrid w:val="0"/>
        <w:spacing w:line="360" w:lineRule="auto"/>
        <w:ind w:firstLine="480"/>
        <w:rPr>
          <w:rFonts w:ascii="Times New Roman" w:hAnsi="Times New Roman" w:eastAsia="宋体" w:cs="Times New Roman"/>
          <w:kern w:val="0"/>
          <w:sz w:val="24"/>
        </w:rPr>
      </w:pPr>
      <w:bookmarkStart w:id="414" w:name="_Toc17045"/>
      <w:bookmarkStart w:id="415" w:name="_Toc17564"/>
      <w:bookmarkStart w:id="416" w:name="_Toc30307"/>
      <w:bookmarkStart w:id="417" w:name="_Toc9909"/>
      <w:bookmarkStart w:id="418" w:name="_Toc4854"/>
      <w:bookmarkStart w:id="419" w:name="_Toc30286"/>
      <w:r>
        <w:rPr>
          <w:rFonts w:ascii="Times New Roman" w:hAnsi="Times New Roman" w:eastAsia="宋体" w:cs="Times New Roman"/>
          <w:kern w:val="0"/>
          <w:sz w:val="24"/>
        </w:rPr>
        <w:t>源头控制措施</w:t>
      </w:r>
    </w:p>
    <w:p w14:paraId="62D7222F">
      <w:pPr>
        <w:adjustRightInd w:val="0"/>
        <w:snapToGrid w:val="0"/>
        <w:spacing w:line="360" w:lineRule="auto"/>
        <w:ind w:firstLine="480"/>
        <w:rPr>
          <w:rFonts w:ascii="Times New Roman" w:hAnsi="Times New Roman" w:eastAsia="宋体" w:cs="Times New Roman"/>
          <w:sz w:val="24"/>
          <w:szCs w:val="22"/>
        </w:rPr>
      </w:pPr>
      <w:r>
        <w:rPr>
          <w:rFonts w:ascii="Times New Roman" w:hAnsi="Times New Roman" w:eastAsia="宋体" w:cs="Times New Roman"/>
          <w:sz w:val="24"/>
          <w:szCs w:val="22"/>
        </w:rPr>
        <w:t>为保护土壤环境，采取防控措施从源头控制对土壤的污染。实施清洁生产和循环经济，减少污染物的排放量。从设计、管理各种工艺设备和物料运输管线上，防止和减少污染物的跑冒滴漏，合理布局，减少污染物的泄漏途径。</w:t>
      </w:r>
    </w:p>
    <w:p w14:paraId="61D59E35">
      <w:pPr>
        <w:numPr>
          <w:ilvl w:val="0"/>
          <w:numId w:val="92"/>
        </w:numPr>
        <w:autoSpaceDE w:val="0"/>
        <w:autoSpaceDN w:val="0"/>
        <w:adjustRightInd w:val="0"/>
        <w:snapToGrid w:val="0"/>
        <w:spacing w:line="360" w:lineRule="auto"/>
        <w:ind w:firstLine="480"/>
        <w:rPr>
          <w:rFonts w:ascii="Times New Roman" w:hAnsi="Times New Roman" w:eastAsia="宋体" w:cs="Times New Roman"/>
          <w:kern w:val="0"/>
          <w:sz w:val="24"/>
        </w:rPr>
      </w:pPr>
      <w:r>
        <w:rPr>
          <w:rFonts w:ascii="Times New Roman" w:hAnsi="Times New Roman" w:eastAsia="宋体" w:cs="Times New Roman"/>
          <w:kern w:val="0"/>
          <w:sz w:val="24"/>
        </w:rPr>
        <w:t>过程防控措施</w:t>
      </w:r>
    </w:p>
    <w:p w14:paraId="4C6816E2">
      <w:pPr>
        <w:adjustRightInd w:val="0"/>
        <w:snapToGrid w:val="0"/>
        <w:spacing w:line="360" w:lineRule="auto"/>
        <w:ind w:firstLine="480"/>
        <w:rPr>
          <w:rFonts w:ascii="Times New Roman" w:hAnsi="Times New Roman" w:eastAsia="宋体" w:cs="Times New Roman"/>
          <w:sz w:val="24"/>
          <w:szCs w:val="22"/>
        </w:rPr>
      </w:pPr>
      <w:r>
        <w:rPr>
          <w:rFonts w:ascii="Times New Roman" w:hAnsi="Times New Roman" w:eastAsia="宋体" w:cs="Times New Roman"/>
          <w:sz w:val="24"/>
          <w:szCs w:val="22"/>
        </w:rPr>
        <w:t>厂区内设置容积</w:t>
      </w:r>
      <w:r>
        <w:rPr>
          <w:rFonts w:hint="eastAsia" w:ascii="Times New Roman" w:hAnsi="Times New Roman" w:eastAsia="宋体" w:cs="Times New Roman"/>
          <w:sz w:val="24"/>
          <w:szCs w:val="22"/>
        </w:rPr>
        <w:t>30m</w:t>
      </w:r>
      <w:r>
        <w:rPr>
          <w:rFonts w:ascii="Times New Roman" w:hAnsi="Times New Roman" w:eastAsia="宋体" w:cs="Times New Roman"/>
          <w:sz w:val="24"/>
          <w:szCs w:val="22"/>
          <w:vertAlign w:val="superscript"/>
        </w:rPr>
        <w:t>3</w:t>
      </w:r>
      <w:r>
        <w:rPr>
          <w:rFonts w:ascii="Times New Roman" w:hAnsi="Times New Roman" w:eastAsia="宋体" w:cs="Times New Roman"/>
          <w:sz w:val="24"/>
          <w:szCs w:val="22"/>
        </w:rPr>
        <w:t>的事故水池，事故状态下产生的事故废水暂贮存于事故水池；做好设备的维护、检修，杜绝跑、冒、滴、漏现象，同时，加强污染物产生主要环节的安全防护、报警措施，以便及时发现事故隐患，采取有效的应对措施；项目涉及入渗途径影响的，对可能污染土壤的区域地面进行防渗处理，防止洒落地面的污染物渗入地下，采取分区防渗，分区防控措施与地下水一致，生产过程中的各种物料及污染物均与天然土壤隔离，不会通过裸露区渗入到土壤中。</w:t>
      </w:r>
    </w:p>
    <w:p w14:paraId="1E3C3A83">
      <w:pPr>
        <w:adjustRightInd w:val="0"/>
        <w:snapToGrid w:val="0"/>
        <w:spacing w:line="360" w:lineRule="auto"/>
        <w:ind w:firstLine="480"/>
        <w:rPr>
          <w:rFonts w:ascii="Times New Roman" w:hAnsi="Times New Roman" w:eastAsia="宋体" w:cs="Times New Roman"/>
          <w:sz w:val="24"/>
          <w:szCs w:val="22"/>
        </w:rPr>
      </w:pPr>
      <w:r>
        <w:rPr>
          <w:rFonts w:hint="eastAsia" w:ascii="Times New Roman" w:hAnsi="Times New Roman" w:eastAsia="宋体" w:cs="Times New Roman"/>
          <w:sz w:val="24"/>
          <w:szCs w:val="22"/>
        </w:rPr>
        <w:t>危废暂存间、污水处理站、生产车间2F等作为重点防渗区，生产车间1F和一般固废间作为一般防渗区，其他区域作为简单防渗区。</w:t>
      </w:r>
    </w:p>
    <w:p w14:paraId="78EF372A">
      <w:pPr>
        <w:numPr>
          <w:ilvl w:val="0"/>
          <w:numId w:val="92"/>
        </w:numPr>
        <w:autoSpaceDE w:val="0"/>
        <w:autoSpaceDN w:val="0"/>
        <w:adjustRightInd w:val="0"/>
        <w:snapToGrid w:val="0"/>
        <w:spacing w:line="360" w:lineRule="auto"/>
        <w:ind w:firstLine="480"/>
        <w:rPr>
          <w:rFonts w:ascii="Times New Roman" w:hAnsi="Times New Roman" w:eastAsia="宋体" w:cs="Times New Roman"/>
          <w:kern w:val="0"/>
          <w:sz w:val="24"/>
        </w:rPr>
      </w:pPr>
      <w:r>
        <w:rPr>
          <w:rFonts w:ascii="Times New Roman" w:hAnsi="Times New Roman" w:eastAsia="宋体" w:cs="Times New Roman"/>
          <w:kern w:val="0"/>
          <w:sz w:val="24"/>
        </w:rPr>
        <w:t>跟踪监测</w:t>
      </w:r>
    </w:p>
    <w:p w14:paraId="2E3BA396">
      <w:pPr>
        <w:adjustRightInd w:val="0"/>
        <w:snapToGrid w:val="0"/>
        <w:spacing w:line="360" w:lineRule="auto"/>
        <w:ind w:firstLine="480"/>
        <w:rPr>
          <w:rFonts w:ascii="Times New Roman" w:hAnsi="Times New Roman" w:eastAsia="宋体" w:cs="Times New Roman"/>
          <w:sz w:val="24"/>
          <w:szCs w:val="22"/>
        </w:rPr>
      </w:pPr>
      <w:r>
        <w:rPr>
          <w:rFonts w:ascii="Times New Roman" w:hAnsi="Times New Roman" w:eastAsia="宋体" w:cs="Times New Roman"/>
          <w:sz w:val="24"/>
          <w:szCs w:val="22"/>
        </w:rPr>
        <w:t>本项目土壤环境影响评价工作等级为</w:t>
      </w:r>
      <w:r>
        <w:rPr>
          <w:rFonts w:hint="eastAsia" w:ascii="Times New Roman" w:hAnsi="Times New Roman" w:eastAsia="宋体" w:cs="Times New Roman"/>
          <w:sz w:val="24"/>
          <w:szCs w:val="22"/>
          <w:lang w:val="en-US" w:eastAsia="zh-CN"/>
        </w:rPr>
        <w:t>二</w:t>
      </w:r>
      <w:r>
        <w:rPr>
          <w:rFonts w:ascii="Times New Roman" w:hAnsi="Times New Roman" w:eastAsia="宋体" w:cs="Times New Roman"/>
          <w:sz w:val="24"/>
          <w:szCs w:val="22"/>
        </w:rPr>
        <w:t>级，根据《环境影响评价技术导则 土壤环境（试行）》（HJ964-2018）规定，项目需制定跟踪监测计划、建立跟踪监测制度，每</w:t>
      </w:r>
      <w:r>
        <w:rPr>
          <w:rFonts w:hint="eastAsia" w:ascii="Times New Roman" w:hAnsi="Times New Roman" w:eastAsia="宋体" w:cs="Times New Roman"/>
          <w:sz w:val="24"/>
          <w:szCs w:val="22"/>
        </w:rPr>
        <w:t>5</w:t>
      </w:r>
      <w:r>
        <w:rPr>
          <w:rFonts w:ascii="Times New Roman" w:hAnsi="Times New Roman" w:eastAsia="宋体" w:cs="Times New Roman"/>
          <w:sz w:val="24"/>
          <w:szCs w:val="22"/>
        </w:rPr>
        <w:t>年开展一次土壤环境跟踪监测，以便及时发现问题，采取措施。</w:t>
      </w:r>
    </w:p>
    <w:p w14:paraId="17724C16">
      <w:pPr>
        <w:pStyle w:val="3"/>
        <w:numPr>
          <w:ilvl w:val="1"/>
          <w:numId w:val="90"/>
        </w:numPr>
        <w:tabs>
          <w:tab w:val="clear" w:pos="0"/>
        </w:tabs>
        <w:adjustRightInd w:val="0"/>
        <w:snapToGrid w:val="0"/>
        <w:ind w:left="720" w:leftChars="0" w:hanging="720" w:firstLineChars="0"/>
      </w:pPr>
      <w:bookmarkStart w:id="420" w:name="_Toc4871"/>
      <w:bookmarkStart w:id="421" w:name="_Toc10985"/>
      <w:r>
        <w:t>环境影响预测分析</w:t>
      </w:r>
      <w:bookmarkEnd w:id="414"/>
      <w:bookmarkEnd w:id="415"/>
      <w:bookmarkEnd w:id="416"/>
      <w:bookmarkEnd w:id="417"/>
      <w:bookmarkEnd w:id="418"/>
      <w:bookmarkEnd w:id="419"/>
      <w:bookmarkEnd w:id="420"/>
      <w:bookmarkEnd w:id="421"/>
    </w:p>
    <w:p w14:paraId="44AEE5E9">
      <w:pPr>
        <w:pStyle w:val="4"/>
        <w:numPr>
          <w:ilvl w:val="2"/>
          <w:numId w:val="90"/>
        </w:numPr>
        <w:tabs>
          <w:tab w:val="clear" w:pos="0"/>
        </w:tabs>
        <w:adjustRightInd w:val="0"/>
        <w:snapToGrid w:val="0"/>
        <w:ind w:left="720" w:leftChars="0" w:hanging="720" w:firstLineChars="0"/>
      </w:pPr>
      <w:r>
        <w:t>大气环境影响分析</w:t>
      </w:r>
    </w:p>
    <w:p w14:paraId="1BC0830B">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本项目有组织及无组织废气均能达标排放，且大气环境评价等级为二级，依据《环境影响评价技术导则大气环境》（HJ/2.2-2018），评价结论为环境影响可接受。</w:t>
      </w:r>
    </w:p>
    <w:p w14:paraId="2F2E8697">
      <w:pPr>
        <w:pStyle w:val="4"/>
        <w:numPr>
          <w:ilvl w:val="2"/>
          <w:numId w:val="90"/>
        </w:numPr>
        <w:tabs>
          <w:tab w:val="clear" w:pos="0"/>
        </w:tabs>
        <w:adjustRightInd w:val="0"/>
        <w:snapToGrid w:val="0"/>
        <w:ind w:left="720" w:leftChars="0" w:hanging="720" w:firstLineChars="0"/>
      </w:pPr>
      <w:r>
        <w:t>地表水环境影响分析</w:t>
      </w:r>
    </w:p>
    <w:p w14:paraId="4B1E86C7">
      <w:pPr>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水污染源主要包括生产废水、生活污水。本项目各类废水经</w:t>
      </w:r>
      <w:r>
        <w:rPr>
          <w:rFonts w:hint="eastAsia" w:cs="Times New Roman"/>
          <w:kern w:val="0"/>
          <w:sz w:val="24"/>
        </w:rPr>
        <w:t>厂区污水处理设施</w:t>
      </w:r>
      <w:r>
        <w:rPr>
          <w:rFonts w:ascii="Times New Roman" w:hAnsi="Times New Roman" w:eastAsia="宋体" w:cs="Times New Roman"/>
          <w:kern w:val="0"/>
          <w:sz w:val="24"/>
        </w:rPr>
        <w:t>处理后，达到</w:t>
      </w:r>
      <w:r>
        <w:rPr>
          <w:rFonts w:hint="eastAsia" w:cs="Times New Roman"/>
          <w:kern w:val="0"/>
          <w:sz w:val="24"/>
        </w:rPr>
        <w:t>清丰中州水务有限公司第二污水处理厂</w:t>
      </w:r>
      <w:r>
        <w:rPr>
          <w:rFonts w:ascii="Times New Roman" w:hAnsi="Times New Roman" w:eastAsia="宋体" w:cs="Times New Roman"/>
          <w:kern w:val="0"/>
          <w:sz w:val="24"/>
        </w:rPr>
        <w:t>接纳标准后排入</w:t>
      </w:r>
      <w:r>
        <w:rPr>
          <w:rFonts w:hint="eastAsia" w:ascii="Times New Roman" w:hAnsi="Times New Roman" w:eastAsia="宋体" w:cs="Times New Roman"/>
          <w:kern w:val="0"/>
          <w:sz w:val="24"/>
        </w:rPr>
        <w:t>该</w:t>
      </w:r>
      <w:r>
        <w:rPr>
          <w:rFonts w:ascii="Times New Roman" w:hAnsi="Times New Roman" w:eastAsia="宋体" w:cs="Times New Roman"/>
          <w:kern w:val="0"/>
          <w:sz w:val="24"/>
        </w:rPr>
        <w:t>污水处理厂进一步处理，尾水排入</w:t>
      </w:r>
      <w:r>
        <w:rPr>
          <w:rFonts w:hint="eastAsia" w:cs="Times New Roman"/>
          <w:kern w:val="0"/>
          <w:sz w:val="24"/>
        </w:rPr>
        <w:t>潴龙河</w:t>
      </w:r>
      <w:r>
        <w:rPr>
          <w:rFonts w:ascii="Times New Roman" w:hAnsi="Times New Roman" w:eastAsia="宋体" w:cs="Times New Roman"/>
          <w:kern w:val="0"/>
          <w:sz w:val="24"/>
        </w:rPr>
        <w:t>。</w:t>
      </w:r>
    </w:p>
    <w:p w14:paraId="7FBB5C30">
      <w:pPr>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本项目属于</w:t>
      </w:r>
      <w:r>
        <w:rPr>
          <w:rFonts w:hint="eastAsia" w:cs="Times New Roman"/>
          <w:kern w:val="0"/>
          <w:sz w:val="24"/>
        </w:rPr>
        <w:t>清丰中州水务有限公司第二污水处理厂</w:t>
      </w:r>
      <w:r>
        <w:rPr>
          <w:rFonts w:ascii="Times New Roman" w:hAnsi="Times New Roman" w:eastAsia="宋体" w:cs="Times New Roman"/>
          <w:kern w:val="0"/>
          <w:sz w:val="24"/>
        </w:rPr>
        <w:t>的服务范围，废水排放浓度符合接纳要求，同时废水排放量不超过承诺接纳废水量。因此本项目废水正常排放不会对污水处理厂造成负荷冲击，对</w:t>
      </w:r>
      <w:r>
        <w:rPr>
          <w:rFonts w:hint="eastAsia" w:cs="Times New Roman"/>
          <w:kern w:val="0"/>
          <w:sz w:val="24"/>
        </w:rPr>
        <w:t>潴龙河</w:t>
      </w:r>
      <w:r>
        <w:rPr>
          <w:rFonts w:hint="eastAsia" w:ascii="Times New Roman" w:hAnsi="Times New Roman" w:eastAsia="宋体" w:cs="Times New Roman"/>
          <w:kern w:val="0"/>
          <w:sz w:val="24"/>
        </w:rPr>
        <w:t>的</w:t>
      </w:r>
      <w:r>
        <w:rPr>
          <w:rFonts w:ascii="Times New Roman" w:hAnsi="Times New Roman" w:eastAsia="宋体" w:cs="Times New Roman"/>
          <w:kern w:val="0"/>
          <w:sz w:val="24"/>
        </w:rPr>
        <w:t>水环境影响较小。</w:t>
      </w:r>
    </w:p>
    <w:p w14:paraId="1E0A54F9">
      <w:pPr>
        <w:pStyle w:val="4"/>
        <w:numPr>
          <w:ilvl w:val="2"/>
          <w:numId w:val="90"/>
        </w:numPr>
        <w:tabs>
          <w:tab w:val="clear" w:pos="0"/>
        </w:tabs>
        <w:adjustRightInd w:val="0"/>
        <w:snapToGrid w:val="0"/>
        <w:ind w:left="720" w:leftChars="0" w:hanging="720" w:firstLineChars="0"/>
      </w:pPr>
      <w:r>
        <w:t>地下水环境影响分析</w:t>
      </w:r>
    </w:p>
    <w:p w14:paraId="3BF35CE6">
      <w:pPr>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根据预测分析结果，在地下水防渗设施不健全，或事故性排放情况下，废水持续渗入地下水，都将对项目场区所在地地下水环境造成影响，致使地下水中特征污染物超标，超标范围随着泄漏时间的增加而增大。在预测时段内项目下游不存在地下水保护目标，因此在预测时间内不会影响到饮用水安全。厂区现有防渗体系效果良好，因此，项目的运营不会对地下的造成明显影响，不会威胁到周边村庄村民的用水安全。</w:t>
      </w:r>
    </w:p>
    <w:p w14:paraId="0BF8DCD7">
      <w:pPr>
        <w:adjustRightInd w:val="0"/>
        <w:snapToGrid w:val="0"/>
        <w:spacing w:line="360" w:lineRule="auto"/>
        <w:ind w:firstLine="480" w:firstLineChars="200"/>
        <w:rPr>
          <w:rFonts w:ascii="Times New Roman" w:hAnsi="Times New Roman" w:eastAsia="宋体" w:cs="Times New Roman"/>
          <w:kern w:val="0"/>
          <w:sz w:val="24"/>
          <w:szCs w:val="22"/>
        </w:rPr>
      </w:pPr>
      <w:r>
        <w:rPr>
          <w:rFonts w:ascii="Times New Roman" w:hAnsi="Times New Roman" w:eastAsia="宋体" w:cs="Times New Roman"/>
          <w:kern w:val="0"/>
          <w:sz w:val="24"/>
          <w:szCs w:val="22"/>
        </w:rPr>
        <w:t>总体来说，本项目在严格执行环保措施后，造成的地下水污染影响较小，不会影响到评价范围内居民用水安全，对地下水质的环境影响可以接受。</w:t>
      </w:r>
    </w:p>
    <w:p w14:paraId="46BEEDA2">
      <w:pPr>
        <w:pStyle w:val="4"/>
        <w:numPr>
          <w:ilvl w:val="2"/>
          <w:numId w:val="90"/>
        </w:numPr>
        <w:tabs>
          <w:tab w:val="clear" w:pos="0"/>
        </w:tabs>
        <w:adjustRightInd w:val="0"/>
        <w:snapToGrid w:val="0"/>
        <w:ind w:left="720" w:leftChars="0" w:hanging="720" w:firstLineChars="0"/>
      </w:pPr>
      <w:r>
        <w:t>噪声影响分析</w:t>
      </w:r>
    </w:p>
    <w:p w14:paraId="152B8AFE">
      <w:pPr>
        <w:adjustRightInd w:val="0"/>
        <w:snapToGrid w:val="0"/>
        <w:spacing w:line="360" w:lineRule="auto"/>
        <w:ind w:firstLine="480" w:firstLineChars="200"/>
        <w:rPr>
          <w:rFonts w:ascii="Times New Roman" w:hAnsi="Times New Roman" w:eastAsia="宋体" w:cs="Times New Roman"/>
          <w:kern w:val="0"/>
          <w:sz w:val="24"/>
          <w:szCs w:val="22"/>
        </w:rPr>
      </w:pPr>
      <w:r>
        <w:rPr>
          <w:rFonts w:ascii="Times New Roman" w:hAnsi="Times New Roman" w:eastAsia="宋体" w:cs="Times New Roman"/>
          <w:kern w:val="0"/>
          <w:sz w:val="24"/>
          <w:szCs w:val="22"/>
        </w:rPr>
        <w:t>在采取选用低噪声设备，减震、隔声、消声等综合防噪措施的基础上，本项目噪声排放对环境影响很小，昼间、夜间厂界噪声均可满足《工业企业厂界环境噪声排放标准》（GB12348-2008）</w:t>
      </w:r>
      <w:r>
        <w:rPr>
          <w:rFonts w:hint="eastAsia" w:ascii="Times New Roman" w:hAnsi="Times New Roman" w:eastAsia="宋体" w:cs="Times New Roman"/>
          <w:kern w:val="0"/>
          <w:sz w:val="24"/>
          <w:szCs w:val="22"/>
        </w:rPr>
        <w:t>3</w:t>
      </w:r>
      <w:r>
        <w:rPr>
          <w:rFonts w:ascii="Times New Roman" w:hAnsi="Times New Roman" w:eastAsia="宋体" w:cs="Times New Roman"/>
          <w:kern w:val="0"/>
          <w:sz w:val="24"/>
          <w:szCs w:val="22"/>
        </w:rPr>
        <w:t>类排放标准限值要求，</w:t>
      </w:r>
      <w:r>
        <w:rPr>
          <w:rFonts w:hint="eastAsia" w:ascii="Times New Roman" w:hAnsi="Times New Roman" w:eastAsia="宋体" w:cs="Times New Roman"/>
          <w:kern w:val="0"/>
          <w:sz w:val="24"/>
          <w:szCs w:val="22"/>
        </w:rPr>
        <w:t>骆家村</w:t>
      </w:r>
      <w:r>
        <w:rPr>
          <w:rFonts w:ascii="Times New Roman" w:hAnsi="Times New Roman" w:eastAsia="宋体" w:cs="Times New Roman"/>
          <w:kern w:val="0"/>
          <w:sz w:val="24"/>
          <w:szCs w:val="22"/>
        </w:rPr>
        <w:t>的昼间、夜间声环境质量满足</w:t>
      </w:r>
      <w:r>
        <w:rPr>
          <w:rFonts w:hint="eastAsia" w:ascii="Times New Roman" w:hAnsi="Times New Roman" w:eastAsia="宋体" w:cs="Times New Roman"/>
          <w:kern w:val="0"/>
          <w:sz w:val="24"/>
          <w:szCs w:val="22"/>
        </w:rPr>
        <w:t>2类</w:t>
      </w:r>
      <w:r>
        <w:rPr>
          <w:rFonts w:ascii="Times New Roman" w:hAnsi="Times New Roman" w:eastAsia="宋体" w:cs="Times New Roman"/>
          <w:kern w:val="0"/>
          <w:sz w:val="24"/>
          <w:szCs w:val="22"/>
        </w:rPr>
        <w:t>标准限值要求。</w:t>
      </w:r>
    </w:p>
    <w:p w14:paraId="00EBC5C0">
      <w:pPr>
        <w:pStyle w:val="4"/>
        <w:numPr>
          <w:ilvl w:val="2"/>
          <w:numId w:val="90"/>
        </w:numPr>
        <w:tabs>
          <w:tab w:val="clear" w:pos="0"/>
        </w:tabs>
        <w:adjustRightInd w:val="0"/>
        <w:snapToGrid w:val="0"/>
        <w:ind w:left="720" w:leftChars="0" w:hanging="720" w:firstLineChars="0"/>
      </w:pPr>
      <w:r>
        <w:t>固废</w:t>
      </w:r>
    </w:p>
    <w:p w14:paraId="2D9C7C7D">
      <w:pPr>
        <w:adjustRightInd w:val="0"/>
        <w:snapToGrid w:val="0"/>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本项目生活垃圾委托当地环卫部门</w:t>
      </w:r>
      <w:r>
        <w:rPr>
          <w:rFonts w:hint="eastAsia" w:ascii="Times New Roman" w:hAnsi="Times New Roman" w:eastAsia="宋体" w:cs="Times New Roman"/>
          <w:bCs/>
          <w:kern w:val="0"/>
          <w:sz w:val="24"/>
        </w:rPr>
        <w:t>统一处理</w:t>
      </w:r>
      <w:r>
        <w:rPr>
          <w:rFonts w:ascii="Times New Roman" w:hAnsi="Times New Roman" w:eastAsia="宋体" w:cs="Times New Roman"/>
          <w:bCs/>
          <w:kern w:val="0"/>
          <w:sz w:val="24"/>
        </w:rPr>
        <w:t>。</w:t>
      </w:r>
    </w:p>
    <w:p w14:paraId="1FE19BF9">
      <w:pPr>
        <w:adjustRightInd w:val="0"/>
        <w:snapToGrid w:val="0"/>
        <w:spacing w:line="360" w:lineRule="auto"/>
        <w:ind w:firstLine="480" w:firstLineChars="200"/>
        <w:rPr>
          <w:rFonts w:ascii="Times New Roman" w:hAnsi="Times New Roman" w:eastAsia="宋体" w:cs="Times New Roman"/>
          <w:bCs/>
          <w:kern w:val="0"/>
          <w:sz w:val="24"/>
        </w:rPr>
      </w:pPr>
      <w:r>
        <w:rPr>
          <w:rFonts w:ascii="Times New Roman" w:hAnsi="Times New Roman" w:eastAsia="宋体" w:cs="Times New Roman"/>
          <w:bCs/>
          <w:kern w:val="0"/>
          <w:sz w:val="24"/>
        </w:rPr>
        <w:t>本项目产生的一般工业固废包括</w:t>
      </w:r>
      <w:r>
        <w:rPr>
          <w:rFonts w:hint="eastAsia" w:ascii="Times New Roman" w:hAnsi="Times New Roman" w:eastAsia="宋体" w:cs="Times New Roman"/>
          <w:bCs/>
          <w:kern w:val="0"/>
          <w:sz w:val="24"/>
        </w:rPr>
        <w:t>：</w:t>
      </w:r>
      <w:r>
        <w:rPr>
          <w:rFonts w:ascii="Times New Roman" w:hAnsi="Times New Roman" w:eastAsia="宋体" w:cs="Times New Roman"/>
          <w:bCs/>
          <w:kern w:val="0"/>
          <w:sz w:val="24"/>
        </w:rPr>
        <w:t>木材加工过程中产生的木屑、废边角废料、废包装材料、除尘器收集的粉尘。木材加工过程中产生的木屑、废边角废料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废包装材料</w:t>
      </w:r>
      <w:r>
        <w:rPr>
          <w:rFonts w:hint="eastAsia" w:ascii="Times New Roman" w:hAnsi="Times New Roman" w:eastAsia="宋体" w:cs="Times New Roman"/>
          <w:bCs/>
          <w:kern w:val="0"/>
          <w:sz w:val="24"/>
        </w:rPr>
        <w:t>收集后外售；</w:t>
      </w:r>
      <w:r>
        <w:rPr>
          <w:rFonts w:ascii="Times New Roman" w:hAnsi="Times New Roman" w:eastAsia="宋体" w:cs="Times New Roman"/>
          <w:bCs/>
          <w:kern w:val="0"/>
          <w:sz w:val="24"/>
        </w:rPr>
        <w:t>除尘器收集的粉尘</w:t>
      </w:r>
      <w:r>
        <w:rPr>
          <w:rFonts w:hint="eastAsia" w:ascii="Times New Roman" w:hAnsi="Times New Roman" w:eastAsia="宋体" w:cs="Times New Roman"/>
          <w:bCs/>
          <w:kern w:val="0"/>
          <w:sz w:val="24"/>
        </w:rPr>
        <w:t>收集后外售。</w:t>
      </w:r>
    </w:p>
    <w:p w14:paraId="1BC20D23">
      <w:pPr>
        <w:adjustRightInd w:val="0"/>
        <w:snapToGrid w:val="0"/>
        <w:spacing w:line="360" w:lineRule="auto"/>
        <w:ind w:firstLine="480" w:firstLineChars="200"/>
        <w:rPr>
          <w:rFonts w:ascii="Times New Roman" w:hAnsi="Times New Roman" w:eastAsia="宋体" w:cs="Times New Roman"/>
          <w:bCs/>
          <w:kern w:val="0"/>
          <w:sz w:val="24"/>
        </w:rPr>
      </w:pPr>
      <w:r>
        <w:rPr>
          <w:rFonts w:hint="eastAsia" w:ascii="Times New Roman" w:hAnsi="Times New Roman" w:eastAsia="宋体" w:cs="Times New Roman"/>
          <w:bCs/>
          <w:kern w:val="0"/>
          <w:sz w:val="24"/>
        </w:rPr>
        <w:t>本项目产生的危险废物包括：废破损包装桶（废油漆桶、废胶桶、稀释剂桶）、水帘漆渣、油磨漆渣、污水处理中产生的絮状沉淀物、废活性炭、喷枪清洗废水、废催化剂、废机油、废过滤棉（含漆渣），分别交由相应资质单位处理。</w:t>
      </w:r>
    </w:p>
    <w:p w14:paraId="4FB5F32F">
      <w:pPr>
        <w:pStyle w:val="4"/>
        <w:numPr>
          <w:ilvl w:val="2"/>
          <w:numId w:val="90"/>
        </w:numPr>
        <w:tabs>
          <w:tab w:val="clear" w:pos="0"/>
        </w:tabs>
        <w:adjustRightInd w:val="0"/>
        <w:snapToGrid w:val="0"/>
        <w:ind w:left="720" w:leftChars="0" w:hanging="720" w:firstLineChars="0"/>
      </w:pPr>
      <w:r>
        <w:t>土壤</w:t>
      </w:r>
    </w:p>
    <w:p w14:paraId="2F3A9AA7">
      <w:pPr>
        <w:adjustRightInd w:val="0"/>
        <w:snapToGrid w:val="0"/>
        <w:spacing w:line="360" w:lineRule="auto"/>
        <w:ind w:firstLine="480" w:firstLineChars="200"/>
        <w:rPr>
          <w:rFonts w:ascii="Times New Roman" w:hAnsi="Times New Roman" w:eastAsia="宋体" w:cs="Times New Roman"/>
          <w:sz w:val="24"/>
        </w:rPr>
      </w:pPr>
      <w:bookmarkStart w:id="422" w:name="_Toc6721"/>
      <w:bookmarkStart w:id="423" w:name="_Toc5284"/>
      <w:bookmarkStart w:id="424" w:name="_Toc4350"/>
      <w:bookmarkStart w:id="425" w:name="_Toc24926"/>
      <w:bookmarkStart w:id="426" w:name="_Toc30022"/>
      <w:r>
        <w:rPr>
          <w:rFonts w:hint="eastAsia" w:ascii="Times New Roman" w:hAnsi="Times New Roman" w:eastAsia="宋体" w:cs="Times New Roman"/>
          <w:color w:val="000000" w:themeColor="text1"/>
          <w:sz w:val="24"/>
          <w14:textFill>
            <w14:solidFill>
              <w14:schemeClr w14:val="tx1"/>
            </w14:solidFill>
          </w14:textFill>
        </w:rPr>
        <w:t>根据</w:t>
      </w:r>
      <w:r>
        <w:rPr>
          <w:rFonts w:ascii="Times New Roman" w:hAnsi="Times New Roman" w:eastAsia="宋体" w:cs="Times New Roman"/>
          <w:color w:val="000000" w:themeColor="text1"/>
          <w:sz w:val="24"/>
          <w14:textFill>
            <w14:solidFill>
              <w14:schemeClr w14:val="tx1"/>
            </w14:solidFill>
          </w14:textFill>
        </w:rPr>
        <w:t>分析及预测结果，</w:t>
      </w:r>
      <w:r>
        <w:rPr>
          <w:rFonts w:ascii="Times New Roman" w:hAnsi="Times New Roman" w:eastAsia="宋体"/>
          <w:color w:val="000000" w:themeColor="text1"/>
          <w:sz w:val="24"/>
          <w14:textFill>
            <w14:solidFill>
              <w14:schemeClr w14:val="tx1"/>
            </w14:solidFill>
          </w14:textFill>
        </w:rPr>
        <w:t>废水处理站、生产车间各建构筑物按要求做好防渗措施，危险废物储存区等均严格按照《危险废物贮存污染控制标准》（GB18597-20</w:t>
      </w:r>
      <w:r>
        <w:rPr>
          <w:rFonts w:hint="eastAsia" w:ascii="Times New Roman" w:hAnsi="Times New Roman" w:eastAsia="宋体"/>
          <w:color w:val="000000" w:themeColor="text1"/>
          <w:sz w:val="24"/>
          <w14:textFill>
            <w14:solidFill>
              <w14:schemeClr w14:val="tx1"/>
            </w14:solidFill>
          </w14:textFill>
        </w:rPr>
        <w:t>23</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中的</w:t>
      </w:r>
      <w:r>
        <w:rPr>
          <w:rFonts w:ascii="Times New Roman" w:hAnsi="Times New Roman" w:eastAsia="宋体"/>
          <w:color w:val="000000" w:themeColor="text1"/>
          <w:sz w:val="24"/>
          <w14:textFill>
            <w14:solidFill>
              <w14:schemeClr w14:val="tx1"/>
            </w14:solidFill>
          </w14:textFill>
        </w:rPr>
        <w:t>有关规范设计，建设项目对周边土壤的影响较小；从预测结果看，本项目废气排放对周边</w:t>
      </w:r>
      <w:r>
        <w:rPr>
          <w:rFonts w:hint="eastAsia" w:ascii="Times New Roman" w:hAnsi="Times New Roman" w:eastAsia="宋体"/>
          <w:color w:val="000000" w:themeColor="text1"/>
          <w:sz w:val="24"/>
          <w14:textFill>
            <w14:solidFill>
              <w14:schemeClr w14:val="tx1"/>
            </w14:solidFill>
          </w14:textFill>
        </w:rPr>
        <w:t>甲苯、二甲苯、非甲烷总烃</w:t>
      </w:r>
      <w:r>
        <w:rPr>
          <w:rFonts w:ascii="Times New Roman" w:hAnsi="Times New Roman" w:eastAsia="宋体"/>
          <w:color w:val="000000" w:themeColor="text1"/>
          <w:sz w:val="24"/>
          <w14:textFill>
            <w14:solidFill>
              <w14:schemeClr w14:val="tx1"/>
            </w14:solidFill>
          </w14:textFill>
        </w:rPr>
        <w:t>的贡献浓度很低，运行</w:t>
      </w:r>
      <w:r>
        <w:rPr>
          <w:rFonts w:hint="eastAsia" w:ascii="Times New Roman" w:hAnsi="Times New Roman" w:eastAsia="宋体"/>
          <w:color w:val="000000" w:themeColor="text1"/>
          <w:sz w:val="24"/>
          <w14:textFill>
            <w14:solidFill>
              <w14:schemeClr w14:val="tx1"/>
            </w14:solidFill>
          </w14:textFill>
        </w:rPr>
        <w:t>10</w:t>
      </w:r>
      <w:r>
        <w:rPr>
          <w:rFonts w:ascii="Times New Roman" w:hAnsi="Times New Roman" w:eastAsia="宋体"/>
          <w:color w:val="000000" w:themeColor="text1"/>
          <w:sz w:val="24"/>
          <w14:textFill>
            <w14:solidFill>
              <w14:schemeClr w14:val="tx1"/>
            </w14:solidFill>
          </w14:textFill>
        </w:rPr>
        <w:t>至</w:t>
      </w:r>
      <w:r>
        <w:rPr>
          <w:rFonts w:hint="eastAsia" w:ascii="Times New Roman" w:hAnsi="Times New Roman" w:eastAsia="宋体"/>
          <w:color w:val="000000" w:themeColor="text1"/>
          <w:sz w:val="24"/>
          <w14:textFill>
            <w14:solidFill>
              <w14:schemeClr w14:val="tx1"/>
            </w14:solidFill>
          </w14:textFill>
        </w:rPr>
        <w:t>30</w:t>
      </w:r>
      <w:r>
        <w:rPr>
          <w:rFonts w:ascii="Times New Roman" w:hAnsi="Times New Roman" w:eastAsia="宋体"/>
          <w:color w:val="000000" w:themeColor="text1"/>
          <w:sz w:val="24"/>
          <w14:textFill>
            <w14:solidFill>
              <w14:schemeClr w14:val="tx1"/>
            </w14:solidFill>
          </w14:textFill>
        </w:rPr>
        <w:t>年后，</w:t>
      </w:r>
      <w:r>
        <w:rPr>
          <w:rFonts w:hint="eastAsia" w:ascii="Times New Roman" w:hAnsi="Times New Roman" w:eastAsia="宋体"/>
          <w:color w:val="000000" w:themeColor="text1"/>
          <w:sz w:val="24"/>
          <w:lang w:val="en-US" w:eastAsia="zh-CN"/>
          <w14:textFill>
            <w14:solidFill>
              <w14:schemeClr w14:val="tx1"/>
            </w14:solidFill>
          </w14:textFill>
        </w:rPr>
        <w:t>苯、</w:t>
      </w:r>
      <w:r>
        <w:rPr>
          <w:rFonts w:hint="eastAsia" w:ascii="Times New Roman" w:hAnsi="Times New Roman" w:eastAsia="宋体"/>
          <w:color w:val="000000" w:themeColor="text1"/>
          <w:sz w:val="24"/>
          <w14:textFill>
            <w14:solidFill>
              <w14:schemeClr w14:val="tx1"/>
            </w14:solidFill>
          </w14:textFill>
        </w:rPr>
        <w:t>甲苯、二甲苯、非甲烷总烃</w:t>
      </w:r>
      <w:r>
        <w:rPr>
          <w:rFonts w:ascii="Times New Roman" w:hAnsi="Times New Roman" w:eastAsia="宋体"/>
          <w:color w:val="000000" w:themeColor="text1"/>
          <w:sz w:val="24"/>
          <w14:textFill>
            <w14:solidFill>
              <w14:schemeClr w14:val="tx1"/>
            </w14:solidFill>
          </w14:textFill>
        </w:rPr>
        <w:t>在土壤中的累积仍远小于土壤污染风险</w:t>
      </w:r>
      <w:r>
        <w:rPr>
          <w:rFonts w:hint="eastAsia" w:ascii="Times New Roman" w:hAnsi="Times New Roman" w:eastAsia="宋体"/>
          <w:color w:val="000000" w:themeColor="text1"/>
          <w:sz w:val="24"/>
          <w14:textFill>
            <w14:solidFill>
              <w14:schemeClr w14:val="tx1"/>
            </w14:solidFill>
          </w14:textFill>
        </w:rPr>
        <w:t>筛选</w:t>
      </w:r>
      <w:r>
        <w:rPr>
          <w:rFonts w:ascii="Times New Roman" w:hAnsi="Times New Roman" w:eastAsia="宋体"/>
          <w:color w:val="000000" w:themeColor="text1"/>
          <w:sz w:val="24"/>
          <w14:textFill>
            <w14:solidFill>
              <w14:schemeClr w14:val="tx1"/>
            </w14:solidFill>
          </w14:textFill>
        </w:rPr>
        <w:t>标准值，因此，本建设项目生产过程中废气的排放不会对周边土壤产生明显影响</w:t>
      </w:r>
      <w:r>
        <w:rPr>
          <w:rFonts w:hint="eastAsia" w:ascii="Times New Roman" w:hAnsi="Times New Roman" w:eastAsia="宋体"/>
          <w:color w:val="000000" w:themeColor="text1"/>
          <w:sz w:val="24"/>
          <w14:textFill>
            <w14:solidFill>
              <w14:schemeClr w14:val="tx1"/>
            </w14:solidFill>
          </w14:textFill>
        </w:rPr>
        <w:t>。</w:t>
      </w:r>
    </w:p>
    <w:p w14:paraId="245F7D7E">
      <w:pPr>
        <w:pStyle w:val="3"/>
        <w:numPr>
          <w:ilvl w:val="1"/>
          <w:numId w:val="90"/>
        </w:numPr>
        <w:tabs>
          <w:tab w:val="clear" w:pos="0"/>
        </w:tabs>
        <w:adjustRightInd w:val="0"/>
        <w:snapToGrid w:val="0"/>
        <w:ind w:left="720" w:leftChars="0" w:hanging="720" w:firstLineChars="0"/>
      </w:pPr>
      <w:bookmarkStart w:id="427" w:name="_Toc12422"/>
      <w:bookmarkStart w:id="428" w:name="_Toc13704"/>
      <w:r>
        <w:t>产业政策与规划相符性</w:t>
      </w:r>
      <w:bookmarkEnd w:id="422"/>
      <w:bookmarkEnd w:id="423"/>
      <w:bookmarkEnd w:id="424"/>
      <w:bookmarkEnd w:id="425"/>
      <w:bookmarkEnd w:id="426"/>
      <w:bookmarkEnd w:id="427"/>
      <w:bookmarkEnd w:id="428"/>
    </w:p>
    <w:p w14:paraId="294B721C">
      <w:pPr>
        <w:adjustRightInd w:val="0"/>
        <w:snapToGrid w:val="0"/>
        <w:spacing w:line="360" w:lineRule="auto"/>
        <w:ind w:firstLine="480" w:firstLineChars="200"/>
        <w:jc w:val="left"/>
        <w:rPr>
          <w:rFonts w:ascii="Times New Roman" w:hAnsi="Times New Roman" w:eastAsia="宋体" w:cs="Times New Roman"/>
          <w:sz w:val="24"/>
        </w:rPr>
      </w:pPr>
      <w:bookmarkStart w:id="429" w:name="_Toc25510"/>
      <w:bookmarkStart w:id="430" w:name="_Toc31575"/>
      <w:bookmarkStart w:id="431" w:name="_Toc1365"/>
      <w:bookmarkStart w:id="432" w:name="_Toc28701"/>
      <w:bookmarkStart w:id="433" w:name="_Toc15228"/>
      <w:r>
        <w:rPr>
          <w:rFonts w:ascii="Times New Roman" w:hAnsi="Times New Roman" w:eastAsia="宋体" w:cs="Times New Roman"/>
          <w:kern w:val="0"/>
          <w:sz w:val="24"/>
        </w:rPr>
        <w:t>本</w:t>
      </w:r>
      <w:r>
        <w:rPr>
          <w:rFonts w:ascii="Times New Roman" w:hAnsi="Times New Roman" w:eastAsia="宋体" w:cs="Times New Roman"/>
          <w:color w:val="000000" w:themeColor="text1"/>
          <w:kern w:val="0"/>
          <w:sz w:val="24"/>
          <w14:textFill>
            <w14:solidFill>
              <w14:schemeClr w14:val="tx1"/>
            </w14:solidFill>
          </w14:textFill>
        </w:rPr>
        <w:t>项目主要</w:t>
      </w:r>
      <w:r>
        <w:rPr>
          <w:rFonts w:hint="eastAsia" w:ascii="Times New Roman" w:hAnsi="Times New Roman" w:eastAsia="宋体" w:cs="Times New Roman"/>
          <w:color w:val="000000" w:themeColor="text1"/>
          <w:kern w:val="0"/>
          <w:sz w:val="24"/>
          <w14:textFill>
            <w14:solidFill>
              <w14:schemeClr w14:val="tx1"/>
            </w14:solidFill>
          </w14:textFill>
        </w:rPr>
        <w:t>生产</w:t>
      </w:r>
      <w:r>
        <w:rPr>
          <w:rFonts w:hint="eastAsia" w:ascii="Times New Roman" w:hAnsi="Times New Roman" w:eastAsia="宋体" w:cs="Times New Roman"/>
          <w:bCs/>
          <w:color w:val="000000" w:themeColor="text1"/>
          <w:kern w:val="0"/>
          <w:sz w:val="24"/>
          <w14:textFill>
            <w14:solidFill>
              <w14:schemeClr w14:val="tx1"/>
            </w14:solidFill>
          </w14:textFill>
        </w:rPr>
        <w:t>实木复合门、全屋定制家具</w:t>
      </w:r>
      <w:r>
        <w:rPr>
          <w:rFonts w:ascii="Times New Roman" w:hAnsi="Times New Roman" w:eastAsia="宋体" w:cs="Times New Roman"/>
          <w:color w:val="000000" w:themeColor="text1"/>
          <w:kern w:val="0"/>
          <w:sz w:val="24"/>
          <w14:textFill>
            <w14:solidFill>
              <w14:schemeClr w14:val="tx1"/>
            </w14:solidFill>
          </w14:textFill>
        </w:rPr>
        <w:t>，</w:t>
      </w:r>
      <w:r>
        <w:rPr>
          <w:rFonts w:hint="eastAsia" w:ascii="Times New Roman" w:hAnsi="Times New Roman" w:eastAsia="宋体" w:cs="Times New Roman"/>
          <w:color w:val="000000" w:themeColor="text1"/>
          <w:kern w:val="0"/>
          <w:sz w:val="24"/>
          <w14:textFill>
            <w14:solidFill>
              <w14:schemeClr w14:val="tx1"/>
            </w14:solidFill>
          </w14:textFill>
        </w:rPr>
        <w:t>不</w:t>
      </w:r>
      <w:r>
        <w:rPr>
          <w:rFonts w:ascii="Times New Roman" w:hAnsi="Times New Roman" w:eastAsia="宋体" w:cs="Times New Roman"/>
          <w:color w:val="000000" w:themeColor="text1"/>
          <w:kern w:val="0"/>
          <w:sz w:val="24"/>
          <w14:textFill>
            <w14:solidFill>
              <w14:schemeClr w14:val="tx1"/>
            </w14:solidFill>
          </w14:textFill>
        </w:rPr>
        <w:t>属于《产业结构调整指导目录（20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24</w:t>
      </w:r>
      <w:r>
        <w:rPr>
          <w:rFonts w:ascii="Times New Roman" w:hAnsi="Times New Roman" w:eastAsia="宋体" w:cs="Times New Roman"/>
          <w:color w:val="000000" w:themeColor="text1"/>
          <w:kern w:val="0"/>
          <w:sz w:val="24"/>
          <w14:textFill>
            <w14:solidFill>
              <w14:schemeClr w14:val="tx1"/>
            </w14:solidFill>
          </w14:textFill>
        </w:rPr>
        <w:t>年本）》中</w:t>
      </w:r>
      <w:r>
        <w:rPr>
          <w:rFonts w:hint="eastAsia" w:ascii="Times New Roman" w:hAnsi="Times New Roman" w:eastAsia="宋体" w:cs="Times New Roman"/>
          <w:color w:val="000000" w:themeColor="text1"/>
          <w:kern w:val="0"/>
          <w:sz w:val="24"/>
          <w14:textFill>
            <w14:solidFill>
              <w14:schemeClr w14:val="tx1"/>
            </w14:solidFill>
          </w14:textFill>
        </w:rPr>
        <w:t>的限制类和淘汰类</w:t>
      </w:r>
      <w:r>
        <w:rPr>
          <w:rFonts w:ascii="Times New Roman" w:hAnsi="Times New Roman" w:eastAsia="宋体" w:cs="Times New Roman"/>
          <w:color w:val="000000" w:themeColor="text1"/>
          <w:kern w:val="0"/>
          <w:sz w:val="24"/>
          <w14:textFill>
            <w14:solidFill>
              <w14:schemeClr w14:val="tx1"/>
            </w14:solidFill>
          </w14:textFill>
        </w:rPr>
        <w:t>项目</w:t>
      </w:r>
      <w:r>
        <w:rPr>
          <w:rFonts w:hint="eastAsia" w:ascii="Times New Roman" w:hAnsi="Times New Roman" w:eastAsia="宋体" w:cs="Times New Roman"/>
          <w:color w:val="000000" w:themeColor="text1"/>
          <w:kern w:val="0"/>
          <w:sz w:val="24"/>
          <w14:textFill>
            <w14:solidFill>
              <w14:schemeClr w14:val="tx1"/>
            </w14:solidFill>
          </w14:textFill>
        </w:rPr>
        <w:t>；不属于《市场准入负面清单（2022年版）》中的禁止和许可事项；本项目已获得</w:t>
      </w:r>
      <w:r>
        <w:rPr>
          <w:rFonts w:hint="eastAsia" w:cs="Times New Roman"/>
          <w:color w:val="000000" w:themeColor="text1"/>
          <w:kern w:val="0"/>
          <w:sz w:val="24"/>
          <w14:textFill>
            <w14:solidFill>
              <w14:schemeClr w14:val="tx1"/>
            </w14:solidFill>
          </w14:textFill>
        </w:rPr>
        <w:t>清丰县先进制造业开发区</w:t>
      </w:r>
      <w:r>
        <w:rPr>
          <w:rFonts w:hint="eastAsia" w:cs="Times New Roman"/>
          <w:kern w:val="0"/>
          <w:sz w:val="24"/>
        </w:rPr>
        <w:t>管理委员会</w:t>
      </w:r>
      <w:r>
        <w:rPr>
          <w:rFonts w:hint="eastAsia" w:ascii="Times New Roman" w:hAnsi="Times New Roman" w:eastAsia="宋体" w:cs="Times New Roman"/>
          <w:kern w:val="0"/>
          <w:sz w:val="24"/>
        </w:rPr>
        <w:t>备案（项目代码</w:t>
      </w:r>
      <w:r>
        <w:rPr>
          <w:rFonts w:ascii="Times New Roman" w:hAnsi="Times New Roman" w:eastAsia="宋体" w:cs="Times New Roman"/>
          <w:kern w:val="0"/>
          <w:sz w:val="24"/>
        </w:rPr>
        <w:t>：2303-410922-04-01-310605）。</w:t>
      </w:r>
      <w:r>
        <w:rPr>
          <w:rFonts w:ascii="Times New Roman" w:hAnsi="Times New Roman" w:eastAsia="宋体" w:cs="Times New Roman"/>
          <w:sz w:val="24"/>
        </w:rPr>
        <w:t>因此，本项目的建设符合国家的产业政策。</w:t>
      </w:r>
    </w:p>
    <w:p w14:paraId="5EB8C285">
      <w:pPr>
        <w:adjustRightInd w:val="0"/>
        <w:snapToGrid w:val="0"/>
        <w:spacing w:line="360" w:lineRule="auto"/>
        <w:ind w:firstLine="480" w:firstLineChars="200"/>
        <w:jc w:val="left"/>
        <w:rPr>
          <w:rFonts w:ascii="Times New Roman" w:hAnsi="Times New Roman" w:eastAsia="宋体" w:cs="Times New Roman"/>
          <w:sz w:val="24"/>
          <w:lang w:bidi="ar"/>
        </w:rPr>
      </w:pPr>
      <w:r>
        <w:rPr>
          <w:rFonts w:ascii="Times New Roman" w:hAnsi="Times New Roman" w:eastAsia="宋体" w:cs="Times New Roman"/>
          <w:sz w:val="24"/>
          <w:lang w:bidi="ar"/>
        </w:rPr>
        <w:t>项目所在区域</w:t>
      </w:r>
      <w:r>
        <w:rPr>
          <w:rFonts w:hint="eastAsia" w:ascii="Times New Roman" w:hAnsi="Times New Roman" w:eastAsia="宋体" w:cs="Times New Roman"/>
          <w:sz w:val="24"/>
          <w:lang w:bidi="ar"/>
        </w:rPr>
        <w:t>符合《河南省“十四五”生态环境保护和生态经济发展规划》（豫政〔2021〕44号）、《清丰县产业集聚区发展规划（2013-2020）》</w:t>
      </w:r>
      <w:r>
        <w:rPr>
          <w:rFonts w:ascii="Times New Roman" w:hAnsi="Times New Roman" w:eastAsia="宋体" w:cs="Times New Roman"/>
          <w:sz w:val="24"/>
          <w:lang w:bidi="ar"/>
        </w:rPr>
        <w:t>中的相关要求；本项目不位于生态保护红线区、生态保护空间管控区、超载管控区、水源涵养区、饮用水源管控区、珍稀水生生物生境保护区。</w:t>
      </w:r>
    </w:p>
    <w:p w14:paraId="4A078DC8">
      <w:pPr>
        <w:pStyle w:val="3"/>
        <w:numPr>
          <w:ilvl w:val="1"/>
          <w:numId w:val="90"/>
        </w:numPr>
        <w:tabs>
          <w:tab w:val="clear" w:pos="0"/>
        </w:tabs>
        <w:adjustRightInd w:val="0"/>
        <w:snapToGrid w:val="0"/>
        <w:ind w:left="720" w:leftChars="0" w:hanging="720" w:firstLineChars="0"/>
      </w:pPr>
      <w:bookmarkStart w:id="434" w:name="_Toc23714"/>
      <w:r>
        <w:t>总量控制</w:t>
      </w:r>
      <w:bookmarkEnd w:id="429"/>
      <w:bookmarkEnd w:id="430"/>
      <w:bookmarkEnd w:id="431"/>
      <w:bookmarkEnd w:id="432"/>
      <w:bookmarkEnd w:id="433"/>
      <w:bookmarkEnd w:id="434"/>
    </w:p>
    <w:p w14:paraId="7C2D8799">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cs="Times New Roman"/>
          <w:sz w:val="24"/>
        </w:rPr>
        <w:t>本项目废水总量纳入清丰中州水务有限公司第二污水处理厂考核，COD的外排量</w:t>
      </w:r>
      <w:r>
        <w:rPr>
          <w:rFonts w:hint="eastAsia" w:ascii="Times New Roman" w:hAnsi="Times New Roman" w:cs="Times New Roman"/>
          <w:sz w:val="24"/>
          <w:lang w:val="en-US" w:eastAsia="zh-CN"/>
        </w:rPr>
        <w:t>为</w:t>
      </w:r>
      <w:r>
        <w:rPr>
          <w:rFonts w:hint="eastAsia" w:ascii="Times New Roman" w:hAnsi="Times New Roman" w:cs="Times New Roman"/>
          <w:sz w:val="24"/>
        </w:rPr>
        <w:t>0.0617t/a，NH</w:t>
      </w:r>
      <w:r>
        <w:rPr>
          <w:rFonts w:hint="eastAsia" w:ascii="Times New Roman" w:hAnsi="Times New Roman" w:cs="Times New Roman"/>
          <w:sz w:val="24"/>
          <w:vertAlign w:val="subscript"/>
        </w:rPr>
        <w:t>3</w:t>
      </w:r>
      <w:r>
        <w:rPr>
          <w:rFonts w:hint="eastAsia" w:ascii="Times New Roman" w:hAnsi="Times New Roman" w:cs="Times New Roman"/>
          <w:sz w:val="24"/>
        </w:rPr>
        <w:t>-N的外排量为0.0031t/a。废气总量控制指标为：</w:t>
      </w:r>
      <w:r>
        <w:rPr>
          <w:rFonts w:hint="eastAsia" w:ascii="Times New Roman" w:hAnsi="Times New Roman" w:eastAsia="宋体" w:cs="Times New Roman"/>
          <w:sz w:val="24"/>
        </w:rPr>
        <w:t>颗粒物：</w:t>
      </w:r>
      <w:r>
        <w:rPr>
          <w:rFonts w:hint="eastAsia" w:ascii="Times New Roman" w:hAnsi="Times New Roman" w:cs="Times New Roman"/>
          <w:sz w:val="24"/>
        </w:rPr>
        <w:t>0.</w:t>
      </w:r>
      <w:r>
        <w:rPr>
          <w:rFonts w:hint="eastAsia" w:ascii="Times New Roman" w:hAnsi="Times New Roman" w:cs="Times New Roman"/>
          <w:sz w:val="24"/>
          <w:lang w:val="en-US" w:eastAsia="zh-CN"/>
        </w:rPr>
        <w:t>8112</w:t>
      </w:r>
      <w:r>
        <w:rPr>
          <w:rFonts w:hint="eastAsia" w:ascii="Times New Roman" w:hAnsi="Times New Roman" w:eastAsia="宋体" w:cs="Times New Roman"/>
          <w:sz w:val="24"/>
        </w:rPr>
        <w:t>t/a、VOCs：1.</w:t>
      </w:r>
      <w:r>
        <w:rPr>
          <w:rFonts w:hint="eastAsia" w:ascii="Times New Roman" w:hAnsi="Times New Roman" w:eastAsia="宋体" w:cs="Times New Roman"/>
          <w:sz w:val="24"/>
          <w:lang w:val="en-US" w:eastAsia="zh-CN"/>
        </w:rPr>
        <w:t>936</w:t>
      </w:r>
      <w:r>
        <w:rPr>
          <w:rFonts w:hint="eastAsia" w:ascii="Times New Roman" w:hAnsi="Times New Roman" w:eastAsia="宋体" w:cs="Times New Roman"/>
          <w:sz w:val="24"/>
        </w:rPr>
        <w:t>t/a</w:t>
      </w:r>
      <w:r>
        <w:rPr>
          <w:rFonts w:hint="eastAsia" w:ascii="Times New Roman" w:hAnsi="Times New Roman" w:cs="Times New Roman"/>
          <w:sz w:val="24"/>
        </w:rPr>
        <w:t>。</w:t>
      </w:r>
    </w:p>
    <w:p w14:paraId="48C48B19">
      <w:pPr>
        <w:pStyle w:val="3"/>
        <w:numPr>
          <w:ilvl w:val="1"/>
          <w:numId w:val="90"/>
        </w:numPr>
        <w:tabs>
          <w:tab w:val="clear" w:pos="0"/>
        </w:tabs>
        <w:adjustRightInd w:val="0"/>
        <w:snapToGrid w:val="0"/>
        <w:ind w:left="720" w:leftChars="0" w:hanging="720" w:firstLineChars="0"/>
      </w:pPr>
      <w:bookmarkStart w:id="435" w:name="_Toc29687"/>
      <w:bookmarkStart w:id="436" w:name="_Toc23170"/>
      <w:bookmarkStart w:id="437" w:name="_Toc19777"/>
      <w:bookmarkStart w:id="438" w:name="_Toc31646"/>
      <w:bookmarkStart w:id="439" w:name="_Toc18958"/>
      <w:bookmarkStart w:id="440" w:name="_Toc16322"/>
      <w:bookmarkStart w:id="441" w:name="_Toc16352"/>
      <w:bookmarkStart w:id="442" w:name="_Toc13039"/>
      <w:r>
        <w:t>环境风险</w:t>
      </w:r>
      <w:bookmarkEnd w:id="435"/>
      <w:bookmarkEnd w:id="436"/>
      <w:bookmarkEnd w:id="437"/>
      <w:bookmarkEnd w:id="438"/>
      <w:bookmarkEnd w:id="439"/>
      <w:bookmarkEnd w:id="440"/>
      <w:bookmarkEnd w:id="441"/>
    </w:p>
    <w:p w14:paraId="159E0F9D">
      <w:pPr>
        <w:adjustRightInd w:val="0"/>
        <w:snapToGrid w:val="0"/>
        <w:spacing w:line="360" w:lineRule="auto"/>
        <w:ind w:firstLine="480" w:firstLineChars="200"/>
        <w:rPr>
          <w:rFonts w:ascii="Times New Roman" w:hAnsi="Times New Roman" w:eastAsia="宋体"/>
          <w:sz w:val="24"/>
        </w:rPr>
      </w:pPr>
      <w:r>
        <w:rPr>
          <w:rFonts w:hint="eastAsia" w:ascii="Times New Roman" w:hAnsi="Times New Roman" w:eastAsia="宋体"/>
          <w:sz w:val="24"/>
        </w:rPr>
        <w:t>本项目对潜在风险源和危险单元采取有效风险防范措施，对环境风险影响途径采取有效的应急管理措施，对环境受体或环境风险敏感保护目标采取疏散、实时监控监控等措施。企业突发环境事件应急预案应国家和河南省相关应急预案文件要求编制，建议在应急预案中明确企业、区域、地方管理部门的三级联动机制，明确应急预警、应急相应程序。</w:t>
      </w:r>
    </w:p>
    <w:p w14:paraId="6F0640B0">
      <w:pPr>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rPr>
        <w:t>本项目运营期间，需加强</w:t>
      </w:r>
      <w:r>
        <w:rPr>
          <w:rFonts w:hint="eastAsia" w:ascii="Times New Roman" w:hAnsi="Times New Roman" w:eastAsia="宋体"/>
          <w:sz w:val="24"/>
        </w:rPr>
        <w:t>危险</w:t>
      </w:r>
      <w:r>
        <w:rPr>
          <w:rFonts w:hint="eastAsia" w:ascii="Times New Roman" w:hAnsi="Times New Roman" w:eastAsia="宋体"/>
          <w:color w:val="000000" w:themeColor="text1"/>
          <w:sz w:val="24"/>
          <w14:textFill>
            <w14:solidFill>
              <w14:schemeClr w14:val="tx1"/>
            </w14:solidFill>
          </w14:textFill>
        </w:rPr>
        <w:t>废物的</w:t>
      </w:r>
      <w:r>
        <w:rPr>
          <w:rFonts w:ascii="Times New Roman" w:hAnsi="Times New Roman" w:eastAsia="宋体"/>
          <w:sz w:val="24"/>
        </w:rPr>
        <w:t>收运管理，严格落实风险事故防范措施，制定合理的事故应急预案，可以有效防范风险事故的发生和有效处置，</w:t>
      </w:r>
      <w:r>
        <w:rPr>
          <w:rFonts w:hint="eastAsia" w:ascii="Times New Roman" w:hAnsi="Times New Roman" w:eastAsia="宋体"/>
          <w:sz w:val="24"/>
        </w:rPr>
        <w:t>本项目</w:t>
      </w:r>
      <w:r>
        <w:rPr>
          <w:rFonts w:ascii="Times New Roman" w:hAnsi="Times New Roman" w:eastAsia="宋体"/>
          <w:sz w:val="24"/>
        </w:rPr>
        <w:t>项目环境风险</w:t>
      </w:r>
      <w:r>
        <w:rPr>
          <w:rFonts w:hint="eastAsia" w:ascii="Times New Roman" w:hAnsi="Times New Roman" w:eastAsia="宋体"/>
          <w:sz w:val="24"/>
        </w:rPr>
        <w:t>可控</w:t>
      </w:r>
      <w:r>
        <w:rPr>
          <w:rFonts w:ascii="Times New Roman" w:hAnsi="Times New Roman" w:eastAsia="宋体"/>
          <w:sz w:val="24"/>
        </w:rPr>
        <w:t>。</w:t>
      </w:r>
    </w:p>
    <w:p w14:paraId="06134F7B">
      <w:pPr>
        <w:pStyle w:val="3"/>
        <w:numPr>
          <w:ilvl w:val="1"/>
          <w:numId w:val="90"/>
        </w:numPr>
        <w:tabs>
          <w:tab w:val="clear" w:pos="0"/>
        </w:tabs>
        <w:adjustRightInd w:val="0"/>
        <w:snapToGrid w:val="0"/>
        <w:ind w:left="720" w:leftChars="0" w:hanging="720" w:firstLineChars="0"/>
      </w:pPr>
      <w:bookmarkStart w:id="443" w:name="_Toc15395743"/>
      <w:bookmarkStart w:id="444" w:name="_Toc7053"/>
      <w:bookmarkStart w:id="445" w:name="_Toc16580"/>
      <w:bookmarkStart w:id="446" w:name="_Toc1603"/>
      <w:bookmarkStart w:id="447" w:name="_Toc17443"/>
      <w:bookmarkStart w:id="448" w:name="_Toc21858"/>
      <w:bookmarkStart w:id="449" w:name="_Toc1561"/>
      <w:bookmarkStart w:id="450" w:name="_Toc6379"/>
      <w:r>
        <w:t>公众</w:t>
      </w:r>
      <w:bookmarkEnd w:id="443"/>
      <w:r>
        <w:t>意见采纳情况</w:t>
      </w:r>
      <w:bookmarkEnd w:id="444"/>
      <w:bookmarkEnd w:id="445"/>
      <w:bookmarkEnd w:id="446"/>
      <w:bookmarkEnd w:id="447"/>
      <w:bookmarkEnd w:id="448"/>
      <w:bookmarkEnd w:id="449"/>
      <w:bookmarkEnd w:id="450"/>
    </w:p>
    <w:p w14:paraId="567FBC1B">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根据《环境影响评价公众参与办法》（生态环境部部令第4号）第三十一条，本项目于202</w:t>
      </w:r>
      <w:r>
        <w:rPr>
          <w:rFonts w:hint="eastAsia" w:ascii="Times New Roman" w:hAnsi="Times New Roman" w:cs="Times New Roman"/>
          <w:sz w:val="24"/>
        </w:rPr>
        <w:t>3</w:t>
      </w:r>
      <w:r>
        <w:rPr>
          <w:rFonts w:hint="eastAsia" w:ascii="Times New Roman" w:hAnsi="Times New Roman" w:eastAsia="宋体" w:cs="Times New Roman"/>
          <w:sz w:val="24"/>
        </w:rPr>
        <w:t>年</w:t>
      </w:r>
      <w:r>
        <w:rPr>
          <w:rFonts w:hint="eastAsia" w:ascii="Times New Roman" w:hAnsi="Times New Roman" w:cs="Times New Roman"/>
          <w:sz w:val="24"/>
        </w:rPr>
        <w:t>3</w:t>
      </w:r>
      <w:r>
        <w:rPr>
          <w:rFonts w:hint="eastAsia" w:ascii="Times New Roman" w:hAnsi="Times New Roman" w:eastAsia="宋体" w:cs="Times New Roman"/>
          <w:sz w:val="24"/>
        </w:rPr>
        <w:t>月30日在</w:t>
      </w:r>
      <w:r>
        <w:rPr>
          <w:rFonts w:ascii="Times New Roman" w:hAnsi="Times New Roman" w:eastAsia="宋体" w:cs="Times New Roman"/>
          <w:sz w:val="24"/>
          <w:szCs w:val="32"/>
        </w:rPr>
        <w:t>环评互联网网</w:t>
      </w:r>
      <w:r>
        <w:rPr>
          <w:rFonts w:ascii="Times New Roman" w:hAnsi="Times New Roman" w:eastAsia="宋体" w:cs="Times New Roman"/>
          <w:sz w:val="24"/>
        </w:rPr>
        <w:t>站</w:t>
      </w:r>
      <w:r>
        <w:rPr>
          <w:rFonts w:hint="eastAsia" w:ascii="Times New Roman" w:hAnsi="Times New Roman" w:eastAsia="宋体" w:cs="Times New Roman"/>
          <w:sz w:val="24"/>
        </w:rPr>
        <w:t>进行征求意见稿公示，并于</w:t>
      </w:r>
      <w:r>
        <w:rPr>
          <w:rFonts w:hint="eastAsia" w:ascii="Times New Roman" w:hAnsi="Times New Roman" w:cs="Times New Roman"/>
          <w:sz w:val="24"/>
        </w:rPr>
        <w:t>4</w:t>
      </w:r>
      <w:r>
        <w:rPr>
          <w:rFonts w:hint="eastAsia" w:ascii="Times New Roman" w:hAnsi="Times New Roman" w:eastAsia="宋体" w:cs="Times New Roman"/>
          <w:sz w:val="24"/>
        </w:rPr>
        <w:t>月</w:t>
      </w:r>
      <w:r>
        <w:rPr>
          <w:rFonts w:hint="eastAsia" w:ascii="Times New Roman" w:hAnsi="Times New Roman" w:cs="Times New Roman"/>
          <w:sz w:val="24"/>
        </w:rPr>
        <w:t>6</w:t>
      </w:r>
      <w:r>
        <w:rPr>
          <w:rFonts w:hint="eastAsia" w:ascii="Times New Roman" w:hAnsi="Times New Roman" w:eastAsia="宋体" w:cs="Times New Roman"/>
          <w:sz w:val="24"/>
        </w:rPr>
        <w:t>日和</w:t>
      </w:r>
      <w:r>
        <w:rPr>
          <w:rFonts w:hint="eastAsia" w:ascii="Times New Roman" w:hAnsi="Times New Roman" w:cs="Times New Roman"/>
          <w:sz w:val="24"/>
        </w:rPr>
        <w:t>4</w:t>
      </w:r>
      <w:r>
        <w:rPr>
          <w:rFonts w:hint="eastAsia" w:ascii="Times New Roman" w:hAnsi="Times New Roman" w:eastAsia="宋体" w:cs="Times New Roman"/>
          <w:sz w:val="24"/>
        </w:rPr>
        <w:t>月</w:t>
      </w:r>
      <w:r>
        <w:rPr>
          <w:rFonts w:hint="eastAsia" w:ascii="Times New Roman" w:hAnsi="Times New Roman" w:cs="Times New Roman"/>
          <w:sz w:val="24"/>
        </w:rPr>
        <w:t>7</w:t>
      </w:r>
      <w:r>
        <w:rPr>
          <w:rFonts w:hint="eastAsia" w:ascii="Times New Roman" w:hAnsi="Times New Roman" w:eastAsia="宋体" w:cs="Times New Roman"/>
          <w:sz w:val="24"/>
        </w:rPr>
        <w:t>日在</w:t>
      </w:r>
      <w:r>
        <w:rPr>
          <w:rFonts w:hint="eastAsia" w:ascii="Times New Roman" w:hAnsi="Times New Roman" w:cs="Times New Roman"/>
          <w:sz w:val="24"/>
        </w:rPr>
        <w:t>河南日报</w:t>
      </w:r>
      <w:r>
        <w:rPr>
          <w:rFonts w:hint="eastAsia" w:ascii="Times New Roman" w:hAnsi="Times New Roman" w:eastAsia="宋体" w:cs="Times New Roman"/>
          <w:sz w:val="24"/>
        </w:rPr>
        <w:t>进行登报公示。</w:t>
      </w:r>
      <w:r>
        <w:rPr>
          <w:rFonts w:ascii="Times New Roman" w:hAnsi="Times New Roman" w:eastAsia="宋体" w:cs="Times New Roman"/>
          <w:sz w:val="24"/>
        </w:rPr>
        <w:t>公示期间均未收到公众关于本项目的反馈意见。</w:t>
      </w:r>
    </w:p>
    <w:bookmarkEnd w:id="442"/>
    <w:p w14:paraId="1808A2C3">
      <w:pPr>
        <w:pStyle w:val="3"/>
        <w:numPr>
          <w:ilvl w:val="1"/>
          <w:numId w:val="90"/>
        </w:numPr>
        <w:tabs>
          <w:tab w:val="clear" w:pos="0"/>
        </w:tabs>
        <w:adjustRightInd w:val="0"/>
        <w:snapToGrid w:val="0"/>
        <w:ind w:left="720" w:leftChars="0" w:hanging="720" w:firstLineChars="0"/>
      </w:pPr>
      <w:bookmarkStart w:id="451" w:name="_Toc3210"/>
      <w:bookmarkStart w:id="452" w:name="_Toc12980"/>
      <w:bookmarkStart w:id="453" w:name="_Toc3877"/>
      <w:bookmarkStart w:id="454" w:name="_Toc16214"/>
      <w:bookmarkStart w:id="455" w:name="_Toc19558"/>
      <w:bookmarkStart w:id="456" w:name="_Toc18899"/>
      <w:bookmarkStart w:id="457" w:name="_Toc8952"/>
      <w:bookmarkStart w:id="458" w:name="_Toc6879"/>
      <w:r>
        <w:t>综合结论</w:t>
      </w:r>
      <w:bookmarkEnd w:id="451"/>
      <w:bookmarkEnd w:id="452"/>
      <w:bookmarkEnd w:id="453"/>
      <w:bookmarkEnd w:id="454"/>
      <w:bookmarkEnd w:id="455"/>
      <w:bookmarkEnd w:id="456"/>
      <w:bookmarkEnd w:id="457"/>
      <w:bookmarkEnd w:id="458"/>
    </w:p>
    <w:p w14:paraId="33214396">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项目的建设符合国家及</w:t>
      </w:r>
      <w:r>
        <w:rPr>
          <w:rFonts w:hint="eastAsia" w:ascii="Times New Roman" w:hAnsi="Times New Roman" w:eastAsia="宋体" w:cs="Times New Roman"/>
          <w:sz w:val="24"/>
        </w:rPr>
        <w:t>河南</w:t>
      </w:r>
      <w:r>
        <w:rPr>
          <w:rFonts w:ascii="Times New Roman" w:hAnsi="Times New Roman" w:eastAsia="宋体" w:cs="Times New Roman"/>
          <w:sz w:val="24"/>
        </w:rPr>
        <w:t>省有关法规、产业政策，选址符合当地城市发展规划、区域发展规划、土地利用规划、环境保护规划，选址条件基本可行。在贯彻落实有关环保法律、法规和落实本评价提出的各项环境保护措施的前提下，确保各种治理设施正常运转和废气、废水、噪声等污染物达标排放，固废得到综合利用处置，贯彻执行国家规定的</w:t>
      </w:r>
      <w:r>
        <w:rPr>
          <w:rFonts w:hint="eastAsia" w:ascii="宋体" w:hAnsi="宋体" w:eastAsia="宋体" w:cs="宋体"/>
          <w:sz w:val="24"/>
        </w:rPr>
        <w:t>“清洁生产、达标排放、总量控制”的</w:t>
      </w:r>
      <w:r>
        <w:rPr>
          <w:rFonts w:ascii="Times New Roman" w:hAnsi="Times New Roman" w:eastAsia="宋体" w:cs="Times New Roman"/>
          <w:sz w:val="24"/>
        </w:rPr>
        <w:t>原则，落实环境风险防范措施后，从环境保护角度出发，本项目建设是可行的。</w:t>
      </w:r>
    </w:p>
    <w:sectPr>
      <w:headerReference r:id="rId3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00" w:usb3="00000000" w:csb0="00020000" w:csb1="00000000"/>
  </w:font>
  <w:font w:name="瀹嬩綋">
    <w:altName w:val="宋体"/>
    <w:panose1 w:val="00000000000000000000"/>
    <w:charset w:val="86"/>
    <w:family w:val="auto"/>
    <w:pitch w:val="default"/>
    <w:sig w:usb0="00000000" w:usb1="00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CambriaMath">
    <w:altName w:val="宋体"/>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C32E">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A1AC4">
    <w:pPr>
      <w:pStyle w:val="2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C55EB">
                          <w:pPr>
                            <w:pStyle w:val="21"/>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13C55EB">
                    <w:pPr>
                      <w:pStyle w:val="21"/>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E3EC1">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E25D6">
                          <w:pPr>
                            <w:pStyle w:val="21"/>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5DE25D6">
                    <w:pPr>
                      <w:pStyle w:val="21"/>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97769">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99467">
                          <w:pPr>
                            <w:pStyle w:val="21"/>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GiVQt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GiVQtAgAAWQQAAA4AAAAAAAAAAQAgAAAAHwEAAGRycy9lMm9Eb2MueG1sUEsFBgAAAAAG&#10;AAYAWQEAAL4FAAAAAA==&#10;">
              <v:fill on="f" focussize="0,0"/>
              <v:stroke on="f" weight="0.5pt"/>
              <v:imagedata o:title=""/>
              <o:lock v:ext="edit" aspectratio="f"/>
              <v:textbox inset="0mm,0mm,0mm,0mm" style="mso-fit-shape-to-text:t;">
                <w:txbxContent>
                  <w:p w14:paraId="57399467">
                    <w:pPr>
                      <w:pStyle w:val="21"/>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26CCA">
    <w:pPr>
      <w:pStyle w:val="22"/>
      <w:jc w:val="both"/>
      <w:rPr>
        <w:rFonts w:ascii="Times New Roman" w:hAnsi="Times New Roman" w:eastAsia="宋体" w:cs="Times New Roman"/>
      </w:rPr>
    </w:pPr>
  </w:p>
  <w:p w14:paraId="18FA0665">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C0AE3">
    <w:pPr>
      <w:pStyle w:val="22"/>
      <w:jc w:val="both"/>
      <w:rPr>
        <w:rFonts w:ascii="Times New Roman" w:hAnsi="Times New Roman" w:eastAsia="宋体" w:cs="Times New Roman"/>
      </w:rPr>
    </w:pPr>
  </w:p>
  <w:p w14:paraId="6891A9A0">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B6747">
    <w:pPr>
      <w:pStyle w:val="22"/>
      <w:jc w:val="both"/>
      <w:rPr>
        <w:rFonts w:ascii="Times New Roman" w:hAnsi="Times New Roman" w:eastAsia="宋体" w:cs="Times New Roman"/>
      </w:rPr>
    </w:pPr>
  </w:p>
  <w:p w14:paraId="5ADAAB45">
    <w:pPr>
      <w:pStyle w:val="22"/>
      <w:rPr>
        <w:rFonts w:ascii="Times New Roman" w:hAnsi="Times New Roman" w:eastAsia="宋体" w:cs="Times New Roman"/>
      </w:rPr>
    </w:pPr>
  </w:p>
  <w:p w14:paraId="443F7D5C">
    <w:pPr>
      <w:pStyle w:val="22"/>
      <w:rPr>
        <w:rFonts w:ascii="Times New Roman" w:hAnsi="Times New Roman" w:eastAsia="宋体" w:cs="Times New Roman"/>
      </w:rPr>
    </w:pPr>
  </w:p>
  <w:p w14:paraId="3FE2BE5D">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0408D">
    <w:pPr>
      <w:pStyle w:val="22"/>
      <w:jc w:val="both"/>
      <w:rPr>
        <w:rFonts w:ascii="Times New Roman" w:hAnsi="Times New Roman" w:eastAsia="宋体" w:cs="Times New Roman"/>
      </w:rPr>
    </w:pPr>
  </w:p>
  <w:p w14:paraId="1A15BC38">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C74CE">
    <w:pPr>
      <w:pStyle w:val="22"/>
      <w:jc w:val="both"/>
      <w:rPr>
        <w:rFonts w:ascii="Times New Roman" w:hAnsi="Times New Roman" w:eastAsia="宋体" w:cs="Times New Roman"/>
      </w:rPr>
    </w:pPr>
  </w:p>
  <w:p w14:paraId="209C7814">
    <w:pPr>
      <w:pStyle w:val="22"/>
      <w:rPr>
        <w:rFonts w:ascii="Times New Roman" w:hAnsi="Times New Roman" w:eastAsia="宋体" w:cs="Times New Roman"/>
      </w:rPr>
    </w:pPr>
  </w:p>
  <w:p w14:paraId="06C741B3">
    <w:pPr>
      <w:pStyle w:val="22"/>
      <w:rPr>
        <w:rFonts w:ascii="Times New Roman" w:hAnsi="Times New Roman" w:eastAsia="宋体" w:cs="Times New Roman"/>
      </w:rPr>
    </w:pPr>
  </w:p>
  <w:p w14:paraId="3A02EF5E">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8781E">
    <w:pPr>
      <w:pStyle w:val="22"/>
      <w:jc w:val="both"/>
      <w:rPr>
        <w:rFonts w:ascii="Times New Roman" w:hAnsi="Times New Roman" w:eastAsia="宋体" w:cs="Times New Roman"/>
      </w:rPr>
    </w:pPr>
  </w:p>
  <w:p w14:paraId="196D5D34">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E77A2">
    <w:pPr>
      <w:pStyle w:val="22"/>
      <w:jc w:val="both"/>
      <w:rPr>
        <w:rFonts w:ascii="Times New Roman" w:hAnsi="Times New Roman" w:eastAsia="宋体" w:cs="Times New Roman"/>
      </w:rPr>
    </w:pPr>
  </w:p>
  <w:p w14:paraId="1096E7D2">
    <w:pPr>
      <w:pStyle w:val="22"/>
      <w:jc w:val="both"/>
      <w:rPr>
        <w:rFonts w:ascii="Times New Roman" w:hAnsi="Times New Roman" w:eastAsia="宋体" w:cs="Times New Roman"/>
      </w:rPr>
    </w:pPr>
  </w:p>
  <w:p w14:paraId="47CA9BEB">
    <w:pPr>
      <w:pStyle w:val="22"/>
      <w:jc w:val="both"/>
      <w:rPr>
        <w:rFonts w:ascii="Times New Roman" w:hAnsi="Times New Roman" w:eastAsia="宋体" w:cs="Times New Roman"/>
      </w:rPr>
    </w:pPr>
  </w:p>
  <w:p w14:paraId="0AA428C0">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0EAFC">
    <w:pPr>
      <w:pStyle w:val="22"/>
      <w:jc w:val="both"/>
      <w:rPr>
        <w:rFonts w:ascii="Times New Roman" w:hAnsi="Times New Roman" w:eastAsia="宋体" w:cs="Times New Roman"/>
      </w:rPr>
    </w:pPr>
  </w:p>
  <w:p w14:paraId="58A1D1CB">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9A23A">
    <w:pPr>
      <w:pStyle w:val="22"/>
      <w:jc w:val="both"/>
      <w:rPr>
        <w:rFonts w:ascii="Times New Roman" w:hAnsi="Times New Roman" w:eastAsia="宋体" w:cs="Times New Roman"/>
      </w:rPr>
    </w:pPr>
  </w:p>
  <w:p w14:paraId="5B6ADF4C">
    <w:pPr>
      <w:pStyle w:val="22"/>
      <w:rPr>
        <w:rFonts w:ascii="Times New Roman" w:hAnsi="Times New Roman" w:eastAsia="宋体" w:cs="Times New Roman"/>
      </w:rPr>
    </w:pPr>
  </w:p>
  <w:p w14:paraId="24A0DD25">
    <w:pPr>
      <w:pStyle w:val="22"/>
      <w:rPr>
        <w:rFonts w:ascii="Times New Roman" w:hAnsi="Times New Roman" w:eastAsia="宋体" w:cs="Times New Roman"/>
      </w:rPr>
    </w:pPr>
  </w:p>
  <w:p w14:paraId="07CD348F">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7FF1F">
    <w:pPr>
      <w:pStyle w:val="22"/>
      <w:jc w:val="both"/>
      <w:rPr>
        <w:rFonts w:ascii="Times New Roman" w:hAnsi="Times New Roman" w:eastAsia="宋体" w:cs="Times New Roman"/>
      </w:rPr>
    </w:pPr>
  </w:p>
  <w:p w14:paraId="64B57422">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B1DCE">
    <w:pPr>
      <w:pStyle w:val="22"/>
      <w:jc w:val="both"/>
      <w:rPr>
        <w:rFonts w:ascii="Times New Roman" w:hAnsi="Times New Roman" w:eastAsia="宋体" w:cs="Times New Roman"/>
      </w:rPr>
    </w:pPr>
  </w:p>
  <w:p w14:paraId="6DE97AB2">
    <w:pPr>
      <w:pStyle w:val="22"/>
      <w:rPr>
        <w:rFonts w:ascii="Times New Roman" w:hAnsi="Times New Roman" w:eastAsia="宋体" w:cs="Times New Roman"/>
      </w:rPr>
    </w:pPr>
  </w:p>
  <w:p w14:paraId="6D8582A7">
    <w:pPr>
      <w:pStyle w:val="22"/>
      <w:rPr>
        <w:rFonts w:ascii="Times New Roman" w:hAnsi="Times New Roman" w:eastAsia="宋体" w:cs="Times New Roman"/>
      </w:rPr>
    </w:pPr>
  </w:p>
  <w:p w14:paraId="4B0F140C">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2A02C">
    <w:pPr>
      <w:pStyle w:val="22"/>
      <w:jc w:val="both"/>
      <w:rPr>
        <w:rFonts w:ascii="Times New Roman" w:hAnsi="Times New Roman" w:eastAsia="宋体" w:cs="Times New Roman"/>
      </w:rPr>
    </w:pPr>
  </w:p>
  <w:p w14:paraId="47CB5A41">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7F421">
    <w:pPr>
      <w:pStyle w:val="22"/>
      <w:jc w:val="both"/>
      <w:rPr>
        <w:rFonts w:ascii="Times New Roman" w:hAnsi="Times New Roman" w:eastAsia="宋体" w:cs="Times New Roman"/>
      </w:rPr>
    </w:pPr>
  </w:p>
  <w:p w14:paraId="014DDB30">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74711">
    <w:pPr>
      <w:pStyle w:val="22"/>
      <w:jc w:val="both"/>
      <w:rPr>
        <w:rFonts w:ascii="Times New Roman" w:hAnsi="Times New Roman" w:eastAsia="宋体" w:cs="Times New Roman"/>
      </w:rPr>
    </w:pPr>
  </w:p>
  <w:p w14:paraId="1039D18E">
    <w:pPr>
      <w:pStyle w:val="22"/>
      <w:rPr>
        <w:rFonts w:ascii="Times New Roman" w:hAnsi="Times New Roman" w:eastAsia="宋体" w:cs="Times New Roman"/>
      </w:rPr>
    </w:pPr>
  </w:p>
  <w:p w14:paraId="6811E31F">
    <w:pPr>
      <w:pStyle w:val="22"/>
      <w:rPr>
        <w:rFonts w:ascii="Times New Roman" w:hAnsi="Times New Roman" w:eastAsia="宋体" w:cs="Times New Roman"/>
      </w:rPr>
    </w:pPr>
  </w:p>
  <w:p w14:paraId="7AA5F32B">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47F77">
    <w:pPr>
      <w:pStyle w:val="22"/>
      <w:jc w:val="both"/>
      <w:rPr>
        <w:rFonts w:ascii="Times New Roman" w:hAnsi="Times New Roman" w:eastAsia="宋体" w:cs="Times New Roman"/>
      </w:rPr>
    </w:pPr>
  </w:p>
  <w:p w14:paraId="50D7A629">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5B6B9">
    <w:pPr>
      <w:pStyle w:val="22"/>
      <w:jc w:val="both"/>
      <w:rPr>
        <w:rFonts w:ascii="Times New Roman" w:hAnsi="Times New Roman" w:eastAsia="宋体" w:cs="Times New Roman"/>
      </w:rPr>
    </w:pPr>
  </w:p>
  <w:p w14:paraId="0B98571A">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1A38F">
    <w:pPr>
      <w:pStyle w:val="22"/>
      <w:jc w:val="both"/>
      <w:rPr>
        <w:rFonts w:ascii="Times New Roman" w:hAnsi="Times New Roman" w:eastAsia="宋体" w:cs="Times New Roman"/>
      </w:rPr>
    </w:pPr>
  </w:p>
  <w:p w14:paraId="268F24BB">
    <w:pPr>
      <w:pStyle w:val="22"/>
      <w:rPr>
        <w:rFonts w:ascii="Times New Roman" w:hAnsi="Times New Roman" w:eastAsia="宋体" w:cs="Times New Roman"/>
      </w:rPr>
    </w:pPr>
  </w:p>
  <w:p w14:paraId="50A4F0EE">
    <w:pPr>
      <w:pStyle w:val="22"/>
      <w:rPr>
        <w:rFonts w:ascii="Times New Roman" w:hAnsi="Times New Roman" w:eastAsia="宋体" w:cs="Times New Roman"/>
      </w:rPr>
    </w:pPr>
  </w:p>
  <w:p w14:paraId="4970B518">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83DC5">
    <w:pPr>
      <w:pStyle w:val="22"/>
      <w:jc w:val="both"/>
      <w:rPr>
        <w:rFonts w:ascii="Times New Roman" w:hAnsi="Times New Roman" w:eastAsia="宋体" w:cs="Times New Roman"/>
      </w:rPr>
    </w:pPr>
  </w:p>
  <w:p w14:paraId="2446BF54">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4C8F9">
    <w:pPr>
      <w:pStyle w:val="22"/>
      <w:jc w:val="both"/>
      <w:rPr>
        <w:rFonts w:ascii="Times New Roman" w:hAnsi="Times New Roman" w:eastAsia="宋体" w:cs="Times New Roman"/>
      </w:rPr>
    </w:pPr>
  </w:p>
  <w:p w14:paraId="396C9B0D">
    <w:pPr>
      <w:pStyle w:val="22"/>
      <w:rPr>
        <w:rFonts w:ascii="Times New Roman" w:hAnsi="Times New Roman" w:eastAsia="宋体" w:cs="Times New Roman"/>
      </w:rPr>
    </w:pPr>
  </w:p>
  <w:p w14:paraId="08E14D5C">
    <w:pPr>
      <w:pStyle w:val="22"/>
      <w:rPr>
        <w:rFonts w:ascii="Times New Roman" w:hAnsi="Times New Roman" w:eastAsia="宋体" w:cs="Times New Roman"/>
      </w:rPr>
    </w:pPr>
  </w:p>
  <w:p w14:paraId="1DFEF015">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4C20A">
    <w:pPr>
      <w:pStyle w:val="22"/>
      <w:jc w:val="both"/>
      <w:rPr>
        <w:rFonts w:ascii="Times New Roman" w:hAnsi="Times New Roman" w:eastAsia="宋体" w:cs="Times New Roman"/>
      </w:rPr>
    </w:pPr>
  </w:p>
  <w:p w14:paraId="41C63B5E">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15867">
    <w:pPr>
      <w:pStyle w:val="22"/>
      <w:jc w:val="both"/>
      <w:rPr>
        <w:rFonts w:ascii="Times New Roman" w:hAnsi="Times New Roman" w:eastAsia="宋体" w:cs="Times New Roman"/>
      </w:rPr>
    </w:pPr>
  </w:p>
  <w:p w14:paraId="39100BAF">
    <w:pPr>
      <w:pStyle w:val="22"/>
      <w:rPr>
        <w:rFonts w:ascii="Times New Roman" w:hAnsi="Times New Roman" w:eastAsia="宋体" w:cs="Times New Roman"/>
      </w:rPr>
    </w:pPr>
  </w:p>
  <w:p w14:paraId="165C871E">
    <w:pPr>
      <w:pStyle w:val="22"/>
      <w:rPr>
        <w:rFonts w:ascii="Times New Roman" w:hAnsi="Times New Roman" w:eastAsia="宋体" w:cs="Times New Roman"/>
      </w:rPr>
    </w:pPr>
  </w:p>
  <w:p w14:paraId="0D7B5A1D">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BACBB">
    <w:pPr>
      <w:pStyle w:val="22"/>
      <w:jc w:val="both"/>
      <w:rPr>
        <w:rFonts w:ascii="Times New Roman" w:hAnsi="Times New Roman" w:eastAsia="宋体" w:cs="Times New Roman"/>
      </w:rPr>
    </w:pPr>
  </w:p>
  <w:p w14:paraId="35E52EA8">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28CC9">
    <w:pPr>
      <w:pStyle w:val="22"/>
      <w:jc w:val="both"/>
      <w:rPr>
        <w:rFonts w:ascii="Times New Roman" w:hAnsi="Times New Roman" w:eastAsia="宋体" w:cs="Times New Roman"/>
      </w:rPr>
    </w:pPr>
  </w:p>
  <w:p w14:paraId="41A3F2EA">
    <w:pPr>
      <w:pStyle w:val="22"/>
      <w:rPr>
        <w:rFonts w:ascii="Times New Roman" w:hAnsi="Times New Roman" w:eastAsia="宋体" w:cs="Times New Roman"/>
      </w:rPr>
    </w:pPr>
  </w:p>
  <w:p w14:paraId="4A7A87D1">
    <w:pPr>
      <w:pStyle w:val="22"/>
      <w:rPr>
        <w:rFonts w:ascii="Times New Roman" w:hAnsi="Times New Roman" w:eastAsia="宋体" w:cs="Times New Roman"/>
      </w:rPr>
    </w:pPr>
  </w:p>
  <w:p w14:paraId="75D9D317">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90CB0">
    <w:pPr>
      <w:pStyle w:val="22"/>
      <w:jc w:val="both"/>
      <w:rPr>
        <w:rFonts w:ascii="Times New Roman" w:hAnsi="Times New Roman" w:eastAsia="宋体" w:cs="Times New Roman"/>
      </w:rPr>
    </w:pPr>
  </w:p>
  <w:p w14:paraId="2046297C">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49DA6">
    <w:pPr>
      <w:pStyle w:val="22"/>
      <w:jc w:val="both"/>
      <w:rPr>
        <w:rFonts w:ascii="Times New Roman" w:hAnsi="Times New Roman" w:eastAsia="宋体" w:cs="Times New Roman"/>
      </w:rPr>
    </w:pPr>
  </w:p>
  <w:p w14:paraId="5DDD7E99">
    <w:pPr>
      <w:pStyle w:val="22"/>
      <w:rPr>
        <w:rFonts w:ascii="Times New Roman" w:hAnsi="Times New Roman" w:eastAsia="宋体" w:cs="Times New Roman"/>
      </w:rPr>
    </w:pPr>
  </w:p>
  <w:p w14:paraId="5918A9D9">
    <w:pPr>
      <w:pStyle w:val="22"/>
      <w:rPr>
        <w:rFonts w:ascii="Times New Roman" w:hAnsi="Times New Roman" w:eastAsia="宋体" w:cs="Times New Roman"/>
      </w:rPr>
    </w:pPr>
  </w:p>
  <w:p w14:paraId="2A148E5A">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AD94C">
    <w:pPr>
      <w:pStyle w:val="22"/>
      <w:jc w:val="both"/>
      <w:rPr>
        <w:rFonts w:ascii="Times New Roman" w:hAnsi="Times New Roman" w:eastAsia="宋体" w:cs="Times New Roman"/>
      </w:rPr>
    </w:pPr>
  </w:p>
  <w:p w14:paraId="19E9D38A">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835B2">
    <w:pPr>
      <w:pStyle w:val="22"/>
      <w:jc w:val="both"/>
      <w:rPr>
        <w:rFonts w:ascii="Times New Roman" w:hAnsi="Times New Roman" w:eastAsia="宋体" w:cs="Times New Roman"/>
      </w:rPr>
    </w:pPr>
  </w:p>
  <w:p w14:paraId="55948ACD">
    <w:pPr>
      <w:pStyle w:val="22"/>
      <w:jc w:val="both"/>
      <w:rPr>
        <w:rFonts w:ascii="Times New Roman" w:hAnsi="Times New Roman" w:eastAsia="宋体" w:cs="Times New Roman"/>
      </w:rPr>
    </w:pPr>
  </w:p>
  <w:p w14:paraId="129EB8DF">
    <w:pPr>
      <w:pStyle w:val="22"/>
      <w:jc w:val="both"/>
      <w:rPr>
        <w:rFonts w:ascii="Times New Roman" w:hAnsi="Times New Roman" w:eastAsia="宋体" w:cs="Times New Roman"/>
      </w:rPr>
    </w:pPr>
  </w:p>
  <w:p w14:paraId="120650B7">
    <w:pPr>
      <w:pStyle w:val="22"/>
      <w:rPr>
        <w:rFonts w:ascii="Times New Roman" w:hAnsi="Times New Roman" w:eastAsia="宋体" w:cs="Times New Roman"/>
      </w:rPr>
    </w:pPr>
    <w:r>
      <w:rPr>
        <w:rFonts w:ascii="Times New Roman" w:hAnsi="Times New Roman" w:eastAsia="宋体" w:cs="Times New Roman"/>
      </w:rPr>
      <w:t>汉玉伟木（清丰县）家居有限公司年产1万套实木复合门、4万平方米全屋定制项目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7342C"/>
    <w:multiLevelType w:val="multilevel"/>
    <w:tmpl w:val="8437342C"/>
    <w:lvl w:ilvl="0" w:tentative="0">
      <w:start w:val="7"/>
      <w:numFmt w:val="decimal"/>
      <w:suff w:val="space"/>
      <w:lvlText w:val="%1"/>
      <w:lvlJc w:val="left"/>
      <w:pPr>
        <w:tabs>
          <w:tab w:val="left" w:pos="0"/>
        </w:tabs>
        <w:ind w:left="432" w:hanging="432"/>
      </w:pPr>
      <w:rPr>
        <w:rFonts w:hint="default" w:ascii="宋体" w:hAnsi="宋体" w:eastAsia="宋体" w:cs="宋体"/>
      </w:rPr>
    </w:lvl>
    <w:lvl w:ilvl="1" w:tentative="0">
      <w:start w:val="1"/>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
    <w:nsid w:val="86158FF9"/>
    <w:multiLevelType w:val="multilevel"/>
    <w:tmpl w:val="86158FF9"/>
    <w:lvl w:ilvl="0" w:tentative="0">
      <w:start w:val="3"/>
      <w:numFmt w:val="decimal"/>
      <w:suff w:val="space"/>
      <w:lvlText w:val="%1"/>
      <w:lvlJc w:val="left"/>
      <w:pPr>
        <w:tabs>
          <w:tab w:val="left" w:pos="0"/>
        </w:tabs>
        <w:ind w:left="432" w:hanging="432"/>
      </w:pPr>
      <w:rPr>
        <w:rFonts w:hint="default" w:ascii="宋体" w:hAnsi="宋体" w:eastAsia="宋体" w:cs="宋体"/>
      </w:rPr>
    </w:lvl>
    <w:lvl w:ilvl="1" w:tentative="0">
      <w:start w:val="3"/>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
    <w:nsid w:val="87CD915D"/>
    <w:multiLevelType w:val="singleLevel"/>
    <w:tmpl w:val="87CD915D"/>
    <w:lvl w:ilvl="0" w:tentative="0">
      <w:start w:val="1"/>
      <w:numFmt w:val="decimal"/>
      <w:suff w:val="space"/>
      <w:lvlText w:val="表3.3-%1"/>
      <w:lvlJc w:val="left"/>
      <w:pPr>
        <w:tabs>
          <w:tab w:val="left" w:pos="0"/>
        </w:tabs>
        <w:ind w:left="425" w:hanging="425"/>
      </w:pPr>
      <w:rPr>
        <w:rFonts w:hint="default" w:ascii="Times New Roman" w:hAnsi="Times New Roman" w:eastAsia="宋体" w:cs="Times New Roman"/>
        <w:sz w:val="21"/>
        <w:szCs w:val="21"/>
      </w:rPr>
    </w:lvl>
  </w:abstractNum>
  <w:abstractNum w:abstractNumId="3">
    <w:nsid w:val="8875201D"/>
    <w:multiLevelType w:val="singleLevel"/>
    <w:tmpl w:val="8875201D"/>
    <w:lvl w:ilvl="0" w:tentative="0">
      <w:start w:val="1"/>
      <w:numFmt w:val="decimal"/>
      <w:lvlText w:val="表2.3-%1"/>
      <w:lvlJc w:val="left"/>
      <w:pPr>
        <w:tabs>
          <w:tab w:val="left" w:pos="420"/>
        </w:tabs>
        <w:ind w:left="425" w:hanging="425"/>
      </w:pPr>
      <w:rPr>
        <w:rFonts w:hint="default" w:ascii="Times New Roman" w:hAnsi="Times New Roman" w:eastAsia="宋体" w:cs="Times New Roman"/>
        <w:b/>
        <w:bCs/>
        <w:sz w:val="21"/>
        <w:szCs w:val="21"/>
      </w:rPr>
    </w:lvl>
  </w:abstractNum>
  <w:abstractNum w:abstractNumId="4">
    <w:nsid w:val="8DC8764C"/>
    <w:multiLevelType w:val="singleLevel"/>
    <w:tmpl w:val="8DC8764C"/>
    <w:lvl w:ilvl="0" w:tentative="0">
      <w:start w:val="1"/>
      <w:numFmt w:val="decimal"/>
      <w:suff w:val="space"/>
      <w:lvlText w:val="表5.5-%1"/>
      <w:lvlJc w:val="left"/>
      <w:pPr>
        <w:tabs>
          <w:tab w:val="left" w:pos="0"/>
        </w:tabs>
        <w:ind w:left="425" w:hanging="425"/>
      </w:pPr>
      <w:rPr>
        <w:rFonts w:hint="default" w:ascii="Times New Roman" w:hAnsi="Times New Roman" w:eastAsia="宋体" w:cs="Times New Roman"/>
        <w:b/>
        <w:bCs/>
        <w:sz w:val="21"/>
        <w:szCs w:val="21"/>
      </w:rPr>
    </w:lvl>
  </w:abstractNum>
  <w:abstractNum w:abstractNumId="5">
    <w:nsid w:val="8F64D179"/>
    <w:multiLevelType w:val="multilevel"/>
    <w:tmpl w:val="8F64D179"/>
    <w:lvl w:ilvl="0" w:tentative="0">
      <w:start w:val="3"/>
      <w:numFmt w:val="decimal"/>
      <w:suff w:val="space"/>
      <w:lvlText w:val="%1"/>
      <w:lvlJc w:val="left"/>
      <w:pPr>
        <w:tabs>
          <w:tab w:val="left" w:pos="0"/>
        </w:tabs>
        <w:ind w:left="432" w:hanging="432"/>
      </w:pPr>
      <w:rPr>
        <w:rFonts w:hint="default" w:ascii="Times New Roman" w:hAnsi="Times New Roman" w:eastAsia="宋体" w:cs="Times New Roman"/>
      </w:rPr>
    </w:lvl>
    <w:lvl w:ilvl="1" w:tentative="0">
      <w:start w:val="6"/>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6">
    <w:nsid w:val="916722D4"/>
    <w:multiLevelType w:val="singleLevel"/>
    <w:tmpl w:val="916722D4"/>
    <w:lvl w:ilvl="0" w:tentative="0">
      <w:start w:val="1"/>
      <w:numFmt w:val="decimal"/>
      <w:suff w:val="nothing"/>
      <w:lvlText w:val="（%1）"/>
      <w:lvlJc w:val="left"/>
      <w:pPr>
        <w:ind w:left="-60"/>
      </w:pPr>
    </w:lvl>
  </w:abstractNum>
  <w:abstractNum w:abstractNumId="7">
    <w:nsid w:val="92B6B3D9"/>
    <w:multiLevelType w:val="multilevel"/>
    <w:tmpl w:val="92B6B3D9"/>
    <w:lvl w:ilvl="0" w:tentative="0">
      <w:start w:val="4"/>
      <w:numFmt w:val="decimal"/>
      <w:suff w:val="space"/>
      <w:lvlText w:val="%1"/>
      <w:lvlJc w:val="left"/>
      <w:pPr>
        <w:tabs>
          <w:tab w:val="left" w:pos="0"/>
        </w:tabs>
        <w:ind w:left="432" w:hanging="432"/>
      </w:pPr>
      <w:rPr>
        <w:rFonts w:hint="default" w:ascii="宋体" w:hAnsi="宋体" w:eastAsia="宋体" w:cs="宋体"/>
      </w:rPr>
    </w:lvl>
    <w:lvl w:ilvl="1" w:tentative="0">
      <w:start w:val="6"/>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8">
    <w:nsid w:val="97C39E97"/>
    <w:multiLevelType w:val="multilevel"/>
    <w:tmpl w:val="97C39E97"/>
    <w:lvl w:ilvl="0" w:tentative="0">
      <w:start w:val="7"/>
      <w:numFmt w:val="decimal"/>
      <w:suff w:val="space"/>
      <w:lvlText w:val="%1"/>
      <w:lvlJc w:val="left"/>
      <w:pPr>
        <w:tabs>
          <w:tab w:val="left" w:pos="0"/>
        </w:tabs>
        <w:ind w:left="432" w:hanging="432"/>
      </w:pPr>
      <w:rPr>
        <w:rFonts w:hint="default" w:ascii="宋体" w:hAnsi="宋体" w:eastAsia="宋体" w:cs="宋体"/>
      </w:rPr>
    </w:lvl>
    <w:lvl w:ilvl="1" w:tentative="0">
      <w:start w:val="5"/>
      <w:numFmt w:val="decimal"/>
      <w:suff w:val="space"/>
      <w:lvlText w:val="%1.%2"/>
      <w:lvlJc w:val="left"/>
      <w:pPr>
        <w:tabs>
          <w:tab w:val="left" w:pos="0"/>
        </w:tabs>
        <w:ind w:left="720" w:hanging="720"/>
      </w:pPr>
      <w:rPr>
        <w:rFonts w:hint="default" w:ascii="Times New Roman" w:hAnsi="Times New Roman" w:eastAsia="宋体" w:cs="Times New Roman"/>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9">
    <w:nsid w:val="97FC2F15"/>
    <w:multiLevelType w:val="multilevel"/>
    <w:tmpl w:val="97FC2F15"/>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A08CCF6E"/>
    <w:multiLevelType w:val="multilevel"/>
    <w:tmpl w:val="A08CCF6E"/>
    <w:lvl w:ilvl="0" w:tentative="0">
      <w:start w:val="5"/>
      <w:numFmt w:val="decimal"/>
      <w:suff w:val="space"/>
      <w:lvlText w:val="%1"/>
      <w:lvlJc w:val="left"/>
      <w:pPr>
        <w:tabs>
          <w:tab w:val="left" w:pos="0"/>
        </w:tabs>
        <w:ind w:left="432" w:hanging="432"/>
      </w:pPr>
      <w:rPr>
        <w:rFonts w:hint="default" w:ascii="Times New Roman" w:hAnsi="Times New Roman" w:eastAsia="宋体"/>
      </w:rPr>
    </w:lvl>
    <w:lvl w:ilvl="1" w:tentative="0">
      <w:start w:val="6"/>
      <w:numFmt w:val="decimal"/>
      <w:suff w:val="space"/>
      <w:lvlText w:val="%1.%2"/>
      <w:lvlJc w:val="left"/>
      <w:pPr>
        <w:tabs>
          <w:tab w:val="left" w:pos="0"/>
        </w:tabs>
        <w:ind w:left="720" w:hanging="720"/>
      </w:pPr>
      <w:rPr>
        <w:rFonts w:hint="default" w:ascii="Times New Roman" w:hAnsi="Times New Roman"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1">
    <w:nsid w:val="A115F22F"/>
    <w:multiLevelType w:val="singleLevel"/>
    <w:tmpl w:val="A115F22F"/>
    <w:lvl w:ilvl="0" w:tentative="0">
      <w:start w:val="1"/>
      <w:numFmt w:val="decimal"/>
      <w:suff w:val="space"/>
      <w:lvlText w:val="表3.8-%1"/>
      <w:lvlJc w:val="left"/>
      <w:pPr>
        <w:tabs>
          <w:tab w:val="left" w:pos="0"/>
        </w:tabs>
        <w:ind w:left="425" w:hanging="425"/>
      </w:pPr>
      <w:rPr>
        <w:rFonts w:hint="default" w:ascii="Times New Roman" w:hAnsi="Times New Roman" w:eastAsia="宋体" w:cs="Times New Roman"/>
        <w:b/>
        <w:bCs/>
        <w:sz w:val="21"/>
        <w:szCs w:val="21"/>
      </w:rPr>
    </w:lvl>
  </w:abstractNum>
  <w:abstractNum w:abstractNumId="12">
    <w:nsid w:val="A40A3107"/>
    <w:multiLevelType w:val="singleLevel"/>
    <w:tmpl w:val="A40A3107"/>
    <w:lvl w:ilvl="0" w:tentative="0">
      <w:start w:val="1"/>
      <w:numFmt w:val="decimal"/>
      <w:suff w:val="space"/>
      <w:lvlText w:val="表5.4-%1"/>
      <w:lvlJc w:val="left"/>
      <w:pPr>
        <w:tabs>
          <w:tab w:val="left" w:pos="0"/>
        </w:tabs>
        <w:ind w:left="425" w:hanging="425"/>
      </w:pPr>
      <w:rPr>
        <w:rFonts w:hint="default" w:ascii="Times New Roman" w:hAnsi="Times New Roman" w:eastAsia="宋体" w:cs="Times New Roman"/>
        <w:b/>
        <w:bCs/>
        <w:sz w:val="21"/>
        <w:szCs w:val="21"/>
      </w:rPr>
    </w:lvl>
  </w:abstractNum>
  <w:abstractNum w:abstractNumId="13">
    <w:nsid w:val="A454E7DA"/>
    <w:multiLevelType w:val="singleLevel"/>
    <w:tmpl w:val="A454E7DA"/>
    <w:lvl w:ilvl="0" w:tentative="0">
      <w:start w:val="1"/>
      <w:numFmt w:val="decimal"/>
      <w:suff w:val="space"/>
      <w:lvlText w:val="表2.10-%1"/>
      <w:lvlJc w:val="left"/>
      <w:pPr>
        <w:tabs>
          <w:tab w:val="left" w:pos="0"/>
        </w:tabs>
        <w:ind w:left="425" w:hanging="425"/>
      </w:pPr>
      <w:rPr>
        <w:rFonts w:hint="default" w:ascii="Times New Roman" w:hAnsi="Times New Roman" w:eastAsia="宋体" w:cs="Times New Roman"/>
        <w:b/>
        <w:bCs/>
        <w:color w:val="auto"/>
        <w:sz w:val="21"/>
        <w:szCs w:val="21"/>
      </w:rPr>
    </w:lvl>
  </w:abstractNum>
  <w:abstractNum w:abstractNumId="14">
    <w:nsid w:val="A990AEF7"/>
    <w:multiLevelType w:val="multilevel"/>
    <w:tmpl w:val="A990AEF7"/>
    <w:lvl w:ilvl="0" w:tentative="0">
      <w:start w:val="3"/>
      <w:numFmt w:val="decimal"/>
      <w:suff w:val="space"/>
      <w:lvlText w:val="%1"/>
      <w:lvlJc w:val="left"/>
      <w:pPr>
        <w:tabs>
          <w:tab w:val="left" w:pos="0"/>
        </w:tabs>
        <w:ind w:left="432" w:hanging="432"/>
      </w:pPr>
      <w:rPr>
        <w:rFonts w:hint="default" w:ascii="宋体" w:hAnsi="宋体" w:eastAsia="宋体" w:cs="宋体"/>
      </w:rPr>
    </w:lvl>
    <w:lvl w:ilvl="1" w:tentative="0">
      <w:start w:val="1"/>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5">
    <w:nsid w:val="AC71E36F"/>
    <w:multiLevelType w:val="multilevel"/>
    <w:tmpl w:val="AC71E36F"/>
    <w:lvl w:ilvl="0" w:tentative="0">
      <w:start w:val="5"/>
      <w:numFmt w:val="decimal"/>
      <w:suff w:val="space"/>
      <w:lvlText w:val="%1"/>
      <w:lvlJc w:val="left"/>
      <w:pPr>
        <w:tabs>
          <w:tab w:val="left" w:pos="0"/>
        </w:tabs>
        <w:ind w:left="432" w:hanging="432"/>
      </w:pPr>
      <w:rPr>
        <w:rFonts w:hint="default" w:ascii="Times New Roman" w:hAnsi="Times New Roman" w:eastAsia="宋体"/>
      </w:rPr>
    </w:lvl>
    <w:lvl w:ilvl="1" w:tentative="0">
      <w:start w:val="4"/>
      <w:numFmt w:val="decimal"/>
      <w:suff w:val="space"/>
      <w:lvlText w:val="%1.%2"/>
      <w:lvlJc w:val="left"/>
      <w:pPr>
        <w:tabs>
          <w:tab w:val="left" w:pos="0"/>
        </w:tabs>
        <w:ind w:left="720" w:hanging="720"/>
      </w:pPr>
      <w:rPr>
        <w:rFonts w:hint="default" w:ascii="Times New Roman" w:hAnsi="Times New Roman"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6">
    <w:nsid w:val="AD361EB5"/>
    <w:multiLevelType w:val="singleLevel"/>
    <w:tmpl w:val="AD361EB5"/>
    <w:lvl w:ilvl="0" w:tentative="0">
      <w:start w:val="1"/>
      <w:numFmt w:val="decimal"/>
      <w:suff w:val="space"/>
      <w:lvlText w:val="表3.9-%1"/>
      <w:lvlJc w:val="left"/>
      <w:pPr>
        <w:tabs>
          <w:tab w:val="left" w:pos="0"/>
        </w:tabs>
        <w:ind w:left="425" w:hanging="425"/>
      </w:pPr>
      <w:rPr>
        <w:rFonts w:hint="default" w:ascii="Times New Roman" w:hAnsi="Times New Roman" w:eastAsia="宋体" w:cs="Times New Roman"/>
        <w:b/>
        <w:bCs/>
        <w:sz w:val="21"/>
        <w:szCs w:val="21"/>
      </w:rPr>
    </w:lvl>
  </w:abstractNum>
  <w:abstractNum w:abstractNumId="17">
    <w:nsid w:val="AE4B2177"/>
    <w:multiLevelType w:val="singleLevel"/>
    <w:tmpl w:val="AE4B2177"/>
    <w:lvl w:ilvl="0" w:tentative="0">
      <w:start w:val="1"/>
      <w:numFmt w:val="decimal"/>
      <w:suff w:val="space"/>
      <w:lvlText w:val="表5.6-%1"/>
      <w:lvlJc w:val="left"/>
      <w:pPr>
        <w:tabs>
          <w:tab w:val="left" w:pos="0"/>
        </w:tabs>
        <w:ind w:left="425" w:hanging="425"/>
      </w:pPr>
      <w:rPr>
        <w:rFonts w:hint="default" w:ascii="Times New Roman" w:hAnsi="Times New Roman" w:eastAsia="宋体" w:cs="Times New Roman"/>
        <w:b/>
        <w:bCs/>
        <w:sz w:val="21"/>
        <w:szCs w:val="21"/>
      </w:rPr>
    </w:lvl>
  </w:abstractNum>
  <w:abstractNum w:abstractNumId="18">
    <w:nsid w:val="B198159E"/>
    <w:multiLevelType w:val="multilevel"/>
    <w:tmpl w:val="B198159E"/>
    <w:lvl w:ilvl="0" w:tentative="0">
      <w:start w:val="4"/>
      <w:numFmt w:val="decimal"/>
      <w:lvlText w:val="%1."/>
      <w:lvlJc w:val="left"/>
      <w:pPr>
        <w:ind w:left="425" w:hanging="425"/>
      </w:pPr>
      <w:rPr>
        <w:rFonts w:hint="default" w:ascii="Times New Roman" w:hAnsi="Times New Roman" w:eastAsia="宋体" w:cs="Times New Roman"/>
      </w:rPr>
    </w:lvl>
    <w:lvl w:ilvl="1" w:tentative="0">
      <w:start w:val="1"/>
      <w:numFmt w:val="decimal"/>
      <w:lvlText w:val="%1.%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B215779F"/>
    <w:multiLevelType w:val="multilevel"/>
    <w:tmpl w:val="B215779F"/>
    <w:lvl w:ilvl="0" w:tentative="0">
      <w:start w:val="2"/>
      <w:numFmt w:val="decimal"/>
      <w:suff w:val="space"/>
      <w:lvlText w:val="%1"/>
      <w:lvlJc w:val="left"/>
      <w:pPr>
        <w:tabs>
          <w:tab w:val="left" w:pos="0"/>
        </w:tabs>
        <w:ind w:left="432" w:hanging="432"/>
      </w:pPr>
      <w:rPr>
        <w:rFonts w:hint="default" w:ascii="Times New Roman" w:hAnsi="Times New Roman" w:eastAsia="宋体" w:cs="Times New Roman"/>
      </w:rPr>
    </w:lvl>
    <w:lvl w:ilvl="1" w:tentative="0">
      <w:start w:val="5"/>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0">
    <w:nsid w:val="B479736A"/>
    <w:multiLevelType w:val="multilevel"/>
    <w:tmpl w:val="B479736A"/>
    <w:lvl w:ilvl="0" w:tentative="0">
      <w:start w:val="2"/>
      <w:numFmt w:val="decimal"/>
      <w:suff w:val="space"/>
      <w:lvlText w:val="%1"/>
      <w:lvlJc w:val="left"/>
      <w:pPr>
        <w:tabs>
          <w:tab w:val="left" w:pos="0"/>
        </w:tabs>
        <w:ind w:left="432" w:hanging="432"/>
      </w:pPr>
      <w:rPr>
        <w:rFonts w:hint="default" w:ascii="宋体" w:hAnsi="宋体" w:eastAsia="宋体" w:cs="宋体"/>
      </w:rPr>
    </w:lvl>
    <w:lvl w:ilvl="1" w:tentative="0">
      <w:start w:val="1"/>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1">
    <w:nsid w:val="B6397FCE"/>
    <w:multiLevelType w:val="singleLevel"/>
    <w:tmpl w:val="B6397FCE"/>
    <w:lvl w:ilvl="0" w:tentative="0">
      <w:start w:val="1"/>
      <w:numFmt w:val="decimal"/>
      <w:lvlText w:val="表5.2-%1"/>
      <w:lvlJc w:val="left"/>
      <w:pPr>
        <w:tabs>
          <w:tab w:val="left" w:pos="420"/>
        </w:tabs>
        <w:ind w:left="425" w:hanging="425"/>
      </w:pPr>
      <w:rPr>
        <w:rFonts w:hint="default" w:ascii="Times New Roman" w:hAnsi="Times New Roman" w:eastAsia="宋体" w:cs="Times New Roman"/>
        <w:b/>
        <w:bCs/>
        <w:sz w:val="21"/>
        <w:szCs w:val="21"/>
      </w:rPr>
    </w:lvl>
  </w:abstractNum>
  <w:abstractNum w:abstractNumId="22">
    <w:nsid w:val="B7C40FE0"/>
    <w:multiLevelType w:val="singleLevel"/>
    <w:tmpl w:val="B7C40FE0"/>
    <w:lvl w:ilvl="0" w:tentative="0">
      <w:start w:val="1"/>
      <w:numFmt w:val="decimal"/>
      <w:lvlText w:val="表2.6-%1"/>
      <w:lvlJc w:val="left"/>
      <w:pPr>
        <w:tabs>
          <w:tab w:val="left" w:pos="420"/>
        </w:tabs>
        <w:ind w:left="425" w:hanging="425"/>
      </w:pPr>
      <w:rPr>
        <w:rFonts w:hint="default" w:ascii="Times New Roman" w:hAnsi="Times New Roman" w:eastAsia="宋体" w:cs="Times New Roman"/>
        <w:b/>
        <w:bCs/>
        <w:sz w:val="21"/>
        <w:szCs w:val="21"/>
      </w:rPr>
    </w:lvl>
  </w:abstractNum>
  <w:abstractNum w:abstractNumId="23">
    <w:nsid w:val="B8F51AA0"/>
    <w:multiLevelType w:val="multilevel"/>
    <w:tmpl w:val="B8F51AA0"/>
    <w:lvl w:ilvl="0" w:tentative="0">
      <w:start w:val="5"/>
      <w:numFmt w:val="decimal"/>
      <w:lvlText w:val="%1."/>
      <w:lvlJc w:val="left"/>
      <w:pPr>
        <w:ind w:left="425" w:hanging="425"/>
      </w:pPr>
      <w:rPr>
        <w:rFonts w:hint="default" w:ascii="宋体" w:hAnsi="宋体" w:eastAsia="宋体" w:cs="宋体"/>
      </w:rPr>
    </w:lvl>
    <w:lvl w:ilvl="1" w:tentative="0">
      <w:start w:val="5"/>
      <w:numFmt w:val="decimal"/>
      <w:lvlText w:val="%1.%2."/>
      <w:lvlJc w:val="left"/>
      <w:pPr>
        <w:ind w:left="850" w:hanging="453"/>
      </w:pPr>
      <w:rPr>
        <w:rFonts w:hint="default" w:ascii="宋体" w:hAnsi="宋体" w:eastAsia="宋体" w:cs="宋体"/>
      </w:rPr>
    </w:lvl>
    <w:lvl w:ilvl="2" w:tentative="0">
      <w:start w:val="4"/>
      <w:numFmt w:val="decimal"/>
      <w:lvlText w:val="%1.%2.%3"/>
      <w:lvlJc w:val="left"/>
      <w:pPr>
        <w:ind w:left="1508" w:hanging="708"/>
      </w:pPr>
      <w:rPr>
        <w:rFonts w:hint="default" w:ascii="Times New Roman" w:hAnsi="Times New Roman" w:eastAsia="宋体" w:cs="Times New Roman"/>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B9D1D6EF"/>
    <w:multiLevelType w:val="singleLevel"/>
    <w:tmpl w:val="B9D1D6EF"/>
    <w:lvl w:ilvl="0" w:tentative="0">
      <w:start w:val="1"/>
      <w:numFmt w:val="decimal"/>
      <w:suff w:val="space"/>
      <w:lvlText w:val="表3.2-%1"/>
      <w:lvlJc w:val="left"/>
      <w:pPr>
        <w:tabs>
          <w:tab w:val="left" w:pos="0"/>
        </w:tabs>
        <w:ind w:left="425" w:hanging="425"/>
      </w:pPr>
      <w:rPr>
        <w:rFonts w:hint="default" w:ascii="Times New Roman" w:hAnsi="Times New Roman" w:eastAsia="宋体" w:cs="Times New Roman"/>
        <w:sz w:val="21"/>
        <w:szCs w:val="21"/>
      </w:rPr>
    </w:lvl>
  </w:abstractNum>
  <w:abstractNum w:abstractNumId="25">
    <w:nsid w:val="C08501D0"/>
    <w:multiLevelType w:val="singleLevel"/>
    <w:tmpl w:val="C08501D0"/>
    <w:lvl w:ilvl="0" w:tentative="0">
      <w:start w:val="1"/>
      <w:numFmt w:val="decimal"/>
      <w:suff w:val="space"/>
      <w:lvlText w:val="表3.4-%1"/>
      <w:lvlJc w:val="left"/>
      <w:pPr>
        <w:tabs>
          <w:tab w:val="left" w:pos="0"/>
        </w:tabs>
        <w:ind w:left="425" w:hanging="425"/>
      </w:pPr>
      <w:rPr>
        <w:rFonts w:hint="default" w:ascii="Times New Roman" w:hAnsi="Times New Roman" w:eastAsia="宋体" w:cs="Times New Roman"/>
        <w:sz w:val="21"/>
        <w:szCs w:val="21"/>
      </w:rPr>
    </w:lvl>
  </w:abstractNum>
  <w:abstractNum w:abstractNumId="26">
    <w:nsid w:val="C17EF048"/>
    <w:multiLevelType w:val="singleLevel"/>
    <w:tmpl w:val="C17EF048"/>
    <w:lvl w:ilvl="0" w:tentative="0">
      <w:start w:val="1"/>
      <w:numFmt w:val="decimal"/>
      <w:lvlText w:val="%1."/>
      <w:lvlJc w:val="left"/>
      <w:pPr>
        <w:tabs>
          <w:tab w:val="left" w:pos="312"/>
        </w:tabs>
      </w:pPr>
    </w:lvl>
  </w:abstractNum>
  <w:abstractNum w:abstractNumId="27">
    <w:nsid w:val="C3AE5220"/>
    <w:multiLevelType w:val="multilevel"/>
    <w:tmpl w:val="C3AE5220"/>
    <w:lvl w:ilvl="0" w:tentative="0">
      <w:start w:val="2"/>
      <w:numFmt w:val="decimal"/>
      <w:suff w:val="space"/>
      <w:lvlText w:val="%1"/>
      <w:lvlJc w:val="left"/>
      <w:pPr>
        <w:tabs>
          <w:tab w:val="left" w:pos="0"/>
        </w:tabs>
        <w:ind w:left="432" w:hanging="432"/>
      </w:pPr>
      <w:rPr>
        <w:rFonts w:hint="default" w:ascii="宋体" w:hAnsi="宋体" w:eastAsia="宋体" w:cs="宋体"/>
      </w:rPr>
    </w:lvl>
    <w:lvl w:ilvl="1" w:tentative="0">
      <w:start w:val="2"/>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8">
    <w:nsid w:val="C5318787"/>
    <w:multiLevelType w:val="multilevel"/>
    <w:tmpl w:val="C5318787"/>
    <w:lvl w:ilvl="0" w:tentative="0">
      <w:start w:val="6"/>
      <w:numFmt w:val="decimal"/>
      <w:suff w:val="space"/>
      <w:lvlText w:val="%1"/>
      <w:lvlJc w:val="left"/>
      <w:pPr>
        <w:tabs>
          <w:tab w:val="left" w:pos="0"/>
        </w:tabs>
        <w:ind w:left="432" w:hanging="432"/>
      </w:pPr>
      <w:rPr>
        <w:rFonts w:hint="default" w:ascii="Times New Roman" w:hAnsi="Times New Roman" w:eastAsia="宋体" w:cs="Times New Roman"/>
      </w:rPr>
    </w:lvl>
    <w:lvl w:ilvl="1" w:tentative="0">
      <w:start w:val="2"/>
      <w:numFmt w:val="decimal"/>
      <w:suff w:val="space"/>
      <w:lvlText w:val="%1.%2"/>
      <w:lvlJc w:val="left"/>
      <w:pPr>
        <w:tabs>
          <w:tab w:val="left" w:pos="0"/>
        </w:tabs>
        <w:ind w:left="720" w:hanging="720"/>
      </w:pPr>
      <w:rPr>
        <w:rFonts w:hint="default" w:ascii="Times New Roman" w:hAnsi="Times New Roman" w:eastAsia="宋体" w:cs="Times New Roman"/>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9">
    <w:nsid w:val="C7589A0E"/>
    <w:multiLevelType w:val="multilevel"/>
    <w:tmpl w:val="C7589A0E"/>
    <w:lvl w:ilvl="0" w:tentative="0">
      <w:start w:val="3"/>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0">
    <w:nsid w:val="CF092B84"/>
    <w:multiLevelType w:val="multilevel"/>
    <w:tmpl w:val="CF092B84"/>
    <w:lvl w:ilvl="0" w:tentative="0">
      <w:start w:val="1"/>
      <w:numFmt w:val="decimal"/>
      <w:suff w:val="nothing"/>
      <w:lvlText w:val="%1."/>
      <w:lvlJc w:val="left"/>
      <w:pPr>
        <w:ind w:left="1125" w:hanging="420"/>
      </w:pPr>
      <w:rPr>
        <w:rFonts w:hint="eastAsia"/>
        <w:b w:val="0"/>
      </w:rPr>
    </w:lvl>
    <w:lvl w:ilvl="1" w:tentative="0">
      <w:start w:val="1"/>
      <w:numFmt w:val="lowerLetter"/>
      <w:lvlText w:val="%2)"/>
      <w:lvlJc w:val="left"/>
      <w:pPr>
        <w:tabs>
          <w:tab w:val="left" w:pos="1545"/>
        </w:tabs>
        <w:ind w:left="1545" w:hanging="420"/>
      </w:pPr>
      <w:rPr>
        <w:rFonts w:hint="eastAsia"/>
      </w:rPr>
    </w:lvl>
    <w:lvl w:ilvl="2" w:tentative="0">
      <w:start w:val="1"/>
      <w:numFmt w:val="lowerRoman"/>
      <w:lvlText w:val="%3."/>
      <w:lvlJc w:val="right"/>
      <w:pPr>
        <w:tabs>
          <w:tab w:val="left" w:pos="1965"/>
        </w:tabs>
        <w:ind w:left="1965" w:hanging="420"/>
      </w:pPr>
      <w:rPr>
        <w:rFonts w:hint="eastAsia"/>
      </w:rPr>
    </w:lvl>
    <w:lvl w:ilvl="3" w:tentative="0">
      <w:start w:val="1"/>
      <w:numFmt w:val="decimal"/>
      <w:lvlText w:val="%4."/>
      <w:lvlJc w:val="left"/>
      <w:pPr>
        <w:tabs>
          <w:tab w:val="left" w:pos="2385"/>
        </w:tabs>
        <w:ind w:left="2385" w:hanging="420"/>
      </w:pPr>
      <w:rPr>
        <w:rFonts w:hint="eastAsia"/>
      </w:rPr>
    </w:lvl>
    <w:lvl w:ilvl="4" w:tentative="0">
      <w:start w:val="1"/>
      <w:numFmt w:val="lowerLetter"/>
      <w:lvlText w:val="%5)"/>
      <w:lvlJc w:val="left"/>
      <w:pPr>
        <w:tabs>
          <w:tab w:val="left" w:pos="2805"/>
        </w:tabs>
        <w:ind w:left="2805" w:hanging="420"/>
      </w:pPr>
      <w:rPr>
        <w:rFonts w:hint="eastAsia"/>
      </w:rPr>
    </w:lvl>
    <w:lvl w:ilvl="5" w:tentative="0">
      <w:start w:val="1"/>
      <w:numFmt w:val="lowerRoman"/>
      <w:lvlText w:val="%6."/>
      <w:lvlJc w:val="right"/>
      <w:pPr>
        <w:tabs>
          <w:tab w:val="left" w:pos="3225"/>
        </w:tabs>
        <w:ind w:left="3225" w:hanging="420"/>
      </w:pPr>
      <w:rPr>
        <w:rFonts w:hint="eastAsia"/>
      </w:rPr>
    </w:lvl>
    <w:lvl w:ilvl="6" w:tentative="0">
      <w:start w:val="1"/>
      <w:numFmt w:val="decimal"/>
      <w:lvlText w:val="%7."/>
      <w:lvlJc w:val="left"/>
      <w:pPr>
        <w:tabs>
          <w:tab w:val="left" w:pos="3645"/>
        </w:tabs>
        <w:ind w:left="3645" w:hanging="420"/>
      </w:pPr>
      <w:rPr>
        <w:rFonts w:hint="eastAsia"/>
      </w:rPr>
    </w:lvl>
    <w:lvl w:ilvl="7" w:tentative="0">
      <w:start w:val="1"/>
      <w:numFmt w:val="lowerLetter"/>
      <w:lvlText w:val="%8)"/>
      <w:lvlJc w:val="left"/>
      <w:pPr>
        <w:tabs>
          <w:tab w:val="left" w:pos="4065"/>
        </w:tabs>
        <w:ind w:left="4065" w:hanging="420"/>
      </w:pPr>
      <w:rPr>
        <w:rFonts w:hint="eastAsia"/>
      </w:rPr>
    </w:lvl>
    <w:lvl w:ilvl="8" w:tentative="0">
      <w:start w:val="1"/>
      <w:numFmt w:val="lowerRoman"/>
      <w:lvlText w:val="%9."/>
      <w:lvlJc w:val="right"/>
      <w:pPr>
        <w:tabs>
          <w:tab w:val="left" w:pos="4485"/>
        </w:tabs>
        <w:ind w:left="4485" w:hanging="420"/>
      </w:pPr>
      <w:rPr>
        <w:rFonts w:hint="eastAsia"/>
      </w:rPr>
    </w:lvl>
  </w:abstractNum>
  <w:abstractNum w:abstractNumId="31">
    <w:nsid w:val="D8776B4B"/>
    <w:multiLevelType w:val="multilevel"/>
    <w:tmpl w:val="D8776B4B"/>
    <w:lvl w:ilvl="0" w:tentative="0">
      <w:start w:val="5"/>
      <w:numFmt w:val="decimal"/>
      <w:suff w:val="space"/>
      <w:lvlText w:val="%1"/>
      <w:lvlJc w:val="left"/>
      <w:pPr>
        <w:tabs>
          <w:tab w:val="left" w:pos="0"/>
        </w:tabs>
        <w:ind w:left="432" w:hanging="432"/>
      </w:pPr>
      <w:rPr>
        <w:rFonts w:hint="default" w:ascii="Times New Roman" w:hAnsi="Times New Roman" w:eastAsia="宋体"/>
      </w:rPr>
    </w:lvl>
    <w:lvl w:ilvl="1" w:tentative="0">
      <w:start w:val="5"/>
      <w:numFmt w:val="decimal"/>
      <w:suff w:val="space"/>
      <w:lvlText w:val="%1.%2"/>
      <w:lvlJc w:val="left"/>
      <w:pPr>
        <w:tabs>
          <w:tab w:val="left" w:pos="0"/>
        </w:tabs>
        <w:ind w:left="720" w:hanging="720"/>
      </w:pPr>
      <w:rPr>
        <w:rFonts w:hint="default" w:ascii="Times New Roman" w:hAnsi="Times New Roman"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2">
    <w:nsid w:val="DBC43AF9"/>
    <w:multiLevelType w:val="singleLevel"/>
    <w:tmpl w:val="DBC43AF9"/>
    <w:lvl w:ilvl="0" w:tentative="0">
      <w:start w:val="1"/>
      <w:numFmt w:val="decimal"/>
      <w:suff w:val="space"/>
      <w:lvlText w:val="表7.1-%1"/>
      <w:lvlJc w:val="left"/>
      <w:pPr>
        <w:tabs>
          <w:tab w:val="left" w:pos="0"/>
        </w:tabs>
        <w:ind w:left="425" w:hanging="425"/>
      </w:pPr>
      <w:rPr>
        <w:rFonts w:hint="default" w:ascii="Times New Roman" w:hAnsi="Times New Roman" w:eastAsia="宋体" w:cs="Times New Roman"/>
        <w:b/>
        <w:bCs/>
        <w:sz w:val="21"/>
        <w:szCs w:val="21"/>
      </w:rPr>
    </w:lvl>
  </w:abstractNum>
  <w:abstractNum w:abstractNumId="33">
    <w:nsid w:val="DD5D328C"/>
    <w:multiLevelType w:val="singleLevel"/>
    <w:tmpl w:val="DD5D328C"/>
    <w:lvl w:ilvl="0" w:tentative="0">
      <w:start w:val="1"/>
      <w:numFmt w:val="decimal"/>
      <w:suff w:val="nothing"/>
      <w:lvlText w:val="%1、"/>
      <w:lvlJc w:val="left"/>
    </w:lvl>
  </w:abstractNum>
  <w:abstractNum w:abstractNumId="34">
    <w:nsid w:val="DE4C1C54"/>
    <w:multiLevelType w:val="multilevel"/>
    <w:tmpl w:val="DE4C1C54"/>
    <w:lvl w:ilvl="0" w:tentative="0">
      <w:start w:val="2"/>
      <w:numFmt w:val="decimal"/>
      <w:suff w:val="space"/>
      <w:lvlText w:val="%1"/>
      <w:lvlJc w:val="left"/>
      <w:pPr>
        <w:tabs>
          <w:tab w:val="left" w:pos="0"/>
        </w:tabs>
        <w:ind w:left="432" w:hanging="432"/>
      </w:pPr>
      <w:rPr>
        <w:rFonts w:hint="default" w:ascii="宋体" w:hAnsi="宋体" w:eastAsia="宋体" w:cs="宋体"/>
      </w:rPr>
    </w:lvl>
    <w:lvl w:ilvl="1" w:tentative="0">
      <w:start w:val="3"/>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5">
    <w:nsid w:val="DE57E6AC"/>
    <w:multiLevelType w:val="singleLevel"/>
    <w:tmpl w:val="DE57E6AC"/>
    <w:lvl w:ilvl="0" w:tentative="0">
      <w:start w:val="1"/>
      <w:numFmt w:val="decimal"/>
      <w:suff w:val="space"/>
      <w:lvlText w:val="表3.6-%1"/>
      <w:lvlJc w:val="left"/>
      <w:pPr>
        <w:tabs>
          <w:tab w:val="left" w:pos="0"/>
        </w:tabs>
        <w:ind w:left="425" w:hanging="425"/>
      </w:pPr>
      <w:rPr>
        <w:rFonts w:hint="default" w:ascii="Times New Roman" w:hAnsi="Times New Roman" w:eastAsia="宋体" w:cs="Times New Roman"/>
        <w:b/>
        <w:bCs/>
        <w:sz w:val="21"/>
        <w:szCs w:val="21"/>
      </w:rPr>
    </w:lvl>
  </w:abstractNum>
  <w:abstractNum w:abstractNumId="36">
    <w:nsid w:val="DEA3C515"/>
    <w:multiLevelType w:val="multilevel"/>
    <w:tmpl w:val="DEA3C515"/>
    <w:lvl w:ilvl="0" w:tentative="0">
      <w:start w:val="3"/>
      <w:numFmt w:val="decimal"/>
      <w:suff w:val="space"/>
      <w:lvlText w:val="%1"/>
      <w:lvlJc w:val="left"/>
      <w:pPr>
        <w:tabs>
          <w:tab w:val="left" w:pos="0"/>
        </w:tabs>
        <w:ind w:left="432" w:hanging="432"/>
      </w:pPr>
      <w:rPr>
        <w:rFonts w:hint="default" w:ascii="宋体" w:hAnsi="宋体" w:eastAsia="宋体" w:cs="宋体"/>
      </w:rPr>
    </w:lvl>
    <w:lvl w:ilvl="1" w:tentative="0">
      <w:start w:val="4"/>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7">
    <w:nsid w:val="DF3208AF"/>
    <w:multiLevelType w:val="multilevel"/>
    <w:tmpl w:val="DF3208AF"/>
    <w:lvl w:ilvl="0" w:tentative="0">
      <w:start w:val="7"/>
      <w:numFmt w:val="decimal"/>
      <w:suff w:val="space"/>
      <w:lvlText w:val="%1"/>
      <w:lvlJc w:val="left"/>
      <w:pPr>
        <w:tabs>
          <w:tab w:val="left" w:pos="0"/>
        </w:tabs>
        <w:ind w:left="432" w:hanging="432"/>
      </w:pPr>
      <w:rPr>
        <w:rFonts w:hint="default" w:ascii="宋体" w:hAnsi="宋体" w:eastAsia="宋体" w:cs="宋体"/>
      </w:rPr>
    </w:lvl>
    <w:lvl w:ilvl="1" w:tentative="0">
      <w:start w:val="1"/>
      <w:numFmt w:val="decimal"/>
      <w:suff w:val="space"/>
      <w:lvlText w:val="%1.%2"/>
      <w:lvlJc w:val="left"/>
      <w:pPr>
        <w:tabs>
          <w:tab w:val="left" w:pos="0"/>
        </w:tabs>
        <w:ind w:left="720" w:hanging="720"/>
      </w:pPr>
      <w:rPr>
        <w:rFonts w:hint="default" w:ascii="Times New Roman" w:hAnsi="Times New Roman" w:eastAsia="宋体" w:cs="Times New Roman"/>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8">
    <w:nsid w:val="E2D8322F"/>
    <w:multiLevelType w:val="singleLevel"/>
    <w:tmpl w:val="E2D8322F"/>
    <w:lvl w:ilvl="0" w:tentative="0">
      <w:start w:val="1"/>
      <w:numFmt w:val="decimal"/>
      <w:suff w:val="nothing"/>
      <w:lvlText w:val="%1．"/>
      <w:lvlJc w:val="left"/>
      <w:pPr>
        <w:ind w:left="0" w:firstLine="400"/>
      </w:pPr>
      <w:rPr>
        <w:rFonts w:hint="default"/>
      </w:rPr>
    </w:lvl>
  </w:abstractNum>
  <w:abstractNum w:abstractNumId="39">
    <w:nsid w:val="E4402DDC"/>
    <w:multiLevelType w:val="singleLevel"/>
    <w:tmpl w:val="E4402DDC"/>
    <w:lvl w:ilvl="0" w:tentative="0">
      <w:start w:val="1"/>
      <w:numFmt w:val="decimal"/>
      <w:lvlText w:val="表2.4-%1"/>
      <w:lvlJc w:val="left"/>
      <w:pPr>
        <w:tabs>
          <w:tab w:val="left" w:pos="420"/>
        </w:tabs>
        <w:ind w:left="425" w:hanging="425"/>
      </w:pPr>
      <w:rPr>
        <w:rFonts w:hint="default" w:ascii="Times New Roman" w:hAnsi="Times New Roman" w:eastAsia="宋体" w:cs="Times New Roman"/>
        <w:b/>
        <w:bCs/>
        <w:sz w:val="21"/>
        <w:szCs w:val="21"/>
      </w:rPr>
    </w:lvl>
  </w:abstractNum>
  <w:abstractNum w:abstractNumId="40">
    <w:nsid w:val="E55F651A"/>
    <w:multiLevelType w:val="multilevel"/>
    <w:tmpl w:val="E55F651A"/>
    <w:lvl w:ilvl="0" w:tentative="0">
      <w:start w:val="4"/>
      <w:numFmt w:val="decimal"/>
      <w:suff w:val="space"/>
      <w:lvlText w:val="%1"/>
      <w:lvlJc w:val="left"/>
      <w:pPr>
        <w:tabs>
          <w:tab w:val="left" w:pos="0"/>
        </w:tabs>
        <w:ind w:left="432" w:hanging="432"/>
      </w:pPr>
      <w:rPr>
        <w:rFonts w:hint="default" w:ascii="宋体" w:hAnsi="宋体" w:eastAsia="宋体" w:cs="宋体"/>
      </w:rPr>
    </w:lvl>
    <w:lvl w:ilvl="1" w:tentative="0">
      <w:start w:val="2"/>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1">
    <w:nsid w:val="EA7D01B5"/>
    <w:multiLevelType w:val="multilevel"/>
    <w:tmpl w:val="EA7D01B5"/>
    <w:lvl w:ilvl="0" w:tentative="0">
      <w:start w:val="4"/>
      <w:numFmt w:val="decimal"/>
      <w:suff w:val="space"/>
      <w:lvlText w:val="%1"/>
      <w:lvlJc w:val="left"/>
      <w:pPr>
        <w:tabs>
          <w:tab w:val="left" w:pos="0"/>
        </w:tabs>
        <w:ind w:left="432" w:hanging="432"/>
      </w:pPr>
      <w:rPr>
        <w:rFonts w:hint="default" w:ascii="宋体" w:hAnsi="宋体" w:eastAsia="宋体" w:cs="宋体"/>
      </w:rPr>
    </w:lvl>
    <w:lvl w:ilvl="1" w:tentative="0">
      <w:start w:val="4"/>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2">
    <w:nsid w:val="EAF11ACD"/>
    <w:multiLevelType w:val="singleLevel"/>
    <w:tmpl w:val="EAF11ACD"/>
    <w:lvl w:ilvl="0" w:tentative="0">
      <w:start w:val="1"/>
      <w:numFmt w:val="decimal"/>
      <w:isLgl/>
      <w:suff w:val="nothing"/>
      <w:lvlText w:val="表7.3-%1 "/>
      <w:lvlJc w:val="left"/>
      <w:pPr>
        <w:tabs>
          <w:tab w:val="left" w:pos="0"/>
        </w:tabs>
      </w:pPr>
      <w:rPr>
        <w:rFonts w:hint="default" w:ascii="Times New Roman" w:hAnsi="Times New Roman" w:eastAsia="宋体" w:cs="Times New Roman"/>
        <w:sz w:val="21"/>
        <w:szCs w:val="21"/>
      </w:rPr>
    </w:lvl>
  </w:abstractNum>
  <w:abstractNum w:abstractNumId="43">
    <w:nsid w:val="ED660396"/>
    <w:multiLevelType w:val="multilevel"/>
    <w:tmpl w:val="ED660396"/>
    <w:lvl w:ilvl="0" w:tentative="0">
      <w:start w:val="6"/>
      <w:numFmt w:val="decimal"/>
      <w:suff w:val="space"/>
      <w:lvlText w:val="%1"/>
      <w:lvlJc w:val="left"/>
      <w:pPr>
        <w:tabs>
          <w:tab w:val="left" w:pos="0"/>
        </w:tabs>
        <w:ind w:left="432" w:hanging="432"/>
      </w:pPr>
      <w:rPr>
        <w:rFonts w:hint="default" w:ascii="宋体" w:hAnsi="宋体" w:eastAsia="宋体" w:cs="宋体"/>
      </w:rPr>
    </w:lvl>
    <w:lvl w:ilvl="1" w:tentative="0">
      <w:start w:val="1"/>
      <w:numFmt w:val="decimal"/>
      <w:suff w:val="space"/>
      <w:lvlText w:val="%1.%2"/>
      <w:lvlJc w:val="left"/>
      <w:pPr>
        <w:tabs>
          <w:tab w:val="left" w:pos="0"/>
        </w:tabs>
        <w:ind w:left="720" w:hanging="720"/>
      </w:pPr>
      <w:rPr>
        <w:rFonts w:hint="default" w:ascii="Times New Roman" w:hAnsi="Times New Roman" w:eastAsia="宋体" w:cs="Times New Roman"/>
        <w:szCs w:val="32"/>
      </w:rPr>
    </w:lvl>
    <w:lvl w:ilvl="2" w:tentative="0">
      <w:start w:val="2"/>
      <w:numFmt w:val="decimal"/>
      <w:suff w:val="space"/>
      <w:lvlText w:val="%1.%2.%3"/>
      <w:lvlJc w:val="left"/>
      <w:pPr>
        <w:tabs>
          <w:tab w:val="left" w:pos="0"/>
        </w:tabs>
        <w:ind w:left="720" w:hanging="720"/>
      </w:pPr>
      <w:rPr>
        <w:rFonts w:hint="default" w:ascii="宋体" w:hAnsi="宋体" w:eastAsia="宋体" w:cs="宋体"/>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4">
    <w:nsid w:val="F0A93F91"/>
    <w:multiLevelType w:val="singleLevel"/>
    <w:tmpl w:val="F0A93F91"/>
    <w:lvl w:ilvl="0" w:tentative="0">
      <w:start w:val="1"/>
      <w:numFmt w:val="decimal"/>
      <w:pStyle w:val="24"/>
      <w:lvlText w:val="%1."/>
      <w:lvlJc w:val="left"/>
      <w:pPr>
        <w:tabs>
          <w:tab w:val="left" w:pos="2040"/>
        </w:tabs>
        <w:ind w:left="2040" w:hanging="360"/>
      </w:pPr>
    </w:lvl>
  </w:abstractNum>
  <w:abstractNum w:abstractNumId="45">
    <w:nsid w:val="F3EF84A9"/>
    <w:multiLevelType w:val="multilevel"/>
    <w:tmpl w:val="F3EF84A9"/>
    <w:lvl w:ilvl="0" w:tentative="0">
      <w:start w:val="4"/>
      <w:numFmt w:val="decimal"/>
      <w:suff w:val="space"/>
      <w:lvlText w:val="%1"/>
      <w:lvlJc w:val="left"/>
      <w:pPr>
        <w:tabs>
          <w:tab w:val="left" w:pos="0"/>
        </w:tabs>
        <w:ind w:left="432" w:hanging="432"/>
      </w:pPr>
      <w:rPr>
        <w:rFonts w:hint="default" w:ascii="宋体" w:hAnsi="宋体" w:eastAsia="宋体" w:cs="宋体"/>
      </w:rPr>
    </w:lvl>
    <w:lvl w:ilvl="1" w:tentative="0">
      <w:start w:val="1"/>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6">
    <w:nsid w:val="F44D31DA"/>
    <w:multiLevelType w:val="multilevel"/>
    <w:tmpl w:val="F44D31DA"/>
    <w:lvl w:ilvl="0" w:tentative="0">
      <w:start w:val="1"/>
      <w:numFmt w:val="decimal"/>
      <w:suff w:val="space"/>
      <w:lvlText w:val="%1"/>
      <w:lvlJc w:val="left"/>
      <w:pPr>
        <w:tabs>
          <w:tab w:val="left" w:pos="0"/>
        </w:tabs>
        <w:ind w:left="432" w:hanging="432"/>
      </w:pPr>
      <w:rPr>
        <w:rFonts w:hint="default" w:ascii="Times New Roman" w:hAnsi="Times New Roman" w:eastAsia="宋体"/>
      </w:rPr>
    </w:lvl>
    <w:lvl w:ilvl="1" w:tentative="0">
      <w:start w:val="3"/>
      <w:numFmt w:val="decimal"/>
      <w:suff w:val="space"/>
      <w:lvlText w:val="%1.%2"/>
      <w:lvlJc w:val="left"/>
      <w:pPr>
        <w:tabs>
          <w:tab w:val="left" w:pos="0"/>
        </w:tabs>
        <w:ind w:left="720" w:hanging="720"/>
      </w:pPr>
      <w:rPr>
        <w:rFonts w:hint="default" w:ascii="Times New Roman" w:hAnsi="Times New Roman"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7">
    <w:nsid w:val="F56E6658"/>
    <w:multiLevelType w:val="singleLevel"/>
    <w:tmpl w:val="F56E6658"/>
    <w:lvl w:ilvl="0" w:tentative="0">
      <w:start w:val="1"/>
      <w:numFmt w:val="decimal"/>
      <w:suff w:val="space"/>
      <w:lvlText w:val="表6.2-%1"/>
      <w:lvlJc w:val="left"/>
      <w:pPr>
        <w:tabs>
          <w:tab w:val="left" w:pos="0"/>
        </w:tabs>
        <w:ind w:left="425" w:hanging="425"/>
      </w:pPr>
      <w:rPr>
        <w:rFonts w:hint="default" w:ascii="Times New Roman" w:hAnsi="Times New Roman" w:eastAsia="宋体" w:cs="Times New Roman"/>
        <w:b/>
        <w:bCs/>
        <w:sz w:val="21"/>
        <w:szCs w:val="21"/>
      </w:rPr>
    </w:lvl>
  </w:abstractNum>
  <w:abstractNum w:abstractNumId="48">
    <w:nsid w:val="F7533DF6"/>
    <w:multiLevelType w:val="multilevel"/>
    <w:tmpl w:val="F7533DF6"/>
    <w:lvl w:ilvl="0" w:tentative="0">
      <w:start w:val="1"/>
      <w:numFmt w:val="decimal"/>
      <w:suff w:val="space"/>
      <w:lvlText w:val="%1"/>
      <w:lvlJc w:val="left"/>
      <w:pPr>
        <w:tabs>
          <w:tab w:val="left" w:pos="0"/>
        </w:tabs>
        <w:ind w:left="432" w:hanging="432"/>
      </w:pPr>
      <w:rPr>
        <w:rFonts w:hint="default" w:ascii="Times New Roman" w:hAnsi="Times New Roman" w:eastAsia="宋体"/>
      </w:rPr>
    </w:lvl>
    <w:lvl w:ilvl="1" w:tentative="0">
      <w:start w:val="4"/>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9">
    <w:nsid w:val="0000000A"/>
    <w:multiLevelType w:val="multilevel"/>
    <w:tmpl w:val="0000000A"/>
    <w:lvl w:ilvl="0" w:tentative="0">
      <w:start w:val="1"/>
      <w:numFmt w:val="decimal"/>
      <w:suff w:val="nothing"/>
      <w:lvlText w:val="%1."/>
      <w:lvlJc w:val="left"/>
      <w:pPr>
        <w:ind w:left="988" w:hanging="420"/>
      </w:pPr>
      <w:rPr>
        <w:rFonts w:hint="default" w:ascii="Times New Roman" w:hAnsi="Times New Roman" w:cs="Times New Roman"/>
        <w:color w:val="auto"/>
      </w:rPr>
    </w:lvl>
    <w:lvl w:ilvl="1" w:tentative="0">
      <w:start w:val="1"/>
      <w:numFmt w:val="decimalEnclosedCircle"/>
      <w:lvlText w:val="%2"/>
      <w:lvlJc w:val="left"/>
      <w:pPr>
        <w:ind w:left="1348" w:hanging="360"/>
      </w:pPr>
      <w:rPr>
        <w:rFonts w:hint="default" w:ascii="宋体" w:hAnsi="宋体"/>
      </w:rPr>
    </w:lvl>
    <w:lvl w:ilvl="2" w:tentative="0">
      <w:start w:val="1"/>
      <w:numFmt w:val="decimal"/>
      <w:lvlText w:val="%3、"/>
      <w:lvlJc w:val="left"/>
      <w:pPr>
        <w:tabs>
          <w:tab w:val="left" w:pos="1768"/>
        </w:tabs>
        <w:ind w:left="1768" w:hanging="360"/>
      </w:pPr>
      <w:rPr>
        <w:rFonts w:hint="default"/>
      </w:rPr>
    </w:lvl>
    <w:lvl w:ilvl="3" w:tentative="0">
      <w:start w:val="1"/>
      <w:numFmt w:val="decimal"/>
      <w:lvlText w:val="%4．"/>
      <w:lvlJc w:val="left"/>
      <w:pPr>
        <w:tabs>
          <w:tab w:val="left" w:pos="2188"/>
        </w:tabs>
        <w:ind w:left="2188" w:hanging="360"/>
      </w:pPr>
      <w:rPr>
        <w:rFonts w:hint="default"/>
      </w:rPr>
    </w:lvl>
    <w:lvl w:ilvl="4" w:tentative="0">
      <w:start w:val="1"/>
      <w:numFmt w:val="lowerLetter"/>
      <w:lvlText w:val="%5)"/>
      <w:lvlJc w:val="left"/>
      <w:pPr>
        <w:ind w:left="2668" w:hanging="420"/>
      </w:pPr>
      <w:rPr>
        <w:rFonts w:hint="eastAsia"/>
      </w:rPr>
    </w:lvl>
    <w:lvl w:ilvl="5" w:tentative="0">
      <w:start w:val="1"/>
      <w:numFmt w:val="lowerRoman"/>
      <w:lvlText w:val="%6."/>
      <w:lvlJc w:val="right"/>
      <w:pPr>
        <w:ind w:left="3088" w:hanging="420"/>
      </w:pPr>
      <w:rPr>
        <w:rFonts w:hint="eastAsia"/>
      </w:rPr>
    </w:lvl>
    <w:lvl w:ilvl="6" w:tentative="0">
      <w:start w:val="1"/>
      <w:numFmt w:val="decimal"/>
      <w:lvlText w:val="%7."/>
      <w:lvlJc w:val="left"/>
      <w:pPr>
        <w:ind w:left="3508" w:hanging="420"/>
      </w:pPr>
      <w:rPr>
        <w:rFonts w:hint="eastAsia"/>
      </w:rPr>
    </w:lvl>
    <w:lvl w:ilvl="7" w:tentative="0">
      <w:start w:val="1"/>
      <w:numFmt w:val="lowerLetter"/>
      <w:lvlText w:val="%8)"/>
      <w:lvlJc w:val="left"/>
      <w:pPr>
        <w:ind w:left="3928" w:hanging="420"/>
      </w:pPr>
      <w:rPr>
        <w:rFonts w:hint="eastAsia"/>
      </w:rPr>
    </w:lvl>
    <w:lvl w:ilvl="8" w:tentative="0">
      <w:start w:val="1"/>
      <w:numFmt w:val="lowerRoman"/>
      <w:lvlText w:val="%9."/>
      <w:lvlJc w:val="right"/>
      <w:pPr>
        <w:ind w:left="4348" w:hanging="420"/>
      </w:pPr>
      <w:rPr>
        <w:rFonts w:hint="eastAsia"/>
      </w:rPr>
    </w:lvl>
  </w:abstractNum>
  <w:abstractNum w:abstractNumId="50">
    <w:nsid w:val="0000000B"/>
    <w:multiLevelType w:val="multilevel"/>
    <w:tmpl w:val="0000000B"/>
    <w:lvl w:ilvl="0" w:tentative="0">
      <w:start w:val="1"/>
      <w:numFmt w:val="decimal"/>
      <w:suff w:val="nothing"/>
      <w:lvlText w:val="%1."/>
      <w:lvlJc w:val="left"/>
      <w:pPr>
        <w:ind w:left="846" w:hanging="420"/>
      </w:pPr>
      <w:rPr>
        <w:rFonts w:hint="default"/>
        <w:sz w:val="24"/>
        <w:szCs w:val="24"/>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51">
    <w:nsid w:val="0599F90B"/>
    <w:multiLevelType w:val="singleLevel"/>
    <w:tmpl w:val="0599F90B"/>
    <w:lvl w:ilvl="0" w:tentative="0">
      <w:start w:val="1"/>
      <w:numFmt w:val="decimal"/>
      <w:suff w:val="space"/>
      <w:lvlText w:val="表6.3-%1"/>
      <w:lvlJc w:val="left"/>
      <w:pPr>
        <w:tabs>
          <w:tab w:val="left" w:pos="0"/>
        </w:tabs>
        <w:ind w:left="425" w:hanging="425"/>
      </w:pPr>
      <w:rPr>
        <w:rFonts w:hint="default" w:ascii="Times New Roman" w:hAnsi="Times New Roman" w:eastAsia="宋体" w:cs="Times New Roman"/>
        <w:b/>
        <w:bCs/>
        <w:sz w:val="21"/>
        <w:szCs w:val="21"/>
      </w:rPr>
    </w:lvl>
  </w:abstractNum>
  <w:abstractNum w:abstractNumId="52">
    <w:nsid w:val="07F08774"/>
    <w:multiLevelType w:val="singleLevel"/>
    <w:tmpl w:val="07F08774"/>
    <w:lvl w:ilvl="0" w:tentative="0">
      <w:start w:val="1"/>
      <w:numFmt w:val="decimal"/>
      <w:lvlText w:val="表2.7-%1"/>
      <w:lvlJc w:val="left"/>
      <w:pPr>
        <w:tabs>
          <w:tab w:val="left" w:pos="420"/>
        </w:tabs>
        <w:ind w:left="425" w:hanging="425"/>
      </w:pPr>
      <w:rPr>
        <w:rFonts w:hint="default" w:ascii="Times New Roman" w:hAnsi="Times New Roman" w:eastAsia="宋体" w:cs="Times New Roman"/>
        <w:b/>
        <w:bCs/>
        <w:sz w:val="21"/>
        <w:szCs w:val="21"/>
      </w:rPr>
    </w:lvl>
  </w:abstractNum>
  <w:abstractNum w:abstractNumId="53">
    <w:nsid w:val="08402FC4"/>
    <w:multiLevelType w:val="multilevel"/>
    <w:tmpl w:val="08402FC4"/>
    <w:lvl w:ilvl="0" w:tentative="0">
      <w:start w:val="5"/>
      <w:numFmt w:val="decimal"/>
      <w:lvlText w:val="%1."/>
      <w:lvlJc w:val="left"/>
      <w:pPr>
        <w:ind w:left="425" w:hanging="425"/>
      </w:pPr>
      <w:rPr>
        <w:rFonts w:hint="default" w:ascii="宋体" w:hAnsi="宋体" w:eastAsia="宋体" w:cs="宋体"/>
      </w:rPr>
    </w:lvl>
    <w:lvl w:ilvl="1" w:tentative="0">
      <w:start w:val="5"/>
      <w:numFmt w:val="decimal"/>
      <w:lvlText w:val="%1.%2."/>
      <w:lvlJc w:val="left"/>
      <w:pPr>
        <w:ind w:left="850" w:hanging="453"/>
      </w:pPr>
      <w:rPr>
        <w:rFonts w:hint="default" w:ascii="宋体" w:hAnsi="宋体" w:eastAsia="宋体" w:cs="宋体"/>
      </w:rPr>
    </w:lvl>
    <w:lvl w:ilvl="2" w:tentative="0">
      <w:start w:val="2"/>
      <w:numFmt w:val="decimal"/>
      <w:lvlText w:val="%1.%2.%3."/>
      <w:lvlJc w:val="left"/>
      <w:pPr>
        <w:ind w:left="1508" w:hanging="708"/>
      </w:pPr>
      <w:rPr>
        <w:rFonts w:hint="default" w:ascii="Times New Roman" w:hAnsi="Times New Roman" w:eastAsia="宋体" w:cs="Times New Roman"/>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4">
    <w:nsid w:val="0DA34F98"/>
    <w:multiLevelType w:val="multilevel"/>
    <w:tmpl w:val="0DA34F98"/>
    <w:lvl w:ilvl="0" w:tentative="0">
      <w:start w:val="4"/>
      <w:numFmt w:val="decimal"/>
      <w:suff w:val="space"/>
      <w:lvlText w:val="%1"/>
      <w:lvlJc w:val="left"/>
      <w:pPr>
        <w:tabs>
          <w:tab w:val="left" w:pos="0"/>
        </w:tabs>
        <w:ind w:left="432" w:hanging="432"/>
      </w:pPr>
      <w:rPr>
        <w:rFonts w:hint="default" w:ascii="宋体" w:hAnsi="宋体" w:eastAsia="宋体" w:cs="宋体"/>
      </w:rPr>
    </w:lvl>
    <w:lvl w:ilvl="1" w:tentative="0">
      <w:start w:val="3"/>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55">
    <w:nsid w:val="19DC8F59"/>
    <w:multiLevelType w:val="singleLevel"/>
    <w:tmpl w:val="19DC8F59"/>
    <w:lvl w:ilvl="0" w:tentative="0">
      <w:start w:val="1"/>
      <w:numFmt w:val="decimal"/>
      <w:lvlText w:val="表5.3-%1"/>
      <w:lvlJc w:val="left"/>
      <w:pPr>
        <w:tabs>
          <w:tab w:val="left" w:pos="420"/>
        </w:tabs>
        <w:ind w:left="425" w:hanging="425"/>
      </w:pPr>
      <w:rPr>
        <w:rFonts w:hint="default" w:ascii="Times New Roman" w:hAnsi="Times New Roman" w:eastAsia="宋体" w:cs="Times New Roman"/>
        <w:b/>
        <w:bCs/>
        <w:sz w:val="21"/>
        <w:szCs w:val="21"/>
      </w:rPr>
    </w:lvl>
  </w:abstractNum>
  <w:abstractNum w:abstractNumId="56">
    <w:nsid w:val="1B30380F"/>
    <w:multiLevelType w:val="multilevel"/>
    <w:tmpl w:val="1B30380F"/>
    <w:lvl w:ilvl="0" w:tentative="0">
      <w:start w:val="1"/>
      <w:numFmt w:val="decimal"/>
      <w:suff w:val="space"/>
      <w:lvlText w:val="%1"/>
      <w:lvlJc w:val="left"/>
      <w:pPr>
        <w:tabs>
          <w:tab w:val="left" w:pos="0"/>
        </w:tabs>
        <w:ind w:left="432" w:hanging="432"/>
      </w:pPr>
      <w:rPr>
        <w:rFonts w:hint="default" w:ascii="Times New Roman" w:hAnsi="Times New Roman" w:eastAsia="宋体"/>
      </w:rPr>
    </w:lvl>
    <w:lvl w:ilvl="1" w:tentative="0">
      <w:start w:val="2"/>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57">
    <w:nsid w:val="23DB9837"/>
    <w:multiLevelType w:val="multilevel"/>
    <w:tmpl w:val="23DB9837"/>
    <w:lvl w:ilvl="0" w:tentative="0">
      <w:start w:val="2"/>
      <w:numFmt w:val="decimal"/>
      <w:suff w:val="space"/>
      <w:lvlText w:val="%1"/>
      <w:lvlJc w:val="left"/>
      <w:pPr>
        <w:tabs>
          <w:tab w:val="left" w:pos="0"/>
        </w:tabs>
        <w:ind w:left="432" w:hanging="432"/>
      </w:pPr>
      <w:rPr>
        <w:rFonts w:hint="default" w:ascii="宋体" w:hAnsi="宋体" w:eastAsia="宋体" w:cs="宋体"/>
      </w:rPr>
    </w:lvl>
    <w:lvl w:ilvl="1" w:tentative="0">
      <w:start w:val="4"/>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58">
    <w:nsid w:val="256E72FA"/>
    <w:multiLevelType w:val="singleLevel"/>
    <w:tmpl w:val="256E72FA"/>
    <w:lvl w:ilvl="0" w:tentative="0">
      <w:start w:val="1"/>
      <w:numFmt w:val="decimal"/>
      <w:suff w:val="nothing"/>
      <w:lvlText w:val="（%1）"/>
      <w:lvlJc w:val="left"/>
    </w:lvl>
  </w:abstractNum>
  <w:abstractNum w:abstractNumId="59">
    <w:nsid w:val="27CEEF60"/>
    <w:multiLevelType w:val="multilevel"/>
    <w:tmpl w:val="27CEEF60"/>
    <w:lvl w:ilvl="0" w:tentative="0">
      <w:start w:val="5"/>
      <w:numFmt w:val="decimal"/>
      <w:suff w:val="space"/>
      <w:lvlText w:val="%1"/>
      <w:lvlJc w:val="left"/>
      <w:pPr>
        <w:tabs>
          <w:tab w:val="left" w:pos="0"/>
        </w:tabs>
        <w:ind w:left="432" w:hanging="432"/>
      </w:pPr>
      <w:rPr>
        <w:rFonts w:hint="default" w:ascii="Times New Roman" w:hAnsi="Times New Roman" w:eastAsia="宋体"/>
      </w:rPr>
    </w:lvl>
    <w:lvl w:ilvl="1" w:tentative="0">
      <w:start w:val="3"/>
      <w:numFmt w:val="decimal"/>
      <w:suff w:val="space"/>
      <w:lvlText w:val="%1.%2"/>
      <w:lvlJc w:val="left"/>
      <w:pPr>
        <w:tabs>
          <w:tab w:val="left" w:pos="0"/>
        </w:tabs>
        <w:ind w:left="720" w:hanging="720"/>
      </w:pPr>
      <w:rPr>
        <w:rFonts w:hint="default" w:ascii="Times New Roman" w:hAnsi="Times New Roman"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60">
    <w:nsid w:val="2CADB03C"/>
    <w:multiLevelType w:val="singleLevel"/>
    <w:tmpl w:val="2CADB03C"/>
    <w:lvl w:ilvl="0" w:tentative="0">
      <w:start w:val="1"/>
      <w:numFmt w:val="decimal"/>
      <w:suff w:val="nothing"/>
      <w:lvlText w:val="（%1）"/>
      <w:lvlJc w:val="left"/>
    </w:lvl>
  </w:abstractNum>
  <w:abstractNum w:abstractNumId="61">
    <w:nsid w:val="2F052087"/>
    <w:multiLevelType w:val="singleLevel"/>
    <w:tmpl w:val="2F052087"/>
    <w:lvl w:ilvl="0" w:tentative="0">
      <w:start w:val="1"/>
      <w:numFmt w:val="decimal"/>
      <w:suff w:val="nothing"/>
      <w:lvlText w:val="%1．"/>
      <w:lvlJc w:val="left"/>
      <w:pPr>
        <w:ind w:left="0" w:firstLine="400"/>
      </w:pPr>
      <w:rPr>
        <w:rFonts w:hint="default"/>
      </w:rPr>
    </w:lvl>
  </w:abstractNum>
  <w:abstractNum w:abstractNumId="62">
    <w:nsid w:val="339638D8"/>
    <w:multiLevelType w:val="multilevel"/>
    <w:tmpl w:val="339638D8"/>
    <w:lvl w:ilvl="0" w:tentative="0">
      <w:start w:val="4"/>
      <w:numFmt w:val="decimal"/>
      <w:suff w:val="space"/>
      <w:lvlText w:val="%1"/>
      <w:lvlJc w:val="left"/>
      <w:pPr>
        <w:tabs>
          <w:tab w:val="left" w:pos="0"/>
        </w:tabs>
        <w:ind w:left="432" w:hanging="432"/>
      </w:pPr>
      <w:rPr>
        <w:rFonts w:hint="default" w:ascii="宋体" w:hAnsi="宋体" w:eastAsia="宋体" w:cs="宋体"/>
      </w:rPr>
    </w:lvl>
    <w:lvl w:ilvl="1" w:tentative="0">
      <w:start w:val="7"/>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63">
    <w:nsid w:val="36106DE1"/>
    <w:multiLevelType w:val="multilevel"/>
    <w:tmpl w:val="36106DE1"/>
    <w:lvl w:ilvl="0" w:tentative="0">
      <w:start w:val="4"/>
      <w:numFmt w:val="decimal"/>
      <w:suff w:val="space"/>
      <w:lvlText w:val="%1"/>
      <w:lvlJc w:val="left"/>
      <w:pPr>
        <w:tabs>
          <w:tab w:val="left" w:pos="0"/>
        </w:tabs>
        <w:ind w:left="432" w:hanging="432"/>
      </w:pPr>
      <w:rPr>
        <w:rFonts w:hint="default" w:ascii="宋体" w:hAnsi="宋体" w:eastAsia="宋体" w:cs="宋体"/>
      </w:rPr>
    </w:lvl>
    <w:lvl w:ilvl="1" w:tentative="0">
      <w:start w:val="5"/>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64">
    <w:nsid w:val="372468ED"/>
    <w:multiLevelType w:val="multilevel"/>
    <w:tmpl w:val="372468ED"/>
    <w:lvl w:ilvl="0" w:tentative="0">
      <w:start w:val="5"/>
      <w:numFmt w:val="decimal"/>
      <w:suff w:val="space"/>
      <w:lvlText w:val="%1"/>
      <w:lvlJc w:val="left"/>
      <w:pPr>
        <w:tabs>
          <w:tab w:val="left" w:pos="0"/>
        </w:tabs>
        <w:ind w:left="432" w:hanging="432"/>
      </w:pPr>
      <w:rPr>
        <w:rFonts w:hint="default" w:ascii="Times New Roman" w:hAnsi="Times New Roman" w:eastAsia="宋体"/>
      </w:rPr>
    </w:lvl>
    <w:lvl w:ilvl="1" w:tentative="0">
      <w:start w:val="1"/>
      <w:numFmt w:val="decimal"/>
      <w:suff w:val="space"/>
      <w:lvlText w:val="%1.%2"/>
      <w:lvlJc w:val="left"/>
      <w:pPr>
        <w:tabs>
          <w:tab w:val="left" w:pos="0"/>
        </w:tabs>
        <w:ind w:left="720" w:hanging="720"/>
      </w:pPr>
      <w:rPr>
        <w:rFonts w:hint="default" w:ascii="Times New Roman" w:hAnsi="Times New Roman"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65">
    <w:nsid w:val="388B3635"/>
    <w:multiLevelType w:val="singleLevel"/>
    <w:tmpl w:val="388B3635"/>
    <w:lvl w:ilvl="0" w:tentative="0">
      <w:start w:val="1"/>
      <w:numFmt w:val="decimal"/>
      <w:suff w:val="nothing"/>
      <w:lvlText w:val="（%1）"/>
      <w:lvlJc w:val="left"/>
    </w:lvl>
  </w:abstractNum>
  <w:abstractNum w:abstractNumId="66">
    <w:nsid w:val="3930FF9C"/>
    <w:multiLevelType w:val="multilevel"/>
    <w:tmpl w:val="3930FF9C"/>
    <w:lvl w:ilvl="0" w:tentative="0">
      <w:start w:val="7"/>
      <w:numFmt w:val="decimal"/>
      <w:suff w:val="space"/>
      <w:lvlText w:val="%1"/>
      <w:lvlJc w:val="left"/>
      <w:pPr>
        <w:tabs>
          <w:tab w:val="left" w:pos="0"/>
        </w:tabs>
        <w:ind w:left="432" w:hanging="432"/>
      </w:pPr>
      <w:rPr>
        <w:rFonts w:hint="default" w:ascii="宋体" w:hAnsi="宋体" w:eastAsia="宋体" w:cs="宋体"/>
      </w:rPr>
    </w:lvl>
    <w:lvl w:ilvl="1" w:tentative="0">
      <w:start w:val="7"/>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67">
    <w:nsid w:val="3AA2C40D"/>
    <w:multiLevelType w:val="multilevel"/>
    <w:tmpl w:val="3AA2C40D"/>
    <w:lvl w:ilvl="0" w:tentative="0">
      <w:start w:val="7"/>
      <w:numFmt w:val="decimal"/>
      <w:suff w:val="space"/>
      <w:lvlText w:val="%1"/>
      <w:lvlJc w:val="left"/>
      <w:pPr>
        <w:tabs>
          <w:tab w:val="left" w:pos="0"/>
        </w:tabs>
        <w:ind w:left="432" w:hanging="432"/>
      </w:pPr>
      <w:rPr>
        <w:rFonts w:hint="default" w:ascii="宋体" w:hAnsi="宋体" w:eastAsia="宋体" w:cs="宋体"/>
      </w:rPr>
    </w:lvl>
    <w:lvl w:ilvl="1" w:tentative="0">
      <w:start w:val="6"/>
      <w:numFmt w:val="decimal"/>
      <w:suff w:val="space"/>
      <w:lvlText w:val="%1.%2"/>
      <w:lvlJc w:val="left"/>
      <w:pPr>
        <w:tabs>
          <w:tab w:val="left" w:pos="0"/>
        </w:tabs>
        <w:ind w:left="720" w:hanging="720"/>
      </w:pPr>
      <w:rPr>
        <w:rFonts w:hint="default" w:ascii="Times New Roman" w:hAnsi="Times New Roman" w:eastAsia="宋体" w:cs="Times New Roman"/>
        <w:szCs w:val="32"/>
      </w:rPr>
    </w:lvl>
    <w:lvl w:ilvl="2" w:tentative="0">
      <w:start w:val="1"/>
      <w:numFmt w:val="decimal"/>
      <w:isLg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68">
    <w:nsid w:val="3D365169"/>
    <w:multiLevelType w:val="singleLevel"/>
    <w:tmpl w:val="3D365169"/>
    <w:lvl w:ilvl="0" w:tentative="0">
      <w:start w:val="1"/>
      <w:numFmt w:val="decimal"/>
      <w:suff w:val="space"/>
      <w:lvlText w:val="表3.1-%1"/>
      <w:lvlJc w:val="left"/>
      <w:pPr>
        <w:tabs>
          <w:tab w:val="left" w:pos="0"/>
        </w:tabs>
        <w:ind w:left="425" w:hanging="425"/>
      </w:pPr>
      <w:rPr>
        <w:rFonts w:hint="default" w:ascii="Times New Roman" w:hAnsi="Times New Roman" w:eastAsia="宋体" w:cs="Times New Roman"/>
        <w:sz w:val="21"/>
        <w:szCs w:val="21"/>
      </w:rPr>
    </w:lvl>
  </w:abstractNum>
  <w:abstractNum w:abstractNumId="69">
    <w:nsid w:val="4124D8C6"/>
    <w:multiLevelType w:val="multilevel"/>
    <w:tmpl w:val="4124D8C6"/>
    <w:lvl w:ilvl="0" w:tentative="0">
      <w:start w:val="5"/>
      <w:numFmt w:val="decimal"/>
      <w:suff w:val="space"/>
      <w:lvlText w:val="%1"/>
      <w:lvlJc w:val="left"/>
      <w:pPr>
        <w:tabs>
          <w:tab w:val="left" w:pos="0"/>
        </w:tabs>
        <w:ind w:left="432" w:hanging="432"/>
      </w:pPr>
      <w:rPr>
        <w:rFonts w:hint="default" w:ascii="Times New Roman" w:hAnsi="Times New Roman" w:eastAsia="宋体"/>
      </w:rPr>
    </w:lvl>
    <w:lvl w:ilvl="1" w:tentative="0">
      <w:start w:val="5"/>
      <w:numFmt w:val="decimal"/>
      <w:suff w:val="space"/>
      <w:lvlText w:val="%1.%2"/>
      <w:lvlJc w:val="left"/>
      <w:pPr>
        <w:tabs>
          <w:tab w:val="left" w:pos="0"/>
        </w:tabs>
        <w:ind w:left="720" w:hanging="720"/>
      </w:pPr>
      <w:rPr>
        <w:rFonts w:hint="default" w:ascii="Times New Roman" w:hAnsi="Times New Roman" w:eastAsia="宋体" w:cs="宋体"/>
        <w:szCs w:val="32"/>
      </w:rPr>
    </w:lvl>
    <w:lvl w:ilvl="2" w:tentative="0">
      <w:start w:val="5"/>
      <w:numFmt w:val="decimal"/>
      <w:suff w:val="space"/>
      <w:lvlText w:val="%1.%2.%3"/>
      <w:lvlJc w:val="left"/>
      <w:pPr>
        <w:tabs>
          <w:tab w:val="left" w:pos="0"/>
        </w:tabs>
        <w:ind w:left="720" w:hanging="720"/>
      </w:pPr>
      <w:rPr>
        <w:rFonts w:hint="default" w:ascii="Times New Roman" w:hAnsi="Times New Roman" w:eastAsia="宋体"/>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0">
    <w:nsid w:val="41E4DEC9"/>
    <w:multiLevelType w:val="singleLevel"/>
    <w:tmpl w:val="41E4DEC9"/>
    <w:lvl w:ilvl="0" w:tentative="0">
      <w:start w:val="1"/>
      <w:numFmt w:val="decimal"/>
      <w:suff w:val="nothing"/>
      <w:lvlText w:val="（%1）"/>
      <w:lvlJc w:val="left"/>
    </w:lvl>
  </w:abstractNum>
  <w:abstractNum w:abstractNumId="71">
    <w:nsid w:val="427C62E6"/>
    <w:multiLevelType w:val="singleLevel"/>
    <w:tmpl w:val="427C62E6"/>
    <w:lvl w:ilvl="0" w:tentative="0">
      <w:start w:val="1"/>
      <w:numFmt w:val="decimal"/>
      <w:suff w:val="nothing"/>
      <w:lvlText w:val="%1．"/>
      <w:lvlJc w:val="left"/>
      <w:pPr>
        <w:ind w:left="0" w:firstLine="400"/>
      </w:pPr>
      <w:rPr>
        <w:rFonts w:hint="default"/>
      </w:rPr>
    </w:lvl>
  </w:abstractNum>
  <w:abstractNum w:abstractNumId="72">
    <w:nsid w:val="4345ED42"/>
    <w:multiLevelType w:val="multilevel"/>
    <w:tmpl w:val="4345ED42"/>
    <w:lvl w:ilvl="0" w:tentative="0">
      <w:start w:val="6"/>
      <w:numFmt w:val="decimal"/>
      <w:suff w:val="space"/>
      <w:lvlText w:val="%1"/>
      <w:lvlJc w:val="left"/>
      <w:pPr>
        <w:tabs>
          <w:tab w:val="left" w:pos="0"/>
        </w:tabs>
        <w:ind w:left="432" w:hanging="432"/>
      </w:pPr>
      <w:rPr>
        <w:rFonts w:hint="default" w:ascii="Times New Roman" w:hAnsi="Times New Roman" w:eastAsia="宋体" w:cs="Times New Roman"/>
      </w:rPr>
    </w:lvl>
    <w:lvl w:ilvl="1" w:tentative="0">
      <w:start w:val="5"/>
      <w:numFmt w:val="decimal"/>
      <w:suff w:val="space"/>
      <w:lvlText w:val="%1.%2"/>
      <w:lvlJc w:val="left"/>
      <w:pPr>
        <w:tabs>
          <w:tab w:val="left" w:pos="0"/>
        </w:tabs>
        <w:ind w:left="720" w:hanging="720"/>
      </w:pPr>
      <w:rPr>
        <w:rFonts w:hint="default" w:ascii="宋体" w:hAnsi="宋体" w:eastAsia="宋体" w:cs="宋体"/>
        <w:szCs w:val="32"/>
      </w:rPr>
    </w:lvl>
    <w:lvl w:ilvl="2" w:tentative="0">
      <w:start w:val="2"/>
      <w:numFmt w:val="decimal"/>
      <w:suff w:val="space"/>
      <w:lvlText w:val="%1.%2.%3"/>
      <w:lvlJc w:val="left"/>
      <w:pPr>
        <w:tabs>
          <w:tab w:val="left" w:pos="0"/>
        </w:tabs>
        <w:ind w:left="720" w:hanging="720"/>
      </w:pPr>
      <w:rPr>
        <w:rFonts w:hint="default" w:ascii="宋体" w:hAnsi="宋体" w:eastAsia="宋体" w:cs="宋体"/>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3">
    <w:nsid w:val="4457ECB3"/>
    <w:multiLevelType w:val="singleLevel"/>
    <w:tmpl w:val="4457ECB3"/>
    <w:lvl w:ilvl="0" w:tentative="0">
      <w:start w:val="1"/>
      <w:numFmt w:val="decimal"/>
      <w:lvlText w:val="表2.9-%1"/>
      <w:lvlJc w:val="center"/>
      <w:pPr>
        <w:tabs>
          <w:tab w:val="left" w:pos="0"/>
        </w:tabs>
        <w:ind w:left="0" w:firstLine="0"/>
      </w:pPr>
      <w:rPr>
        <w:rFonts w:hint="default" w:ascii="Times New Roman" w:hAnsi="Times New Roman" w:eastAsia="宋体" w:cs="Times New Roman"/>
        <w:sz w:val="21"/>
        <w:szCs w:val="21"/>
      </w:rPr>
    </w:lvl>
  </w:abstractNum>
  <w:abstractNum w:abstractNumId="74">
    <w:nsid w:val="4E8C4847"/>
    <w:multiLevelType w:val="multilevel"/>
    <w:tmpl w:val="4E8C4847"/>
    <w:lvl w:ilvl="0" w:tentative="0">
      <w:start w:val="8"/>
      <w:numFmt w:val="decimal"/>
      <w:suff w:val="space"/>
      <w:lvlText w:val="%1"/>
      <w:lvlJc w:val="left"/>
      <w:pPr>
        <w:tabs>
          <w:tab w:val="left" w:pos="0"/>
        </w:tabs>
        <w:ind w:left="432" w:hanging="432"/>
      </w:pPr>
      <w:rPr>
        <w:rFonts w:hint="default" w:ascii="宋体" w:hAnsi="宋体" w:eastAsia="宋体" w:cs="宋体"/>
      </w:rPr>
    </w:lvl>
    <w:lvl w:ilvl="1" w:tentative="0">
      <w:start w:val="1"/>
      <w:numFmt w:val="decimal"/>
      <w:suff w:val="space"/>
      <w:lvlText w:val="%1.%2"/>
      <w:lvlJc w:val="left"/>
      <w:pPr>
        <w:tabs>
          <w:tab w:val="left" w:pos="0"/>
        </w:tabs>
        <w:ind w:left="720" w:hanging="720"/>
      </w:pPr>
      <w:rPr>
        <w:rFonts w:hint="default" w:ascii="Times New Roman" w:hAnsi="Times New Roman" w:eastAsia="宋体" w:cs="Times New Roman"/>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5">
    <w:nsid w:val="50BA1C31"/>
    <w:multiLevelType w:val="singleLevel"/>
    <w:tmpl w:val="50BA1C31"/>
    <w:lvl w:ilvl="0" w:tentative="0">
      <w:start w:val="1"/>
      <w:numFmt w:val="decimal"/>
      <w:pStyle w:val="11"/>
      <w:lvlText w:val="%1."/>
      <w:lvlJc w:val="left"/>
      <w:pPr>
        <w:tabs>
          <w:tab w:val="left" w:pos="360"/>
        </w:tabs>
        <w:ind w:left="360" w:hanging="360"/>
      </w:pPr>
    </w:lvl>
  </w:abstractNum>
  <w:abstractNum w:abstractNumId="76">
    <w:nsid w:val="589A7622"/>
    <w:multiLevelType w:val="multilevel"/>
    <w:tmpl w:val="589A7622"/>
    <w:lvl w:ilvl="0" w:tentative="0">
      <w:start w:val="7"/>
      <w:numFmt w:val="decimal"/>
      <w:suff w:val="space"/>
      <w:lvlText w:val="%1"/>
      <w:lvlJc w:val="left"/>
      <w:pPr>
        <w:tabs>
          <w:tab w:val="left" w:pos="0"/>
        </w:tabs>
        <w:ind w:left="432" w:hanging="432"/>
      </w:pPr>
      <w:rPr>
        <w:rFonts w:hint="default" w:ascii="宋体" w:hAnsi="宋体" w:eastAsia="宋体" w:cs="宋体"/>
      </w:rPr>
    </w:lvl>
    <w:lvl w:ilvl="1" w:tentative="0">
      <w:start w:val="5"/>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isLg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7">
    <w:nsid w:val="58AF0D95"/>
    <w:multiLevelType w:val="singleLevel"/>
    <w:tmpl w:val="58AF0D95"/>
    <w:lvl w:ilvl="0" w:tentative="0">
      <w:start w:val="1"/>
      <w:numFmt w:val="decimal"/>
      <w:suff w:val="nothing"/>
      <w:lvlText w:val="表7.2-%1"/>
      <w:lvlJc w:val="left"/>
      <w:pPr>
        <w:tabs>
          <w:tab w:val="left" w:pos="0"/>
        </w:tabs>
        <w:ind w:left="0" w:firstLine="403"/>
      </w:pPr>
      <w:rPr>
        <w:rFonts w:hint="default" w:ascii="Times New Roman" w:hAnsi="Times New Roman" w:eastAsia="宋体" w:cs="Times New Roman"/>
      </w:rPr>
    </w:lvl>
  </w:abstractNum>
  <w:abstractNum w:abstractNumId="78">
    <w:nsid w:val="58F98AAC"/>
    <w:multiLevelType w:val="singleLevel"/>
    <w:tmpl w:val="58F98AAC"/>
    <w:lvl w:ilvl="0" w:tentative="0">
      <w:start w:val="3"/>
      <w:numFmt w:val="decimal"/>
      <w:suff w:val="nothing"/>
      <w:lvlText w:val="（%1）"/>
      <w:lvlJc w:val="left"/>
    </w:lvl>
  </w:abstractNum>
  <w:abstractNum w:abstractNumId="79">
    <w:nsid w:val="594F9A6C"/>
    <w:multiLevelType w:val="singleLevel"/>
    <w:tmpl w:val="594F9A6C"/>
    <w:lvl w:ilvl="0" w:tentative="0">
      <w:start w:val="1"/>
      <w:numFmt w:val="decimal"/>
      <w:suff w:val="nothing"/>
      <w:lvlText w:val="（%1）"/>
      <w:lvlJc w:val="left"/>
      <w:pPr>
        <w:ind w:left="150"/>
      </w:pPr>
    </w:lvl>
  </w:abstractNum>
  <w:abstractNum w:abstractNumId="80">
    <w:nsid w:val="5992B501"/>
    <w:multiLevelType w:val="singleLevel"/>
    <w:tmpl w:val="5992B501"/>
    <w:lvl w:ilvl="0" w:tentative="0">
      <w:start w:val="1"/>
      <w:numFmt w:val="decimal"/>
      <w:suff w:val="nothing"/>
      <w:lvlText w:val="（%1）"/>
      <w:lvlJc w:val="left"/>
    </w:lvl>
  </w:abstractNum>
  <w:abstractNum w:abstractNumId="81">
    <w:nsid w:val="5992BD0F"/>
    <w:multiLevelType w:val="singleLevel"/>
    <w:tmpl w:val="5992BD0F"/>
    <w:lvl w:ilvl="0" w:tentative="0">
      <w:start w:val="2"/>
      <w:numFmt w:val="decimal"/>
      <w:suff w:val="nothing"/>
      <w:lvlText w:val="（%1）"/>
      <w:lvlJc w:val="left"/>
      <w:pPr>
        <w:ind w:left="240"/>
      </w:pPr>
    </w:lvl>
  </w:abstractNum>
  <w:abstractNum w:abstractNumId="82">
    <w:nsid w:val="5ECB3C9C"/>
    <w:multiLevelType w:val="singleLevel"/>
    <w:tmpl w:val="5ECB3C9C"/>
    <w:lvl w:ilvl="0" w:tentative="0">
      <w:start w:val="1"/>
      <w:numFmt w:val="decimal"/>
      <w:lvlText w:val="表2.5-%1"/>
      <w:lvlJc w:val="left"/>
      <w:pPr>
        <w:tabs>
          <w:tab w:val="left" w:pos="420"/>
        </w:tabs>
        <w:ind w:left="425" w:hanging="425"/>
      </w:pPr>
      <w:rPr>
        <w:rFonts w:hint="default" w:ascii="Times New Roman" w:hAnsi="Times New Roman" w:eastAsia="宋体" w:cs="Times New Roman"/>
        <w:b/>
        <w:bCs/>
        <w:sz w:val="21"/>
        <w:szCs w:val="21"/>
      </w:rPr>
    </w:lvl>
  </w:abstractNum>
  <w:abstractNum w:abstractNumId="83">
    <w:nsid w:val="5F883E7D"/>
    <w:multiLevelType w:val="singleLevel"/>
    <w:tmpl w:val="5F883E7D"/>
    <w:lvl w:ilvl="0" w:tentative="0">
      <w:start w:val="1"/>
      <w:numFmt w:val="decimal"/>
      <w:suff w:val="nothing"/>
      <w:lvlText w:val="（%1）"/>
      <w:lvlJc w:val="left"/>
    </w:lvl>
  </w:abstractNum>
  <w:abstractNum w:abstractNumId="84">
    <w:nsid w:val="61B571B6"/>
    <w:multiLevelType w:val="singleLevel"/>
    <w:tmpl w:val="61B571B6"/>
    <w:lvl w:ilvl="0" w:tentative="0">
      <w:start w:val="2"/>
      <w:numFmt w:val="decimal"/>
      <w:suff w:val="nothing"/>
      <w:lvlText w:val="（%1）"/>
      <w:lvlJc w:val="left"/>
    </w:lvl>
  </w:abstractNum>
  <w:abstractNum w:abstractNumId="85">
    <w:nsid w:val="62DBFB6D"/>
    <w:multiLevelType w:val="multilevel"/>
    <w:tmpl w:val="62DBFB6D"/>
    <w:lvl w:ilvl="0" w:tentative="0">
      <w:start w:val="8"/>
      <w:numFmt w:val="decimal"/>
      <w:suff w:val="space"/>
      <w:lvlText w:val="%1"/>
      <w:lvlJc w:val="left"/>
      <w:pPr>
        <w:tabs>
          <w:tab w:val="left" w:pos="0"/>
        </w:tabs>
        <w:ind w:left="432" w:hanging="432"/>
      </w:pPr>
      <w:rPr>
        <w:rFonts w:hint="default" w:ascii="Times New Roman" w:hAnsi="Times New Roman" w:eastAsia="宋体" w:cs="Times New Roman"/>
      </w:rPr>
    </w:lvl>
    <w:lvl w:ilvl="1" w:tentative="0">
      <w:start w:val="1"/>
      <w:numFmt w:val="decimal"/>
      <w:suff w:val="space"/>
      <w:lvlText w:val="%1.%2"/>
      <w:lvlJc w:val="left"/>
      <w:pPr>
        <w:tabs>
          <w:tab w:val="left" w:pos="0"/>
        </w:tabs>
        <w:ind w:left="930" w:hanging="720"/>
      </w:pPr>
      <w:rPr>
        <w:rFonts w:hint="default" w:ascii="Times New Roman" w:hAnsi="Times New Roman" w:eastAsia="宋体" w:cs="Times New Roman"/>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tabs>
          <w:tab w:val="left" w:pos="0"/>
        </w:tabs>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86">
    <w:nsid w:val="6D748620"/>
    <w:multiLevelType w:val="singleLevel"/>
    <w:tmpl w:val="6D748620"/>
    <w:lvl w:ilvl="0" w:tentative="0">
      <w:start w:val="1"/>
      <w:numFmt w:val="decimal"/>
      <w:suff w:val="nothing"/>
      <w:lvlText w:val="（%1）"/>
      <w:lvlJc w:val="left"/>
      <w:pPr>
        <w:ind w:left="0" w:firstLine="0"/>
      </w:pPr>
    </w:lvl>
  </w:abstractNum>
  <w:abstractNum w:abstractNumId="87">
    <w:nsid w:val="6F6A6057"/>
    <w:multiLevelType w:val="singleLevel"/>
    <w:tmpl w:val="6F6A6057"/>
    <w:lvl w:ilvl="0" w:tentative="0">
      <w:start w:val="1"/>
      <w:numFmt w:val="decimal"/>
      <w:suff w:val="nothing"/>
      <w:lvlText w:val="%1．"/>
      <w:lvlJc w:val="left"/>
      <w:pPr>
        <w:ind w:left="0" w:firstLine="400"/>
      </w:pPr>
      <w:rPr>
        <w:rFonts w:hint="default"/>
      </w:rPr>
    </w:lvl>
  </w:abstractNum>
  <w:abstractNum w:abstractNumId="88">
    <w:nsid w:val="734E3190"/>
    <w:multiLevelType w:val="multilevel"/>
    <w:tmpl w:val="734E3190"/>
    <w:lvl w:ilvl="0" w:tentative="0">
      <w:start w:val="5"/>
      <w:numFmt w:val="decimal"/>
      <w:lvlText w:val="%1."/>
      <w:lvlJc w:val="left"/>
      <w:pPr>
        <w:ind w:left="425" w:hanging="425"/>
      </w:pPr>
      <w:rPr>
        <w:rFonts w:hint="default" w:ascii="宋体" w:hAnsi="宋体" w:eastAsia="宋体" w:cs="宋体"/>
      </w:rPr>
    </w:lvl>
    <w:lvl w:ilvl="1" w:tentative="0">
      <w:start w:val="5"/>
      <w:numFmt w:val="decimal"/>
      <w:lvlText w:val="%1.%2."/>
      <w:lvlJc w:val="left"/>
      <w:pPr>
        <w:ind w:left="850" w:hanging="453"/>
      </w:pPr>
      <w:rPr>
        <w:rFonts w:hint="default" w:ascii="宋体" w:hAnsi="宋体" w:eastAsia="宋体" w:cs="宋体"/>
      </w:rPr>
    </w:lvl>
    <w:lvl w:ilvl="2" w:tentative="0">
      <w:start w:val="3"/>
      <w:numFmt w:val="decimal"/>
      <w:lvlText w:val="%1.%2.%3."/>
      <w:lvlJc w:val="left"/>
      <w:pPr>
        <w:ind w:left="1508" w:hanging="708"/>
      </w:pPr>
      <w:rPr>
        <w:rFonts w:hint="default" w:ascii="Times New Roman" w:hAnsi="Times New Roman" w:eastAsia="宋体" w:cs="Times New Roman"/>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9">
    <w:nsid w:val="78BCF894"/>
    <w:multiLevelType w:val="multilevel"/>
    <w:tmpl w:val="78BCF894"/>
    <w:lvl w:ilvl="0" w:tentative="0">
      <w:start w:val="1"/>
      <w:numFmt w:val="decimal"/>
      <w:pStyle w:val="2"/>
      <w:lvlText w:val="%1."/>
      <w:lvlJc w:val="left"/>
      <w:pPr>
        <w:ind w:left="432" w:hanging="432"/>
      </w:pPr>
      <w:rPr>
        <w:rFonts w:hint="default" w:ascii="宋体" w:hAnsi="宋体" w:eastAsia="宋体" w:cs="宋体"/>
      </w:rPr>
    </w:lvl>
    <w:lvl w:ilvl="1" w:tentative="0">
      <w:start w:val="1"/>
      <w:numFmt w:val="decimal"/>
      <w:pStyle w:val="3"/>
      <w:isLgl/>
      <w:lvlText w:val="%1.%2"/>
      <w:lvlJc w:val="left"/>
      <w:pPr>
        <w:ind w:left="575" w:hanging="575"/>
      </w:pPr>
      <w:rPr>
        <w:rFonts w:hint="default" w:ascii="Times New Roman" w:hAnsi="Times New Roman" w:eastAsia="宋体" w:cs="Times New Roman"/>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90">
    <w:nsid w:val="798E92D0"/>
    <w:multiLevelType w:val="multilevel"/>
    <w:tmpl w:val="798E92D0"/>
    <w:lvl w:ilvl="0" w:tentative="0">
      <w:start w:val="3"/>
      <w:numFmt w:val="decimal"/>
      <w:suff w:val="space"/>
      <w:lvlText w:val="%1"/>
      <w:lvlJc w:val="left"/>
      <w:pPr>
        <w:tabs>
          <w:tab w:val="left" w:pos="0"/>
        </w:tabs>
        <w:ind w:left="432" w:hanging="432"/>
      </w:pPr>
      <w:rPr>
        <w:rFonts w:hint="default" w:ascii="宋体" w:hAnsi="宋体" w:eastAsia="宋体" w:cs="宋体"/>
      </w:rPr>
    </w:lvl>
    <w:lvl w:ilvl="1" w:tentative="0">
      <w:start w:val="5"/>
      <w:numFmt w:val="decimal"/>
      <w:suff w:val="space"/>
      <w:lvlText w:val="%1.%2"/>
      <w:lvlJc w:val="left"/>
      <w:pPr>
        <w:tabs>
          <w:tab w:val="left" w:pos="0"/>
        </w:tabs>
        <w:ind w:left="720" w:hanging="720"/>
      </w:pPr>
      <w:rPr>
        <w:rFonts w:hint="default" w:ascii="宋体" w:hAnsi="宋体" w:eastAsia="宋体" w:cs="宋体"/>
        <w:szCs w:val="32"/>
      </w:rPr>
    </w:lvl>
    <w:lvl w:ilvl="2" w:tentative="0">
      <w:start w:val="1"/>
      <w:numFmt w:val="decimal"/>
      <w:suff w:val="space"/>
      <w:lvlText w:val="%1.%2.%3"/>
      <w:lvlJc w:val="left"/>
      <w:pPr>
        <w:tabs>
          <w:tab w:val="left" w:pos="0"/>
        </w:tabs>
        <w:ind w:left="720" w:hanging="720"/>
      </w:pPr>
      <w:rPr>
        <w:rFonts w:hint="default" w:ascii="Times New Roman" w:hAnsi="Times New Roman" w:eastAsia="宋体" w:cs="Times New Roman"/>
      </w:rPr>
    </w:lvl>
    <w:lvl w:ilvl="3" w:tentative="0">
      <w:start w:val="1"/>
      <w:numFmt w:val="decimal"/>
      <w:suff w:val="space"/>
      <w:lvlText w:val="%1.%2.%3.%4"/>
      <w:lvlJc w:val="left"/>
      <w:pPr>
        <w:ind w:left="864" w:hanging="864"/>
      </w:pPr>
      <w:rPr>
        <w:rFonts w:hint="default" w:ascii="Times New Roman" w:hAnsi="Times New Roman" w:eastAsia="宋体"/>
        <w:sz w:val="24"/>
        <w:szCs w:val="24"/>
      </w:rPr>
    </w:lvl>
    <w:lvl w:ilvl="4" w:tentative="0">
      <w:start w:val="1"/>
      <w:numFmt w:val="decimal"/>
      <w:suff w:val="space"/>
      <w:lvlText w:val="%1.%2.%3.%4.%5"/>
      <w:lvlJc w:val="left"/>
      <w:pPr>
        <w:tabs>
          <w:tab w:val="left" w:pos="420"/>
        </w:tabs>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91">
    <w:nsid w:val="7CE1B88E"/>
    <w:multiLevelType w:val="multilevel"/>
    <w:tmpl w:val="7CE1B88E"/>
    <w:lvl w:ilvl="0" w:tentative="0">
      <w:start w:val="5"/>
      <w:numFmt w:val="decimal"/>
      <w:lvlText w:val="%1."/>
      <w:lvlJc w:val="left"/>
      <w:pPr>
        <w:ind w:left="425" w:hanging="425"/>
      </w:pPr>
      <w:rPr>
        <w:rFonts w:hint="default" w:ascii="宋体" w:hAnsi="宋体" w:eastAsia="宋体" w:cs="宋体"/>
      </w:rPr>
    </w:lvl>
    <w:lvl w:ilvl="1" w:tentative="0">
      <w:start w:val="5"/>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Times New Roman" w:hAnsi="Times New Roman" w:eastAsia="宋体" w:cs="Times New Roman"/>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89"/>
  </w:num>
  <w:num w:numId="2">
    <w:abstractNumId w:val="75"/>
  </w:num>
  <w:num w:numId="3">
    <w:abstractNumId w:val="44"/>
  </w:num>
  <w:num w:numId="4">
    <w:abstractNumId w:val="46"/>
  </w:num>
  <w:num w:numId="5">
    <w:abstractNumId w:val="56"/>
  </w:num>
  <w:num w:numId="6">
    <w:abstractNumId w:val="79"/>
  </w:num>
  <w:num w:numId="7">
    <w:abstractNumId w:val="71"/>
  </w:num>
  <w:num w:numId="8">
    <w:abstractNumId w:val="48"/>
  </w:num>
  <w:num w:numId="9">
    <w:abstractNumId w:val="87"/>
  </w:num>
  <w:num w:numId="10">
    <w:abstractNumId w:val="9"/>
  </w:num>
  <w:num w:numId="11">
    <w:abstractNumId w:val="20"/>
  </w:num>
  <w:num w:numId="12">
    <w:abstractNumId w:val="30"/>
  </w:num>
  <w:num w:numId="13">
    <w:abstractNumId w:val="50"/>
  </w:num>
  <w:num w:numId="14">
    <w:abstractNumId w:val="49"/>
  </w:num>
  <w:num w:numId="15">
    <w:abstractNumId w:val="58"/>
  </w:num>
  <w:num w:numId="16">
    <w:abstractNumId w:val="27"/>
  </w:num>
  <w:num w:numId="17">
    <w:abstractNumId w:val="34"/>
  </w:num>
  <w:num w:numId="18">
    <w:abstractNumId w:val="3"/>
  </w:num>
  <w:num w:numId="19">
    <w:abstractNumId w:val="57"/>
  </w:num>
  <w:num w:numId="20">
    <w:abstractNumId w:val="39"/>
  </w:num>
  <w:num w:numId="21">
    <w:abstractNumId w:val="19"/>
  </w:num>
  <w:num w:numId="22">
    <w:abstractNumId w:val="82"/>
  </w:num>
  <w:num w:numId="23">
    <w:abstractNumId w:val="22"/>
  </w:num>
  <w:num w:numId="24">
    <w:abstractNumId w:val="52"/>
  </w:num>
  <w:num w:numId="25">
    <w:abstractNumId w:val="73"/>
  </w:num>
  <w:num w:numId="26">
    <w:abstractNumId w:val="80"/>
  </w:num>
  <w:num w:numId="27">
    <w:abstractNumId w:val="81"/>
  </w:num>
  <w:num w:numId="28">
    <w:abstractNumId w:val="13"/>
  </w:num>
  <w:num w:numId="29">
    <w:abstractNumId w:val="33"/>
  </w:num>
  <w:num w:numId="30">
    <w:abstractNumId w:val="29"/>
  </w:num>
  <w:num w:numId="31">
    <w:abstractNumId w:val="14"/>
  </w:num>
  <w:num w:numId="32">
    <w:abstractNumId w:val="68"/>
  </w:num>
  <w:num w:numId="33">
    <w:abstractNumId w:val="24"/>
  </w:num>
  <w:num w:numId="34">
    <w:abstractNumId w:val="1"/>
  </w:num>
  <w:num w:numId="35">
    <w:abstractNumId w:val="2"/>
  </w:num>
  <w:num w:numId="36">
    <w:abstractNumId w:val="36"/>
  </w:num>
  <w:num w:numId="37">
    <w:abstractNumId w:val="25"/>
  </w:num>
  <w:num w:numId="38">
    <w:abstractNumId w:val="90"/>
  </w:num>
  <w:num w:numId="39">
    <w:abstractNumId w:val="5"/>
  </w:num>
  <w:num w:numId="40">
    <w:abstractNumId w:val="35"/>
  </w:num>
  <w:num w:numId="41">
    <w:abstractNumId w:val="11"/>
  </w:num>
  <w:num w:numId="42">
    <w:abstractNumId w:val="16"/>
  </w:num>
  <w:num w:numId="43">
    <w:abstractNumId w:val="18"/>
  </w:num>
  <w:num w:numId="44">
    <w:abstractNumId w:val="45"/>
  </w:num>
  <w:num w:numId="45">
    <w:abstractNumId w:val="40"/>
  </w:num>
  <w:num w:numId="46">
    <w:abstractNumId w:val="54"/>
  </w:num>
  <w:num w:numId="47">
    <w:abstractNumId w:val="60"/>
  </w:num>
  <w:num w:numId="48">
    <w:abstractNumId w:val="84"/>
  </w:num>
  <w:num w:numId="49">
    <w:abstractNumId w:val="70"/>
  </w:num>
  <w:num w:numId="50">
    <w:abstractNumId w:val="41"/>
  </w:num>
  <w:num w:numId="51">
    <w:abstractNumId w:val="63"/>
  </w:num>
  <w:num w:numId="52">
    <w:abstractNumId w:val="7"/>
  </w:num>
  <w:num w:numId="53">
    <w:abstractNumId w:val="62"/>
  </w:num>
  <w:num w:numId="54">
    <w:abstractNumId w:val="64"/>
  </w:num>
  <w:num w:numId="55">
    <w:abstractNumId w:val="78"/>
  </w:num>
  <w:num w:numId="56">
    <w:abstractNumId w:val="21"/>
  </w:num>
  <w:num w:numId="57">
    <w:abstractNumId w:val="86"/>
    <w:lvlOverride w:ilvl="0">
      <w:startOverride w:val="1"/>
    </w:lvlOverride>
  </w:num>
  <w:num w:numId="58">
    <w:abstractNumId w:val="59"/>
  </w:num>
  <w:num w:numId="59">
    <w:abstractNumId w:val="55"/>
  </w:num>
  <w:num w:numId="60">
    <w:abstractNumId w:val="15"/>
  </w:num>
  <w:num w:numId="61">
    <w:abstractNumId w:val="12"/>
  </w:num>
  <w:num w:numId="62">
    <w:abstractNumId w:val="31"/>
  </w:num>
  <w:num w:numId="63">
    <w:abstractNumId w:val="91"/>
  </w:num>
  <w:num w:numId="64">
    <w:abstractNumId w:val="69"/>
  </w:num>
  <w:num w:numId="65">
    <w:abstractNumId w:val="4"/>
  </w:num>
  <w:num w:numId="66">
    <w:abstractNumId w:val="53"/>
  </w:num>
  <w:num w:numId="67">
    <w:abstractNumId w:val="88"/>
  </w:num>
  <w:num w:numId="68">
    <w:abstractNumId w:val="23"/>
  </w:num>
  <w:num w:numId="69">
    <w:abstractNumId w:val="10"/>
  </w:num>
  <w:num w:numId="70">
    <w:abstractNumId w:val="83"/>
  </w:num>
  <w:num w:numId="71">
    <w:abstractNumId w:val="17"/>
  </w:num>
  <w:num w:numId="72">
    <w:abstractNumId w:val="65"/>
  </w:num>
  <w:num w:numId="73">
    <w:abstractNumId w:val="72"/>
  </w:num>
  <w:num w:numId="74">
    <w:abstractNumId w:val="43"/>
  </w:num>
  <w:num w:numId="75">
    <w:abstractNumId w:val="28"/>
  </w:num>
  <w:num w:numId="76">
    <w:abstractNumId w:val="47"/>
  </w:num>
  <w:num w:numId="77">
    <w:abstractNumId w:val="38"/>
  </w:num>
  <w:num w:numId="78">
    <w:abstractNumId w:val="51"/>
  </w:num>
  <w:num w:numId="79">
    <w:abstractNumId w:val="6"/>
  </w:num>
  <w:num w:numId="80">
    <w:abstractNumId w:val="37"/>
  </w:num>
  <w:num w:numId="81">
    <w:abstractNumId w:val="0"/>
  </w:num>
  <w:num w:numId="82">
    <w:abstractNumId w:val="32"/>
  </w:num>
  <w:num w:numId="83">
    <w:abstractNumId w:val="77"/>
  </w:num>
  <w:num w:numId="84">
    <w:abstractNumId w:val="42"/>
  </w:num>
  <w:num w:numId="85">
    <w:abstractNumId w:val="8"/>
  </w:num>
  <w:num w:numId="86">
    <w:abstractNumId w:val="76"/>
  </w:num>
  <w:num w:numId="87">
    <w:abstractNumId w:val="67"/>
  </w:num>
  <w:num w:numId="88">
    <w:abstractNumId w:val="66"/>
  </w:num>
  <w:num w:numId="89">
    <w:abstractNumId w:val="85"/>
  </w:num>
  <w:num w:numId="90">
    <w:abstractNumId w:val="74"/>
  </w:num>
  <w:num w:numId="91">
    <w:abstractNumId w:val="61"/>
  </w:num>
  <w:num w:numId="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iMTM1ZWE2MjQ4MDJjNjMwNmNlZDVjZDFjZGJhMWEifQ=="/>
  </w:docVars>
  <w:rsids>
    <w:rsidRoot w:val="00172A27"/>
    <w:rsid w:val="0000089C"/>
    <w:rsid w:val="000A0EBE"/>
    <w:rsid w:val="000B231A"/>
    <w:rsid w:val="000E7463"/>
    <w:rsid w:val="00172A27"/>
    <w:rsid w:val="00247EAB"/>
    <w:rsid w:val="0033625A"/>
    <w:rsid w:val="0041438C"/>
    <w:rsid w:val="00443541"/>
    <w:rsid w:val="00511F6D"/>
    <w:rsid w:val="00522850"/>
    <w:rsid w:val="005D63ED"/>
    <w:rsid w:val="005F2BDB"/>
    <w:rsid w:val="00A6450E"/>
    <w:rsid w:val="00A770DD"/>
    <w:rsid w:val="00A84416"/>
    <w:rsid w:val="00A96008"/>
    <w:rsid w:val="00B14424"/>
    <w:rsid w:val="00B261C5"/>
    <w:rsid w:val="00B3384E"/>
    <w:rsid w:val="00B97141"/>
    <w:rsid w:val="00DC346C"/>
    <w:rsid w:val="010F64A6"/>
    <w:rsid w:val="01590347"/>
    <w:rsid w:val="016C57E7"/>
    <w:rsid w:val="0185764C"/>
    <w:rsid w:val="018D5521"/>
    <w:rsid w:val="01996470"/>
    <w:rsid w:val="019E004D"/>
    <w:rsid w:val="019E04F4"/>
    <w:rsid w:val="01A73C20"/>
    <w:rsid w:val="01C544C6"/>
    <w:rsid w:val="01D464A1"/>
    <w:rsid w:val="01E23011"/>
    <w:rsid w:val="01EC3E90"/>
    <w:rsid w:val="01ED7577"/>
    <w:rsid w:val="01F163AC"/>
    <w:rsid w:val="01FC01DB"/>
    <w:rsid w:val="01FF7191"/>
    <w:rsid w:val="02012688"/>
    <w:rsid w:val="021D5640"/>
    <w:rsid w:val="02206325"/>
    <w:rsid w:val="02252AD2"/>
    <w:rsid w:val="02353A89"/>
    <w:rsid w:val="023B055C"/>
    <w:rsid w:val="0251004B"/>
    <w:rsid w:val="026E68C3"/>
    <w:rsid w:val="026F351D"/>
    <w:rsid w:val="028731E6"/>
    <w:rsid w:val="02907DE6"/>
    <w:rsid w:val="02AD6005"/>
    <w:rsid w:val="02AE478C"/>
    <w:rsid w:val="02BC2AE3"/>
    <w:rsid w:val="02BD02F8"/>
    <w:rsid w:val="02BF2237"/>
    <w:rsid w:val="02C856B0"/>
    <w:rsid w:val="02D61CF6"/>
    <w:rsid w:val="02F92181"/>
    <w:rsid w:val="03025732"/>
    <w:rsid w:val="03470987"/>
    <w:rsid w:val="035E1289"/>
    <w:rsid w:val="036424CB"/>
    <w:rsid w:val="03677C8D"/>
    <w:rsid w:val="036A0C18"/>
    <w:rsid w:val="0371289F"/>
    <w:rsid w:val="0384147B"/>
    <w:rsid w:val="0384664A"/>
    <w:rsid w:val="03882279"/>
    <w:rsid w:val="03A8592C"/>
    <w:rsid w:val="03B16E41"/>
    <w:rsid w:val="03B6514D"/>
    <w:rsid w:val="03B76F93"/>
    <w:rsid w:val="03D74C8B"/>
    <w:rsid w:val="03EC0F3A"/>
    <w:rsid w:val="03F32D76"/>
    <w:rsid w:val="03FD6C50"/>
    <w:rsid w:val="03FE4A84"/>
    <w:rsid w:val="03FF209D"/>
    <w:rsid w:val="04016404"/>
    <w:rsid w:val="040B6748"/>
    <w:rsid w:val="04394BFA"/>
    <w:rsid w:val="04453A7E"/>
    <w:rsid w:val="04746B0E"/>
    <w:rsid w:val="04765268"/>
    <w:rsid w:val="0476686E"/>
    <w:rsid w:val="04860FD1"/>
    <w:rsid w:val="04A93D8E"/>
    <w:rsid w:val="04B62C16"/>
    <w:rsid w:val="04C3584E"/>
    <w:rsid w:val="04C44B84"/>
    <w:rsid w:val="04CA3CCF"/>
    <w:rsid w:val="050970B8"/>
    <w:rsid w:val="050B5819"/>
    <w:rsid w:val="051A36DA"/>
    <w:rsid w:val="05204DDD"/>
    <w:rsid w:val="052A5333"/>
    <w:rsid w:val="052F2A01"/>
    <w:rsid w:val="05316DEA"/>
    <w:rsid w:val="053B5EEF"/>
    <w:rsid w:val="053E7B07"/>
    <w:rsid w:val="0548500A"/>
    <w:rsid w:val="05784AD2"/>
    <w:rsid w:val="057B48CA"/>
    <w:rsid w:val="058529DB"/>
    <w:rsid w:val="05B37085"/>
    <w:rsid w:val="05E144C8"/>
    <w:rsid w:val="05E83E7B"/>
    <w:rsid w:val="05EA5AE5"/>
    <w:rsid w:val="05F758ED"/>
    <w:rsid w:val="05FD0DA1"/>
    <w:rsid w:val="06040B30"/>
    <w:rsid w:val="060C26D3"/>
    <w:rsid w:val="06121A12"/>
    <w:rsid w:val="061663F7"/>
    <w:rsid w:val="062364E8"/>
    <w:rsid w:val="062709D9"/>
    <w:rsid w:val="064930B5"/>
    <w:rsid w:val="065D2BD3"/>
    <w:rsid w:val="06625A0B"/>
    <w:rsid w:val="066C1ABD"/>
    <w:rsid w:val="067A07CD"/>
    <w:rsid w:val="067E2CDC"/>
    <w:rsid w:val="068A594E"/>
    <w:rsid w:val="069C55F8"/>
    <w:rsid w:val="06A81544"/>
    <w:rsid w:val="06CC689B"/>
    <w:rsid w:val="06D41665"/>
    <w:rsid w:val="06E3187A"/>
    <w:rsid w:val="06E865B0"/>
    <w:rsid w:val="06FA1677"/>
    <w:rsid w:val="06FC7355"/>
    <w:rsid w:val="070F0CCF"/>
    <w:rsid w:val="07182945"/>
    <w:rsid w:val="071D1A99"/>
    <w:rsid w:val="0720696C"/>
    <w:rsid w:val="072246F6"/>
    <w:rsid w:val="07231F43"/>
    <w:rsid w:val="073A13F8"/>
    <w:rsid w:val="0740660B"/>
    <w:rsid w:val="074D45B3"/>
    <w:rsid w:val="074F3E3A"/>
    <w:rsid w:val="07710904"/>
    <w:rsid w:val="07711A2C"/>
    <w:rsid w:val="078D3ED1"/>
    <w:rsid w:val="07A54417"/>
    <w:rsid w:val="07A77594"/>
    <w:rsid w:val="07B53F4E"/>
    <w:rsid w:val="07BD35FA"/>
    <w:rsid w:val="07D56FD6"/>
    <w:rsid w:val="07D7350F"/>
    <w:rsid w:val="07EF3C21"/>
    <w:rsid w:val="07F24785"/>
    <w:rsid w:val="07F36B67"/>
    <w:rsid w:val="08031F3F"/>
    <w:rsid w:val="0818109D"/>
    <w:rsid w:val="08365D55"/>
    <w:rsid w:val="08423135"/>
    <w:rsid w:val="08492CEF"/>
    <w:rsid w:val="084B746C"/>
    <w:rsid w:val="084E5E2B"/>
    <w:rsid w:val="085032DE"/>
    <w:rsid w:val="08545EC6"/>
    <w:rsid w:val="086B5D33"/>
    <w:rsid w:val="08726BA6"/>
    <w:rsid w:val="088858B0"/>
    <w:rsid w:val="089740A9"/>
    <w:rsid w:val="08CE7A81"/>
    <w:rsid w:val="08D6751C"/>
    <w:rsid w:val="08E4691C"/>
    <w:rsid w:val="08FF5B1D"/>
    <w:rsid w:val="09086738"/>
    <w:rsid w:val="09247959"/>
    <w:rsid w:val="09296DFE"/>
    <w:rsid w:val="09353475"/>
    <w:rsid w:val="093E3447"/>
    <w:rsid w:val="09402333"/>
    <w:rsid w:val="094A34A9"/>
    <w:rsid w:val="095C2E95"/>
    <w:rsid w:val="09677C22"/>
    <w:rsid w:val="09686F27"/>
    <w:rsid w:val="09694A24"/>
    <w:rsid w:val="096B5FE2"/>
    <w:rsid w:val="096C7322"/>
    <w:rsid w:val="098D5080"/>
    <w:rsid w:val="099F64C7"/>
    <w:rsid w:val="09A00A17"/>
    <w:rsid w:val="09D1267F"/>
    <w:rsid w:val="09DB7115"/>
    <w:rsid w:val="09E313FB"/>
    <w:rsid w:val="09EC0E6E"/>
    <w:rsid w:val="09F00295"/>
    <w:rsid w:val="09F44628"/>
    <w:rsid w:val="09F76FE8"/>
    <w:rsid w:val="0A110F6F"/>
    <w:rsid w:val="0A1138A9"/>
    <w:rsid w:val="0A1348C9"/>
    <w:rsid w:val="0A2F3DC3"/>
    <w:rsid w:val="0A3363AE"/>
    <w:rsid w:val="0A60541B"/>
    <w:rsid w:val="0A7F1CC3"/>
    <w:rsid w:val="0A841126"/>
    <w:rsid w:val="0A856C30"/>
    <w:rsid w:val="0A9075FC"/>
    <w:rsid w:val="0A956F9A"/>
    <w:rsid w:val="0A9F5991"/>
    <w:rsid w:val="0AA74DF8"/>
    <w:rsid w:val="0AAF0151"/>
    <w:rsid w:val="0AB259EB"/>
    <w:rsid w:val="0ABE2E14"/>
    <w:rsid w:val="0AC2767E"/>
    <w:rsid w:val="0ACD2A0E"/>
    <w:rsid w:val="0ACF1D7C"/>
    <w:rsid w:val="0AD45AD3"/>
    <w:rsid w:val="0ADF4EFB"/>
    <w:rsid w:val="0AEC38BB"/>
    <w:rsid w:val="0AF935CC"/>
    <w:rsid w:val="0B0A7D13"/>
    <w:rsid w:val="0B110141"/>
    <w:rsid w:val="0B1849C9"/>
    <w:rsid w:val="0B1B4CF2"/>
    <w:rsid w:val="0B1E0CD8"/>
    <w:rsid w:val="0B2C149D"/>
    <w:rsid w:val="0B3914BB"/>
    <w:rsid w:val="0B4104EC"/>
    <w:rsid w:val="0B5C7922"/>
    <w:rsid w:val="0B614F5C"/>
    <w:rsid w:val="0B661206"/>
    <w:rsid w:val="0B685538"/>
    <w:rsid w:val="0B69494F"/>
    <w:rsid w:val="0B6D2303"/>
    <w:rsid w:val="0B790898"/>
    <w:rsid w:val="0B793B3B"/>
    <w:rsid w:val="0B993ABD"/>
    <w:rsid w:val="0BA83856"/>
    <w:rsid w:val="0BAC35FC"/>
    <w:rsid w:val="0BB26B19"/>
    <w:rsid w:val="0BB35C55"/>
    <w:rsid w:val="0BBA73B8"/>
    <w:rsid w:val="0BE04A65"/>
    <w:rsid w:val="0BE8775C"/>
    <w:rsid w:val="0BED230C"/>
    <w:rsid w:val="0BF91EEB"/>
    <w:rsid w:val="0C22502F"/>
    <w:rsid w:val="0C277C36"/>
    <w:rsid w:val="0C2E1EB6"/>
    <w:rsid w:val="0C380E83"/>
    <w:rsid w:val="0C57576B"/>
    <w:rsid w:val="0C5852AA"/>
    <w:rsid w:val="0C5C6711"/>
    <w:rsid w:val="0C6776CB"/>
    <w:rsid w:val="0C70405A"/>
    <w:rsid w:val="0C722FB7"/>
    <w:rsid w:val="0C7F6DD4"/>
    <w:rsid w:val="0C9B219A"/>
    <w:rsid w:val="0CA830A9"/>
    <w:rsid w:val="0CB87C05"/>
    <w:rsid w:val="0CC13C48"/>
    <w:rsid w:val="0CD916B5"/>
    <w:rsid w:val="0CDB347F"/>
    <w:rsid w:val="0CEA222A"/>
    <w:rsid w:val="0CEE7BF0"/>
    <w:rsid w:val="0CF42F1D"/>
    <w:rsid w:val="0CFE60A1"/>
    <w:rsid w:val="0D0F41E8"/>
    <w:rsid w:val="0D0F77E6"/>
    <w:rsid w:val="0D136A93"/>
    <w:rsid w:val="0D1E342E"/>
    <w:rsid w:val="0D3861DB"/>
    <w:rsid w:val="0D3A653F"/>
    <w:rsid w:val="0D3A655A"/>
    <w:rsid w:val="0D501D42"/>
    <w:rsid w:val="0D5E0E40"/>
    <w:rsid w:val="0D711209"/>
    <w:rsid w:val="0D7461E7"/>
    <w:rsid w:val="0D844462"/>
    <w:rsid w:val="0D8C4CBB"/>
    <w:rsid w:val="0D91789D"/>
    <w:rsid w:val="0D924236"/>
    <w:rsid w:val="0DD85AEE"/>
    <w:rsid w:val="0DDD7356"/>
    <w:rsid w:val="0DE34399"/>
    <w:rsid w:val="0E173E7E"/>
    <w:rsid w:val="0E222CEA"/>
    <w:rsid w:val="0E34567A"/>
    <w:rsid w:val="0E42322F"/>
    <w:rsid w:val="0E43291D"/>
    <w:rsid w:val="0E4F1158"/>
    <w:rsid w:val="0E5306B0"/>
    <w:rsid w:val="0E5B3C53"/>
    <w:rsid w:val="0E5E3C7C"/>
    <w:rsid w:val="0E6C66A4"/>
    <w:rsid w:val="0E7B1BB5"/>
    <w:rsid w:val="0E811BE5"/>
    <w:rsid w:val="0E8D6808"/>
    <w:rsid w:val="0E9D66C8"/>
    <w:rsid w:val="0EAA30F2"/>
    <w:rsid w:val="0EB536B4"/>
    <w:rsid w:val="0EC831A5"/>
    <w:rsid w:val="0ECE7F30"/>
    <w:rsid w:val="0EDC351F"/>
    <w:rsid w:val="0EDD06A4"/>
    <w:rsid w:val="0EDD3455"/>
    <w:rsid w:val="0EFF2B12"/>
    <w:rsid w:val="0F052A35"/>
    <w:rsid w:val="0F0F2EED"/>
    <w:rsid w:val="0F19011F"/>
    <w:rsid w:val="0F226E5F"/>
    <w:rsid w:val="0F3C5435"/>
    <w:rsid w:val="0F463C2C"/>
    <w:rsid w:val="0F471457"/>
    <w:rsid w:val="0F816539"/>
    <w:rsid w:val="0F8248E2"/>
    <w:rsid w:val="0F925372"/>
    <w:rsid w:val="0F9E31C2"/>
    <w:rsid w:val="0FAE6A39"/>
    <w:rsid w:val="0FBB073D"/>
    <w:rsid w:val="0FC2434F"/>
    <w:rsid w:val="0FC527C1"/>
    <w:rsid w:val="0FCE72CB"/>
    <w:rsid w:val="0FD7431F"/>
    <w:rsid w:val="0FEE77E0"/>
    <w:rsid w:val="0FF322EC"/>
    <w:rsid w:val="0FF4697D"/>
    <w:rsid w:val="0FFB0954"/>
    <w:rsid w:val="0FFF0C5B"/>
    <w:rsid w:val="102136BE"/>
    <w:rsid w:val="102A1C89"/>
    <w:rsid w:val="103746F5"/>
    <w:rsid w:val="10405BAF"/>
    <w:rsid w:val="104B1CCD"/>
    <w:rsid w:val="10790FE5"/>
    <w:rsid w:val="108B16A2"/>
    <w:rsid w:val="10907E40"/>
    <w:rsid w:val="10945714"/>
    <w:rsid w:val="10BC1091"/>
    <w:rsid w:val="10BF34BB"/>
    <w:rsid w:val="10C35820"/>
    <w:rsid w:val="10CE7011"/>
    <w:rsid w:val="11357C15"/>
    <w:rsid w:val="11423530"/>
    <w:rsid w:val="114464AD"/>
    <w:rsid w:val="114F09F1"/>
    <w:rsid w:val="11597C2D"/>
    <w:rsid w:val="1160147D"/>
    <w:rsid w:val="1191274E"/>
    <w:rsid w:val="11AF71AA"/>
    <w:rsid w:val="11C063AB"/>
    <w:rsid w:val="11C32316"/>
    <w:rsid w:val="11D04716"/>
    <w:rsid w:val="11DD55D3"/>
    <w:rsid w:val="11E41A9F"/>
    <w:rsid w:val="120B70AA"/>
    <w:rsid w:val="120D54DB"/>
    <w:rsid w:val="1215360D"/>
    <w:rsid w:val="1221544C"/>
    <w:rsid w:val="12276A2C"/>
    <w:rsid w:val="122C38B3"/>
    <w:rsid w:val="122E55E0"/>
    <w:rsid w:val="123266B2"/>
    <w:rsid w:val="1244173A"/>
    <w:rsid w:val="12675949"/>
    <w:rsid w:val="12687E20"/>
    <w:rsid w:val="12721348"/>
    <w:rsid w:val="1278683C"/>
    <w:rsid w:val="1288665C"/>
    <w:rsid w:val="129D2157"/>
    <w:rsid w:val="12BA6306"/>
    <w:rsid w:val="12C7206D"/>
    <w:rsid w:val="12CA47B9"/>
    <w:rsid w:val="12CF3F1E"/>
    <w:rsid w:val="12D37EBE"/>
    <w:rsid w:val="12D53DF1"/>
    <w:rsid w:val="12F928B1"/>
    <w:rsid w:val="12FB7571"/>
    <w:rsid w:val="1302157E"/>
    <w:rsid w:val="13046971"/>
    <w:rsid w:val="13066E6E"/>
    <w:rsid w:val="130E3D83"/>
    <w:rsid w:val="13233E0A"/>
    <w:rsid w:val="13391C7D"/>
    <w:rsid w:val="133D0C66"/>
    <w:rsid w:val="133F5CDF"/>
    <w:rsid w:val="13463D44"/>
    <w:rsid w:val="1355741C"/>
    <w:rsid w:val="13760B39"/>
    <w:rsid w:val="1383765A"/>
    <w:rsid w:val="13935460"/>
    <w:rsid w:val="13986368"/>
    <w:rsid w:val="13BC4952"/>
    <w:rsid w:val="13C70EBA"/>
    <w:rsid w:val="13CD5970"/>
    <w:rsid w:val="13D22258"/>
    <w:rsid w:val="13D27FE0"/>
    <w:rsid w:val="13DA5955"/>
    <w:rsid w:val="14204015"/>
    <w:rsid w:val="14461C8D"/>
    <w:rsid w:val="14721920"/>
    <w:rsid w:val="147C0ED4"/>
    <w:rsid w:val="147C4E6C"/>
    <w:rsid w:val="149D16AD"/>
    <w:rsid w:val="14AB1989"/>
    <w:rsid w:val="14AD497D"/>
    <w:rsid w:val="14BC5944"/>
    <w:rsid w:val="14BF768A"/>
    <w:rsid w:val="14C04627"/>
    <w:rsid w:val="14DC2857"/>
    <w:rsid w:val="14E21555"/>
    <w:rsid w:val="14F15E1C"/>
    <w:rsid w:val="14F73533"/>
    <w:rsid w:val="14FF1168"/>
    <w:rsid w:val="150A2885"/>
    <w:rsid w:val="1526103D"/>
    <w:rsid w:val="15337DB9"/>
    <w:rsid w:val="153C015A"/>
    <w:rsid w:val="15497A20"/>
    <w:rsid w:val="156758B0"/>
    <w:rsid w:val="15684083"/>
    <w:rsid w:val="156904A1"/>
    <w:rsid w:val="15760D57"/>
    <w:rsid w:val="15817F3C"/>
    <w:rsid w:val="158C16DF"/>
    <w:rsid w:val="15927B16"/>
    <w:rsid w:val="159E329B"/>
    <w:rsid w:val="15B6483E"/>
    <w:rsid w:val="15DD0538"/>
    <w:rsid w:val="15E51D02"/>
    <w:rsid w:val="15F10196"/>
    <w:rsid w:val="15F46471"/>
    <w:rsid w:val="16007AB2"/>
    <w:rsid w:val="160B6B83"/>
    <w:rsid w:val="162B4F07"/>
    <w:rsid w:val="16303A3B"/>
    <w:rsid w:val="163F0BFD"/>
    <w:rsid w:val="163F1A79"/>
    <w:rsid w:val="16464635"/>
    <w:rsid w:val="164B4870"/>
    <w:rsid w:val="16523E2A"/>
    <w:rsid w:val="167B175A"/>
    <w:rsid w:val="1685552F"/>
    <w:rsid w:val="16881551"/>
    <w:rsid w:val="16A20B69"/>
    <w:rsid w:val="16B20753"/>
    <w:rsid w:val="16B3091B"/>
    <w:rsid w:val="16B57F66"/>
    <w:rsid w:val="16C11517"/>
    <w:rsid w:val="16D70726"/>
    <w:rsid w:val="16D862C7"/>
    <w:rsid w:val="16DC7AB8"/>
    <w:rsid w:val="16E04703"/>
    <w:rsid w:val="16E87A5A"/>
    <w:rsid w:val="16EC5F03"/>
    <w:rsid w:val="16F63590"/>
    <w:rsid w:val="16F70EB5"/>
    <w:rsid w:val="16FC64CC"/>
    <w:rsid w:val="16FD1CED"/>
    <w:rsid w:val="170B74B3"/>
    <w:rsid w:val="17252902"/>
    <w:rsid w:val="172A6F04"/>
    <w:rsid w:val="1740490A"/>
    <w:rsid w:val="17451C21"/>
    <w:rsid w:val="17472290"/>
    <w:rsid w:val="176474A8"/>
    <w:rsid w:val="177116FB"/>
    <w:rsid w:val="177263DF"/>
    <w:rsid w:val="17776AFE"/>
    <w:rsid w:val="17824C23"/>
    <w:rsid w:val="178B6F38"/>
    <w:rsid w:val="178E41D4"/>
    <w:rsid w:val="1792644E"/>
    <w:rsid w:val="17962343"/>
    <w:rsid w:val="17964D64"/>
    <w:rsid w:val="179A2D70"/>
    <w:rsid w:val="179E577C"/>
    <w:rsid w:val="17A27073"/>
    <w:rsid w:val="17A44D15"/>
    <w:rsid w:val="17AD675F"/>
    <w:rsid w:val="17B143DF"/>
    <w:rsid w:val="17D7468A"/>
    <w:rsid w:val="17D962EE"/>
    <w:rsid w:val="17E17E9E"/>
    <w:rsid w:val="17EE39AB"/>
    <w:rsid w:val="17F64B4B"/>
    <w:rsid w:val="17FC3FAC"/>
    <w:rsid w:val="180563D9"/>
    <w:rsid w:val="18074F84"/>
    <w:rsid w:val="180E2D54"/>
    <w:rsid w:val="182E67CC"/>
    <w:rsid w:val="1843336B"/>
    <w:rsid w:val="184C3483"/>
    <w:rsid w:val="18644832"/>
    <w:rsid w:val="18816DEB"/>
    <w:rsid w:val="188350F6"/>
    <w:rsid w:val="18892E95"/>
    <w:rsid w:val="188E3E44"/>
    <w:rsid w:val="18A35AB0"/>
    <w:rsid w:val="18A41519"/>
    <w:rsid w:val="18C15C1F"/>
    <w:rsid w:val="18C754FB"/>
    <w:rsid w:val="18D72F9C"/>
    <w:rsid w:val="18E916DA"/>
    <w:rsid w:val="18EB29EE"/>
    <w:rsid w:val="18EE3A2C"/>
    <w:rsid w:val="18EE4637"/>
    <w:rsid w:val="18F41235"/>
    <w:rsid w:val="192515B6"/>
    <w:rsid w:val="19364DB7"/>
    <w:rsid w:val="19571DF4"/>
    <w:rsid w:val="19670E1A"/>
    <w:rsid w:val="19742F1A"/>
    <w:rsid w:val="198E3A8E"/>
    <w:rsid w:val="19A85658"/>
    <w:rsid w:val="19B537CA"/>
    <w:rsid w:val="19C87789"/>
    <w:rsid w:val="19CE775B"/>
    <w:rsid w:val="19D77B7F"/>
    <w:rsid w:val="19F14BBF"/>
    <w:rsid w:val="19FF2ECF"/>
    <w:rsid w:val="1A0F29BA"/>
    <w:rsid w:val="1A207C1E"/>
    <w:rsid w:val="1A410CC8"/>
    <w:rsid w:val="1A41700F"/>
    <w:rsid w:val="1A432AC9"/>
    <w:rsid w:val="1A49633A"/>
    <w:rsid w:val="1A5A5EAD"/>
    <w:rsid w:val="1A672B43"/>
    <w:rsid w:val="1A722BCA"/>
    <w:rsid w:val="1A7324C9"/>
    <w:rsid w:val="1A747A05"/>
    <w:rsid w:val="1A776632"/>
    <w:rsid w:val="1A826AF6"/>
    <w:rsid w:val="1A832BAF"/>
    <w:rsid w:val="1A8C3553"/>
    <w:rsid w:val="1A9945A1"/>
    <w:rsid w:val="1AC13E31"/>
    <w:rsid w:val="1AD702B6"/>
    <w:rsid w:val="1ADC7FD3"/>
    <w:rsid w:val="1AEB6A39"/>
    <w:rsid w:val="1AF04599"/>
    <w:rsid w:val="1AF851FC"/>
    <w:rsid w:val="1B1A7C94"/>
    <w:rsid w:val="1B1B7A75"/>
    <w:rsid w:val="1B1E6982"/>
    <w:rsid w:val="1B3B2050"/>
    <w:rsid w:val="1B416BA3"/>
    <w:rsid w:val="1B5B00AB"/>
    <w:rsid w:val="1B5B3DEE"/>
    <w:rsid w:val="1B5C7199"/>
    <w:rsid w:val="1B6C779B"/>
    <w:rsid w:val="1B8134D7"/>
    <w:rsid w:val="1B880F63"/>
    <w:rsid w:val="1B8A57B4"/>
    <w:rsid w:val="1B8D5672"/>
    <w:rsid w:val="1BAA382A"/>
    <w:rsid w:val="1BAF65D2"/>
    <w:rsid w:val="1BB26747"/>
    <w:rsid w:val="1BBB4DC1"/>
    <w:rsid w:val="1BCC2929"/>
    <w:rsid w:val="1BE03B1E"/>
    <w:rsid w:val="1C144C4C"/>
    <w:rsid w:val="1C1F3B37"/>
    <w:rsid w:val="1C2209C0"/>
    <w:rsid w:val="1C22125A"/>
    <w:rsid w:val="1C2C6D72"/>
    <w:rsid w:val="1C3D4670"/>
    <w:rsid w:val="1C3F3563"/>
    <w:rsid w:val="1C400AB2"/>
    <w:rsid w:val="1C6B44E3"/>
    <w:rsid w:val="1C8D071B"/>
    <w:rsid w:val="1CD850DA"/>
    <w:rsid w:val="1CEA4B7E"/>
    <w:rsid w:val="1CFC69E7"/>
    <w:rsid w:val="1CFE70CF"/>
    <w:rsid w:val="1D0B58E3"/>
    <w:rsid w:val="1D1156F9"/>
    <w:rsid w:val="1D1E0DC3"/>
    <w:rsid w:val="1D23452D"/>
    <w:rsid w:val="1D24345E"/>
    <w:rsid w:val="1D25019F"/>
    <w:rsid w:val="1D363BD5"/>
    <w:rsid w:val="1D586124"/>
    <w:rsid w:val="1D5F5A6A"/>
    <w:rsid w:val="1D6551FC"/>
    <w:rsid w:val="1D6B6EF8"/>
    <w:rsid w:val="1D9119DC"/>
    <w:rsid w:val="1D91302B"/>
    <w:rsid w:val="1D9D6BEE"/>
    <w:rsid w:val="1DA578BD"/>
    <w:rsid w:val="1DAB51E8"/>
    <w:rsid w:val="1DB92D8B"/>
    <w:rsid w:val="1DBB5CDA"/>
    <w:rsid w:val="1DC51E99"/>
    <w:rsid w:val="1DC604E0"/>
    <w:rsid w:val="1DD874F2"/>
    <w:rsid w:val="1DEB7902"/>
    <w:rsid w:val="1DF022A2"/>
    <w:rsid w:val="1E0603C3"/>
    <w:rsid w:val="1E0927F2"/>
    <w:rsid w:val="1E0B58BD"/>
    <w:rsid w:val="1E1070D9"/>
    <w:rsid w:val="1E2E3F36"/>
    <w:rsid w:val="1E3C51EB"/>
    <w:rsid w:val="1E670310"/>
    <w:rsid w:val="1E694CE5"/>
    <w:rsid w:val="1E7814A7"/>
    <w:rsid w:val="1E8627F8"/>
    <w:rsid w:val="1E907AA2"/>
    <w:rsid w:val="1E9753DB"/>
    <w:rsid w:val="1EA840ED"/>
    <w:rsid w:val="1EAB15D6"/>
    <w:rsid w:val="1EAE454F"/>
    <w:rsid w:val="1EC50F6F"/>
    <w:rsid w:val="1EC64F86"/>
    <w:rsid w:val="1EC81328"/>
    <w:rsid w:val="1EC87663"/>
    <w:rsid w:val="1EEB3287"/>
    <w:rsid w:val="1EF10999"/>
    <w:rsid w:val="1EF24AB7"/>
    <w:rsid w:val="1EF50660"/>
    <w:rsid w:val="1EFA0E6D"/>
    <w:rsid w:val="1EFC211E"/>
    <w:rsid w:val="1F064616"/>
    <w:rsid w:val="1F08515F"/>
    <w:rsid w:val="1F222955"/>
    <w:rsid w:val="1F242A63"/>
    <w:rsid w:val="1F395B59"/>
    <w:rsid w:val="1F4B405E"/>
    <w:rsid w:val="1F5E6FF1"/>
    <w:rsid w:val="1F814324"/>
    <w:rsid w:val="1F8E58AA"/>
    <w:rsid w:val="1F9C5927"/>
    <w:rsid w:val="1F9D1466"/>
    <w:rsid w:val="1FA93FDD"/>
    <w:rsid w:val="1FB97F3C"/>
    <w:rsid w:val="1FD543C3"/>
    <w:rsid w:val="1FE9217C"/>
    <w:rsid w:val="1FF52CDA"/>
    <w:rsid w:val="202E7896"/>
    <w:rsid w:val="20351434"/>
    <w:rsid w:val="203933D5"/>
    <w:rsid w:val="204E194A"/>
    <w:rsid w:val="205C70B6"/>
    <w:rsid w:val="207951DE"/>
    <w:rsid w:val="208E288A"/>
    <w:rsid w:val="20B37841"/>
    <w:rsid w:val="20B419EA"/>
    <w:rsid w:val="20C578C9"/>
    <w:rsid w:val="20C61927"/>
    <w:rsid w:val="20CB06C8"/>
    <w:rsid w:val="20DC7B96"/>
    <w:rsid w:val="20DD0DE3"/>
    <w:rsid w:val="20F16975"/>
    <w:rsid w:val="20F522E1"/>
    <w:rsid w:val="20FD1128"/>
    <w:rsid w:val="2111305A"/>
    <w:rsid w:val="21204FF0"/>
    <w:rsid w:val="21221225"/>
    <w:rsid w:val="2124287D"/>
    <w:rsid w:val="21274081"/>
    <w:rsid w:val="212E7F9E"/>
    <w:rsid w:val="21406457"/>
    <w:rsid w:val="21471F44"/>
    <w:rsid w:val="214C1425"/>
    <w:rsid w:val="2151171B"/>
    <w:rsid w:val="21585F77"/>
    <w:rsid w:val="21601AAA"/>
    <w:rsid w:val="21606107"/>
    <w:rsid w:val="21A87B2F"/>
    <w:rsid w:val="21A97250"/>
    <w:rsid w:val="21D07990"/>
    <w:rsid w:val="21D55D39"/>
    <w:rsid w:val="21D70261"/>
    <w:rsid w:val="21ED2D89"/>
    <w:rsid w:val="21F021AC"/>
    <w:rsid w:val="21FD7810"/>
    <w:rsid w:val="220767DC"/>
    <w:rsid w:val="2209568F"/>
    <w:rsid w:val="22104690"/>
    <w:rsid w:val="2213619D"/>
    <w:rsid w:val="22210391"/>
    <w:rsid w:val="2242669E"/>
    <w:rsid w:val="22461A9B"/>
    <w:rsid w:val="22563715"/>
    <w:rsid w:val="22574EFE"/>
    <w:rsid w:val="225A1E10"/>
    <w:rsid w:val="22644DD1"/>
    <w:rsid w:val="22675F15"/>
    <w:rsid w:val="227E428A"/>
    <w:rsid w:val="22A3034B"/>
    <w:rsid w:val="22A44330"/>
    <w:rsid w:val="22A528B2"/>
    <w:rsid w:val="22AF0341"/>
    <w:rsid w:val="22B81E40"/>
    <w:rsid w:val="22BD17D4"/>
    <w:rsid w:val="22C158D5"/>
    <w:rsid w:val="22DB14D2"/>
    <w:rsid w:val="22E321FD"/>
    <w:rsid w:val="22ED3FAB"/>
    <w:rsid w:val="22FC09CB"/>
    <w:rsid w:val="230633CA"/>
    <w:rsid w:val="231006C7"/>
    <w:rsid w:val="232B67AB"/>
    <w:rsid w:val="23343366"/>
    <w:rsid w:val="23360876"/>
    <w:rsid w:val="233E384C"/>
    <w:rsid w:val="23636D78"/>
    <w:rsid w:val="236727B6"/>
    <w:rsid w:val="237211DB"/>
    <w:rsid w:val="23762C2D"/>
    <w:rsid w:val="23896936"/>
    <w:rsid w:val="23922691"/>
    <w:rsid w:val="23971AFA"/>
    <w:rsid w:val="239A07EB"/>
    <w:rsid w:val="23E94238"/>
    <w:rsid w:val="23EB4F58"/>
    <w:rsid w:val="23F11A60"/>
    <w:rsid w:val="23F6724A"/>
    <w:rsid w:val="24024D02"/>
    <w:rsid w:val="24164691"/>
    <w:rsid w:val="24164E92"/>
    <w:rsid w:val="24225AD3"/>
    <w:rsid w:val="242B4894"/>
    <w:rsid w:val="242C59DF"/>
    <w:rsid w:val="242F1660"/>
    <w:rsid w:val="24437E3F"/>
    <w:rsid w:val="244F2BE0"/>
    <w:rsid w:val="245931AF"/>
    <w:rsid w:val="246D2675"/>
    <w:rsid w:val="24920859"/>
    <w:rsid w:val="24952F40"/>
    <w:rsid w:val="249A7DB3"/>
    <w:rsid w:val="24B87422"/>
    <w:rsid w:val="24B91D73"/>
    <w:rsid w:val="24BE4C0F"/>
    <w:rsid w:val="24CB3B71"/>
    <w:rsid w:val="24CD2ACD"/>
    <w:rsid w:val="24E53DA9"/>
    <w:rsid w:val="251D3E1F"/>
    <w:rsid w:val="251F1F87"/>
    <w:rsid w:val="25311A36"/>
    <w:rsid w:val="2532799E"/>
    <w:rsid w:val="2534040B"/>
    <w:rsid w:val="25362665"/>
    <w:rsid w:val="253F0548"/>
    <w:rsid w:val="253F183F"/>
    <w:rsid w:val="254276E2"/>
    <w:rsid w:val="25500FFF"/>
    <w:rsid w:val="25582ACD"/>
    <w:rsid w:val="25586F13"/>
    <w:rsid w:val="2568431D"/>
    <w:rsid w:val="256A41C5"/>
    <w:rsid w:val="25915F66"/>
    <w:rsid w:val="25B81CC4"/>
    <w:rsid w:val="25D36F91"/>
    <w:rsid w:val="260C4691"/>
    <w:rsid w:val="262327C8"/>
    <w:rsid w:val="263874D5"/>
    <w:rsid w:val="26414549"/>
    <w:rsid w:val="26447D24"/>
    <w:rsid w:val="264925C9"/>
    <w:rsid w:val="264C7298"/>
    <w:rsid w:val="264E32E6"/>
    <w:rsid w:val="26571208"/>
    <w:rsid w:val="267A01A6"/>
    <w:rsid w:val="2683099A"/>
    <w:rsid w:val="269A4E4E"/>
    <w:rsid w:val="269A6A42"/>
    <w:rsid w:val="26AD3F16"/>
    <w:rsid w:val="26B22496"/>
    <w:rsid w:val="26B60847"/>
    <w:rsid w:val="26D52EDA"/>
    <w:rsid w:val="26E72CF4"/>
    <w:rsid w:val="27031144"/>
    <w:rsid w:val="27171690"/>
    <w:rsid w:val="271D1FA8"/>
    <w:rsid w:val="27311603"/>
    <w:rsid w:val="273B7CD3"/>
    <w:rsid w:val="273C114D"/>
    <w:rsid w:val="273E21B4"/>
    <w:rsid w:val="27496166"/>
    <w:rsid w:val="276C3B19"/>
    <w:rsid w:val="277125C1"/>
    <w:rsid w:val="277346B9"/>
    <w:rsid w:val="277C1BFC"/>
    <w:rsid w:val="27803169"/>
    <w:rsid w:val="2781210B"/>
    <w:rsid w:val="27892F16"/>
    <w:rsid w:val="278E577D"/>
    <w:rsid w:val="27967B5C"/>
    <w:rsid w:val="279B302C"/>
    <w:rsid w:val="279C20CF"/>
    <w:rsid w:val="27A4372B"/>
    <w:rsid w:val="27A83979"/>
    <w:rsid w:val="27BD6BE7"/>
    <w:rsid w:val="27D0126C"/>
    <w:rsid w:val="27DA4F84"/>
    <w:rsid w:val="282007CF"/>
    <w:rsid w:val="28216DAE"/>
    <w:rsid w:val="282C4737"/>
    <w:rsid w:val="2839396F"/>
    <w:rsid w:val="283D2D42"/>
    <w:rsid w:val="283D6AB0"/>
    <w:rsid w:val="283E7CDD"/>
    <w:rsid w:val="28455BD3"/>
    <w:rsid w:val="28481622"/>
    <w:rsid w:val="287900E2"/>
    <w:rsid w:val="287D2C25"/>
    <w:rsid w:val="28BF79A0"/>
    <w:rsid w:val="28C264A8"/>
    <w:rsid w:val="28C4792D"/>
    <w:rsid w:val="28CB6B2F"/>
    <w:rsid w:val="28CE4563"/>
    <w:rsid w:val="28D4387B"/>
    <w:rsid w:val="28EB38EC"/>
    <w:rsid w:val="28F557CE"/>
    <w:rsid w:val="291E46B3"/>
    <w:rsid w:val="292E40FE"/>
    <w:rsid w:val="293D309F"/>
    <w:rsid w:val="295757EA"/>
    <w:rsid w:val="296E2435"/>
    <w:rsid w:val="29801838"/>
    <w:rsid w:val="29823AC4"/>
    <w:rsid w:val="29A04D89"/>
    <w:rsid w:val="29A16C27"/>
    <w:rsid w:val="29AC466C"/>
    <w:rsid w:val="29AE58DA"/>
    <w:rsid w:val="29B51BE7"/>
    <w:rsid w:val="29C40ED9"/>
    <w:rsid w:val="29C55BD3"/>
    <w:rsid w:val="29C87C04"/>
    <w:rsid w:val="29C97CEC"/>
    <w:rsid w:val="29CA0B46"/>
    <w:rsid w:val="29D07A70"/>
    <w:rsid w:val="29D1260E"/>
    <w:rsid w:val="29D310AD"/>
    <w:rsid w:val="29DF5C37"/>
    <w:rsid w:val="29F12F9C"/>
    <w:rsid w:val="29FC5995"/>
    <w:rsid w:val="2A182465"/>
    <w:rsid w:val="2A203D40"/>
    <w:rsid w:val="2A25306D"/>
    <w:rsid w:val="2A2559F4"/>
    <w:rsid w:val="2A3B0C32"/>
    <w:rsid w:val="2A3F40EE"/>
    <w:rsid w:val="2A4C2695"/>
    <w:rsid w:val="2A537B9E"/>
    <w:rsid w:val="2A573CED"/>
    <w:rsid w:val="2A5F6FCD"/>
    <w:rsid w:val="2A635324"/>
    <w:rsid w:val="2A6D6C75"/>
    <w:rsid w:val="2A8E38CD"/>
    <w:rsid w:val="2AA51076"/>
    <w:rsid w:val="2AAE58D7"/>
    <w:rsid w:val="2AB33B67"/>
    <w:rsid w:val="2AC5654D"/>
    <w:rsid w:val="2ACA2496"/>
    <w:rsid w:val="2ADC722A"/>
    <w:rsid w:val="2AF001E5"/>
    <w:rsid w:val="2AF104EE"/>
    <w:rsid w:val="2AF53C48"/>
    <w:rsid w:val="2AFA274F"/>
    <w:rsid w:val="2AFD71F7"/>
    <w:rsid w:val="2B04609A"/>
    <w:rsid w:val="2B081AFA"/>
    <w:rsid w:val="2B113EC3"/>
    <w:rsid w:val="2B1C7264"/>
    <w:rsid w:val="2B2C2C30"/>
    <w:rsid w:val="2B2E0E09"/>
    <w:rsid w:val="2B6864BE"/>
    <w:rsid w:val="2B7001CD"/>
    <w:rsid w:val="2B84499D"/>
    <w:rsid w:val="2B8B0DB6"/>
    <w:rsid w:val="2BAA2CB1"/>
    <w:rsid w:val="2BAB749A"/>
    <w:rsid w:val="2BAE32EE"/>
    <w:rsid w:val="2BB150CD"/>
    <w:rsid w:val="2BB46FAD"/>
    <w:rsid w:val="2BBC6FE3"/>
    <w:rsid w:val="2BC310B7"/>
    <w:rsid w:val="2BE63365"/>
    <w:rsid w:val="2BF20FFC"/>
    <w:rsid w:val="2BF212E5"/>
    <w:rsid w:val="2BFC7449"/>
    <w:rsid w:val="2C105EE8"/>
    <w:rsid w:val="2C510927"/>
    <w:rsid w:val="2C572917"/>
    <w:rsid w:val="2C7A7731"/>
    <w:rsid w:val="2C89072F"/>
    <w:rsid w:val="2C9218DE"/>
    <w:rsid w:val="2CB371D5"/>
    <w:rsid w:val="2CC24248"/>
    <w:rsid w:val="2CD17251"/>
    <w:rsid w:val="2CD63474"/>
    <w:rsid w:val="2CDB609B"/>
    <w:rsid w:val="2CDE2871"/>
    <w:rsid w:val="2D025E47"/>
    <w:rsid w:val="2D0459FF"/>
    <w:rsid w:val="2D30710C"/>
    <w:rsid w:val="2D4019C8"/>
    <w:rsid w:val="2D601624"/>
    <w:rsid w:val="2D724B0D"/>
    <w:rsid w:val="2D8E78BF"/>
    <w:rsid w:val="2D94573F"/>
    <w:rsid w:val="2DA94F86"/>
    <w:rsid w:val="2DC4462A"/>
    <w:rsid w:val="2DC54393"/>
    <w:rsid w:val="2DD46643"/>
    <w:rsid w:val="2DDC741D"/>
    <w:rsid w:val="2DE72AEC"/>
    <w:rsid w:val="2DE85F4B"/>
    <w:rsid w:val="2DEC55C8"/>
    <w:rsid w:val="2DF864C4"/>
    <w:rsid w:val="2E0C0E47"/>
    <w:rsid w:val="2E175D80"/>
    <w:rsid w:val="2E1E169F"/>
    <w:rsid w:val="2E264516"/>
    <w:rsid w:val="2E3D31FA"/>
    <w:rsid w:val="2E4B78D2"/>
    <w:rsid w:val="2E5214AB"/>
    <w:rsid w:val="2E643710"/>
    <w:rsid w:val="2E7D3B93"/>
    <w:rsid w:val="2E8D0AB3"/>
    <w:rsid w:val="2E9C7183"/>
    <w:rsid w:val="2EA70616"/>
    <w:rsid w:val="2EAA1A54"/>
    <w:rsid w:val="2EB02F5A"/>
    <w:rsid w:val="2EBA19E0"/>
    <w:rsid w:val="2ED51684"/>
    <w:rsid w:val="2EE554E6"/>
    <w:rsid w:val="2EEA2591"/>
    <w:rsid w:val="2EF835C5"/>
    <w:rsid w:val="2F0F012A"/>
    <w:rsid w:val="2F0F12D8"/>
    <w:rsid w:val="2F112902"/>
    <w:rsid w:val="2F214543"/>
    <w:rsid w:val="2F227C51"/>
    <w:rsid w:val="2F242462"/>
    <w:rsid w:val="2F262E9A"/>
    <w:rsid w:val="2F3409BF"/>
    <w:rsid w:val="2F5F4595"/>
    <w:rsid w:val="2F6767FD"/>
    <w:rsid w:val="2F6D0E69"/>
    <w:rsid w:val="2F785ACA"/>
    <w:rsid w:val="2F861711"/>
    <w:rsid w:val="2F890118"/>
    <w:rsid w:val="2F8B4A6C"/>
    <w:rsid w:val="2F906AA6"/>
    <w:rsid w:val="2F960526"/>
    <w:rsid w:val="2F966770"/>
    <w:rsid w:val="2FB16CC1"/>
    <w:rsid w:val="2FC20F7C"/>
    <w:rsid w:val="2FDC6B5B"/>
    <w:rsid w:val="2FE049A9"/>
    <w:rsid w:val="2FED10F6"/>
    <w:rsid w:val="300A5BAF"/>
    <w:rsid w:val="3021294D"/>
    <w:rsid w:val="3023045A"/>
    <w:rsid w:val="303A3ABE"/>
    <w:rsid w:val="303F0802"/>
    <w:rsid w:val="30481063"/>
    <w:rsid w:val="304A2D0D"/>
    <w:rsid w:val="30512BB9"/>
    <w:rsid w:val="30674EF4"/>
    <w:rsid w:val="3069606A"/>
    <w:rsid w:val="306E7FE2"/>
    <w:rsid w:val="3075635F"/>
    <w:rsid w:val="30907A04"/>
    <w:rsid w:val="30935870"/>
    <w:rsid w:val="30A94A22"/>
    <w:rsid w:val="30B31565"/>
    <w:rsid w:val="30C017FF"/>
    <w:rsid w:val="30C0246A"/>
    <w:rsid w:val="30D92EF0"/>
    <w:rsid w:val="30E42B52"/>
    <w:rsid w:val="30F85AFE"/>
    <w:rsid w:val="30FA1A45"/>
    <w:rsid w:val="31030E3D"/>
    <w:rsid w:val="310F2355"/>
    <w:rsid w:val="310F3573"/>
    <w:rsid w:val="311A2CAB"/>
    <w:rsid w:val="312668F7"/>
    <w:rsid w:val="312B41D4"/>
    <w:rsid w:val="3130105A"/>
    <w:rsid w:val="31381E7F"/>
    <w:rsid w:val="31560A8A"/>
    <w:rsid w:val="31585A4C"/>
    <w:rsid w:val="31592A40"/>
    <w:rsid w:val="316D0D81"/>
    <w:rsid w:val="316E027D"/>
    <w:rsid w:val="317A284D"/>
    <w:rsid w:val="317A547D"/>
    <w:rsid w:val="318549A9"/>
    <w:rsid w:val="3185625C"/>
    <w:rsid w:val="318B1234"/>
    <w:rsid w:val="318C62D0"/>
    <w:rsid w:val="319133DE"/>
    <w:rsid w:val="31980609"/>
    <w:rsid w:val="31AB3C66"/>
    <w:rsid w:val="31DA3EEE"/>
    <w:rsid w:val="31EE2735"/>
    <w:rsid w:val="320520A8"/>
    <w:rsid w:val="320728CD"/>
    <w:rsid w:val="320918C1"/>
    <w:rsid w:val="32197B45"/>
    <w:rsid w:val="321B4898"/>
    <w:rsid w:val="321B5937"/>
    <w:rsid w:val="32391D52"/>
    <w:rsid w:val="32396A26"/>
    <w:rsid w:val="323F2EE8"/>
    <w:rsid w:val="3242741C"/>
    <w:rsid w:val="324F7227"/>
    <w:rsid w:val="325958DD"/>
    <w:rsid w:val="326A0F6A"/>
    <w:rsid w:val="326C7167"/>
    <w:rsid w:val="32797032"/>
    <w:rsid w:val="32812148"/>
    <w:rsid w:val="328B57EE"/>
    <w:rsid w:val="3291449A"/>
    <w:rsid w:val="32B86E03"/>
    <w:rsid w:val="32BE2315"/>
    <w:rsid w:val="32C43312"/>
    <w:rsid w:val="32D25237"/>
    <w:rsid w:val="32D33460"/>
    <w:rsid w:val="32E9300F"/>
    <w:rsid w:val="32FB681E"/>
    <w:rsid w:val="330E1913"/>
    <w:rsid w:val="332C1A8F"/>
    <w:rsid w:val="333F7A06"/>
    <w:rsid w:val="33442CFC"/>
    <w:rsid w:val="33447BB2"/>
    <w:rsid w:val="334E518F"/>
    <w:rsid w:val="335223D5"/>
    <w:rsid w:val="33591D93"/>
    <w:rsid w:val="335D7E70"/>
    <w:rsid w:val="336A5862"/>
    <w:rsid w:val="336D5CB2"/>
    <w:rsid w:val="33744F7C"/>
    <w:rsid w:val="337458DB"/>
    <w:rsid w:val="337D3877"/>
    <w:rsid w:val="33855A04"/>
    <w:rsid w:val="33995CEB"/>
    <w:rsid w:val="33A23C78"/>
    <w:rsid w:val="33A43B9C"/>
    <w:rsid w:val="33A81635"/>
    <w:rsid w:val="33A91C9D"/>
    <w:rsid w:val="33AD7362"/>
    <w:rsid w:val="33B01FC1"/>
    <w:rsid w:val="33B566CE"/>
    <w:rsid w:val="33B70258"/>
    <w:rsid w:val="33B964DD"/>
    <w:rsid w:val="33C80B47"/>
    <w:rsid w:val="33CC7A76"/>
    <w:rsid w:val="33E2571A"/>
    <w:rsid w:val="33E81FF2"/>
    <w:rsid w:val="33F2602C"/>
    <w:rsid w:val="33FA297A"/>
    <w:rsid w:val="34005CE1"/>
    <w:rsid w:val="34052CEE"/>
    <w:rsid w:val="34171C69"/>
    <w:rsid w:val="34365A03"/>
    <w:rsid w:val="34417679"/>
    <w:rsid w:val="34447363"/>
    <w:rsid w:val="34541B67"/>
    <w:rsid w:val="345D075E"/>
    <w:rsid w:val="346F0748"/>
    <w:rsid w:val="346F5D09"/>
    <w:rsid w:val="347D0D72"/>
    <w:rsid w:val="348D03FB"/>
    <w:rsid w:val="348E1040"/>
    <w:rsid w:val="3491113B"/>
    <w:rsid w:val="34B217B2"/>
    <w:rsid w:val="34B955A4"/>
    <w:rsid w:val="34BB131C"/>
    <w:rsid w:val="34BC6279"/>
    <w:rsid w:val="34C41B07"/>
    <w:rsid w:val="34C431CA"/>
    <w:rsid w:val="34E73E08"/>
    <w:rsid w:val="350432D3"/>
    <w:rsid w:val="350D25F6"/>
    <w:rsid w:val="350F47A0"/>
    <w:rsid w:val="351F7212"/>
    <w:rsid w:val="352F54F2"/>
    <w:rsid w:val="35317C97"/>
    <w:rsid w:val="353E3225"/>
    <w:rsid w:val="353E782F"/>
    <w:rsid w:val="354466FE"/>
    <w:rsid w:val="35506766"/>
    <w:rsid w:val="355718E2"/>
    <w:rsid w:val="35586B6B"/>
    <w:rsid w:val="355A704F"/>
    <w:rsid w:val="35681FB1"/>
    <w:rsid w:val="35695279"/>
    <w:rsid w:val="356F6E04"/>
    <w:rsid w:val="35737535"/>
    <w:rsid w:val="35941EE7"/>
    <w:rsid w:val="35971A38"/>
    <w:rsid w:val="359C6B0B"/>
    <w:rsid w:val="359E029B"/>
    <w:rsid w:val="359F39EF"/>
    <w:rsid w:val="35A041DB"/>
    <w:rsid w:val="35BF4F2B"/>
    <w:rsid w:val="35C8008C"/>
    <w:rsid w:val="35D26BF1"/>
    <w:rsid w:val="35DE53A1"/>
    <w:rsid w:val="35ED46FC"/>
    <w:rsid w:val="360617D2"/>
    <w:rsid w:val="3608437A"/>
    <w:rsid w:val="360F7EAC"/>
    <w:rsid w:val="361360B9"/>
    <w:rsid w:val="362850DA"/>
    <w:rsid w:val="363F401C"/>
    <w:rsid w:val="364C4B21"/>
    <w:rsid w:val="364D3F36"/>
    <w:rsid w:val="36500E0A"/>
    <w:rsid w:val="366225D4"/>
    <w:rsid w:val="366C6D72"/>
    <w:rsid w:val="366F3B0A"/>
    <w:rsid w:val="36785717"/>
    <w:rsid w:val="36863B7D"/>
    <w:rsid w:val="368F052F"/>
    <w:rsid w:val="36995E85"/>
    <w:rsid w:val="369C7F5E"/>
    <w:rsid w:val="36BF7716"/>
    <w:rsid w:val="36C0181F"/>
    <w:rsid w:val="36D466C5"/>
    <w:rsid w:val="36E56469"/>
    <w:rsid w:val="370C1266"/>
    <w:rsid w:val="37144EA2"/>
    <w:rsid w:val="37187064"/>
    <w:rsid w:val="371A1D05"/>
    <w:rsid w:val="371C06CD"/>
    <w:rsid w:val="37221998"/>
    <w:rsid w:val="373D1DB5"/>
    <w:rsid w:val="376A5679"/>
    <w:rsid w:val="37764B2C"/>
    <w:rsid w:val="377A101B"/>
    <w:rsid w:val="377C6A64"/>
    <w:rsid w:val="379B7A56"/>
    <w:rsid w:val="37B30A30"/>
    <w:rsid w:val="37C42743"/>
    <w:rsid w:val="37E93DB7"/>
    <w:rsid w:val="3802174C"/>
    <w:rsid w:val="38052B49"/>
    <w:rsid w:val="38060B00"/>
    <w:rsid w:val="380C0CD1"/>
    <w:rsid w:val="38124C2A"/>
    <w:rsid w:val="382E711D"/>
    <w:rsid w:val="38314D5D"/>
    <w:rsid w:val="38327D9F"/>
    <w:rsid w:val="383F11F6"/>
    <w:rsid w:val="384571B6"/>
    <w:rsid w:val="385C66C9"/>
    <w:rsid w:val="385E4E87"/>
    <w:rsid w:val="38683569"/>
    <w:rsid w:val="38687793"/>
    <w:rsid w:val="386D601A"/>
    <w:rsid w:val="386F1384"/>
    <w:rsid w:val="38717C27"/>
    <w:rsid w:val="387E4B3B"/>
    <w:rsid w:val="38B57E34"/>
    <w:rsid w:val="38CA2EE1"/>
    <w:rsid w:val="38CF20AA"/>
    <w:rsid w:val="38DD7AB3"/>
    <w:rsid w:val="38DF2302"/>
    <w:rsid w:val="38FD533B"/>
    <w:rsid w:val="38FF2448"/>
    <w:rsid w:val="3921584E"/>
    <w:rsid w:val="39470E14"/>
    <w:rsid w:val="394C7EFB"/>
    <w:rsid w:val="394D5CA1"/>
    <w:rsid w:val="394E2E39"/>
    <w:rsid w:val="39740D18"/>
    <w:rsid w:val="398C3287"/>
    <w:rsid w:val="398E483E"/>
    <w:rsid w:val="39986879"/>
    <w:rsid w:val="3998745F"/>
    <w:rsid w:val="39AD1827"/>
    <w:rsid w:val="39B409B1"/>
    <w:rsid w:val="39B91873"/>
    <w:rsid w:val="39BB1FAF"/>
    <w:rsid w:val="39D364DF"/>
    <w:rsid w:val="39D77348"/>
    <w:rsid w:val="39E25BE1"/>
    <w:rsid w:val="39EE1A5B"/>
    <w:rsid w:val="39F562A3"/>
    <w:rsid w:val="39F63A08"/>
    <w:rsid w:val="3A152C6F"/>
    <w:rsid w:val="3A1F2851"/>
    <w:rsid w:val="3A35391F"/>
    <w:rsid w:val="3A3E5212"/>
    <w:rsid w:val="3A516DD4"/>
    <w:rsid w:val="3A5B5B20"/>
    <w:rsid w:val="3A614B55"/>
    <w:rsid w:val="3A8A77C7"/>
    <w:rsid w:val="3A987E2C"/>
    <w:rsid w:val="3A9940FF"/>
    <w:rsid w:val="3A9B4249"/>
    <w:rsid w:val="3AAA69B6"/>
    <w:rsid w:val="3ABD5647"/>
    <w:rsid w:val="3AD1628B"/>
    <w:rsid w:val="3AD73C33"/>
    <w:rsid w:val="3AE354F6"/>
    <w:rsid w:val="3AED2914"/>
    <w:rsid w:val="3AF66F05"/>
    <w:rsid w:val="3AF71D98"/>
    <w:rsid w:val="3AFB4E09"/>
    <w:rsid w:val="3B0F229E"/>
    <w:rsid w:val="3B262FAD"/>
    <w:rsid w:val="3B3A27B5"/>
    <w:rsid w:val="3B492D8D"/>
    <w:rsid w:val="3B5B2041"/>
    <w:rsid w:val="3B5C182A"/>
    <w:rsid w:val="3B5C18A7"/>
    <w:rsid w:val="3B675D5A"/>
    <w:rsid w:val="3B6F3DAA"/>
    <w:rsid w:val="3B756EC4"/>
    <w:rsid w:val="3B9A1C17"/>
    <w:rsid w:val="3B9F7CC6"/>
    <w:rsid w:val="3BA525A9"/>
    <w:rsid w:val="3BB6691B"/>
    <w:rsid w:val="3BBE7555"/>
    <w:rsid w:val="3BD1469A"/>
    <w:rsid w:val="3BEF3BE6"/>
    <w:rsid w:val="3C073008"/>
    <w:rsid w:val="3C0F297D"/>
    <w:rsid w:val="3C15485E"/>
    <w:rsid w:val="3C194BA2"/>
    <w:rsid w:val="3C3607E5"/>
    <w:rsid w:val="3C387E09"/>
    <w:rsid w:val="3C3976F6"/>
    <w:rsid w:val="3C421AE5"/>
    <w:rsid w:val="3C5965AE"/>
    <w:rsid w:val="3C7428AE"/>
    <w:rsid w:val="3C77460F"/>
    <w:rsid w:val="3C86037D"/>
    <w:rsid w:val="3C8F298F"/>
    <w:rsid w:val="3C921BEE"/>
    <w:rsid w:val="3C953ADC"/>
    <w:rsid w:val="3C9E57AB"/>
    <w:rsid w:val="3CB439C7"/>
    <w:rsid w:val="3CB64236"/>
    <w:rsid w:val="3CCE67A9"/>
    <w:rsid w:val="3CD26389"/>
    <w:rsid w:val="3CD97EEF"/>
    <w:rsid w:val="3CDB1258"/>
    <w:rsid w:val="3CE74BFF"/>
    <w:rsid w:val="3D05582A"/>
    <w:rsid w:val="3D0B7481"/>
    <w:rsid w:val="3D203937"/>
    <w:rsid w:val="3D34331F"/>
    <w:rsid w:val="3D3829F1"/>
    <w:rsid w:val="3D3D35C2"/>
    <w:rsid w:val="3D441DB7"/>
    <w:rsid w:val="3D477BF1"/>
    <w:rsid w:val="3D4E410F"/>
    <w:rsid w:val="3D5A6786"/>
    <w:rsid w:val="3D5B403F"/>
    <w:rsid w:val="3D5D447B"/>
    <w:rsid w:val="3D5E6894"/>
    <w:rsid w:val="3D61628D"/>
    <w:rsid w:val="3D650D81"/>
    <w:rsid w:val="3D686F91"/>
    <w:rsid w:val="3D726676"/>
    <w:rsid w:val="3D80639C"/>
    <w:rsid w:val="3D825035"/>
    <w:rsid w:val="3DAD78DE"/>
    <w:rsid w:val="3DBE030A"/>
    <w:rsid w:val="3DC66583"/>
    <w:rsid w:val="3DDA6D52"/>
    <w:rsid w:val="3DE06746"/>
    <w:rsid w:val="3DEF48DF"/>
    <w:rsid w:val="3DF868DB"/>
    <w:rsid w:val="3DFB618D"/>
    <w:rsid w:val="3E187363"/>
    <w:rsid w:val="3E4968A1"/>
    <w:rsid w:val="3E522BCD"/>
    <w:rsid w:val="3E5A652F"/>
    <w:rsid w:val="3E6E419D"/>
    <w:rsid w:val="3E7B5644"/>
    <w:rsid w:val="3E835C23"/>
    <w:rsid w:val="3E943DCA"/>
    <w:rsid w:val="3EB94B1E"/>
    <w:rsid w:val="3ECB068C"/>
    <w:rsid w:val="3EF8377C"/>
    <w:rsid w:val="3EFE537F"/>
    <w:rsid w:val="3F084660"/>
    <w:rsid w:val="3F0B5DBE"/>
    <w:rsid w:val="3F11464E"/>
    <w:rsid w:val="3F1C0173"/>
    <w:rsid w:val="3F51467E"/>
    <w:rsid w:val="3F53126A"/>
    <w:rsid w:val="3F5430C7"/>
    <w:rsid w:val="3F55092B"/>
    <w:rsid w:val="3F5B31BF"/>
    <w:rsid w:val="3F612C70"/>
    <w:rsid w:val="3F815699"/>
    <w:rsid w:val="3F89423D"/>
    <w:rsid w:val="3F897168"/>
    <w:rsid w:val="3F9B7442"/>
    <w:rsid w:val="3FAA7DD2"/>
    <w:rsid w:val="3FAF7679"/>
    <w:rsid w:val="3FCA006B"/>
    <w:rsid w:val="3FD86F1F"/>
    <w:rsid w:val="3FD97779"/>
    <w:rsid w:val="3FE17DE2"/>
    <w:rsid w:val="3FE3199A"/>
    <w:rsid w:val="3FFC7E03"/>
    <w:rsid w:val="401B4C39"/>
    <w:rsid w:val="401E7937"/>
    <w:rsid w:val="403810BA"/>
    <w:rsid w:val="403D6D76"/>
    <w:rsid w:val="404B47FE"/>
    <w:rsid w:val="40530248"/>
    <w:rsid w:val="40542B1B"/>
    <w:rsid w:val="405A4241"/>
    <w:rsid w:val="405E3282"/>
    <w:rsid w:val="407A775D"/>
    <w:rsid w:val="409D290A"/>
    <w:rsid w:val="40AE46C8"/>
    <w:rsid w:val="40C44851"/>
    <w:rsid w:val="40CA5CFC"/>
    <w:rsid w:val="40D57777"/>
    <w:rsid w:val="40E55E39"/>
    <w:rsid w:val="40E5611A"/>
    <w:rsid w:val="40F14DF4"/>
    <w:rsid w:val="40FC6F44"/>
    <w:rsid w:val="41083B3B"/>
    <w:rsid w:val="41093E4B"/>
    <w:rsid w:val="410E4922"/>
    <w:rsid w:val="411E66C4"/>
    <w:rsid w:val="411F01D3"/>
    <w:rsid w:val="412B52A1"/>
    <w:rsid w:val="413D040C"/>
    <w:rsid w:val="414B004A"/>
    <w:rsid w:val="414B7172"/>
    <w:rsid w:val="41584575"/>
    <w:rsid w:val="416106A4"/>
    <w:rsid w:val="416222C0"/>
    <w:rsid w:val="41632205"/>
    <w:rsid w:val="41894A5A"/>
    <w:rsid w:val="418A48A1"/>
    <w:rsid w:val="419504DF"/>
    <w:rsid w:val="4196575D"/>
    <w:rsid w:val="41A12797"/>
    <w:rsid w:val="41A12E7D"/>
    <w:rsid w:val="41AA1FD0"/>
    <w:rsid w:val="41B10E74"/>
    <w:rsid w:val="41B54DA8"/>
    <w:rsid w:val="41D34149"/>
    <w:rsid w:val="41D4065B"/>
    <w:rsid w:val="41D85ED1"/>
    <w:rsid w:val="41DC4DC1"/>
    <w:rsid w:val="41E77C39"/>
    <w:rsid w:val="420116DC"/>
    <w:rsid w:val="4208110F"/>
    <w:rsid w:val="42216057"/>
    <w:rsid w:val="423A1911"/>
    <w:rsid w:val="42510D83"/>
    <w:rsid w:val="425D1BFC"/>
    <w:rsid w:val="42747EE0"/>
    <w:rsid w:val="427D3BB4"/>
    <w:rsid w:val="42845DBF"/>
    <w:rsid w:val="428F49E6"/>
    <w:rsid w:val="429621FC"/>
    <w:rsid w:val="42985594"/>
    <w:rsid w:val="429B601A"/>
    <w:rsid w:val="429E4412"/>
    <w:rsid w:val="42C45DF1"/>
    <w:rsid w:val="42C51EDC"/>
    <w:rsid w:val="42DE10EA"/>
    <w:rsid w:val="42E33003"/>
    <w:rsid w:val="42EB64C4"/>
    <w:rsid w:val="43070A86"/>
    <w:rsid w:val="430D6C59"/>
    <w:rsid w:val="431214ED"/>
    <w:rsid w:val="431737D5"/>
    <w:rsid w:val="43205C43"/>
    <w:rsid w:val="43895146"/>
    <w:rsid w:val="439626BE"/>
    <w:rsid w:val="43A342AF"/>
    <w:rsid w:val="43A41AF6"/>
    <w:rsid w:val="43A54892"/>
    <w:rsid w:val="43AF4742"/>
    <w:rsid w:val="43CA646B"/>
    <w:rsid w:val="43D1290A"/>
    <w:rsid w:val="43D53ABA"/>
    <w:rsid w:val="43E837B0"/>
    <w:rsid w:val="43EC53D1"/>
    <w:rsid w:val="43EF5E89"/>
    <w:rsid w:val="43F95829"/>
    <w:rsid w:val="440639A4"/>
    <w:rsid w:val="44080C18"/>
    <w:rsid w:val="440F5436"/>
    <w:rsid w:val="443447B3"/>
    <w:rsid w:val="4439204E"/>
    <w:rsid w:val="44475458"/>
    <w:rsid w:val="444772F6"/>
    <w:rsid w:val="445301A1"/>
    <w:rsid w:val="445B5DBF"/>
    <w:rsid w:val="445E69BF"/>
    <w:rsid w:val="44805536"/>
    <w:rsid w:val="448E623D"/>
    <w:rsid w:val="44994375"/>
    <w:rsid w:val="44A04001"/>
    <w:rsid w:val="44A77E14"/>
    <w:rsid w:val="44C85ABB"/>
    <w:rsid w:val="44CE6128"/>
    <w:rsid w:val="44D93412"/>
    <w:rsid w:val="44F723FE"/>
    <w:rsid w:val="45030637"/>
    <w:rsid w:val="45050ABD"/>
    <w:rsid w:val="45090602"/>
    <w:rsid w:val="450D47F0"/>
    <w:rsid w:val="451D7E3E"/>
    <w:rsid w:val="452457F9"/>
    <w:rsid w:val="45352A25"/>
    <w:rsid w:val="45394466"/>
    <w:rsid w:val="453F38A4"/>
    <w:rsid w:val="45455989"/>
    <w:rsid w:val="45511D76"/>
    <w:rsid w:val="45546899"/>
    <w:rsid w:val="457268B2"/>
    <w:rsid w:val="45947182"/>
    <w:rsid w:val="45992FB4"/>
    <w:rsid w:val="45B12A85"/>
    <w:rsid w:val="45B12AF7"/>
    <w:rsid w:val="45CA4F43"/>
    <w:rsid w:val="460076BE"/>
    <w:rsid w:val="46176B3D"/>
    <w:rsid w:val="461B5E24"/>
    <w:rsid w:val="462720E8"/>
    <w:rsid w:val="46301C18"/>
    <w:rsid w:val="464A28D6"/>
    <w:rsid w:val="465213D9"/>
    <w:rsid w:val="4667585E"/>
    <w:rsid w:val="46726D53"/>
    <w:rsid w:val="46731A57"/>
    <w:rsid w:val="46877035"/>
    <w:rsid w:val="46922B26"/>
    <w:rsid w:val="469270FC"/>
    <w:rsid w:val="469653EF"/>
    <w:rsid w:val="469E1677"/>
    <w:rsid w:val="469F40FB"/>
    <w:rsid w:val="46AA1652"/>
    <w:rsid w:val="46BD6A31"/>
    <w:rsid w:val="46C711D4"/>
    <w:rsid w:val="46C769A2"/>
    <w:rsid w:val="46E84D3C"/>
    <w:rsid w:val="46F669C6"/>
    <w:rsid w:val="47004395"/>
    <w:rsid w:val="470646EF"/>
    <w:rsid w:val="470A5385"/>
    <w:rsid w:val="47107AE3"/>
    <w:rsid w:val="47190D22"/>
    <w:rsid w:val="473426E1"/>
    <w:rsid w:val="47430F42"/>
    <w:rsid w:val="4747090E"/>
    <w:rsid w:val="47484697"/>
    <w:rsid w:val="474C774F"/>
    <w:rsid w:val="475C06EB"/>
    <w:rsid w:val="47970E8D"/>
    <w:rsid w:val="47A9027D"/>
    <w:rsid w:val="47AF0905"/>
    <w:rsid w:val="47B94D67"/>
    <w:rsid w:val="47BB4DEF"/>
    <w:rsid w:val="47C11BA4"/>
    <w:rsid w:val="47E06D87"/>
    <w:rsid w:val="47F334BC"/>
    <w:rsid w:val="47FE05D7"/>
    <w:rsid w:val="48003904"/>
    <w:rsid w:val="48062E17"/>
    <w:rsid w:val="48121AF5"/>
    <w:rsid w:val="48313DFE"/>
    <w:rsid w:val="48481492"/>
    <w:rsid w:val="487422FA"/>
    <w:rsid w:val="48796908"/>
    <w:rsid w:val="487D10D0"/>
    <w:rsid w:val="48840902"/>
    <w:rsid w:val="48856788"/>
    <w:rsid w:val="48915371"/>
    <w:rsid w:val="489F2881"/>
    <w:rsid w:val="48B3438D"/>
    <w:rsid w:val="48B64D3C"/>
    <w:rsid w:val="48C14CFA"/>
    <w:rsid w:val="48CD4191"/>
    <w:rsid w:val="48E277B9"/>
    <w:rsid w:val="490175DD"/>
    <w:rsid w:val="49253BB2"/>
    <w:rsid w:val="49255115"/>
    <w:rsid w:val="495D1BF7"/>
    <w:rsid w:val="496171DA"/>
    <w:rsid w:val="49753D38"/>
    <w:rsid w:val="497E35F5"/>
    <w:rsid w:val="497F0844"/>
    <w:rsid w:val="49841CC7"/>
    <w:rsid w:val="498804A5"/>
    <w:rsid w:val="4998477E"/>
    <w:rsid w:val="49A87918"/>
    <w:rsid w:val="49B67E4E"/>
    <w:rsid w:val="49B82353"/>
    <w:rsid w:val="49C5315A"/>
    <w:rsid w:val="49CC2612"/>
    <w:rsid w:val="49EE5B5B"/>
    <w:rsid w:val="4A0948B0"/>
    <w:rsid w:val="4A233E68"/>
    <w:rsid w:val="4A282025"/>
    <w:rsid w:val="4A287B65"/>
    <w:rsid w:val="4A2E0E98"/>
    <w:rsid w:val="4A2F6941"/>
    <w:rsid w:val="4A411F26"/>
    <w:rsid w:val="4A5A0745"/>
    <w:rsid w:val="4A7D2C56"/>
    <w:rsid w:val="4A864FB2"/>
    <w:rsid w:val="4A88020B"/>
    <w:rsid w:val="4A8C75E8"/>
    <w:rsid w:val="4A923AB6"/>
    <w:rsid w:val="4A946962"/>
    <w:rsid w:val="4A994C40"/>
    <w:rsid w:val="4AA121FB"/>
    <w:rsid w:val="4AB364FD"/>
    <w:rsid w:val="4ABA4019"/>
    <w:rsid w:val="4ABC02F9"/>
    <w:rsid w:val="4AD47617"/>
    <w:rsid w:val="4AEE195E"/>
    <w:rsid w:val="4AF01DC1"/>
    <w:rsid w:val="4AFC56CF"/>
    <w:rsid w:val="4B05435E"/>
    <w:rsid w:val="4B0701D2"/>
    <w:rsid w:val="4B29281F"/>
    <w:rsid w:val="4B681989"/>
    <w:rsid w:val="4B6E3AA4"/>
    <w:rsid w:val="4B7047B7"/>
    <w:rsid w:val="4B947559"/>
    <w:rsid w:val="4BA14300"/>
    <w:rsid w:val="4BAB7C68"/>
    <w:rsid w:val="4BCF63C8"/>
    <w:rsid w:val="4BE11211"/>
    <w:rsid w:val="4C0A60BA"/>
    <w:rsid w:val="4C0D66B0"/>
    <w:rsid w:val="4C1E1BB8"/>
    <w:rsid w:val="4C307A20"/>
    <w:rsid w:val="4C382C70"/>
    <w:rsid w:val="4C485C6E"/>
    <w:rsid w:val="4C565693"/>
    <w:rsid w:val="4C690A16"/>
    <w:rsid w:val="4C6C31D0"/>
    <w:rsid w:val="4C800796"/>
    <w:rsid w:val="4C861ABA"/>
    <w:rsid w:val="4CA24BB5"/>
    <w:rsid w:val="4CAB1B2A"/>
    <w:rsid w:val="4CAC5D38"/>
    <w:rsid w:val="4CB7382E"/>
    <w:rsid w:val="4CBD0FAE"/>
    <w:rsid w:val="4CD255F7"/>
    <w:rsid w:val="4CD45629"/>
    <w:rsid w:val="4CDD50C9"/>
    <w:rsid w:val="4CEC2563"/>
    <w:rsid w:val="4CEF1BC9"/>
    <w:rsid w:val="4CF238E3"/>
    <w:rsid w:val="4CFA4C63"/>
    <w:rsid w:val="4D04549D"/>
    <w:rsid w:val="4D2910C1"/>
    <w:rsid w:val="4D292E6F"/>
    <w:rsid w:val="4D2E1F8D"/>
    <w:rsid w:val="4D3107FC"/>
    <w:rsid w:val="4D467EC5"/>
    <w:rsid w:val="4D5A5C00"/>
    <w:rsid w:val="4D5B63C0"/>
    <w:rsid w:val="4D717487"/>
    <w:rsid w:val="4D7C1504"/>
    <w:rsid w:val="4D80430A"/>
    <w:rsid w:val="4D8E6954"/>
    <w:rsid w:val="4D9F4E02"/>
    <w:rsid w:val="4DD5448E"/>
    <w:rsid w:val="4DE63ABF"/>
    <w:rsid w:val="4DE707E1"/>
    <w:rsid w:val="4DEB0EE7"/>
    <w:rsid w:val="4DEB1E88"/>
    <w:rsid w:val="4DEC2851"/>
    <w:rsid w:val="4DF454BF"/>
    <w:rsid w:val="4DF51234"/>
    <w:rsid w:val="4DF70635"/>
    <w:rsid w:val="4E0B7C4E"/>
    <w:rsid w:val="4E0D2791"/>
    <w:rsid w:val="4E181422"/>
    <w:rsid w:val="4E395334"/>
    <w:rsid w:val="4E403774"/>
    <w:rsid w:val="4E4C664C"/>
    <w:rsid w:val="4E526C3C"/>
    <w:rsid w:val="4E575E2C"/>
    <w:rsid w:val="4E594DBE"/>
    <w:rsid w:val="4E5C672D"/>
    <w:rsid w:val="4E611AB5"/>
    <w:rsid w:val="4E676345"/>
    <w:rsid w:val="4E6F1A25"/>
    <w:rsid w:val="4E812C0A"/>
    <w:rsid w:val="4E836781"/>
    <w:rsid w:val="4E9170B4"/>
    <w:rsid w:val="4E926AFF"/>
    <w:rsid w:val="4E94443D"/>
    <w:rsid w:val="4EB003DE"/>
    <w:rsid w:val="4EBC739F"/>
    <w:rsid w:val="4EBE1CDD"/>
    <w:rsid w:val="4EC6456B"/>
    <w:rsid w:val="4EC67E86"/>
    <w:rsid w:val="4ECF7A46"/>
    <w:rsid w:val="4ED657AC"/>
    <w:rsid w:val="4EEE36A2"/>
    <w:rsid w:val="4EF87EC5"/>
    <w:rsid w:val="4EFE60E5"/>
    <w:rsid w:val="4F047077"/>
    <w:rsid w:val="4F53135D"/>
    <w:rsid w:val="4F552101"/>
    <w:rsid w:val="4F6B20F2"/>
    <w:rsid w:val="4F712401"/>
    <w:rsid w:val="4F7D23C8"/>
    <w:rsid w:val="4F7E66AA"/>
    <w:rsid w:val="4F80426E"/>
    <w:rsid w:val="4F806717"/>
    <w:rsid w:val="4FCD7899"/>
    <w:rsid w:val="4FDE0094"/>
    <w:rsid w:val="4FE52BA8"/>
    <w:rsid w:val="4FF02634"/>
    <w:rsid w:val="50085D6E"/>
    <w:rsid w:val="50157161"/>
    <w:rsid w:val="501807C4"/>
    <w:rsid w:val="50267B3A"/>
    <w:rsid w:val="50566F32"/>
    <w:rsid w:val="50597F0F"/>
    <w:rsid w:val="5060539F"/>
    <w:rsid w:val="50666840"/>
    <w:rsid w:val="507D1A22"/>
    <w:rsid w:val="508055D4"/>
    <w:rsid w:val="5091773E"/>
    <w:rsid w:val="509F3753"/>
    <w:rsid w:val="50AE12E6"/>
    <w:rsid w:val="50BC224C"/>
    <w:rsid w:val="50CA7430"/>
    <w:rsid w:val="50CF363E"/>
    <w:rsid w:val="50D617B3"/>
    <w:rsid w:val="50E24071"/>
    <w:rsid w:val="51014CE2"/>
    <w:rsid w:val="51367633"/>
    <w:rsid w:val="51397304"/>
    <w:rsid w:val="515E0F2F"/>
    <w:rsid w:val="516857FB"/>
    <w:rsid w:val="518E3BE9"/>
    <w:rsid w:val="5198763D"/>
    <w:rsid w:val="519A0F26"/>
    <w:rsid w:val="51AD5227"/>
    <w:rsid w:val="51B973A1"/>
    <w:rsid w:val="51D4744B"/>
    <w:rsid w:val="51FE158F"/>
    <w:rsid w:val="52070DC6"/>
    <w:rsid w:val="52157A33"/>
    <w:rsid w:val="521D0CD3"/>
    <w:rsid w:val="52215FAE"/>
    <w:rsid w:val="52646FB9"/>
    <w:rsid w:val="52B206A0"/>
    <w:rsid w:val="52D11DE1"/>
    <w:rsid w:val="52E34BB0"/>
    <w:rsid w:val="52E57175"/>
    <w:rsid w:val="530974BE"/>
    <w:rsid w:val="530B07A4"/>
    <w:rsid w:val="530C641C"/>
    <w:rsid w:val="53193567"/>
    <w:rsid w:val="5346084F"/>
    <w:rsid w:val="53500BC1"/>
    <w:rsid w:val="536D3BE5"/>
    <w:rsid w:val="53711BE9"/>
    <w:rsid w:val="537D3F15"/>
    <w:rsid w:val="53810074"/>
    <w:rsid w:val="538E0462"/>
    <w:rsid w:val="539C3449"/>
    <w:rsid w:val="53A93B47"/>
    <w:rsid w:val="53AB7E93"/>
    <w:rsid w:val="53B00BF2"/>
    <w:rsid w:val="53B67B2A"/>
    <w:rsid w:val="53BC00F2"/>
    <w:rsid w:val="53BE3A9D"/>
    <w:rsid w:val="53C834B6"/>
    <w:rsid w:val="53C95131"/>
    <w:rsid w:val="53CA3A44"/>
    <w:rsid w:val="53CF03BF"/>
    <w:rsid w:val="53D537E2"/>
    <w:rsid w:val="53DC3C65"/>
    <w:rsid w:val="53E6584A"/>
    <w:rsid w:val="540E508D"/>
    <w:rsid w:val="54142EF2"/>
    <w:rsid w:val="54333243"/>
    <w:rsid w:val="54441733"/>
    <w:rsid w:val="544D38E7"/>
    <w:rsid w:val="54511FB0"/>
    <w:rsid w:val="545F7864"/>
    <w:rsid w:val="54615959"/>
    <w:rsid w:val="5465239E"/>
    <w:rsid w:val="5479364D"/>
    <w:rsid w:val="5492579E"/>
    <w:rsid w:val="54994D7E"/>
    <w:rsid w:val="54A40DF4"/>
    <w:rsid w:val="54A97900"/>
    <w:rsid w:val="54C34400"/>
    <w:rsid w:val="54E063A7"/>
    <w:rsid w:val="54E2191F"/>
    <w:rsid w:val="54EB025D"/>
    <w:rsid w:val="54F615EB"/>
    <w:rsid w:val="54F6408A"/>
    <w:rsid w:val="55047F55"/>
    <w:rsid w:val="551663CF"/>
    <w:rsid w:val="552A3C7B"/>
    <w:rsid w:val="55343453"/>
    <w:rsid w:val="5540344C"/>
    <w:rsid w:val="55484D62"/>
    <w:rsid w:val="554F0A7E"/>
    <w:rsid w:val="5568170A"/>
    <w:rsid w:val="55BB6EA9"/>
    <w:rsid w:val="55BD4A9D"/>
    <w:rsid w:val="55C37241"/>
    <w:rsid w:val="55FC1F19"/>
    <w:rsid w:val="56027E57"/>
    <w:rsid w:val="5624780D"/>
    <w:rsid w:val="562870BB"/>
    <w:rsid w:val="563301F4"/>
    <w:rsid w:val="56364EE9"/>
    <w:rsid w:val="56385DD9"/>
    <w:rsid w:val="56551B80"/>
    <w:rsid w:val="566B44F9"/>
    <w:rsid w:val="567025FB"/>
    <w:rsid w:val="567358A7"/>
    <w:rsid w:val="56AE232B"/>
    <w:rsid w:val="56B01E64"/>
    <w:rsid w:val="56B45ACA"/>
    <w:rsid w:val="56CF74E0"/>
    <w:rsid w:val="56D07C8F"/>
    <w:rsid w:val="5718081D"/>
    <w:rsid w:val="572A18E4"/>
    <w:rsid w:val="57312F4E"/>
    <w:rsid w:val="5747168F"/>
    <w:rsid w:val="57480A25"/>
    <w:rsid w:val="575256B8"/>
    <w:rsid w:val="577B776F"/>
    <w:rsid w:val="57810815"/>
    <w:rsid w:val="57974C8E"/>
    <w:rsid w:val="57C90071"/>
    <w:rsid w:val="57D049C7"/>
    <w:rsid w:val="57E43F24"/>
    <w:rsid w:val="57EE731A"/>
    <w:rsid w:val="57F5304C"/>
    <w:rsid w:val="57FC3417"/>
    <w:rsid w:val="57FC4C3C"/>
    <w:rsid w:val="57FD29CD"/>
    <w:rsid w:val="580A6128"/>
    <w:rsid w:val="58116096"/>
    <w:rsid w:val="581B0515"/>
    <w:rsid w:val="582200A1"/>
    <w:rsid w:val="5825158A"/>
    <w:rsid w:val="582B6C87"/>
    <w:rsid w:val="5839785F"/>
    <w:rsid w:val="58435895"/>
    <w:rsid w:val="584668CB"/>
    <w:rsid w:val="584B37BC"/>
    <w:rsid w:val="58524857"/>
    <w:rsid w:val="585831C7"/>
    <w:rsid w:val="586D09FC"/>
    <w:rsid w:val="5874238B"/>
    <w:rsid w:val="587E3824"/>
    <w:rsid w:val="587E49E8"/>
    <w:rsid w:val="58865B11"/>
    <w:rsid w:val="58977827"/>
    <w:rsid w:val="58A74858"/>
    <w:rsid w:val="58A771BB"/>
    <w:rsid w:val="58B8045E"/>
    <w:rsid w:val="58F976B4"/>
    <w:rsid w:val="591D07C7"/>
    <w:rsid w:val="592C51A1"/>
    <w:rsid w:val="592E6699"/>
    <w:rsid w:val="59300BDD"/>
    <w:rsid w:val="59476197"/>
    <w:rsid w:val="5967369D"/>
    <w:rsid w:val="596856D6"/>
    <w:rsid w:val="59776FA6"/>
    <w:rsid w:val="59802061"/>
    <w:rsid w:val="59A65848"/>
    <w:rsid w:val="59AB55A2"/>
    <w:rsid w:val="59BB6FA1"/>
    <w:rsid w:val="59C43C4B"/>
    <w:rsid w:val="59C654F0"/>
    <w:rsid w:val="59CF2E66"/>
    <w:rsid w:val="59F100E8"/>
    <w:rsid w:val="5A001DF9"/>
    <w:rsid w:val="5A03746C"/>
    <w:rsid w:val="5A0A0901"/>
    <w:rsid w:val="5A1D1360"/>
    <w:rsid w:val="5A46744B"/>
    <w:rsid w:val="5A493B16"/>
    <w:rsid w:val="5A61476A"/>
    <w:rsid w:val="5A636DB8"/>
    <w:rsid w:val="5A71729B"/>
    <w:rsid w:val="5A800C96"/>
    <w:rsid w:val="5A8028EF"/>
    <w:rsid w:val="5A997E3F"/>
    <w:rsid w:val="5AA06BF0"/>
    <w:rsid w:val="5AA665A3"/>
    <w:rsid w:val="5AB3375A"/>
    <w:rsid w:val="5ACD5782"/>
    <w:rsid w:val="5AD86454"/>
    <w:rsid w:val="5AED7BD2"/>
    <w:rsid w:val="5B030F07"/>
    <w:rsid w:val="5B19709C"/>
    <w:rsid w:val="5B1C586B"/>
    <w:rsid w:val="5B1F1848"/>
    <w:rsid w:val="5B1F3329"/>
    <w:rsid w:val="5B2117B8"/>
    <w:rsid w:val="5B294CD0"/>
    <w:rsid w:val="5B38776C"/>
    <w:rsid w:val="5B5156CB"/>
    <w:rsid w:val="5B6339F0"/>
    <w:rsid w:val="5B705474"/>
    <w:rsid w:val="5B7B1D70"/>
    <w:rsid w:val="5B7B2525"/>
    <w:rsid w:val="5B8433B9"/>
    <w:rsid w:val="5B993C33"/>
    <w:rsid w:val="5BB4249E"/>
    <w:rsid w:val="5BB566E7"/>
    <w:rsid w:val="5BC84739"/>
    <w:rsid w:val="5BCF367F"/>
    <w:rsid w:val="5BF136F2"/>
    <w:rsid w:val="5BF3556E"/>
    <w:rsid w:val="5BF96526"/>
    <w:rsid w:val="5C034CBC"/>
    <w:rsid w:val="5C1562DB"/>
    <w:rsid w:val="5C2C3535"/>
    <w:rsid w:val="5C40116A"/>
    <w:rsid w:val="5C43234E"/>
    <w:rsid w:val="5C475235"/>
    <w:rsid w:val="5C4F16CF"/>
    <w:rsid w:val="5C8E7193"/>
    <w:rsid w:val="5CB3602E"/>
    <w:rsid w:val="5CD61E78"/>
    <w:rsid w:val="5CD76066"/>
    <w:rsid w:val="5CE8493E"/>
    <w:rsid w:val="5CF127F5"/>
    <w:rsid w:val="5D017965"/>
    <w:rsid w:val="5D0775B5"/>
    <w:rsid w:val="5D097B87"/>
    <w:rsid w:val="5D183546"/>
    <w:rsid w:val="5D3A7C31"/>
    <w:rsid w:val="5D493C50"/>
    <w:rsid w:val="5D4A3F65"/>
    <w:rsid w:val="5D543DAC"/>
    <w:rsid w:val="5D581FC2"/>
    <w:rsid w:val="5D5B13AF"/>
    <w:rsid w:val="5D691DFA"/>
    <w:rsid w:val="5D934A74"/>
    <w:rsid w:val="5DA17744"/>
    <w:rsid w:val="5DB22A0D"/>
    <w:rsid w:val="5DC31E71"/>
    <w:rsid w:val="5DCA41FA"/>
    <w:rsid w:val="5DCE2C07"/>
    <w:rsid w:val="5DCE4B1F"/>
    <w:rsid w:val="5DEA2D43"/>
    <w:rsid w:val="5DF0026D"/>
    <w:rsid w:val="5DFD3DCF"/>
    <w:rsid w:val="5E051E1D"/>
    <w:rsid w:val="5E0B6B50"/>
    <w:rsid w:val="5E250537"/>
    <w:rsid w:val="5E286EB6"/>
    <w:rsid w:val="5E564DD3"/>
    <w:rsid w:val="5E631395"/>
    <w:rsid w:val="5E7B7D86"/>
    <w:rsid w:val="5E897A50"/>
    <w:rsid w:val="5EA147F4"/>
    <w:rsid w:val="5EA6139D"/>
    <w:rsid w:val="5EAA6116"/>
    <w:rsid w:val="5EAB0165"/>
    <w:rsid w:val="5EBB7512"/>
    <w:rsid w:val="5ED0654F"/>
    <w:rsid w:val="5EEB6B06"/>
    <w:rsid w:val="5EEE762C"/>
    <w:rsid w:val="5EFD1B54"/>
    <w:rsid w:val="5EFE7AF2"/>
    <w:rsid w:val="5F051E56"/>
    <w:rsid w:val="5F080C95"/>
    <w:rsid w:val="5F1D57F3"/>
    <w:rsid w:val="5F1F73BD"/>
    <w:rsid w:val="5F25140D"/>
    <w:rsid w:val="5F2C3E9E"/>
    <w:rsid w:val="5F324192"/>
    <w:rsid w:val="5F46116F"/>
    <w:rsid w:val="5F472A10"/>
    <w:rsid w:val="5F4C26E1"/>
    <w:rsid w:val="5F61126F"/>
    <w:rsid w:val="5F6B5569"/>
    <w:rsid w:val="5F6E0BA3"/>
    <w:rsid w:val="5F7C32D2"/>
    <w:rsid w:val="5F8012DC"/>
    <w:rsid w:val="5F98571B"/>
    <w:rsid w:val="5FAC44A6"/>
    <w:rsid w:val="5FB41ADD"/>
    <w:rsid w:val="5FB763CD"/>
    <w:rsid w:val="5FC4330E"/>
    <w:rsid w:val="5FCE1573"/>
    <w:rsid w:val="5FE32FF6"/>
    <w:rsid w:val="5FEB218D"/>
    <w:rsid w:val="5FED619B"/>
    <w:rsid w:val="5FF65A8B"/>
    <w:rsid w:val="60035BB2"/>
    <w:rsid w:val="60071B3D"/>
    <w:rsid w:val="60072646"/>
    <w:rsid w:val="600A399D"/>
    <w:rsid w:val="600E57E2"/>
    <w:rsid w:val="600F1B0B"/>
    <w:rsid w:val="6018017A"/>
    <w:rsid w:val="601C2396"/>
    <w:rsid w:val="60200102"/>
    <w:rsid w:val="6020044A"/>
    <w:rsid w:val="6033501E"/>
    <w:rsid w:val="60341BCB"/>
    <w:rsid w:val="603F3F25"/>
    <w:rsid w:val="603F6C8A"/>
    <w:rsid w:val="60521C69"/>
    <w:rsid w:val="605251DD"/>
    <w:rsid w:val="60594164"/>
    <w:rsid w:val="606374A0"/>
    <w:rsid w:val="606500EA"/>
    <w:rsid w:val="606561ED"/>
    <w:rsid w:val="606A0B84"/>
    <w:rsid w:val="60732281"/>
    <w:rsid w:val="607E1499"/>
    <w:rsid w:val="607E76AD"/>
    <w:rsid w:val="608E540D"/>
    <w:rsid w:val="60954803"/>
    <w:rsid w:val="60A952CA"/>
    <w:rsid w:val="60AC3A66"/>
    <w:rsid w:val="60B83DFA"/>
    <w:rsid w:val="60B84FB3"/>
    <w:rsid w:val="60C519D6"/>
    <w:rsid w:val="60C66A55"/>
    <w:rsid w:val="60CE461E"/>
    <w:rsid w:val="60E90BCF"/>
    <w:rsid w:val="60ED31B3"/>
    <w:rsid w:val="60F07527"/>
    <w:rsid w:val="611838AE"/>
    <w:rsid w:val="611E79B1"/>
    <w:rsid w:val="611F4374"/>
    <w:rsid w:val="61327A23"/>
    <w:rsid w:val="61416510"/>
    <w:rsid w:val="61433CEE"/>
    <w:rsid w:val="614B38A4"/>
    <w:rsid w:val="61506BD3"/>
    <w:rsid w:val="61507E28"/>
    <w:rsid w:val="6160743B"/>
    <w:rsid w:val="61661F34"/>
    <w:rsid w:val="61675A89"/>
    <w:rsid w:val="61930D12"/>
    <w:rsid w:val="619828DF"/>
    <w:rsid w:val="619A5998"/>
    <w:rsid w:val="61A85F64"/>
    <w:rsid w:val="61C03014"/>
    <w:rsid w:val="61CC2628"/>
    <w:rsid w:val="61D820F0"/>
    <w:rsid w:val="61E42BD4"/>
    <w:rsid w:val="61FC694D"/>
    <w:rsid w:val="61FE00B1"/>
    <w:rsid w:val="621A6007"/>
    <w:rsid w:val="623B484C"/>
    <w:rsid w:val="6246578E"/>
    <w:rsid w:val="62553F36"/>
    <w:rsid w:val="625A2CF0"/>
    <w:rsid w:val="62606BD5"/>
    <w:rsid w:val="6263230B"/>
    <w:rsid w:val="627653C0"/>
    <w:rsid w:val="62813E1A"/>
    <w:rsid w:val="62823655"/>
    <w:rsid w:val="62A20BB6"/>
    <w:rsid w:val="62DE2BED"/>
    <w:rsid w:val="62EB4627"/>
    <w:rsid w:val="62F93B11"/>
    <w:rsid w:val="630772DC"/>
    <w:rsid w:val="630F6DC1"/>
    <w:rsid w:val="631431A8"/>
    <w:rsid w:val="631D386B"/>
    <w:rsid w:val="632048BD"/>
    <w:rsid w:val="6340703E"/>
    <w:rsid w:val="635F53E5"/>
    <w:rsid w:val="63626C83"/>
    <w:rsid w:val="637730FB"/>
    <w:rsid w:val="63773E3A"/>
    <w:rsid w:val="637F38AA"/>
    <w:rsid w:val="638646DB"/>
    <w:rsid w:val="638B3CAD"/>
    <w:rsid w:val="6396061F"/>
    <w:rsid w:val="63B2233C"/>
    <w:rsid w:val="63BA0F26"/>
    <w:rsid w:val="63BF127F"/>
    <w:rsid w:val="63C637BA"/>
    <w:rsid w:val="63E308FB"/>
    <w:rsid w:val="63ED47CD"/>
    <w:rsid w:val="63ED7150"/>
    <w:rsid w:val="63F83FD1"/>
    <w:rsid w:val="641937E6"/>
    <w:rsid w:val="64661598"/>
    <w:rsid w:val="646C7F2E"/>
    <w:rsid w:val="646D7FCF"/>
    <w:rsid w:val="64732480"/>
    <w:rsid w:val="647749B0"/>
    <w:rsid w:val="647A4AC8"/>
    <w:rsid w:val="649F5B46"/>
    <w:rsid w:val="64AD3B3D"/>
    <w:rsid w:val="64C35FAC"/>
    <w:rsid w:val="64CC3A7D"/>
    <w:rsid w:val="64CD3A1F"/>
    <w:rsid w:val="64D105E5"/>
    <w:rsid w:val="64E90524"/>
    <w:rsid w:val="64E97686"/>
    <w:rsid w:val="64FF7BF7"/>
    <w:rsid w:val="651609C4"/>
    <w:rsid w:val="651807C3"/>
    <w:rsid w:val="651A418A"/>
    <w:rsid w:val="653D5F4B"/>
    <w:rsid w:val="654B3A86"/>
    <w:rsid w:val="6553506E"/>
    <w:rsid w:val="656B498A"/>
    <w:rsid w:val="656D69A6"/>
    <w:rsid w:val="656E5DB3"/>
    <w:rsid w:val="6570249E"/>
    <w:rsid w:val="657B4BAA"/>
    <w:rsid w:val="65822390"/>
    <w:rsid w:val="65866C06"/>
    <w:rsid w:val="65877C94"/>
    <w:rsid w:val="65887CD3"/>
    <w:rsid w:val="658F3F84"/>
    <w:rsid w:val="6598545F"/>
    <w:rsid w:val="65B274FF"/>
    <w:rsid w:val="65BD2318"/>
    <w:rsid w:val="65E6594A"/>
    <w:rsid w:val="65EB27C9"/>
    <w:rsid w:val="65F225BF"/>
    <w:rsid w:val="65FD165F"/>
    <w:rsid w:val="66074A19"/>
    <w:rsid w:val="660D04CE"/>
    <w:rsid w:val="661F0714"/>
    <w:rsid w:val="66281F32"/>
    <w:rsid w:val="662D198C"/>
    <w:rsid w:val="662D2789"/>
    <w:rsid w:val="66353F1A"/>
    <w:rsid w:val="66453953"/>
    <w:rsid w:val="667A056A"/>
    <w:rsid w:val="66874A32"/>
    <w:rsid w:val="66903C8A"/>
    <w:rsid w:val="66AF21BF"/>
    <w:rsid w:val="66B14C9A"/>
    <w:rsid w:val="66D834B8"/>
    <w:rsid w:val="66E741D0"/>
    <w:rsid w:val="66EA154C"/>
    <w:rsid w:val="66F35689"/>
    <w:rsid w:val="66F7304E"/>
    <w:rsid w:val="66FF1601"/>
    <w:rsid w:val="67194A44"/>
    <w:rsid w:val="67206F9F"/>
    <w:rsid w:val="673858DF"/>
    <w:rsid w:val="67505D65"/>
    <w:rsid w:val="67580AB6"/>
    <w:rsid w:val="675D5BC3"/>
    <w:rsid w:val="6761382C"/>
    <w:rsid w:val="6767106D"/>
    <w:rsid w:val="676E225C"/>
    <w:rsid w:val="6779459B"/>
    <w:rsid w:val="678155C1"/>
    <w:rsid w:val="67857EB1"/>
    <w:rsid w:val="67A00E75"/>
    <w:rsid w:val="67D069D3"/>
    <w:rsid w:val="67D3731F"/>
    <w:rsid w:val="67E32ABB"/>
    <w:rsid w:val="68021D2D"/>
    <w:rsid w:val="681614DC"/>
    <w:rsid w:val="68224644"/>
    <w:rsid w:val="6830241D"/>
    <w:rsid w:val="683B5C3C"/>
    <w:rsid w:val="68586F65"/>
    <w:rsid w:val="685C55D0"/>
    <w:rsid w:val="686F211B"/>
    <w:rsid w:val="68796836"/>
    <w:rsid w:val="688817E9"/>
    <w:rsid w:val="68B3790B"/>
    <w:rsid w:val="68FC1D4E"/>
    <w:rsid w:val="690C06FA"/>
    <w:rsid w:val="690F51B7"/>
    <w:rsid w:val="692446F8"/>
    <w:rsid w:val="693C7312"/>
    <w:rsid w:val="693E0502"/>
    <w:rsid w:val="694645A7"/>
    <w:rsid w:val="694F6503"/>
    <w:rsid w:val="69562DE6"/>
    <w:rsid w:val="695A4450"/>
    <w:rsid w:val="699929B7"/>
    <w:rsid w:val="69CE3993"/>
    <w:rsid w:val="69DA3A17"/>
    <w:rsid w:val="69E816FB"/>
    <w:rsid w:val="69EA5697"/>
    <w:rsid w:val="69EF6CF4"/>
    <w:rsid w:val="69F277A8"/>
    <w:rsid w:val="69FC5A51"/>
    <w:rsid w:val="6A232A4C"/>
    <w:rsid w:val="6A2666F5"/>
    <w:rsid w:val="6A4748EB"/>
    <w:rsid w:val="6A4B67BD"/>
    <w:rsid w:val="6A4D43AE"/>
    <w:rsid w:val="6A543FC3"/>
    <w:rsid w:val="6A5E18CD"/>
    <w:rsid w:val="6A6E10AB"/>
    <w:rsid w:val="6A942820"/>
    <w:rsid w:val="6A973710"/>
    <w:rsid w:val="6A9C53F8"/>
    <w:rsid w:val="6AD035B1"/>
    <w:rsid w:val="6AE51B73"/>
    <w:rsid w:val="6AFB3C45"/>
    <w:rsid w:val="6B02247A"/>
    <w:rsid w:val="6B170353"/>
    <w:rsid w:val="6B202B98"/>
    <w:rsid w:val="6B301415"/>
    <w:rsid w:val="6B361CFC"/>
    <w:rsid w:val="6B3C2999"/>
    <w:rsid w:val="6B4339FD"/>
    <w:rsid w:val="6B571E05"/>
    <w:rsid w:val="6B6F02FB"/>
    <w:rsid w:val="6B756454"/>
    <w:rsid w:val="6B9C3020"/>
    <w:rsid w:val="6B9D14F7"/>
    <w:rsid w:val="6BB56B5C"/>
    <w:rsid w:val="6BBE1202"/>
    <w:rsid w:val="6BC71DA5"/>
    <w:rsid w:val="6BDA0D35"/>
    <w:rsid w:val="6BE41C23"/>
    <w:rsid w:val="6C0046CE"/>
    <w:rsid w:val="6C1B682F"/>
    <w:rsid w:val="6C2B555E"/>
    <w:rsid w:val="6C3659BD"/>
    <w:rsid w:val="6C3706FE"/>
    <w:rsid w:val="6C3900E5"/>
    <w:rsid w:val="6C407E3B"/>
    <w:rsid w:val="6C5A33E3"/>
    <w:rsid w:val="6C661A2A"/>
    <w:rsid w:val="6C721F38"/>
    <w:rsid w:val="6C733727"/>
    <w:rsid w:val="6C76333E"/>
    <w:rsid w:val="6C831792"/>
    <w:rsid w:val="6C862E4F"/>
    <w:rsid w:val="6C8646B7"/>
    <w:rsid w:val="6C8902DC"/>
    <w:rsid w:val="6C8D404A"/>
    <w:rsid w:val="6C9472C6"/>
    <w:rsid w:val="6C9B4CCB"/>
    <w:rsid w:val="6CB609D6"/>
    <w:rsid w:val="6CBA459B"/>
    <w:rsid w:val="6CC47C02"/>
    <w:rsid w:val="6CD177AB"/>
    <w:rsid w:val="6CEC2466"/>
    <w:rsid w:val="6CEF3424"/>
    <w:rsid w:val="6CF67BB3"/>
    <w:rsid w:val="6D07446C"/>
    <w:rsid w:val="6D0F1C2A"/>
    <w:rsid w:val="6D17288C"/>
    <w:rsid w:val="6D412EA9"/>
    <w:rsid w:val="6D4D4500"/>
    <w:rsid w:val="6D4F31A6"/>
    <w:rsid w:val="6D51777A"/>
    <w:rsid w:val="6D6D1F66"/>
    <w:rsid w:val="6D895141"/>
    <w:rsid w:val="6D90466B"/>
    <w:rsid w:val="6D9E4E7E"/>
    <w:rsid w:val="6DAC1227"/>
    <w:rsid w:val="6DBF49EF"/>
    <w:rsid w:val="6DC36570"/>
    <w:rsid w:val="6DDB36C9"/>
    <w:rsid w:val="6DDB5FB0"/>
    <w:rsid w:val="6DEA61F3"/>
    <w:rsid w:val="6E0011F0"/>
    <w:rsid w:val="6E2E50D0"/>
    <w:rsid w:val="6E3765EA"/>
    <w:rsid w:val="6E48127D"/>
    <w:rsid w:val="6E503CD7"/>
    <w:rsid w:val="6E5458D5"/>
    <w:rsid w:val="6E5478B3"/>
    <w:rsid w:val="6E782248"/>
    <w:rsid w:val="6E8B7B08"/>
    <w:rsid w:val="6E9643A2"/>
    <w:rsid w:val="6EA9212A"/>
    <w:rsid w:val="6EB442B4"/>
    <w:rsid w:val="6EBE22F9"/>
    <w:rsid w:val="6ECD58F9"/>
    <w:rsid w:val="6ECE341F"/>
    <w:rsid w:val="6ED01A4F"/>
    <w:rsid w:val="6EE82308"/>
    <w:rsid w:val="6EE91F79"/>
    <w:rsid w:val="6EEE0F4C"/>
    <w:rsid w:val="6EFD6BE1"/>
    <w:rsid w:val="6F1568E0"/>
    <w:rsid w:val="6F1A4920"/>
    <w:rsid w:val="6F2A569E"/>
    <w:rsid w:val="6F374DAC"/>
    <w:rsid w:val="6F385EA2"/>
    <w:rsid w:val="6F3B5F8E"/>
    <w:rsid w:val="6F4B0D0E"/>
    <w:rsid w:val="6F526240"/>
    <w:rsid w:val="6F5E0CED"/>
    <w:rsid w:val="6F64171F"/>
    <w:rsid w:val="6F880803"/>
    <w:rsid w:val="6F9D3507"/>
    <w:rsid w:val="6FA0258C"/>
    <w:rsid w:val="6FA83A91"/>
    <w:rsid w:val="6FC21E9F"/>
    <w:rsid w:val="6FC91069"/>
    <w:rsid w:val="6FD60FB4"/>
    <w:rsid w:val="6FDB2064"/>
    <w:rsid w:val="6FE77F5A"/>
    <w:rsid w:val="6FEB2AFA"/>
    <w:rsid w:val="6FF572B7"/>
    <w:rsid w:val="6FFE7D34"/>
    <w:rsid w:val="70001776"/>
    <w:rsid w:val="70135A39"/>
    <w:rsid w:val="70156774"/>
    <w:rsid w:val="70186A4D"/>
    <w:rsid w:val="702140D0"/>
    <w:rsid w:val="703F58AB"/>
    <w:rsid w:val="7040034C"/>
    <w:rsid w:val="704047A9"/>
    <w:rsid w:val="704B11CB"/>
    <w:rsid w:val="7056628D"/>
    <w:rsid w:val="705E5A5A"/>
    <w:rsid w:val="70601E0E"/>
    <w:rsid w:val="706C3586"/>
    <w:rsid w:val="70716F8B"/>
    <w:rsid w:val="707C15CD"/>
    <w:rsid w:val="708202AF"/>
    <w:rsid w:val="709B062D"/>
    <w:rsid w:val="70A62F03"/>
    <w:rsid w:val="70C525FF"/>
    <w:rsid w:val="70D912A7"/>
    <w:rsid w:val="70DD7239"/>
    <w:rsid w:val="70E821D3"/>
    <w:rsid w:val="70F16387"/>
    <w:rsid w:val="70F70DF7"/>
    <w:rsid w:val="70FB77C5"/>
    <w:rsid w:val="71031B0A"/>
    <w:rsid w:val="711A548D"/>
    <w:rsid w:val="711F0705"/>
    <w:rsid w:val="71201347"/>
    <w:rsid w:val="71213CDA"/>
    <w:rsid w:val="7135615B"/>
    <w:rsid w:val="713744EC"/>
    <w:rsid w:val="714F6F0C"/>
    <w:rsid w:val="715B63FB"/>
    <w:rsid w:val="71866233"/>
    <w:rsid w:val="71BC5EE2"/>
    <w:rsid w:val="71C10F2E"/>
    <w:rsid w:val="71C9432F"/>
    <w:rsid w:val="71CF4A1F"/>
    <w:rsid w:val="71EE1FF8"/>
    <w:rsid w:val="720B0B04"/>
    <w:rsid w:val="72126692"/>
    <w:rsid w:val="723737D9"/>
    <w:rsid w:val="723B5FC2"/>
    <w:rsid w:val="72457228"/>
    <w:rsid w:val="724C7C71"/>
    <w:rsid w:val="72514A93"/>
    <w:rsid w:val="726671E3"/>
    <w:rsid w:val="726765CA"/>
    <w:rsid w:val="727874BA"/>
    <w:rsid w:val="727C28A7"/>
    <w:rsid w:val="728C3E9F"/>
    <w:rsid w:val="728D0FB8"/>
    <w:rsid w:val="729004EC"/>
    <w:rsid w:val="72B17C1C"/>
    <w:rsid w:val="72D12FE6"/>
    <w:rsid w:val="72F247EE"/>
    <w:rsid w:val="72F35B4A"/>
    <w:rsid w:val="72F60269"/>
    <w:rsid w:val="7312416D"/>
    <w:rsid w:val="731A02D9"/>
    <w:rsid w:val="731D5913"/>
    <w:rsid w:val="73296FA6"/>
    <w:rsid w:val="733A3CA3"/>
    <w:rsid w:val="7347545E"/>
    <w:rsid w:val="734F5064"/>
    <w:rsid w:val="736C5C1E"/>
    <w:rsid w:val="736F2A65"/>
    <w:rsid w:val="73777A1C"/>
    <w:rsid w:val="738651A7"/>
    <w:rsid w:val="73886535"/>
    <w:rsid w:val="738E299B"/>
    <w:rsid w:val="73A479E4"/>
    <w:rsid w:val="73AB6D9C"/>
    <w:rsid w:val="73CC1D0B"/>
    <w:rsid w:val="73D441C0"/>
    <w:rsid w:val="73F40E04"/>
    <w:rsid w:val="73F62067"/>
    <w:rsid w:val="740C0240"/>
    <w:rsid w:val="741444F2"/>
    <w:rsid w:val="74184D83"/>
    <w:rsid w:val="742072FA"/>
    <w:rsid w:val="74296F20"/>
    <w:rsid w:val="743D2C52"/>
    <w:rsid w:val="744132C3"/>
    <w:rsid w:val="74555F00"/>
    <w:rsid w:val="745B0D28"/>
    <w:rsid w:val="746F1622"/>
    <w:rsid w:val="74772C06"/>
    <w:rsid w:val="748C074D"/>
    <w:rsid w:val="748D0DAA"/>
    <w:rsid w:val="749839A8"/>
    <w:rsid w:val="74B03CF2"/>
    <w:rsid w:val="74B665AB"/>
    <w:rsid w:val="74E73316"/>
    <w:rsid w:val="74FA70DB"/>
    <w:rsid w:val="750A2B1D"/>
    <w:rsid w:val="751877CA"/>
    <w:rsid w:val="753C5104"/>
    <w:rsid w:val="753D24CE"/>
    <w:rsid w:val="7576595C"/>
    <w:rsid w:val="75833328"/>
    <w:rsid w:val="759648E4"/>
    <w:rsid w:val="75BB2849"/>
    <w:rsid w:val="75C77AFB"/>
    <w:rsid w:val="75E33BF7"/>
    <w:rsid w:val="75F2306B"/>
    <w:rsid w:val="7617080B"/>
    <w:rsid w:val="763E585F"/>
    <w:rsid w:val="767174B1"/>
    <w:rsid w:val="767303B2"/>
    <w:rsid w:val="768D050C"/>
    <w:rsid w:val="76902E4D"/>
    <w:rsid w:val="76B022DA"/>
    <w:rsid w:val="76B35572"/>
    <w:rsid w:val="76C516EA"/>
    <w:rsid w:val="76CC687B"/>
    <w:rsid w:val="76CD12CA"/>
    <w:rsid w:val="76E95197"/>
    <w:rsid w:val="770E4D00"/>
    <w:rsid w:val="77134B04"/>
    <w:rsid w:val="771C555A"/>
    <w:rsid w:val="771F16B2"/>
    <w:rsid w:val="773F37BD"/>
    <w:rsid w:val="77447062"/>
    <w:rsid w:val="77577CA3"/>
    <w:rsid w:val="77580CE0"/>
    <w:rsid w:val="7767281C"/>
    <w:rsid w:val="776F44BD"/>
    <w:rsid w:val="778D12D6"/>
    <w:rsid w:val="77967390"/>
    <w:rsid w:val="77A14B83"/>
    <w:rsid w:val="77A37FF1"/>
    <w:rsid w:val="77AC2960"/>
    <w:rsid w:val="77B63A6B"/>
    <w:rsid w:val="77B73F62"/>
    <w:rsid w:val="77BE09E2"/>
    <w:rsid w:val="77C4447E"/>
    <w:rsid w:val="77EF5902"/>
    <w:rsid w:val="77F85375"/>
    <w:rsid w:val="77FB40C4"/>
    <w:rsid w:val="78142F6C"/>
    <w:rsid w:val="781E0754"/>
    <w:rsid w:val="782961FA"/>
    <w:rsid w:val="78324B90"/>
    <w:rsid w:val="783959E5"/>
    <w:rsid w:val="785932F8"/>
    <w:rsid w:val="7860043F"/>
    <w:rsid w:val="7871010E"/>
    <w:rsid w:val="787943FB"/>
    <w:rsid w:val="78800BFF"/>
    <w:rsid w:val="788237F0"/>
    <w:rsid w:val="78901AB7"/>
    <w:rsid w:val="78936B4F"/>
    <w:rsid w:val="78A11715"/>
    <w:rsid w:val="78A54FFE"/>
    <w:rsid w:val="78AD0D21"/>
    <w:rsid w:val="78B51BEA"/>
    <w:rsid w:val="78B7783F"/>
    <w:rsid w:val="78BC5EA5"/>
    <w:rsid w:val="78E747E6"/>
    <w:rsid w:val="78E80BE6"/>
    <w:rsid w:val="78FD45F5"/>
    <w:rsid w:val="79036684"/>
    <w:rsid w:val="790A2485"/>
    <w:rsid w:val="790F1380"/>
    <w:rsid w:val="79374702"/>
    <w:rsid w:val="79416FDB"/>
    <w:rsid w:val="79636C0C"/>
    <w:rsid w:val="799A13CC"/>
    <w:rsid w:val="79AA482A"/>
    <w:rsid w:val="79C50E69"/>
    <w:rsid w:val="79D40341"/>
    <w:rsid w:val="79DB49B7"/>
    <w:rsid w:val="79E3395D"/>
    <w:rsid w:val="79EB30D7"/>
    <w:rsid w:val="79EE67AB"/>
    <w:rsid w:val="79F40B4A"/>
    <w:rsid w:val="79FA197E"/>
    <w:rsid w:val="79FA4F17"/>
    <w:rsid w:val="7A072D39"/>
    <w:rsid w:val="7A0A5DD8"/>
    <w:rsid w:val="7A140D7A"/>
    <w:rsid w:val="7A1632EE"/>
    <w:rsid w:val="7A212F9C"/>
    <w:rsid w:val="7A257D38"/>
    <w:rsid w:val="7A33398B"/>
    <w:rsid w:val="7A4F2E57"/>
    <w:rsid w:val="7A537CCC"/>
    <w:rsid w:val="7A632FFE"/>
    <w:rsid w:val="7A6E38A0"/>
    <w:rsid w:val="7A771C84"/>
    <w:rsid w:val="7A7B08FF"/>
    <w:rsid w:val="7A7D74AC"/>
    <w:rsid w:val="7A7E493F"/>
    <w:rsid w:val="7A854B36"/>
    <w:rsid w:val="7A91145A"/>
    <w:rsid w:val="7AB73149"/>
    <w:rsid w:val="7AC06862"/>
    <w:rsid w:val="7AC10BF9"/>
    <w:rsid w:val="7AC23C0D"/>
    <w:rsid w:val="7AC611A3"/>
    <w:rsid w:val="7ADB38A4"/>
    <w:rsid w:val="7AF1296F"/>
    <w:rsid w:val="7AF524F0"/>
    <w:rsid w:val="7B170CCB"/>
    <w:rsid w:val="7B202890"/>
    <w:rsid w:val="7B3A2B90"/>
    <w:rsid w:val="7B4E19A5"/>
    <w:rsid w:val="7B4E62D5"/>
    <w:rsid w:val="7B636133"/>
    <w:rsid w:val="7B7017DB"/>
    <w:rsid w:val="7B784722"/>
    <w:rsid w:val="7B7B4CB3"/>
    <w:rsid w:val="7B7B5180"/>
    <w:rsid w:val="7B841755"/>
    <w:rsid w:val="7BAD734D"/>
    <w:rsid w:val="7BB36928"/>
    <w:rsid w:val="7BB5299C"/>
    <w:rsid w:val="7BB84114"/>
    <w:rsid w:val="7BC07643"/>
    <w:rsid w:val="7BC724F5"/>
    <w:rsid w:val="7BD15218"/>
    <w:rsid w:val="7BF75541"/>
    <w:rsid w:val="7C0162F8"/>
    <w:rsid w:val="7C0D21E1"/>
    <w:rsid w:val="7C0D3E53"/>
    <w:rsid w:val="7C111201"/>
    <w:rsid w:val="7C1970B1"/>
    <w:rsid w:val="7C233997"/>
    <w:rsid w:val="7C280AFD"/>
    <w:rsid w:val="7C2D5C29"/>
    <w:rsid w:val="7C3E1186"/>
    <w:rsid w:val="7C465D5E"/>
    <w:rsid w:val="7C484810"/>
    <w:rsid w:val="7C4D0079"/>
    <w:rsid w:val="7C783998"/>
    <w:rsid w:val="7C85139C"/>
    <w:rsid w:val="7C9A07FE"/>
    <w:rsid w:val="7CB3102D"/>
    <w:rsid w:val="7CF17782"/>
    <w:rsid w:val="7CFE1204"/>
    <w:rsid w:val="7D050869"/>
    <w:rsid w:val="7D172435"/>
    <w:rsid w:val="7D1D38DE"/>
    <w:rsid w:val="7D244986"/>
    <w:rsid w:val="7D2C27D1"/>
    <w:rsid w:val="7D553C43"/>
    <w:rsid w:val="7D5B4C56"/>
    <w:rsid w:val="7D61718B"/>
    <w:rsid w:val="7D62526A"/>
    <w:rsid w:val="7D667A0E"/>
    <w:rsid w:val="7D6C753B"/>
    <w:rsid w:val="7D6F7914"/>
    <w:rsid w:val="7D733282"/>
    <w:rsid w:val="7D745EFC"/>
    <w:rsid w:val="7D7E604C"/>
    <w:rsid w:val="7D844267"/>
    <w:rsid w:val="7DA5709E"/>
    <w:rsid w:val="7DB53692"/>
    <w:rsid w:val="7DB939AF"/>
    <w:rsid w:val="7DCB7BB4"/>
    <w:rsid w:val="7DEC19AC"/>
    <w:rsid w:val="7DEF0D6C"/>
    <w:rsid w:val="7DF26D3D"/>
    <w:rsid w:val="7DFA42F0"/>
    <w:rsid w:val="7E0744C9"/>
    <w:rsid w:val="7E126D19"/>
    <w:rsid w:val="7E18033B"/>
    <w:rsid w:val="7E292420"/>
    <w:rsid w:val="7E340B6C"/>
    <w:rsid w:val="7E3514EB"/>
    <w:rsid w:val="7E3E30E9"/>
    <w:rsid w:val="7E5F12D9"/>
    <w:rsid w:val="7E724AE6"/>
    <w:rsid w:val="7E727AEF"/>
    <w:rsid w:val="7E761E98"/>
    <w:rsid w:val="7E784E58"/>
    <w:rsid w:val="7E834D04"/>
    <w:rsid w:val="7E9B156F"/>
    <w:rsid w:val="7EA86E68"/>
    <w:rsid w:val="7EAA070A"/>
    <w:rsid w:val="7EB43DE2"/>
    <w:rsid w:val="7EDE443F"/>
    <w:rsid w:val="7EE30350"/>
    <w:rsid w:val="7EF07976"/>
    <w:rsid w:val="7EFA3055"/>
    <w:rsid w:val="7F282A07"/>
    <w:rsid w:val="7F3A241E"/>
    <w:rsid w:val="7F411590"/>
    <w:rsid w:val="7F464AAF"/>
    <w:rsid w:val="7F6A2CF0"/>
    <w:rsid w:val="7F716D9D"/>
    <w:rsid w:val="7F7E1E57"/>
    <w:rsid w:val="7F7F12E0"/>
    <w:rsid w:val="7F816E08"/>
    <w:rsid w:val="7F8F1EB3"/>
    <w:rsid w:val="7F9C43B3"/>
    <w:rsid w:val="7F9D4CD6"/>
    <w:rsid w:val="7FA057D8"/>
    <w:rsid w:val="7FC601BB"/>
    <w:rsid w:val="7FD07659"/>
    <w:rsid w:val="7FD83478"/>
    <w:rsid w:val="7FDA78D8"/>
    <w:rsid w:val="7FE82AA8"/>
    <w:rsid w:val="7FEB1D3A"/>
    <w:rsid w:val="7FF72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numPr>
        <w:ilvl w:val="0"/>
        <w:numId w:val="1"/>
      </w:numPr>
      <w:tabs>
        <w:tab w:val="left" w:pos="420"/>
      </w:tabs>
      <w:spacing w:line="360" w:lineRule="auto"/>
      <w:jc w:val="center"/>
      <w:outlineLvl w:val="0"/>
    </w:pPr>
    <w:rPr>
      <w:rFonts w:ascii="Times New Roman" w:hAnsi="Times New Roman"/>
      <w:b/>
      <w:kern w:val="44"/>
      <w:sz w:val="36"/>
      <w:szCs w:val="36"/>
    </w:rPr>
  </w:style>
  <w:style w:type="paragraph" w:styleId="3">
    <w:name w:val="heading 2"/>
    <w:basedOn w:val="1"/>
    <w:next w:val="1"/>
    <w:autoRedefine/>
    <w:unhideWhenUsed/>
    <w:qFormat/>
    <w:uiPriority w:val="0"/>
    <w:pPr>
      <w:keepNext/>
      <w:keepLines/>
      <w:numPr>
        <w:ilvl w:val="1"/>
        <w:numId w:val="1"/>
      </w:numPr>
      <w:tabs>
        <w:tab w:val="left" w:pos="420"/>
      </w:tabs>
      <w:spacing w:line="360" w:lineRule="auto"/>
      <w:outlineLvl w:val="1"/>
    </w:pPr>
    <w:rPr>
      <w:rFonts w:ascii="Times New Roman" w:hAnsi="Times New Roman" w:eastAsia="宋体"/>
      <w:b/>
      <w:sz w:val="28"/>
      <w:szCs w:val="30"/>
    </w:rPr>
  </w:style>
  <w:style w:type="paragraph" w:styleId="4">
    <w:name w:val="heading 3"/>
    <w:basedOn w:val="1"/>
    <w:next w:val="1"/>
    <w:link w:val="94"/>
    <w:autoRedefine/>
    <w:unhideWhenUsed/>
    <w:qFormat/>
    <w:uiPriority w:val="0"/>
    <w:pPr>
      <w:keepNext/>
      <w:keepLines/>
      <w:numPr>
        <w:ilvl w:val="2"/>
        <w:numId w:val="1"/>
      </w:numPr>
      <w:tabs>
        <w:tab w:val="left" w:pos="420"/>
      </w:tabs>
      <w:spacing w:line="360" w:lineRule="auto"/>
      <w:outlineLvl w:val="2"/>
    </w:pPr>
    <w:rPr>
      <w:rFonts w:ascii="Times New Roman" w:hAnsi="Times New Roman"/>
      <w:b/>
      <w:sz w:val="24"/>
      <w:szCs w:val="28"/>
    </w:rPr>
  </w:style>
  <w:style w:type="paragraph" w:styleId="5">
    <w:name w:val="heading 4"/>
    <w:basedOn w:val="1"/>
    <w:next w:val="1"/>
    <w:autoRedefine/>
    <w:unhideWhenUsed/>
    <w:qFormat/>
    <w:uiPriority w:val="0"/>
    <w:pPr>
      <w:keepNext/>
      <w:keepLines/>
      <w:numPr>
        <w:ilvl w:val="3"/>
        <w:numId w:val="1"/>
      </w:numPr>
      <w:tabs>
        <w:tab w:val="left" w:pos="420"/>
      </w:tabs>
      <w:spacing w:line="360" w:lineRule="auto"/>
      <w:outlineLvl w:val="3"/>
    </w:pPr>
    <w:rPr>
      <w:rFonts w:ascii="Times New Roman" w:hAnsi="Times New Roman" w:eastAsia="宋体"/>
      <w:b/>
      <w:sz w:val="24"/>
    </w:rPr>
  </w:style>
  <w:style w:type="paragraph" w:styleId="6">
    <w:name w:val="heading 5"/>
    <w:basedOn w:val="1"/>
    <w:next w:val="1"/>
    <w:autoRedefine/>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autoRedefine/>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qFormat/>
    <w:uiPriority w:val="0"/>
    <w:pPr>
      <w:numPr>
        <w:ilvl w:val="0"/>
        <w:numId w:val="2"/>
      </w:numPr>
    </w:pPr>
  </w:style>
  <w:style w:type="paragraph" w:styleId="12">
    <w:name w:val="Normal Indent"/>
    <w:basedOn w:val="1"/>
    <w:next w:val="1"/>
    <w:autoRedefine/>
    <w:unhideWhenUsed/>
    <w:qFormat/>
    <w:uiPriority w:val="0"/>
    <w:pPr>
      <w:ind w:firstLine="420" w:firstLineChars="200"/>
    </w:pPr>
  </w:style>
  <w:style w:type="paragraph" w:styleId="13">
    <w:name w:val="caption"/>
    <w:basedOn w:val="1"/>
    <w:next w:val="1"/>
    <w:autoRedefine/>
    <w:qFormat/>
    <w:uiPriority w:val="0"/>
    <w:pPr>
      <w:snapToGrid w:val="0"/>
      <w:spacing w:line="360" w:lineRule="auto"/>
    </w:pPr>
    <w:rPr>
      <w:b/>
      <w:spacing w:val="5"/>
      <w:sz w:val="24"/>
    </w:rPr>
  </w:style>
  <w:style w:type="paragraph" w:styleId="14">
    <w:name w:val="annotation text"/>
    <w:basedOn w:val="1"/>
    <w:link w:val="97"/>
    <w:autoRedefine/>
    <w:qFormat/>
    <w:uiPriority w:val="0"/>
    <w:pPr>
      <w:jc w:val="left"/>
    </w:pPr>
  </w:style>
  <w:style w:type="paragraph" w:styleId="15">
    <w:name w:val="Body Text"/>
    <w:basedOn w:val="1"/>
    <w:next w:val="1"/>
    <w:autoRedefine/>
    <w:qFormat/>
    <w:uiPriority w:val="0"/>
    <w:pPr>
      <w:spacing w:after="120"/>
    </w:pPr>
  </w:style>
  <w:style w:type="paragraph" w:styleId="16">
    <w:name w:val="Body Text Indent"/>
    <w:basedOn w:val="1"/>
    <w:next w:val="17"/>
    <w:autoRedefine/>
    <w:qFormat/>
    <w:uiPriority w:val="0"/>
    <w:pPr>
      <w:ind w:firstLine="552" w:firstLineChars="200"/>
    </w:pPr>
    <w:rPr>
      <w:rFonts w:ascii="宋体" w:hAnsi="宋体"/>
      <w:sz w:val="28"/>
    </w:rPr>
  </w:style>
  <w:style w:type="paragraph" w:styleId="17">
    <w:name w:val="Body Text First Indent 2"/>
    <w:basedOn w:val="1"/>
    <w:next w:val="1"/>
    <w:autoRedefine/>
    <w:unhideWhenUsed/>
    <w:qFormat/>
    <w:uiPriority w:val="99"/>
    <w:pPr>
      <w:ind w:firstLine="420"/>
    </w:pPr>
    <w:rPr>
      <w:szCs w:val="20"/>
    </w:rPr>
  </w:style>
  <w:style w:type="paragraph" w:styleId="18">
    <w:name w:val="Block Text"/>
    <w:basedOn w:val="1"/>
    <w:next w:val="1"/>
    <w:autoRedefine/>
    <w:unhideWhenUsed/>
    <w:qFormat/>
    <w:uiPriority w:val="0"/>
    <w:pPr>
      <w:autoSpaceDE w:val="0"/>
      <w:autoSpaceDN w:val="0"/>
      <w:adjustRightInd w:val="0"/>
      <w:spacing w:before="1" w:line="537" w:lineRule="exact"/>
      <w:ind w:left="88" w:right="6"/>
    </w:pPr>
    <w:rPr>
      <w:kern w:val="0"/>
      <w:sz w:val="28"/>
      <w:szCs w:val="20"/>
    </w:rPr>
  </w:style>
  <w:style w:type="paragraph" w:styleId="19">
    <w:name w:val="Plain Text"/>
    <w:basedOn w:val="1"/>
    <w:autoRedefine/>
    <w:qFormat/>
    <w:uiPriority w:val="0"/>
    <w:pPr>
      <w:adjustRightInd w:val="0"/>
      <w:snapToGrid w:val="0"/>
      <w:spacing w:line="360" w:lineRule="auto"/>
      <w:ind w:firstLine="200" w:firstLineChars="200"/>
    </w:pPr>
    <w:rPr>
      <w:rFonts w:ascii="宋体" w:hAnsi="Courier New" w:eastAsia="宋体" w:cs="Courier New"/>
      <w:sz w:val="24"/>
      <w:szCs w:val="21"/>
    </w:rPr>
  </w:style>
  <w:style w:type="paragraph" w:styleId="20">
    <w:name w:val="Body Text Indent 2"/>
    <w:basedOn w:val="1"/>
    <w:autoRedefine/>
    <w:qFormat/>
    <w:uiPriority w:val="0"/>
    <w:pPr>
      <w:spacing w:after="120" w:line="480" w:lineRule="auto"/>
      <w:ind w:left="420" w:leftChars="200"/>
    </w:pPr>
  </w:style>
  <w:style w:type="paragraph" w:styleId="21">
    <w:name w:val="footer"/>
    <w:basedOn w:val="1"/>
    <w:next w:val="1"/>
    <w:autoRedefine/>
    <w:qFormat/>
    <w:uiPriority w:val="99"/>
    <w:pPr>
      <w:tabs>
        <w:tab w:val="center" w:pos="4153"/>
        <w:tab w:val="right" w:pos="8306"/>
      </w:tabs>
      <w:snapToGrid w:val="0"/>
      <w:jc w:val="left"/>
    </w:pPr>
    <w:rPr>
      <w:sz w:val="18"/>
      <w:szCs w:val="18"/>
    </w:rPr>
  </w:style>
  <w:style w:type="paragraph" w:styleId="22">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before="120" w:after="120"/>
      <w:jc w:val="left"/>
    </w:pPr>
    <w:rPr>
      <w:rFonts w:ascii="Calibri" w:hAnsi="Calibri" w:cs="Calibri"/>
      <w:b/>
      <w:bCs/>
      <w:caps/>
      <w:sz w:val="20"/>
      <w:szCs w:val="20"/>
    </w:rPr>
  </w:style>
  <w:style w:type="paragraph" w:styleId="24">
    <w:name w:val="List Number 5"/>
    <w:basedOn w:val="1"/>
    <w:autoRedefine/>
    <w:qFormat/>
    <w:uiPriority w:val="0"/>
    <w:pPr>
      <w:numPr>
        <w:ilvl w:val="0"/>
        <w:numId w:val="3"/>
      </w:numPr>
    </w:pPr>
  </w:style>
  <w:style w:type="paragraph" w:styleId="25">
    <w:name w:val="toc 2"/>
    <w:basedOn w:val="1"/>
    <w:next w:val="1"/>
    <w:autoRedefine/>
    <w:qFormat/>
    <w:uiPriority w:val="0"/>
    <w:pPr>
      <w:ind w:left="420" w:leftChars="200"/>
    </w:pPr>
  </w:style>
  <w:style w:type="paragraph" w:styleId="26">
    <w:name w:val="Body Text 2"/>
    <w:basedOn w:val="1"/>
    <w:next w:val="1"/>
    <w:autoRedefine/>
    <w:qFormat/>
    <w:uiPriority w:val="0"/>
    <w:pPr>
      <w:widowControl/>
      <w:spacing w:line="360" w:lineRule="auto"/>
      <w:jc w:val="center"/>
    </w:pPr>
    <w:rPr>
      <w:b/>
      <w:bCs/>
      <w:kern w:val="0"/>
      <w:sz w:val="48"/>
      <w:szCs w:val="20"/>
      <w:u w:val="single"/>
    </w:rPr>
  </w:style>
  <w:style w:type="paragraph" w:styleId="27">
    <w:name w:val="Normal (Web)"/>
    <w:basedOn w:val="1"/>
    <w:autoRedefine/>
    <w:unhideWhenUsed/>
    <w:qFormat/>
    <w:uiPriority w:val="99"/>
    <w:pPr>
      <w:spacing w:line="360" w:lineRule="auto"/>
      <w:ind w:firstLine="480" w:firstLineChars="200"/>
    </w:pPr>
    <w:rPr>
      <w:rFonts w:ascii="Times New Roman" w:hAnsi="Times New Roman" w:eastAsia="宋体" w:cs="Times New Roman"/>
      <w:sz w:val="24"/>
    </w:rPr>
  </w:style>
  <w:style w:type="paragraph" w:styleId="28">
    <w:name w:val="annotation subject"/>
    <w:basedOn w:val="14"/>
    <w:next w:val="14"/>
    <w:link w:val="98"/>
    <w:autoRedefine/>
    <w:qFormat/>
    <w:uiPriority w:val="0"/>
    <w:rPr>
      <w:b/>
      <w:bCs/>
    </w:rPr>
  </w:style>
  <w:style w:type="paragraph" w:styleId="29">
    <w:name w:val="Body Text First Indent"/>
    <w:basedOn w:val="15"/>
    <w:autoRedefine/>
    <w:qFormat/>
    <w:uiPriority w:val="0"/>
    <w:pPr>
      <w:snapToGrid w:val="0"/>
      <w:spacing w:line="360" w:lineRule="auto"/>
      <w:ind w:firstLine="200" w:firstLineChars="200"/>
    </w:pPr>
    <w:rPr>
      <w:sz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autoRedefine/>
    <w:qFormat/>
    <w:uiPriority w:val="0"/>
  </w:style>
  <w:style w:type="character" w:styleId="34">
    <w:name w:val="Hyperlink"/>
    <w:basedOn w:val="32"/>
    <w:autoRedefine/>
    <w:qFormat/>
    <w:uiPriority w:val="0"/>
    <w:rPr>
      <w:color w:val="0000FF"/>
      <w:u w:val="single"/>
    </w:rPr>
  </w:style>
  <w:style w:type="character" w:styleId="35">
    <w:name w:val="annotation reference"/>
    <w:autoRedefine/>
    <w:qFormat/>
    <w:uiPriority w:val="0"/>
    <w:rPr>
      <w:sz w:val="21"/>
      <w:szCs w:val="21"/>
    </w:rPr>
  </w:style>
  <w:style w:type="paragraph" w:customStyle="1" w:styleId="36">
    <w:name w:val="xl27"/>
    <w:basedOn w:val="1"/>
    <w:next w:val="37"/>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7">
    <w:name w:val="A正文"/>
    <w:basedOn w:val="1"/>
    <w:autoRedefine/>
    <w:qFormat/>
    <w:uiPriority w:val="0"/>
    <w:pPr>
      <w:widowControl/>
      <w:overflowPunct w:val="0"/>
      <w:autoSpaceDE w:val="0"/>
      <w:autoSpaceDN w:val="0"/>
      <w:jc w:val="left"/>
      <w:textAlignment w:val="baseline"/>
    </w:pPr>
  </w:style>
  <w:style w:type="paragraph" w:customStyle="1" w:styleId="38">
    <w:name w:val="正文2"/>
    <w:autoRedefine/>
    <w:qFormat/>
    <w:uiPriority w:val="0"/>
    <w:pPr>
      <w:jc w:val="both"/>
    </w:pPr>
    <w:rPr>
      <w:rFonts w:ascii="Calibri" w:hAnsi="Calibri" w:eastAsia="宋体" w:cs="宋体"/>
      <w:kern w:val="2"/>
      <w:sz w:val="21"/>
      <w:szCs w:val="21"/>
      <w:lang w:val="en-US" w:eastAsia="zh-CN" w:bidi="ar-SA"/>
    </w:rPr>
  </w:style>
  <w:style w:type="paragraph" w:customStyle="1" w:styleId="39">
    <w:name w:val="Default"/>
    <w:basedOn w:val="40"/>
    <w:autoRedefine/>
    <w:qFormat/>
    <w:uiPriority w:val="0"/>
    <w:pPr>
      <w:autoSpaceDE w:val="0"/>
      <w:autoSpaceDN w:val="0"/>
    </w:pPr>
    <w:rPr>
      <w:rFonts w:hAnsi="等线" w:eastAsia="宋体" w:cs="宋体"/>
      <w:color w:val="000000"/>
      <w:kern w:val="0"/>
      <w:sz w:val="24"/>
      <w:szCs w:val="24"/>
    </w:rPr>
  </w:style>
  <w:style w:type="paragraph" w:customStyle="1" w:styleId="40">
    <w:name w:val="纯文本1"/>
    <w:basedOn w:val="1"/>
    <w:autoRedefine/>
    <w:qFormat/>
    <w:uiPriority w:val="0"/>
    <w:pPr>
      <w:adjustRightInd w:val="0"/>
    </w:pPr>
    <w:rPr>
      <w:rFonts w:ascii="宋体" w:hAnsi="Courier New"/>
      <w:szCs w:val="20"/>
    </w:rPr>
  </w:style>
  <w:style w:type="paragraph" w:customStyle="1" w:styleId="41">
    <w:name w:val="0正文"/>
    <w:autoRedefine/>
    <w:qFormat/>
    <w:uiPriority w:val="0"/>
    <w:pPr>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42">
    <w:name w:val="Table Paragraph"/>
    <w:basedOn w:val="1"/>
    <w:autoRedefine/>
    <w:qFormat/>
    <w:uiPriority w:val="1"/>
    <w:pPr>
      <w:autoSpaceDE w:val="0"/>
      <w:autoSpaceDN w:val="0"/>
      <w:spacing w:before="57"/>
      <w:jc w:val="center"/>
    </w:pPr>
    <w:rPr>
      <w:rFonts w:eastAsia="Times New Roman"/>
      <w:kern w:val="0"/>
      <w:sz w:val="22"/>
      <w:szCs w:val="22"/>
    </w:rPr>
  </w:style>
  <w:style w:type="paragraph" w:customStyle="1" w:styleId="43">
    <w:name w:val="样式1"/>
    <w:autoRedefine/>
    <w:qFormat/>
    <w:uiPriority w:val="0"/>
    <w:pPr>
      <w:kinsoku w:val="0"/>
      <w:autoSpaceDE w:val="0"/>
      <w:autoSpaceDN w:val="0"/>
      <w:adjustRightInd w:val="0"/>
      <w:snapToGrid w:val="0"/>
      <w:spacing w:before="62" w:beforeLines="20" w:after="62" w:afterLines="20" w:line="360" w:lineRule="auto"/>
      <w:ind w:firstLine="200" w:firstLineChars="200"/>
      <w:textAlignment w:val="baseline"/>
    </w:pPr>
    <w:rPr>
      <w:rFonts w:ascii="Arial" w:hAnsi="Arial" w:eastAsia="Arial" w:cs="Arial"/>
      <w:snapToGrid w:val="0"/>
      <w:color w:val="000000"/>
      <w:sz w:val="24"/>
      <w:szCs w:val="21"/>
      <w:lang w:val="en-US" w:eastAsia="zh-CN" w:bidi="ar-SA"/>
    </w:rPr>
  </w:style>
  <w:style w:type="paragraph" w:customStyle="1" w:styleId="44">
    <w:name w:val="TT正文"/>
    <w:basedOn w:val="1"/>
    <w:autoRedefine/>
    <w:qFormat/>
    <w:uiPriority w:val="0"/>
    <w:pPr>
      <w:spacing w:line="360" w:lineRule="auto"/>
      <w:ind w:firstLine="200" w:firstLineChars="200"/>
    </w:pPr>
    <w:rPr>
      <w:rFonts w:ascii="Times New Roman" w:hAnsi="Times New Roman" w:cs="宋体"/>
      <w:color w:val="000000"/>
      <w:sz w:val="24"/>
    </w:rPr>
  </w:style>
  <w:style w:type="paragraph" w:customStyle="1" w:styleId="45">
    <w:name w:val="TTT"/>
    <w:basedOn w:val="1"/>
    <w:autoRedefine/>
    <w:qFormat/>
    <w:uiPriority w:val="0"/>
    <w:pPr>
      <w:spacing w:line="360" w:lineRule="auto"/>
      <w:ind w:firstLine="200" w:firstLineChars="200"/>
    </w:pPr>
    <w:rPr>
      <w:rFonts w:ascii="Times New Roman" w:hAnsi="Times New Roman"/>
      <w:b/>
      <w:sz w:val="24"/>
    </w:rPr>
  </w:style>
  <w:style w:type="paragraph" w:customStyle="1" w:styleId="46">
    <w:name w:val="TT标题"/>
    <w:basedOn w:val="1"/>
    <w:autoRedefine/>
    <w:qFormat/>
    <w:uiPriority w:val="0"/>
    <w:pPr>
      <w:jc w:val="center"/>
    </w:pPr>
    <w:rPr>
      <w:rFonts w:ascii="Times New Roman" w:hAnsi="Times New Roman" w:cs="宋体"/>
      <w:b/>
      <w:sz w:val="24"/>
      <w:szCs w:val="20"/>
    </w:rPr>
  </w:style>
  <w:style w:type="paragraph" w:customStyle="1" w:styleId="47">
    <w:name w:val="TT表格文字01"/>
    <w:basedOn w:val="1"/>
    <w:autoRedefine/>
    <w:qFormat/>
    <w:uiPriority w:val="0"/>
    <w:pPr>
      <w:widowControl/>
      <w:wordWrap w:val="0"/>
      <w:overflowPunct w:val="0"/>
      <w:topLinePunct/>
      <w:jc w:val="center"/>
    </w:pPr>
    <w:rPr>
      <w:rFonts w:ascii="Times New Roman" w:hAnsi="Times New Roman"/>
      <w:snapToGrid w:val="0"/>
      <w:color w:val="000000"/>
      <w:szCs w:val="20"/>
    </w:rPr>
  </w:style>
  <w:style w:type="paragraph" w:customStyle="1" w:styleId="48">
    <w:name w:val="TT表格文字"/>
    <w:basedOn w:val="1"/>
    <w:autoRedefine/>
    <w:qFormat/>
    <w:uiPriority w:val="0"/>
    <w:pPr>
      <w:jc w:val="center"/>
    </w:pPr>
    <w:rPr>
      <w:rFonts w:ascii="Times New Roman" w:hAnsi="Times New Roman" w:cs="宋体"/>
      <w:szCs w:val="20"/>
    </w:rPr>
  </w:style>
  <w:style w:type="paragraph" w:customStyle="1" w:styleId="49">
    <w:name w:val="@ 正文"/>
    <w:basedOn w:val="1"/>
    <w:autoRedefine/>
    <w:qFormat/>
    <w:uiPriority w:val="0"/>
    <w:pPr>
      <w:tabs>
        <w:tab w:val="left" w:pos="1980"/>
        <w:tab w:val="left" w:pos="3825"/>
        <w:tab w:val="left" w:pos="4680"/>
      </w:tabs>
      <w:spacing w:line="360" w:lineRule="auto"/>
      <w:ind w:firstLine="200" w:firstLineChars="200"/>
      <w:jc w:val="left"/>
    </w:pPr>
    <w:rPr>
      <w:rFonts w:hAnsi="宋体"/>
      <w:sz w:val="24"/>
      <w:szCs w:val="21"/>
    </w:rPr>
  </w:style>
  <w:style w:type="paragraph" w:customStyle="1" w:styleId="50">
    <w:name w:val="报告"/>
    <w:basedOn w:val="1"/>
    <w:autoRedefine/>
    <w:qFormat/>
    <w:uiPriority w:val="0"/>
    <w:pPr>
      <w:overflowPunct w:val="0"/>
      <w:autoSpaceDE w:val="0"/>
      <w:autoSpaceDN w:val="0"/>
      <w:spacing w:before="120" w:after="120" w:line="400" w:lineRule="atLeast"/>
      <w:ind w:left="840" w:leftChars="400"/>
      <w:textAlignment w:val="baseline"/>
    </w:pPr>
    <w:rPr>
      <w:kern w:val="0"/>
      <w:sz w:val="24"/>
      <w:szCs w:val="20"/>
    </w:rPr>
  </w:style>
  <w:style w:type="paragraph" w:customStyle="1" w:styleId="51">
    <w:name w:val="5文章(治)"/>
    <w:basedOn w:val="1"/>
    <w:autoRedefine/>
    <w:qFormat/>
    <w:uiPriority w:val="0"/>
    <w:pPr>
      <w:spacing w:line="360" w:lineRule="auto"/>
      <w:ind w:firstLine="560" w:firstLineChars="200"/>
    </w:pPr>
    <w:rPr>
      <w:rFonts w:eastAsia="仿宋_GB2312"/>
      <w:sz w:val="24"/>
      <w:szCs w:val="20"/>
    </w:rPr>
  </w:style>
  <w:style w:type="paragraph" w:customStyle="1" w:styleId="52">
    <w:name w:val="正文111"/>
    <w:basedOn w:val="1"/>
    <w:autoRedefine/>
    <w:qFormat/>
    <w:uiPriority w:val="0"/>
    <w:pPr>
      <w:spacing w:line="360" w:lineRule="auto"/>
      <w:ind w:firstLine="200" w:firstLineChars="200"/>
    </w:pPr>
    <w:rPr>
      <w:sz w:val="24"/>
    </w:rPr>
  </w:style>
  <w:style w:type="paragraph" w:customStyle="1" w:styleId="53">
    <w:name w:val="【表格文字】"/>
    <w:autoRedefine/>
    <w:qFormat/>
    <w:uiPriority w:val="0"/>
    <w:pPr>
      <w:jc w:val="center"/>
    </w:pPr>
    <w:rPr>
      <w:rFonts w:ascii="Times New Roman" w:hAnsi="Times New Roman" w:eastAsia="宋体" w:cs="宋体"/>
      <w:sz w:val="21"/>
      <w:lang w:val="en-US" w:eastAsia="zh-CN" w:bidi="ar-SA"/>
    </w:rPr>
  </w:style>
  <w:style w:type="character" w:customStyle="1" w:styleId="54">
    <w:name w:val="font01"/>
    <w:basedOn w:val="32"/>
    <w:autoRedefine/>
    <w:qFormat/>
    <w:uiPriority w:val="0"/>
    <w:rPr>
      <w:rFonts w:hint="eastAsia" w:ascii="宋体" w:hAnsi="宋体" w:eastAsia="宋体" w:cs="宋体"/>
      <w:color w:val="000000"/>
      <w:sz w:val="22"/>
      <w:szCs w:val="22"/>
      <w:u w:val="none"/>
    </w:rPr>
  </w:style>
  <w:style w:type="character" w:customStyle="1" w:styleId="55">
    <w:name w:val="font11"/>
    <w:basedOn w:val="32"/>
    <w:autoRedefine/>
    <w:qFormat/>
    <w:uiPriority w:val="0"/>
    <w:rPr>
      <w:rFonts w:hint="default" w:ascii="Times New Roman" w:hAnsi="Times New Roman" w:cs="Times New Roman"/>
      <w:color w:val="000000"/>
      <w:sz w:val="22"/>
      <w:szCs w:val="22"/>
      <w:u w:val="none"/>
    </w:rPr>
  </w:style>
  <w:style w:type="character" w:customStyle="1" w:styleId="56">
    <w:name w:val="font31"/>
    <w:basedOn w:val="32"/>
    <w:autoRedefine/>
    <w:qFormat/>
    <w:uiPriority w:val="0"/>
    <w:rPr>
      <w:rFonts w:hint="default" w:ascii="Times New Roman" w:hAnsi="Times New Roman" w:cs="Times New Roman"/>
      <w:color w:val="000000"/>
      <w:sz w:val="22"/>
      <w:szCs w:val="22"/>
      <w:u w:val="none"/>
      <w:vertAlign w:val="subscript"/>
    </w:rPr>
  </w:style>
  <w:style w:type="character" w:customStyle="1" w:styleId="57">
    <w:name w:val="font21"/>
    <w:basedOn w:val="32"/>
    <w:autoRedefine/>
    <w:qFormat/>
    <w:uiPriority w:val="0"/>
    <w:rPr>
      <w:rFonts w:hint="default" w:ascii="Times New Roman" w:hAnsi="Times New Roman" w:cs="Times New Roman"/>
      <w:color w:val="000000"/>
      <w:sz w:val="22"/>
      <w:szCs w:val="22"/>
      <w:u w:val="none"/>
      <w:vertAlign w:val="subscript"/>
    </w:rPr>
  </w:style>
  <w:style w:type="paragraph" w:customStyle="1" w:styleId="58">
    <w:name w:val="图表名称"/>
    <w:next w:val="1"/>
    <w:autoRedefine/>
    <w:qFormat/>
    <w:uiPriority w:val="0"/>
    <w:pPr>
      <w:spacing w:line="360" w:lineRule="auto"/>
      <w:jc w:val="center"/>
    </w:pPr>
    <w:rPr>
      <w:rFonts w:ascii="Times New Roman" w:hAnsi="Times New Roman" w:eastAsia="宋体" w:cs="Times New Roman"/>
      <w:b/>
      <w:bCs/>
      <w:kern w:val="2"/>
      <w:sz w:val="21"/>
      <w:szCs w:val="28"/>
      <w:lang w:val="en-US" w:eastAsia="zh-CN" w:bidi="ar-SA"/>
    </w:rPr>
  </w:style>
  <w:style w:type="paragraph" w:customStyle="1" w:styleId="59">
    <w:name w:val="图表标题"/>
    <w:basedOn w:val="1"/>
    <w:autoRedefine/>
    <w:qFormat/>
    <w:uiPriority w:val="0"/>
    <w:pPr>
      <w:jc w:val="center"/>
    </w:pPr>
    <w:rPr>
      <w:b/>
    </w:rPr>
  </w:style>
  <w:style w:type="paragraph" w:customStyle="1" w:styleId="60">
    <w:name w:val="表格内容"/>
    <w:basedOn w:val="61"/>
    <w:next w:val="1"/>
    <w:autoRedefine/>
    <w:qFormat/>
    <w:uiPriority w:val="0"/>
    <w:rPr>
      <w:b w:val="0"/>
      <w:lang w:val="zh-CN"/>
    </w:rPr>
  </w:style>
  <w:style w:type="paragraph" w:customStyle="1" w:styleId="61">
    <w:name w:val="表头"/>
    <w:next w:val="1"/>
    <w:autoRedefine/>
    <w:qFormat/>
    <w:uiPriority w:val="0"/>
    <w:pPr>
      <w:spacing w:line="200" w:lineRule="atLeast"/>
      <w:jc w:val="center"/>
    </w:pPr>
    <w:rPr>
      <w:rFonts w:ascii="Times New Roman" w:hAnsi="Times New Roman" w:eastAsia="宋体" w:cs="Times New Roman"/>
      <w:b/>
      <w:kern w:val="2"/>
      <w:sz w:val="21"/>
      <w:szCs w:val="22"/>
      <w:lang w:val="en-US" w:eastAsia="zh-CN" w:bidi="ar-SA"/>
    </w:rPr>
  </w:style>
  <w:style w:type="paragraph" w:customStyle="1" w:styleId="62">
    <w:name w:val="新格式表"/>
    <w:basedOn w:val="1"/>
    <w:autoRedefine/>
    <w:qFormat/>
    <w:uiPriority w:val="0"/>
    <w:pPr>
      <w:adjustRightInd w:val="0"/>
      <w:spacing w:line="0" w:lineRule="atLeast"/>
      <w:jc w:val="center"/>
    </w:pPr>
    <w:rPr>
      <w:color w:val="000000"/>
      <w:szCs w:val="21"/>
    </w:rPr>
  </w:style>
  <w:style w:type="paragraph" w:customStyle="1" w:styleId="63">
    <w:name w:val="报告正文"/>
    <w:next w:val="1"/>
    <w:autoRedefine/>
    <w:qFormat/>
    <w:uiPriority w:val="0"/>
    <w:pPr>
      <w:widowControl w:val="0"/>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64">
    <w:name w:val="表格字体"/>
    <w:basedOn w:val="1"/>
    <w:autoRedefine/>
    <w:qFormat/>
    <w:uiPriority w:val="0"/>
    <w:pPr>
      <w:adjustRightInd w:val="0"/>
      <w:spacing w:line="320" w:lineRule="exact"/>
      <w:jc w:val="center"/>
    </w:pPr>
    <w:rPr>
      <w:rFonts w:ascii="Times New Roman" w:hAnsi="Times New Roman" w:cs="Times New Roman"/>
      <w:color w:val="000000"/>
      <w:szCs w:val="20"/>
      <w:lang w:val="zh-CN"/>
    </w:rPr>
  </w:style>
  <w:style w:type="paragraph" w:customStyle="1" w:styleId="65">
    <w:name w:val="表格 首行文字"/>
    <w:autoRedefine/>
    <w:qFormat/>
    <w:uiPriority w:val="0"/>
    <w:pPr>
      <w:snapToGrid w:val="0"/>
      <w:jc w:val="center"/>
    </w:pPr>
    <w:rPr>
      <w:rFonts w:ascii="Times New Roman" w:hAnsi="Times New Roman" w:eastAsia="宋体" w:cs="Times New Roman"/>
      <w:kern w:val="2"/>
      <w:sz w:val="21"/>
      <w:szCs w:val="21"/>
      <w:lang w:val="en-US" w:eastAsia="zh-CN" w:bidi="ar-SA"/>
    </w:rPr>
  </w:style>
  <w:style w:type="paragraph" w:customStyle="1" w:styleId="66">
    <w:name w:val="表内字"/>
    <w:basedOn w:val="1"/>
    <w:autoRedefine/>
    <w:qFormat/>
    <w:uiPriority w:val="0"/>
    <w:pPr>
      <w:spacing w:line="320" w:lineRule="exact"/>
      <w:ind w:firstLine="560" w:firstLineChars="200"/>
      <w:jc w:val="center"/>
    </w:pPr>
    <w:rPr>
      <w:rFonts w:ascii="Times New Roman" w:hAnsi="Times New Roman" w:eastAsia="宋体" w:cs="Times New Roman"/>
      <w:sz w:val="22"/>
      <w:szCs w:val="22"/>
    </w:rPr>
  </w:style>
  <w:style w:type="paragraph" w:customStyle="1" w:styleId="67">
    <w:name w:val="!表格标题"/>
    <w:basedOn w:val="15"/>
    <w:next w:val="15"/>
    <w:autoRedefine/>
    <w:qFormat/>
    <w:uiPriority w:val="0"/>
    <w:pPr>
      <w:keepNext/>
      <w:snapToGrid w:val="0"/>
      <w:spacing w:before="50" w:beforeLines="50" w:after="0"/>
      <w:jc w:val="center"/>
    </w:pPr>
    <w:rPr>
      <w:rFonts w:cs="Times New Roman"/>
      <w:b/>
    </w:rPr>
  </w:style>
  <w:style w:type="character" w:customStyle="1" w:styleId="68">
    <w:name w:val="font61"/>
    <w:autoRedefine/>
    <w:qFormat/>
    <w:uiPriority w:val="0"/>
    <w:rPr>
      <w:rFonts w:hint="eastAsia" w:ascii="宋体" w:hAnsi="宋体" w:eastAsia="宋体" w:cs="宋体"/>
      <w:color w:val="000000"/>
      <w:sz w:val="21"/>
      <w:szCs w:val="21"/>
      <w:u w:val="none"/>
    </w:rPr>
  </w:style>
  <w:style w:type="character" w:customStyle="1" w:styleId="69">
    <w:name w:val="font71"/>
    <w:autoRedefine/>
    <w:qFormat/>
    <w:uiPriority w:val="0"/>
    <w:rPr>
      <w:rFonts w:hint="eastAsia" w:ascii="宋体" w:hAnsi="宋体" w:eastAsia="宋体" w:cs="宋体"/>
      <w:color w:val="000000"/>
      <w:sz w:val="21"/>
      <w:szCs w:val="21"/>
      <w:u w:val="none"/>
    </w:rPr>
  </w:style>
  <w:style w:type="paragraph" w:customStyle="1" w:styleId="70">
    <w:name w:val="表中文字1"/>
    <w:autoRedefine/>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71">
    <w:name w:val="16"/>
    <w:basedOn w:val="32"/>
    <w:autoRedefine/>
    <w:qFormat/>
    <w:uiPriority w:val="0"/>
    <w:rPr>
      <w:rFonts w:hint="default" w:ascii="Times New Roman" w:hAnsi="Times New Roman" w:cs="Times New Roman"/>
      <w:color w:val="000000"/>
      <w:sz w:val="21"/>
      <w:szCs w:val="21"/>
    </w:rPr>
  </w:style>
  <w:style w:type="character" w:customStyle="1" w:styleId="72">
    <w:name w:val="15"/>
    <w:basedOn w:val="32"/>
    <w:autoRedefine/>
    <w:qFormat/>
    <w:uiPriority w:val="0"/>
    <w:rPr>
      <w:rFonts w:hint="eastAsia" w:ascii="宋体" w:hAnsi="宋体" w:eastAsia="宋体"/>
      <w:color w:val="000000"/>
      <w:sz w:val="21"/>
      <w:szCs w:val="21"/>
    </w:rPr>
  </w:style>
  <w:style w:type="table" w:customStyle="1" w:styleId="73">
    <w:name w:val="Table Normal"/>
    <w:autoRedefine/>
    <w:semiHidden/>
    <w:unhideWhenUsed/>
    <w:qFormat/>
    <w:uiPriority w:val="0"/>
    <w:tblPr>
      <w:tblCellMar>
        <w:top w:w="0" w:type="dxa"/>
        <w:left w:w="0" w:type="dxa"/>
        <w:bottom w:w="0" w:type="dxa"/>
        <w:right w:w="0" w:type="dxa"/>
      </w:tblCellMar>
    </w:tblPr>
  </w:style>
  <w:style w:type="paragraph" w:styleId="74">
    <w:name w:val="List Paragraph"/>
    <w:basedOn w:val="1"/>
    <w:autoRedefine/>
    <w:qFormat/>
    <w:uiPriority w:val="0"/>
    <w:pPr>
      <w:ind w:firstLine="420" w:firstLineChars="200"/>
    </w:pPr>
  </w:style>
  <w:style w:type="paragraph" w:customStyle="1" w:styleId="75">
    <w:name w:val="论文正文"/>
    <w:basedOn w:val="12"/>
    <w:autoRedefine/>
    <w:qFormat/>
    <w:uiPriority w:val="0"/>
    <w:pPr>
      <w:ind w:firstLine="480"/>
    </w:pPr>
    <w:rPr>
      <w:rFonts w:ascii="宋体" w:hAnsi="宋体" w:eastAsia="宋体" w:cs="Times New Roman"/>
      <w:kern w:val="0"/>
      <w:sz w:val="28"/>
    </w:rPr>
  </w:style>
  <w:style w:type="paragraph" w:customStyle="1" w:styleId="76">
    <w:name w:val="正文缩进1"/>
    <w:basedOn w:val="1"/>
    <w:autoRedefine/>
    <w:qFormat/>
    <w:uiPriority w:val="0"/>
    <w:rPr>
      <w:rFonts w:hint="eastAsia" w:ascii="宋体" w:hAnsi="宋体"/>
      <w:sz w:val="28"/>
      <w:szCs w:val="20"/>
    </w:rPr>
  </w:style>
  <w:style w:type="paragraph" w:customStyle="1" w:styleId="77">
    <w:name w:val="图表题"/>
    <w:basedOn w:val="1"/>
    <w:next w:val="1"/>
    <w:autoRedefine/>
    <w:qFormat/>
    <w:uiPriority w:val="0"/>
    <w:pPr>
      <w:spacing w:line="360" w:lineRule="auto"/>
      <w:jc w:val="center"/>
    </w:pPr>
    <w:rPr>
      <w:rFonts w:ascii="黑体" w:hAnsi="宋体" w:eastAsia="黑体" w:cs="Times New Roman"/>
      <w:bCs/>
      <w:kern w:val="0"/>
      <w:sz w:val="24"/>
    </w:rPr>
  </w:style>
  <w:style w:type="paragraph" w:customStyle="1" w:styleId="78">
    <w:name w:val="+正文"/>
    <w:basedOn w:val="1"/>
    <w:autoRedefine/>
    <w:qFormat/>
    <w:uiPriority w:val="0"/>
    <w:pPr>
      <w:spacing w:line="520" w:lineRule="exact"/>
      <w:ind w:firstLine="880" w:firstLineChars="200"/>
    </w:pPr>
    <w:rPr>
      <w:rFonts w:ascii="Times New Roman" w:hAnsi="Times New Roman" w:eastAsia="宋体" w:cs="Times New Roman"/>
      <w:sz w:val="24"/>
      <w:szCs w:val="28"/>
    </w:rPr>
  </w:style>
  <w:style w:type="paragraph" w:customStyle="1" w:styleId="79">
    <w:name w:val="文章正文"/>
    <w:basedOn w:val="1"/>
    <w:autoRedefine/>
    <w:qFormat/>
    <w:uiPriority w:val="0"/>
    <w:pPr>
      <w:spacing w:line="360" w:lineRule="auto"/>
      <w:ind w:firstLine="200" w:firstLineChars="200"/>
    </w:pPr>
    <w:rPr>
      <w:sz w:val="24"/>
    </w:rPr>
  </w:style>
  <w:style w:type="paragraph" w:customStyle="1" w:styleId="80">
    <w:name w:val="1.1.1"/>
    <w:basedOn w:val="1"/>
    <w:autoRedefine/>
    <w:qFormat/>
    <w:uiPriority w:val="0"/>
    <w:rPr>
      <w:rFonts w:ascii="黑体"/>
      <w:sz w:val="24"/>
    </w:rPr>
  </w:style>
  <w:style w:type="paragraph" w:customStyle="1" w:styleId="81">
    <w:name w:val="正文-小四"/>
    <w:basedOn w:val="1"/>
    <w:autoRedefine/>
    <w:qFormat/>
    <w:uiPriority w:val="0"/>
    <w:pPr>
      <w:spacing w:line="360" w:lineRule="auto"/>
      <w:ind w:firstLine="200" w:firstLineChars="200"/>
    </w:pPr>
    <w:rPr>
      <w:rFonts w:ascii="Times New Roman" w:hAnsi="Times New Roman"/>
      <w:sz w:val="24"/>
    </w:rPr>
  </w:style>
  <w:style w:type="paragraph" w:customStyle="1" w:styleId="82">
    <w:name w:val="格式正文，26磅"/>
    <w:basedOn w:val="1"/>
    <w:autoRedefine/>
    <w:qFormat/>
    <w:uiPriority w:val="0"/>
    <w:pPr>
      <w:topLinePunct/>
      <w:ind w:firstLine="200" w:firstLineChars="200"/>
    </w:pPr>
    <w:rPr>
      <w:rFonts w:ascii="宋体" w:hAnsi="宋体"/>
      <w:sz w:val="24"/>
    </w:rPr>
  </w:style>
  <w:style w:type="paragraph" w:customStyle="1" w:styleId="83">
    <w:name w:val="标题格式"/>
    <w:basedOn w:val="1"/>
    <w:autoRedefine/>
    <w:qFormat/>
    <w:locked/>
    <w:uiPriority w:val="0"/>
    <w:rPr>
      <w:rFonts w:eastAsia="黑体"/>
      <w:szCs w:val="21"/>
    </w:rPr>
  </w:style>
  <w:style w:type="paragraph" w:customStyle="1" w:styleId="84">
    <w:name w:val="表格文字"/>
    <w:basedOn w:val="1"/>
    <w:next w:val="1"/>
    <w:autoRedefine/>
    <w:qFormat/>
    <w:uiPriority w:val="0"/>
    <w:pPr>
      <w:adjustRightInd w:val="0"/>
      <w:snapToGrid w:val="0"/>
      <w:jc w:val="center"/>
    </w:pPr>
    <w:rPr>
      <w:rFonts w:ascii="仿宋_GB2312" w:hAnsi="Arial Black" w:eastAsia="仿宋_GB2312" w:cs="Times New Roman"/>
      <w:kern w:val="44"/>
      <w:sz w:val="20"/>
      <w:szCs w:val="20"/>
    </w:rPr>
  </w:style>
  <w:style w:type="paragraph" w:customStyle="1" w:styleId="85">
    <w:name w:val="表内 定"/>
    <w:basedOn w:val="1"/>
    <w:autoRedefine/>
    <w:qFormat/>
    <w:uiPriority w:val="0"/>
    <w:rPr>
      <w:rFonts w:cs="Times New Roman"/>
      <w:color w:val="000000"/>
    </w:rPr>
  </w:style>
  <w:style w:type="paragraph" w:customStyle="1" w:styleId="86">
    <w:name w:val="表内"/>
    <w:basedOn w:val="1"/>
    <w:autoRedefine/>
    <w:qFormat/>
    <w:uiPriority w:val="99"/>
    <w:pPr>
      <w:framePr w:hSpace="180" w:wrap="around" w:vAnchor="page" w:hAnchor="margin" w:y="1411"/>
      <w:widowControl/>
    </w:pPr>
    <w:rPr>
      <w:rFonts w:ascii="宋体" w:hAnsi="宋体" w:cs="Times New Roman"/>
      <w:szCs w:val="20"/>
    </w:rPr>
  </w:style>
  <w:style w:type="paragraph" w:customStyle="1" w:styleId="87">
    <w:name w:val="报告书正文"/>
    <w:basedOn w:val="1"/>
    <w:autoRedefine/>
    <w:qFormat/>
    <w:uiPriority w:val="0"/>
    <w:pPr>
      <w:adjustRightInd w:val="0"/>
      <w:snapToGrid w:val="0"/>
      <w:spacing w:line="360" w:lineRule="auto"/>
      <w:ind w:firstLine="200" w:firstLineChars="200"/>
    </w:pPr>
    <w:rPr>
      <w:sz w:val="24"/>
    </w:rPr>
  </w:style>
  <w:style w:type="paragraph" w:customStyle="1" w:styleId="88">
    <w:name w:val="样式 首行缩进:  2 字符"/>
    <w:basedOn w:val="1"/>
    <w:autoRedefine/>
    <w:qFormat/>
    <w:uiPriority w:val="0"/>
    <w:rPr>
      <w:rFonts w:cs="宋体"/>
      <w:szCs w:val="20"/>
    </w:rPr>
  </w:style>
  <w:style w:type="paragraph" w:customStyle="1" w:styleId="89">
    <w:name w:val="正文1"/>
    <w:basedOn w:val="1"/>
    <w:autoRedefine/>
    <w:qFormat/>
    <w:uiPriority w:val="0"/>
    <w:pPr>
      <w:snapToGrid w:val="0"/>
      <w:jc w:val="center"/>
    </w:pPr>
    <w:rPr>
      <w:rFonts w:hAnsi="宋体"/>
      <w:color w:val="0000FF"/>
      <w:szCs w:val="21"/>
    </w:rPr>
  </w:style>
  <w:style w:type="paragraph" w:customStyle="1" w:styleId="90">
    <w:name w:val="书"/>
    <w:basedOn w:val="91"/>
    <w:autoRedefine/>
    <w:qFormat/>
    <w:uiPriority w:val="0"/>
    <w:pPr>
      <w:ind w:firstLine="0"/>
    </w:pPr>
    <w:rPr>
      <w:rFonts w:ascii="楷体_GB2312" w:eastAsia="楷体_GB2312"/>
      <w:b/>
      <w:sz w:val="28"/>
    </w:rPr>
  </w:style>
  <w:style w:type="paragraph" w:customStyle="1" w:styleId="91">
    <w:name w:val="00"/>
    <w:basedOn w:val="1"/>
    <w:autoRedefine/>
    <w:qFormat/>
    <w:uiPriority w:val="0"/>
    <w:pPr>
      <w:spacing w:line="520" w:lineRule="exact"/>
      <w:ind w:firstLine="480"/>
    </w:pPr>
    <w:rPr>
      <w:sz w:val="24"/>
    </w:rPr>
  </w:style>
  <w:style w:type="character" w:customStyle="1" w:styleId="92">
    <w:name w:val="font41"/>
    <w:basedOn w:val="32"/>
    <w:autoRedefine/>
    <w:qFormat/>
    <w:uiPriority w:val="0"/>
    <w:rPr>
      <w:rFonts w:hint="eastAsia" w:ascii="宋体" w:hAnsi="宋体" w:eastAsia="宋体" w:cs="宋体"/>
      <w:b/>
      <w:color w:val="333333"/>
      <w:sz w:val="28"/>
      <w:szCs w:val="28"/>
      <w:u w:val="none"/>
    </w:rPr>
  </w:style>
  <w:style w:type="paragraph" w:customStyle="1" w:styleId="93">
    <w:name w:val="【正文】"/>
    <w:basedOn w:val="1"/>
    <w:autoRedefine/>
    <w:qFormat/>
    <w:uiPriority w:val="0"/>
    <w:pPr>
      <w:spacing w:line="480" w:lineRule="exact"/>
      <w:ind w:firstLine="200" w:firstLineChars="200"/>
    </w:pPr>
    <w:rPr>
      <w:szCs w:val="20"/>
    </w:rPr>
  </w:style>
  <w:style w:type="character" w:customStyle="1" w:styleId="94">
    <w:name w:val="标题 3 字符"/>
    <w:link w:val="4"/>
    <w:autoRedefine/>
    <w:qFormat/>
    <w:uiPriority w:val="0"/>
    <w:rPr>
      <w:rFonts w:ascii="Times New Roman" w:hAnsi="Times New Roman"/>
      <w:b/>
      <w:sz w:val="24"/>
      <w:szCs w:val="28"/>
    </w:rPr>
  </w:style>
  <w:style w:type="paragraph" w:customStyle="1" w:styleId="95">
    <w:name w:val="表格"/>
    <w:basedOn w:val="1"/>
    <w:autoRedefine/>
    <w:qFormat/>
    <w:uiPriority w:val="0"/>
    <w:pPr>
      <w:keepNext/>
      <w:adjustRightInd w:val="0"/>
      <w:spacing w:line="312" w:lineRule="atLeast"/>
      <w:jc w:val="center"/>
      <w:textAlignment w:val="baseline"/>
    </w:pPr>
    <w:rPr>
      <w:kern w:val="0"/>
      <w:szCs w:val="20"/>
    </w:rPr>
  </w:style>
  <w:style w:type="paragraph" w:customStyle="1" w:styleId="96">
    <w:name w:val="表格内正文"/>
    <w:basedOn w:val="1"/>
    <w:autoRedefine/>
    <w:qFormat/>
    <w:uiPriority w:val="0"/>
    <w:pPr>
      <w:jc w:val="center"/>
    </w:pPr>
    <w:rPr>
      <w:rFonts w:ascii="Times New Roman" w:hAnsi="Times New Roman" w:eastAsia="宋体"/>
    </w:rPr>
  </w:style>
  <w:style w:type="character" w:customStyle="1" w:styleId="97">
    <w:name w:val="批注文字 字符"/>
    <w:basedOn w:val="32"/>
    <w:link w:val="14"/>
    <w:autoRedefine/>
    <w:qFormat/>
    <w:uiPriority w:val="0"/>
    <w:rPr>
      <w:rFonts w:asciiTheme="minorHAnsi" w:hAnsiTheme="minorHAnsi" w:eastAsiaTheme="minorEastAsia" w:cstheme="minorBidi"/>
      <w:kern w:val="2"/>
      <w:sz w:val="21"/>
      <w:szCs w:val="24"/>
    </w:rPr>
  </w:style>
  <w:style w:type="character" w:customStyle="1" w:styleId="98">
    <w:name w:val="批注主题 字符"/>
    <w:basedOn w:val="97"/>
    <w:link w:val="28"/>
    <w:autoRedefine/>
    <w:qFormat/>
    <w:uiPriority w:val="0"/>
    <w:rPr>
      <w:rFonts w:asciiTheme="minorHAnsi" w:hAnsiTheme="minorHAnsi" w:eastAsiaTheme="minorEastAsia" w:cstheme="minorBidi"/>
      <w:b/>
      <w:bCs/>
      <w:kern w:val="2"/>
      <w:sz w:val="21"/>
      <w:szCs w:val="24"/>
    </w:rPr>
  </w:style>
  <w:style w:type="paragraph" w:customStyle="1" w:styleId="99">
    <w:name w:val="z正文"/>
    <w:basedOn w:val="19"/>
    <w:autoRedefine/>
    <w:qFormat/>
    <w:uiPriority w:val="99"/>
    <w:pPr>
      <w:tabs>
        <w:tab w:val="left" w:pos="525"/>
      </w:tabs>
      <w:snapToGrid w:val="0"/>
      <w:spacing w:line="360" w:lineRule="auto"/>
    </w:pPr>
    <w:rPr>
      <w:rFonts w:hAnsi="宋体" w:eastAsia="宋体"/>
      <w:kern w:val="2"/>
      <w:sz w:val="24"/>
      <w:szCs w:val="20"/>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36.png"/><Relationship Id="rId9" Type="http://schemas.openxmlformats.org/officeDocument/2006/relationships/header" Target="header5.xml"/><Relationship Id="rId89" Type="http://schemas.openxmlformats.org/officeDocument/2006/relationships/image" Target="media/image35.png"/><Relationship Id="rId88" Type="http://schemas.openxmlformats.org/officeDocument/2006/relationships/image" Target="media/image34.png"/><Relationship Id="rId87" Type="http://schemas.openxmlformats.org/officeDocument/2006/relationships/image" Target="media/image33.jpeg"/><Relationship Id="rId86" Type="http://schemas.openxmlformats.org/officeDocument/2006/relationships/image" Target="media/image32.png"/><Relationship Id="rId85" Type="http://schemas.openxmlformats.org/officeDocument/2006/relationships/image" Target="media/image31.png"/><Relationship Id="rId84" Type="http://schemas.openxmlformats.org/officeDocument/2006/relationships/image" Target="media/image30.wmf"/><Relationship Id="rId83" Type="http://schemas.openxmlformats.org/officeDocument/2006/relationships/oleObject" Target="embeddings/oleObject20.bin"/><Relationship Id="rId82" Type="http://schemas.openxmlformats.org/officeDocument/2006/relationships/image" Target="media/image29.jpeg"/><Relationship Id="rId81" Type="http://schemas.openxmlformats.org/officeDocument/2006/relationships/image" Target="media/image28.png"/><Relationship Id="rId80" Type="http://schemas.openxmlformats.org/officeDocument/2006/relationships/image" Target="media/image27.png"/><Relationship Id="rId8" Type="http://schemas.openxmlformats.org/officeDocument/2006/relationships/header" Target="header4.xml"/><Relationship Id="rId79" Type="http://schemas.openxmlformats.org/officeDocument/2006/relationships/image" Target="media/image26.png"/><Relationship Id="rId78" Type="http://schemas.openxmlformats.org/officeDocument/2006/relationships/image" Target="media/image25.png"/><Relationship Id="rId77" Type="http://schemas.openxmlformats.org/officeDocument/2006/relationships/image" Target="media/image24.png"/><Relationship Id="rId76" Type="http://schemas.openxmlformats.org/officeDocument/2006/relationships/image" Target="media/image23.png"/><Relationship Id="rId75" Type="http://schemas.openxmlformats.org/officeDocument/2006/relationships/image" Target="media/image22.png"/><Relationship Id="rId74" Type="http://schemas.openxmlformats.org/officeDocument/2006/relationships/image" Target="media/image21.wmf"/><Relationship Id="rId73" Type="http://schemas.openxmlformats.org/officeDocument/2006/relationships/oleObject" Target="embeddings/oleObject19.bin"/><Relationship Id="rId72" Type="http://schemas.openxmlformats.org/officeDocument/2006/relationships/image" Target="media/image20.png"/><Relationship Id="rId71" Type="http://schemas.openxmlformats.org/officeDocument/2006/relationships/image" Target="media/image19.wmf"/><Relationship Id="rId70" Type="http://schemas.openxmlformats.org/officeDocument/2006/relationships/image" Target="media/image18.emf"/><Relationship Id="rId7" Type="http://schemas.openxmlformats.org/officeDocument/2006/relationships/header" Target="header3.xml"/><Relationship Id="rId69" Type="http://schemas.openxmlformats.org/officeDocument/2006/relationships/image" Target="media/image17.png"/><Relationship Id="rId68" Type="http://schemas.openxmlformats.org/officeDocument/2006/relationships/image" Target="media/image16.wmf"/><Relationship Id="rId67" Type="http://schemas.openxmlformats.org/officeDocument/2006/relationships/oleObject" Target="embeddings/oleObject18.bin"/><Relationship Id="rId66" Type="http://schemas.openxmlformats.org/officeDocument/2006/relationships/oleObject" Target="embeddings/oleObject17.bin"/><Relationship Id="rId65" Type="http://schemas.openxmlformats.org/officeDocument/2006/relationships/image" Target="media/image15.wmf"/><Relationship Id="rId64" Type="http://schemas.openxmlformats.org/officeDocument/2006/relationships/oleObject" Target="embeddings/oleObject16.bin"/><Relationship Id="rId63" Type="http://schemas.openxmlformats.org/officeDocument/2006/relationships/oleObject" Target="embeddings/oleObject15.bin"/><Relationship Id="rId62" Type="http://schemas.openxmlformats.org/officeDocument/2006/relationships/oleObject" Target="embeddings/oleObject14.bin"/><Relationship Id="rId61" Type="http://schemas.openxmlformats.org/officeDocument/2006/relationships/oleObject" Target="embeddings/oleObject13.bin"/><Relationship Id="rId60" Type="http://schemas.openxmlformats.org/officeDocument/2006/relationships/oleObject" Target="embeddings/oleObject12.bin"/><Relationship Id="rId6" Type="http://schemas.openxmlformats.org/officeDocument/2006/relationships/footer" Target="footer2.xml"/><Relationship Id="rId59" Type="http://schemas.openxmlformats.org/officeDocument/2006/relationships/oleObject" Target="embeddings/oleObject11.bin"/><Relationship Id="rId58" Type="http://schemas.openxmlformats.org/officeDocument/2006/relationships/oleObject" Target="embeddings/oleObject10.bin"/><Relationship Id="rId57" Type="http://schemas.openxmlformats.org/officeDocument/2006/relationships/image" Target="media/image14.wmf"/><Relationship Id="rId56" Type="http://schemas.openxmlformats.org/officeDocument/2006/relationships/oleObject" Target="embeddings/oleObject9.bin"/><Relationship Id="rId55" Type="http://schemas.openxmlformats.org/officeDocument/2006/relationships/image" Target="media/image13.wmf"/><Relationship Id="rId54" Type="http://schemas.openxmlformats.org/officeDocument/2006/relationships/oleObject" Target="embeddings/oleObject8.bin"/><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2.xml"/><Relationship Id="rId49" Type="http://schemas.openxmlformats.org/officeDocument/2006/relationships/image" Target="media/image8.png"/><Relationship Id="rId48" Type="http://schemas.openxmlformats.org/officeDocument/2006/relationships/image" Target="media/image7.wmf"/><Relationship Id="rId47" Type="http://schemas.openxmlformats.org/officeDocument/2006/relationships/oleObject" Target="embeddings/oleObject7.bin"/><Relationship Id="rId46" Type="http://schemas.openxmlformats.org/officeDocument/2006/relationships/image" Target="media/image6.emf"/><Relationship Id="rId45" Type="http://schemas.openxmlformats.org/officeDocument/2006/relationships/oleObject" Target="embeddings/oleObject6.bin"/><Relationship Id="rId44" Type="http://schemas.openxmlformats.org/officeDocument/2006/relationships/image" Target="media/image5.emf"/><Relationship Id="rId43" Type="http://schemas.openxmlformats.org/officeDocument/2006/relationships/oleObject" Target="embeddings/oleObject5.bin"/><Relationship Id="rId42" Type="http://schemas.openxmlformats.org/officeDocument/2006/relationships/image" Target="media/image4.emf"/><Relationship Id="rId41" Type="http://schemas.openxmlformats.org/officeDocument/2006/relationships/oleObject" Target="embeddings/oleObject4.bin"/><Relationship Id="rId40" Type="http://schemas.openxmlformats.org/officeDocument/2006/relationships/image" Target="media/image3.emf"/><Relationship Id="rId4" Type="http://schemas.openxmlformats.org/officeDocument/2006/relationships/footer" Target="footer1.xml"/><Relationship Id="rId39" Type="http://schemas.openxmlformats.org/officeDocument/2006/relationships/oleObject" Target="embeddings/oleObject3.bin"/><Relationship Id="rId38" Type="http://schemas.openxmlformats.org/officeDocument/2006/relationships/image" Target="media/image2.emf"/><Relationship Id="rId37" Type="http://schemas.openxmlformats.org/officeDocument/2006/relationships/oleObject" Target="embeddings/oleObject2.bin"/><Relationship Id="rId36" Type="http://schemas.openxmlformats.org/officeDocument/2006/relationships/image" Target="media/image1.wmf"/><Relationship Id="rId35" Type="http://schemas.openxmlformats.org/officeDocument/2006/relationships/oleObject" Target="embeddings/oleObject1.bin"/><Relationship Id="rId34" Type="http://schemas.openxmlformats.org/officeDocument/2006/relationships/theme" Target="theme/theme1.xml"/><Relationship Id="rId33" Type="http://schemas.openxmlformats.org/officeDocument/2006/relationships/header" Target="header27.xml"/><Relationship Id="rId32" Type="http://schemas.openxmlformats.org/officeDocument/2006/relationships/header" Target="header26.xml"/><Relationship Id="rId31" Type="http://schemas.openxmlformats.org/officeDocument/2006/relationships/header" Target="header25.xml"/><Relationship Id="rId30" Type="http://schemas.openxmlformats.org/officeDocument/2006/relationships/header" Target="header24.xml"/><Relationship Id="rId3" Type="http://schemas.openxmlformats.org/officeDocument/2006/relationships/header" Target="header1.xml"/><Relationship Id="rId29" Type="http://schemas.openxmlformats.org/officeDocument/2006/relationships/footer" Target="footer4.xml"/><Relationship Id="rId28" Type="http://schemas.openxmlformats.org/officeDocument/2006/relationships/header" Target="header23.xml"/><Relationship Id="rId27" Type="http://schemas.openxmlformats.org/officeDocument/2006/relationships/footer" Target="footer3.xml"/><Relationship Id="rId26" Type="http://schemas.openxmlformats.org/officeDocument/2006/relationships/header" Target="header22.xml"/><Relationship Id="rId25" Type="http://schemas.openxmlformats.org/officeDocument/2006/relationships/header" Target="header21.xml"/><Relationship Id="rId24" Type="http://schemas.openxmlformats.org/officeDocument/2006/relationships/header" Target="header20.xml"/><Relationship Id="rId23" Type="http://schemas.openxmlformats.org/officeDocument/2006/relationships/header" Target="header19.xml"/><Relationship Id="rId22" Type="http://schemas.openxmlformats.org/officeDocument/2006/relationships/header" Target="header18.xml"/><Relationship Id="rId21" Type="http://schemas.openxmlformats.org/officeDocument/2006/relationships/header" Target="header17.xml"/><Relationship Id="rId20" Type="http://schemas.openxmlformats.org/officeDocument/2006/relationships/header" Target="header16.xml"/><Relationship Id="rId2" Type="http://schemas.openxmlformats.org/officeDocument/2006/relationships/settings" Target="settings.xml"/><Relationship Id="rId19" Type="http://schemas.openxmlformats.org/officeDocument/2006/relationships/header" Target="header15.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236</Pages>
  <Words>145401</Words>
  <Characters>170676</Characters>
  <Lines>1406</Lines>
  <Paragraphs>396</Paragraphs>
  <TotalTime>13</TotalTime>
  <ScaleCrop>false</ScaleCrop>
  <LinksUpToDate>false</LinksUpToDate>
  <CharactersWithSpaces>172055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2022-08-01T11:09:00Z</dcterms:created>
  <dc:creator>flame</dc:creator>
  <cp:lastModifiedBy>小晨</cp:lastModifiedBy>
  <cp:lastPrinted>2024-02-27T01:03:00Z</cp:lastPrinted>
  <dcterms:modified xsi:type="dcterms:W3CDTF">2024-08-09T01:51:03Z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4A2574BDFAFE4BBFA5CDB36AAC0B5743_13</vt:lpwstr>
  </property>
</Properties>
</file>