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43" w:rsidRDefault="003B0827">
      <w:r>
        <w:rPr>
          <w:rFonts w:ascii="仿宋_GB2312" w:eastAsia="仿宋_GB2312" w:hint="eastAsia"/>
          <w:sz w:val="32"/>
          <w:szCs w:val="32"/>
        </w:rPr>
        <w:t>附件2：</w:t>
      </w:r>
    </w:p>
    <w:p w:rsidR="004F026F" w:rsidRDefault="003B0827">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非道路移动柴油机械排放</w:t>
      </w:r>
      <w:bookmarkStart w:id="0" w:name="_Hlk29559878"/>
      <w:r>
        <w:rPr>
          <w:rFonts w:ascii="方正小标宋_GBK" w:eastAsia="方正小标宋_GBK" w:hint="eastAsia"/>
          <w:sz w:val="44"/>
          <w:szCs w:val="44"/>
        </w:rPr>
        <w:t>检验</w:t>
      </w:r>
      <w:bookmarkEnd w:id="0"/>
    </w:p>
    <w:p w:rsidR="002A1343" w:rsidRDefault="003B0827">
      <w:pPr>
        <w:spacing w:line="600" w:lineRule="exact"/>
        <w:jc w:val="center"/>
        <w:rPr>
          <w:rFonts w:ascii="方正小标宋_GBK" w:eastAsia="方正小标宋_GBK"/>
          <w:sz w:val="44"/>
          <w:szCs w:val="44"/>
        </w:rPr>
      </w:pPr>
      <w:r>
        <w:rPr>
          <w:rFonts w:ascii="方正小标宋_GBK" w:eastAsia="方正小标宋_GBK" w:hint="eastAsia"/>
          <w:sz w:val="44"/>
          <w:szCs w:val="44"/>
        </w:rPr>
        <w:t>技术要求</w:t>
      </w:r>
      <w:r w:rsidR="004F026F">
        <w:rPr>
          <w:rFonts w:ascii="方正小标宋_GBK" w:eastAsia="方正小标宋_GBK" w:hint="eastAsia"/>
          <w:sz w:val="44"/>
          <w:szCs w:val="44"/>
        </w:rPr>
        <w:t>（试行）</w:t>
      </w:r>
    </w:p>
    <w:p w:rsidR="002A1343" w:rsidRDefault="003B0827">
      <w:pPr>
        <w:spacing w:line="580" w:lineRule="exact"/>
        <w:ind w:firstLineChars="200" w:firstLine="640"/>
        <w:rPr>
          <w:rFonts w:ascii="仿宋_GB2312" w:eastAsia="仿宋_GB2312"/>
          <w:sz w:val="32"/>
          <w:szCs w:val="32"/>
        </w:rPr>
      </w:pPr>
      <w:r>
        <w:rPr>
          <w:rFonts w:ascii="仿宋_GB2312" w:eastAsia="仿宋_GB2312" w:hint="eastAsia"/>
          <w:sz w:val="32"/>
          <w:szCs w:val="32"/>
        </w:rPr>
        <w:t>本检验规程的编制依据《非道路移动柴油机械排气烟度限值及测量方法》（GB 36886-2018）和《柴油车污染物排放限值及测量方法（自由加速法及加载减速法》（GB 3847-2018）。</w:t>
      </w:r>
    </w:p>
    <w:p w:rsidR="002A1343" w:rsidRDefault="00A95BA5">
      <w:pPr>
        <w:spacing w:line="580" w:lineRule="exact"/>
        <w:rPr>
          <w:rFonts w:ascii="黑体" w:eastAsia="黑体" w:hAnsi="黑体"/>
          <w:sz w:val="32"/>
          <w:szCs w:val="32"/>
        </w:rPr>
      </w:pPr>
      <w:r>
        <w:rPr>
          <w:rFonts w:ascii="黑体" w:eastAsia="黑体" w:hAnsi="黑体" w:hint="eastAsia"/>
          <w:sz w:val="32"/>
          <w:szCs w:val="32"/>
        </w:rPr>
        <w:t xml:space="preserve">    </w:t>
      </w:r>
      <w:r w:rsidR="003B0827">
        <w:rPr>
          <w:rFonts w:ascii="黑体" w:eastAsia="黑体" w:hAnsi="黑体" w:hint="eastAsia"/>
          <w:sz w:val="32"/>
          <w:szCs w:val="32"/>
        </w:rPr>
        <w:t>一、检验方法</w:t>
      </w:r>
    </w:p>
    <w:p w:rsidR="001204E2" w:rsidRDefault="003B0827" w:rsidP="001204E2">
      <w:pPr>
        <w:widowControl/>
        <w:spacing w:line="580" w:lineRule="exact"/>
        <w:ind w:firstLineChars="200" w:firstLine="640"/>
        <w:rPr>
          <w:rFonts w:ascii="仿宋_GB2312" w:eastAsia="仿宋_GB2312" w:hAnsi="宋体"/>
          <w:sz w:val="32"/>
          <w:szCs w:val="32"/>
        </w:rPr>
      </w:pPr>
      <w:r w:rsidRPr="00911D98">
        <w:rPr>
          <w:rFonts w:ascii="仿宋_GB2312" w:eastAsia="仿宋_GB2312" w:hAnsi="宋体" w:hint="eastAsia"/>
          <w:sz w:val="32"/>
          <w:szCs w:val="32"/>
        </w:rPr>
        <w:t>检测方法</w:t>
      </w:r>
      <w:r w:rsidR="001F19CA" w:rsidRPr="00911D98">
        <w:rPr>
          <w:rFonts w:ascii="仿宋_GB2312" w:eastAsia="仿宋_GB2312" w:hAnsi="宋体" w:hint="eastAsia"/>
          <w:sz w:val="32"/>
          <w:szCs w:val="32"/>
        </w:rPr>
        <w:t>原则上应选用</w:t>
      </w:r>
      <w:r w:rsidRPr="00911D98">
        <w:rPr>
          <w:rFonts w:ascii="仿宋_GB2312" w:eastAsia="仿宋_GB2312" w:hAnsi="宋体" w:hint="eastAsia"/>
          <w:sz w:val="32"/>
          <w:szCs w:val="32"/>
        </w:rPr>
        <w:t>自由加载法。装用</w:t>
      </w:r>
      <w:r w:rsidRPr="00911D98">
        <w:rPr>
          <w:rFonts w:ascii="仿宋_GB2312" w:eastAsia="仿宋_GB2312" w:hAnsi="宋体" w:cs="宋体" w:hint="eastAsia"/>
          <w:spacing w:val="-6"/>
          <w:sz w:val="32"/>
          <w:szCs w:val="32"/>
        </w:rPr>
        <w:t>非恒定转速下工作的柴油机的</w:t>
      </w:r>
      <w:r w:rsidRPr="00911D98">
        <w:rPr>
          <w:rFonts w:ascii="仿宋_GB2312" w:eastAsia="仿宋_GB2312" w:hAnsi="宋体" w:hint="eastAsia"/>
          <w:sz w:val="32"/>
          <w:szCs w:val="32"/>
        </w:rPr>
        <w:t>非道路移动柴油机械和车载柴油机设备在检验现场不能够完成其专用功能的一个流程时，</w:t>
      </w:r>
      <w:r w:rsidR="00911D98" w:rsidRPr="00911D98">
        <w:rPr>
          <w:rFonts w:ascii="仿宋_GB2312" w:eastAsia="仿宋_GB2312" w:hAnsi="宋体" w:hint="eastAsia"/>
          <w:sz w:val="32"/>
          <w:szCs w:val="32"/>
        </w:rPr>
        <w:t>或者</w:t>
      </w:r>
      <w:r w:rsidR="001204E2" w:rsidRPr="00911D98">
        <w:rPr>
          <w:rFonts w:ascii="仿宋_GB2312" w:eastAsia="仿宋_GB2312" w:hAnsi="宋体" w:hint="eastAsia"/>
          <w:sz w:val="32"/>
          <w:szCs w:val="32"/>
        </w:rPr>
        <w:t>非道路移动柴油机械和车载柴油机设备不具备加载负荷条件的情况下，经生态环境部门审核同意，现场检验人员可采用《柴油车污染物排放限值及测量方法（自由加速法及加载减速法）》（GB 3847-2018）规定的自由加速法进行烟度检测</w:t>
      </w:r>
      <w:r w:rsidR="00911D98" w:rsidRPr="00911D98">
        <w:rPr>
          <w:rFonts w:ascii="仿宋_GB2312" w:eastAsia="仿宋_GB2312" w:hAnsi="宋体" w:hint="eastAsia"/>
          <w:sz w:val="32"/>
          <w:szCs w:val="32"/>
        </w:rPr>
        <w:t>。</w:t>
      </w:r>
      <w:r w:rsidR="001204E2" w:rsidRPr="00911D98">
        <w:rPr>
          <w:rFonts w:ascii="仿宋_GB2312" w:eastAsia="仿宋_GB2312" w:hAnsi="宋体" w:hint="eastAsia"/>
          <w:sz w:val="32"/>
          <w:szCs w:val="32"/>
        </w:rPr>
        <w:t>装用</w:t>
      </w:r>
      <w:r w:rsidR="001204E2" w:rsidRPr="00911D98">
        <w:rPr>
          <w:rFonts w:ascii="仿宋_GB2312" w:eastAsia="仿宋_GB2312" w:hAnsi="宋体" w:cs="宋体" w:hint="eastAsia"/>
          <w:spacing w:val="-6"/>
          <w:sz w:val="32"/>
          <w:szCs w:val="32"/>
        </w:rPr>
        <w:t>恒定转速下工作的柴油机的</w:t>
      </w:r>
      <w:r w:rsidR="001204E2" w:rsidRPr="00911D98">
        <w:rPr>
          <w:rFonts w:ascii="仿宋_GB2312" w:eastAsia="仿宋_GB2312" w:hAnsi="宋体" w:hint="eastAsia"/>
          <w:sz w:val="32"/>
          <w:szCs w:val="32"/>
        </w:rPr>
        <w:t>非道路移动柴油机械和车载柴油机设备</w:t>
      </w:r>
      <w:r w:rsidR="001204E2" w:rsidRPr="00911D98">
        <w:rPr>
          <w:rFonts w:ascii="仿宋_GB2312" w:eastAsia="仿宋_GB2312" w:hAnsi="宋体" w:cs="宋体" w:hint="eastAsia"/>
          <w:spacing w:val="-5"/>
          <w:sz w:val="32"/>
          <w:szCs w:val="32"/>
        </w:rPr>
        <w:t>应采用自由加载法。</w:t>
      </w:r>
    </w:p>
    <w:p w:rsidR="002A1343" w:rsidRDefault="00E31734">
      <w:pPr>
        <w:spacing w:line="580" w:lineRule="exact"/>
        <w:rPr>
          <w:rFonts w:ascii="楷体_GB2312" w:eastAsia="楷体_GB2312" w:hAnsi="宋体"/>
          <w:sz w:val="32"/>
          <w:szCs w:val="32"/>
        </w:rPr>
      </w:pPr>
      <w:r>
        <w:rPr>
          <w:rFonts w:ascii="楷体_GB2312" w:eastAsia="楷体_GB2312" w:hAnsi="宋体" w:hint="eastAsia"/>
          <w:sz w:val="32"/>
          <w:szCs w:val="32"/>
        </w:rPr>
        <w:t xml:space="preserve">    </w:t>
      </w:r>
      <w:r w:rsidR="003B0827">
        <w:rPr>
          <w:rFonts w:ascii="楷体_GB2312" w:eastAsia="楷体_GB2312" w:hAnsi="宋体" w:hint="eastAsia"/>
          <w:sz w:val="32"/>
          <w:szCs w:val="32"/>
        </w:rPr>
        <w:t>（一）检验前准备工作</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1.开展检测前，应根据检测系统的提示，完成自检流程和进行自校准。检测用排放测试设备的工作原理、准确度应满足《柴油车污染物排放限值及测量方法（自由加速法及加载减速法）》</w:t>
      </w:r>
      <w:r w:rsidR="001F19CA">
        <w:rPr>
          <w:rFonts w:ascii="仿宋_GB2312" w:eastAsia="仿宋_GB2312" w:hAnsi="宋体" w:hint="eastAsia"/>
          <w:sz w:val="32"/>
          <w:szCs w:val="32"/>
        </w:rPr>
        <w:t>（GB 3847-2018）</w:t>
      </w:r>
      <w:r>
        <w:rPr>
          <w:rFonts w:ascii="仿宋_GB2312" w:eastAsia="仿宋_GB2312" w:hAnsi="宋体" w:hint="eastAsia"/>
          <w:sz w:val="32"/>
          <w:szCs w:val="32"/>
        </w:rPr>
        <w:t>和《压燃式发动机汽车自由加速法法排气烟度测量设备技术要求》</w:t>
      </w:r>
      <w:r w:rsidR="001F19CA">
        <w:rPr>
          <w:rFonts w:ascii="仿宋_GB2312" w:eastAsia="仿宋_GB2312" w:hAnsi="宋体" w:hint="eastAsia"/>
          <w:sz w:val="32"/>
          <w:szCs w:val="32"/>
        </w:rPr>
        <w:t>（HJ</w:t>
      </w:r>
      <w:r w:rsidR="001F19CA">
        <w:rPr>
          <w:rFonts w:ascii="仿宋_GB2312" w:hAnsi="宋体" w:hint="eastAsia"/>
          <w:sz w:val="32"/>
          <w:szCs w:val="32"/>
        </w:rPr>
        <w:t>∕</w:t>
      </w:r>
      <w:r w:rsidR="001F19CA">
        <w:rPr>
          <w:rFonts w:ascii="仿宋_GB2312" w:eastAsia="仿宋_GB2312" w:hAnsi="宋体" w:hint="eastAsia"/>
          <w:sz w:val="32"/>
          <w:szCs w:val="32"/>
        </w:rPr>
        <w:t>T 395-2007）</w:t>
      </w:r>
      <w:r>
        <w:rPr>
          <w:rFonts w:ascii="仿宋_GB2312" w:eastAsia="仿宋_GB2312" w:hAnsi="宋体" w:hint="eastAsia"/>
          <w:sz w:val="32"/>
          <w:szCs w:val="32"/>
        </w:rPr>
        <w:t>的相关要求。不透光烟度计的采样频率不应低于1Hz。</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烟度检验前，受检机械装置的柴油机应充分预热（可以通过测得机油温度或其他方法判断发动机温度是否处于正常运转温度范围内），并且机械状态良好。在机械装置连续测试过程中，应确保发动机处于正常工作的状态。</w:t>
      </w:r>
    </w:p>
    <w:p w:rsidR="002A1343" w:rsidRDefault="001F19CA">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3B0827">
        <w:rPr>
          <w:rFonts w:ascii="仿宋_GB2312" w:eastAsia="仿宋_GB2312" w:hAnsi="宋体" w:hint="eastAsia"/>
          <w:sz w:val="32"/>
          <w:szCs w:val="32"/>
        </w:rPr>
        <w:t>.在正式进行排放测量前，应采用三次自由加速过程或其他等效方法吹拂排气系统，以清扫排气系统中的残留污染物。</w:t>
      </w:r>
    </w:p>
    <w:p w:rsidR="002A1343" w:rsidRDefault="00911D98">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3B0827">
        <w:rPr>
          <w:rFonts w:ascii="仿宋_GB2312" w:eastAsia="仿宋_GB2312" w:hAnsi="宋体" w:hint="eastAsia"/>
          <w:sz w:val="32"/>
          <w:szCs w:val="32"/>
        </w:rPr>
        <w:t>.烟度检验前，应对受检机械装置进行身份确认和安全检查，以确定受检机械装置能够进行后续的检测。</w:t>
      </w:r>
    </w:p>
    <w:p w:rsidR="002A1343" w:rsidRDefault="00E31734">
      <w:pPr>
        <w:spacing w:line="580" w:lineRule="exact"/>
        <w:rPr>
          <w:rFonts w:ascii="楷体_GB2312" w:eastAsia="楷体_GB2312" w:hAnsi="宋体"/>
          <w:sz w:val="32"/>
          <w:szCs w:val="32"/>
        </w:rPr>
      </w:pPr>
      <w:r>
        <w:rPr>
          <w:rFonts w:ascii="楷体_GB2312" w:eastAsia="楷体_GB2312" w:hAnsi="宋体" w:hint="eastAsia"/>
          <w:sz w:val="32"/>
          <w:szCs w:val="32"/>
        </w:rPr>
        <w:t xml:space="preserve">    </w:t>
      </w:r>
      <w:r w:rsidR="003B0827">
        <w:rPr>
          <w:rFonts w:ascii="楷体_GB2312" w:eastAsia="楷体_GB2312" w:hAnsi="宋体" w:hint="eastAsia"/>
          <w:sz w:val="32"/>
          <w:szCs w:val="32"/>
        </w:rPr>
        <w:t>（二）自由加载不透光度烟度法</w:t>
      </w:r>
    </w:p>
    <w:p w:rsidR="002A1343" w:rsidRDefault="003B0827">
      <w:pPr>
        <w:tabs>
          <w:tab w:val="left" w:pos="72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1.通过目测进行受检机械装置排气系统相关部件泄漏检查。排气取样探头插入汽车排气管中至少400mm，如不能保证此插入深度，应使用加长管</w:t>
      </w:r>
      <w:r w:rsidR="001F19CA">
        <w:rPr>
          <w:rFonts w:ascii="仿宋_GB2312" w:eastAsia="仿宋_GB2312" w:hAnsi="宋体" w:hint="eastAsia"/>
          <w:sz w:val="32"/>
          <w:szCs w:val="32"/>
        </w:rPr>
        <w:t>。</w:t>
      </w:r>
    </w:p>
    <w:p w:rsidR="002A1343" w:rsidRDefault="003B0827">
      <w:pPr>
        <w:tabs>
          <w:tab w:val="left" w:pos="72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2.根据受检机械装置的作业用途，现场检验人员确定加载负荷的方法</w:t>
      </w:r>
      <w:r w:rsidR="001F19CA">
        <w:rPr>
          <w:rFonts w:ascii="仿宋_GB2312" w:eastAsia="仿宋_GB2312" w:hAnsi="宋体" w:hint="eastAsia"/>
          <w:sz w:val="32"/>
          <w:szCs w:val="32"/>
        </w:rPr>
        <w:t>。</w:t>
      </w:r>
    </w:p>
    <w:p w:rsidR="002A1343" w:rsidRPr="00911D98" w:rsidRDefault="003B0827">
      <w:pPr>
        <w:tabs>
          <w:tab w:val="left" w:pos="720"/>
        </w:tabs>
        <w:spacing w:line="580" w:lineRule="exact"/>
        <w:ind w:firstLineChars="200" w:firstLine="640"/>
        <w:rPr>
          <w:rFonts w:ascii="仿宋_GB2312" w:eastAsia="仿宋_GB2312" w:hAnsi="宋体"/>
          <w:sz w:val="32"/>
          <w:szCs w:val="32"/>
        </w:rPr>
      </w:pPr>
      <w:r w:rsidRPr="00911D98">
        <w:rPr>
          <w:rFonts w:ascii="仿宋_GB2312" w:eastAsia="仿宋_GB2312" w:hAnsi="宋体" w:hint="eastAsia"/>
          <w:sz w:val="32"/>
          <w:szCs w:val="32"/>
        </w:rPr>
        <w:t>3.自由加载时应负荷的加载负荷，参考</w:t>
      </w:r>
      <w:r w:rsidR="00911D98">
        <w:rPr>
          <w:rFonts w:ascii="仿宋_GB2312" w:eastAsia="仿宋_GB2312" w:hAnsi="宋体" w:hint="eastAsia"/>
          <w:sz w:val="32"/>
          <w:szCs w:val="32"/>
        </w:rPr>
        <w:t>《</w:t>
      </w:r>
      <w:r w:rsidR="00911D98" w:rsidRPr="00911D98">
        <w:rPr>
          <w:rFonts w:ascii="仿宋_GB2312" w:eastAsia="仿宋_GB2312" w:hAnsi="宋体" w:hint="eastAsia"/>
          <w:sz w:val="32"/>
          <w:szCs w:val="32"/>
        </w:rPr>
        <w:t>非道路移动机械用发动机瞬态工况下气体和颗粒排放物的试验台测量</w:t>
      </w:r>
      <w:r w:rsidR="00911D98">
        <w:rPr>
          <w:rFonts w:ascii="仿宋_GB2312" w:eastAsia="仿宋_GB2312" w:hAnsi="宋体" w:hint="eastAsia"/>
          <w:sz w:val="32"/>
          <w:szCs w:val="32"/>
        </w:rPr>
        <w:t>》（</w:t>
      </w:r>
      <w:r w:rsidRPr="00911D98">
        <w:rPr>
          <w:rFonts w:ascii="仿宋_GB2312" w:eastAsia="仿宋_GB2312" w:hAnsi="宋体" w:hint="eastAsia"/>
          <w:sz w:val="32"/>
          <w:szCs w:val="32"/>
        </w:rPr>
        <w:t>GB/T 8190.11</w:t>
      </w:r>
      <w:r w:rsidR="00911D98">
        <w:rPr>
          <w:rFonts w:ascii="仿宋_GB2312" w:eastAsia="仿宋_GB2312" w:hAnsi="宋体" w:hint="eastAsia"/>
          <w:sz w:val="32"/>
          <w:szCs w:val="32"/>
        </w:rPr>
        <w:t>-2009）</w:t>
      </w:r>
      <w:r w:rsidRPr="00911D98">
        <w:rPr>
          <w:rFonts w:ascii="仿宋_GB2312" w:eastAsia="仿宋_GB2312" w:hAnsi="宋体" w:hint="eastAsia"/>
          <w:sz w:val="32"/>
          <w:szCs w:val="32"/>
        </w:rPr>
        <w:t>和</w:t>
      </w:r>
      <w:r w:rsidR="00911D98" w:rsidRPr="00911D98">
        <w:rPr>
          <w:rFonts w:ascii="仿宋_GB2312" w:eastAsia="仿宋_GB2312" w:hAnsi="宋体" w:hint="eastAsia"/>
          <w:sz w:val="32"/>
          <w:szCs w:val="32"/>
        </w:rPr>
        <w:t>《</w:t>
      </w:r>
      <w:r w:rsidR="00911D98" w:rsidRPr="00911D98">
        <w:rPr>
          <w:rFonts w:ascii="仿宋_GB2312" w:eastAsia="仿宋_GB2312" w:hAnsi="宋体" w:hint="eastAsia"/>
          <w:bCs/>
          <w:sz w:val="32"/>
          <w:szCs w:val="32"/>
        </w:rPr>
        <w:t>非道路移动机械用柴油机排气污染物排放限值及测量方法》（</w:t>
      </w:r>
      <w:r w:rsidRPr="00911D98">
        <w:rPr>
          <w:rFonts w:ascii="仿宋_GB2312" w:eastAsia="仿宋_GB2312" w:hAnsi="宋体" w:hint="eastAsia"/>
          <w:sz w:val="32"/>
          <w:szCs w:val="32"/>
        </w:rPr>
        <w:t>GB 20891</w:t>
      </w:r>
      <w:r w:rsidR="00911D98" w:rsidRPr="00911D98">
        <w:rPr>
          <w:rFonts w:ascii="仿宋_GB2312" w:eastAsia="仿宋_GB2312" w:hAnsi="宋体" w:hint="eastAsia"/>
          <w:sz w:val="32"/>
          <w:szCs w:val="32"/>
        </w:rPr>
        <w:t>-2014）</w:t>
      </w:r>
      <w:r w:rsidRPr="00911D98">
        <w:rPr>
          <w:rFonts w:ascii="仿宋_GB2312" w:eastAsia="仿宋_GB2312" w:hAnsi="宋体" w:hint="eastAsia"/>
          <w:sz w:val="32"/>
          <w:szCs w:val="32"/>
        </w:rPr>
        <w:t>中瞬态工况法测量时各功率点的占比以及受检机械装置的载荷曲线图，建议加载负荷功率约为额定净功率的75%以上（对于额定净功率19kw以下的，建议负荷功率约为额定净功率25%以上）</w:t>
      </w:r>
      <w:r w:rsidR="001F19CA" w:rsidRPr="00911D98">
        <w:rPr>
          <w:rFonts w:ascii="仿宋_GB2312" w:eastAsia="仿宋_GB2312" w:hAnsi="宋体" w:hint="eastAsia"/>
          <w:sz w:val="32"/>
          <w:szCs w:val="32"/>
        </w:rPr>
        <w:t>。</w:t>
      </w:r>
    </w:p>
    <w:p w:rsidR="002A1343" w:rsidRDefault="003B0827">
      <w:pPr>
        <w:tabs>
          <w:tab w:val="left" w:pos="72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4.在机械装置连续正常工作过程中（例如装载机从铲土到装载完毕的全过程），测量受检机械装置的排气烟度，检</w:t>
      </w:r>
      <w:r>
        <w:rPr>
          <w:rFonts w:ascii="仿宋_GB2312" w:eastAsia="仿宋_GB2312" w:hAnsi="宋体" w:hint="eastAsia"/>
          <w:sz w:val="32"/>
          <w:szCs w:val="32"/>
        </w:rPr>
        <w:lastRenderedPageBreak/>
        <w:t>验系统记录整个机械装置连续正常工作过程中的排气光吸收系数值</w:t>
      </w:r>
      <w:r w:rsidR="001F19CA">
        <w:rPr>
          <w:rFonts w:ascii="仿宋_GB2312" w:eastAsia="仿宋_GB2312" w:hAnsi="宋体" w:hint="eastAsia"/>
          <w:sz w:val="32"/>
          <w:szCs w:val="32"/>
        </w:rPr>
        <w:t>。</w:t>
      </w:r>
    </w:p>
    <w:p w:rsidR="002A1343" w:rsidRDefault="003B0827">
      <w:pPr>
        <w:tabs>
          <w:tab w:val="left" w:pos="72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5.重复以上测量过程三次，结果取三次测量过程中不透光烟度计的最大读数值作为测量结果。</w:t>
      </w:r>
    </w:p>
    <w:p w:rsidR="002A1343" w:rsidRDefault="00E31734">
      <w:pPr>
        <w:spacing w:line="580" w:lineRule="exact"/>
        <w:rPr>
          <w:rFonts w:ascii="楷体_GB2312" w:eastAsia="楷体_GB2312" w:hAnsi="宋体"/>
          <w:sz w:val="32"/>
          <w:szCs w:val="32"/>
        </w:rPr>
      </w:pPr>
      <w:r>
        <w:rPr>
          <w:rFonts w:ascii="楷体_GB2312" w:eastAsia="楷体_GB2312" w:hAnsi="宋体" w:hint="eastAsia"/>
          <w:sz w:val="32"/>
          <w:szCs w:val="32"/>
        </w:rPr>
        <w:t xml:space="preserve">    </w:t>
      </w:r>
      <w:r w:rsidR="003B0827">
        <w:rPr>
          <w:rFonts w:ascii="楷体_GB2312" w:eastAsia="楷体_GB2312" w:hAnsi="宋体" w:hint="eastAsia"/>
          <w:sz w:val="32"/>
          <w:szCs w:val="32"/>
        </w:rPr>
        <w:t>（三）自由加速不透光烟度法</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1.通过目测进行受检机械装置排气系统相关部件泄漏检查。排气取样探头插入汽车排气管中至少400mm，如不能保证此插入深度，应使用加长管</w:t>
      </w:r>
      <w:r w:rsidR="001204E2">
        <w:rPr>
          <w:rFonts w:ascii="仿宋_GB2312" w:eastAsia="仿宋_GB2312" w:hAnsi="宋体" w:hint="eastAsia"/>
          <w:sz w:val="32"/>
          <w:szCs w:val="32"/>
        </w:rPr>
        <w:t>。</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2.发动机包括所有装有废气涡轮增压的发动机，在每个自由加速循环的起点均处于怠速状态，将油门踏板放开后至少等待10秒钟；</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在进行自由加速测量时，必须在1秒内，将油门踏板快速、连续但不粗暴地完全踩到底，使供油系统在最短时间内供给最大油量，并在该位置至少保持2秒以上然后松开油门，准备下一个自由加速循环或结束测量（采用手动或其他方式控制供油量的发动机采用类似方法操作）；</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4.对每一个自由加速测量，在松开油门踏板前，发动机必须达到额定转速。在测量过程中应监测发动机转速检查是否符合试验要求（特殊无法测得发动机转速的车辆除外），并将发动机转速数据实时记录并上报。</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 检测过程应重复进行三次自由加速过程，应记录每次自由加速过程最大值(从发动机转速达到额定转速时开始采样，到发动机转速值回落至怠速转速时结束)，应将上述三次自由加速烟度最大值的算术平均值作为测量结果。</w:t>
      </w:r>
    </w:p>
    <w:p w:rsidR="002A1343" w:rsidRDefault="003B0827">
      <w:pPr>
        <w:widowControl/>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6.发动机转速计通电启动完成后，每次检测前，应对发动机转速计进行怠速检查和发动机怠速状态的怠速转速记录。作为检测结果的发动机转速为出现自由加速测量结果最大值时发动机转速计的示值。</w:t>
      </w:r>
    </w:p>
    <w:p w:rsidR="002A1343" w:rsidRDefault="00E31734">
      <w:pPr>
        <w:widowControl/>
        <w:spacing w:line="580" w:lineRule="exact"/>
        <w:rPr>
          <w:rFonts w:ascii="黑体" w:eastAsia="黑体" w:hAnsi="黑体"/>
          <w:sz w:val="32"/>
          <w:szCs w:val="32"/>
        </w:rPr>
      </w:pPr>
      <w:r>
        <w:rPr>
          <w:rFonts w:ascii="黑体" w:eastAsia="黑体" w:hAnsi="黑体" w:hint="eastAsia"/>
          <w:sz w:val="32"/>
          <w:szCs w:val="32"/>
        </w:rPr>
        <w:t xml:space="preserve">     </w:t>
      </w:r>
      <w:r w:rsidR="003B0827">
        <w:rPr>
          <w:rFonts w:ascii="黑体" w:eastAsia="黑体" w:hAnsi="黑体" w:hint="eastAsia"/>
          <w:sz w:val="32"/>
          <w:szCs w:val="32"/>
        </w:rPr>
        <w:t>二、执行排放限值</w:t>
      </w:r>
    </w:p>
    <w:p w:rsidR="002A1343" w:rsidRDefault="003B0827">
      <w:pPr>
        <w:widowControl/>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（一）按规定进行排气烟度检验，非道路移动柴油机械和车载柴油机设备的不透光法烟度（光吸收系数）不应超过表 1 规定的限值。</w:t>
      </w:r>
    </w:p>
    <w:tbl>
      <w:tblPr>
        <w:tblStyle w:val="a9"/>
        <w:tblW w:w="6374" w:type="dxa"/>
        <w:jc w:val="center"/>
        <w:tblLayout w:type="fixed"/>
        <w:tblLook w:val="04A0"/>
      </w:tblPr>
      <w:tblGrid>
        <w:gridCol w:w="1350"/>
        <w:gridCol w:w="2473"/>
        <w:gridCol w:w="2551"/>
      </w:tblGrid>
      <w:tr w:rsidR="002A1343">
        <w:trPr>
          <w:trHeight w:val="439"/>
          <w:jc w:val="center"/>
        </w:trPr>
        <w:tc>
          <w:tcPr>
            <w:tcW w:w="1350"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类别</w:t>
            </w:r>
          </w:p>
        </w:tc>
        <w:tc>
          <w:tcPr>
            <w:tcW w:w="2473" w:type="dxa"/>
            <w:vAlign w:val="center"/>
          </w:tcPr>
          <w:p w:rsidR="002A1343" w:rsidRDefault="003B0827">
            <w:pPr>
              <w:widowControl/>
              <w:spacing w:line="600" w:lineRule="exact"/>
              <w:jc w:val="left"/>
              <w:rPr>
                <w:rFonts w:ascii="宋体" w:hAnsi="宋体"/>
                <w:szCs w:val="21"/>
              </w:rPr>
            </w:pPr>
            <w:r>
              <w:rPr>
                <w:rFonts w:ascii="宋体" w:hAnsi="宋体" w:hint="eastAsia"/>
                <w:szCs w:val="21"/>
              </w:rPr>
              <w:t>额定净功率（Pmax）（kW）</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光吸收系数（m</w:t>
            </w:r>
            <w:r>
              <w:rPr>
                <w:rFonts w:ascii="宋体" w:hAnsi="宋体" w:hint="eastAsia"/>
                <w:szCs w:val="21"/>
                <w:vertAlign w:val="superscript"/>
              </w:rPr>
              <w:t>-1</w:t>
            </w:r>
            <w:r>
              <w:rPr>
                <w:rFonts w:ascii="宋体" w:hAnsi="宋体" w:hint="eastAsia"/>
                <w:szCs w:val="21"/>
              </w:rPr>
              <w:t>）</w:t>
            </w:r>
          </w:p>
        </w:tc>
      </w:tr>
      <w:tr w:rsidR="002A1343">
        <w:trPr>
          <w:trHeight w:val="473"/>
          <w:jc w:val="center"/>
        </w:trPr>
        <w:tc>
          <w:tcPr>
            <w:tcW w:w="1350" w:type="dxa"/>
            <w:vMerge w:val="restart"/>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Ⅰ类</w:t>
            </w: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Pmax&lt;19</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3.00</w:t>
            </w:r>
          </w:p>
        </w:tc>
      </w:tr>
      <w:tr w:rsidR="002A1343">
        <w:trPr>
          <w:trHeight w:val="439"/>
          <w:jc w:val="center"/>
        </w:trPr>
        <w:tc>
          <w:tcPr>
            <w:tcW w:w="1350" w:type="dxa"/>
            <w:vMerge/>
            <w:vAlign w:val="center"/>
          </w:tcPr>
          <w:p w:rsidR="002A1343" w:rsidRDefault="002A1343">
            <w:pPr>
              <w:widowControl/>
              <w:spacing w:line="600" w:lineRule="exact"/>
              <w:ind w:firstLineChars="200" w:firstLine="420"/>
              <w:jc w:val="left"/>
              <w:rPr>
                <w:rFonts w:ascii="宋体" w:hAnsi="宋体"/>
                <w:szCs w:val="21"/>
              </w:rPr>
            </w:pP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19≤Pmax&lt;37</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2.00</w:t>
            </w:r>
          </w:p>
        </w:tc>
      </w:tr>
      <w:tr w:rsidR="002A1343">
        <w:trPr>
          <w:trHeight w:val="529"/>
          <w:jc w:val="center"/>
        </w:trPr>
        <w:tc>
          <w:tcPr>
            <w:tcW w:w="1350" w:type="dxa"/>
            <w:vMerge/>
            <w:vAlign w:val="center"/>
          </w:tcPr>
          <w:p w:rsidR="002A1343" w:rsidRDefault="002A1343">
            <w:pPr>
              <w:widowControl/>
              <w:spacing w:line="600" w:lineRule="exact"/>
              <w:ind w:firstLineChars="200" w:firstLine="420"/>
              <w:jc w:val="left"/>
              <w:rPr>
                <w:rFonts w:ascii="宋体" w:hAnsi="宋体"/>
                <w:szCs w:val="21"/>
              </w:rPr>
            </w:pP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37≤Pmax≤560</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1.61</w:t>
            </w:r>
          </w:p>
        </w:tc>
      </w:tr>
      <w:tr w:rsidR="002A1343">
        <w:trPr>
          <w:trHeight w:val="529"/>
          <w:jc w:val="center"/>
        </w:trPr>
        <w:tc>
          <w:tcPr>
            <w:tcW w:w="1350" w:type="dxa"/>
            <w:vMerge w:val="restart"/>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Ⅱ类</w:t>
            </w: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Pmax&lt;19</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2.00</w:t>
            </w:r>
          </w:p>
        </w:tc>
      </w:tr>
      <w:tr w:rsidR="002A1343">
        <w:trPr>
          <w:trHeight w:val="529"/>
          <w:jc w:val="center"/>
        </w:trPr>
        <w:tc>
          <w:tcPr>
            <w:tcW w:w="1350" w:type="dxa"/>
            <w:vMerge/>
            <w:vAlign w:val="center"/>
          </w:tcPr>
          <w:p w:rsidR="002A1343" w:rsidRDefault="002A1343">
            <w:pPr>
              <w:widowControl/>
              <w:spacing w:line="600" w:lineRule="exact"/>
              <w:ind w:firstLineChars="200" w:firstLine="420"/>
              <w:jc w:val="left"/>
              <w:rPr>
                <w:rFonts w:ascii="宋体" w:hAnsi="宋体"/>
                <w:szCs w:val="21"/>
              </w:rPr>
            </w:pP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19≤Pmax&lt;37</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1.00</w:t>
            </w:r>
          </w:p>
        </w:tc>
      </w:tr>
      <w:tr w:rsidR="002A1343">
        <w:trPr>
          <w:trHeight w:val="529"/>
          <w:jc w:val="center"/>
        </w:trPr>
        <w:tc>
          <w:tcPr>
            <w:tcW w:w="1350" w:type="dxa"/>
            <w:vMerge/>
            <w:vAlign w:val="center"/>
          </w:tcPr>
          <w:p w:rsidR="002A1343" w:rsidRDefault="002A1343">
            <w:pPr>
              <w:widowControl/>
              <w:spacing w:line="600" w:lineRule="exact"/>
              <w:ind w:firstLineChars="200" w:firstLine="420"/>
              <w:jc w:val="left"/>
              <w:rPr>
                <w:rFonts w:ascii="宋体" w:hAnsi="宋体"/>
                <w:szCs w:val="21"/>
              </w:rPr>
            </w:pP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Pmax≥37</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0.80</w:t>
            </w:r>
          </w:p>
        </w:tc>
      </w:tr>
      <w:tr w:rsidR="002A1343">
        <w:trPr>
          <w:trHeight w:val="529"/>
          <w:jc w:val="center"/>
        </w:trPr>
        <w:tc>
          <w:tcPr>
            <w:tcW w:w="1350" w:type="dxa"/>
            <w:vMerge w:val="restart"/>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Ⅲ类</w:t>
            </w: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Pmax≥37</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0.50</w:t>
            </w:r>
          </w:p>
        </w:tc>
      </w:tr>
      <w:tr w:rsidR="002A1343">
        <w:trPr>
          <w:trHeight w:val="529"/>
          <w:jc w:val="center"/>
        </w:trPr>
        <w:tc>
          <w:tcPr>
            <w:tcW w:w="1350" w:type="dxa"/>
            <w:vMerge/>
            <w:vAlign w:val="center"/>
          </w:tcPr>
          <w:p w:rsidR="002A1343" w:rsidRDefault="002A1343">
            <w:pPr>
              <w:widowControl/>
              <w:spacing w:line="600" w:lineRule="exact"/>
              <w:ind w:firstLineChars="200" w:firstLine="420"/>
              <w:jc w:val="left"/>
              <w:rPr>
                <w:rFonts w:ascii="宋体" w:hAnsi="宋体"/>
                <w:szCs w:val="21"/>
              </w:rPr>
            </w:pPr>
          </w:p>
        </w:tc>
        <w:tc>
          <w:tcPr>
            <w:tcW w:w="2473"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Pmax＜37</w:t>
            </w:r>
          </w:p>
        </w:tc>
        <w:tc>
          <w:tcPr>
            <w:tcW w:w="2551" w:type="dxa"/>
            <w:vAlign w:val="center"/>
          </w:tcPr>
          <w:p w:rsidR="002A1343" w:rsidRDefault="003B0827">
            <w:pPr>
              <w:widowControl/>
              <w:spacing w:line="600" w:lineRule="exact"/>
              <w:ind w:firstLineChars="200" w:firstLine="420"/>
              <w:jc w:val="left"/>
              <w:rPr>
                <w:rFonts w:ascii="宋体" w:hAnsi="宋体"/>
                <w:szCs w:val="21"/>
              </w:rPr>
            </w:pPr>
            <w:r>
              <w:rPr>
                <w:rFonts w:ascii="宋体" w:hAnsi="宋体" w:hint="eastAsia"/>
                <w:szCs w:val="21"/>
              </w:rPr>
              <w:t>0.80</w:t>
            </w:r>
          </w:p>
        </w:tc>
      </w:tr>
    </w:tbl>
    <w:p w:rsidR="002A1343" w:rsidRDefault="003B0827">
      <w:pPr>
        <w:widowControl/>
        <w:spacing w:line="600" w:lineRule="exact"/>
        <w:jc w:val="center"/>
        <w:rPr>
          <w:rFonts w:ascii="黑体" w:eastAsia="黑体" w:hAnsi="黑体"/>
          <w:sz w:val="24"/>
          <w:szCs w:val="24"/>
        </w:rPr>
      </w:pPr>
      <w:r>
        <w:rPr>
          <w:rFonts w:ascii="黑体" w:eastAsia="黑体" w:hAnsi="黑体" w:hint="eastAsia"/>
          <w:sz w:val="24"/>
          <w:szCs w:val="24"/>
        </w:rPr>
        <w:t>表1排气烟度限值</w:t>
      </w:r>
    </w:p>
    <w:p w:rsidR="002A1343" w:rsidRDefault="003B0827">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《非道路移动机械用柴油机排气污染物排放限值及测量方法（中国第一、二阶段）》（GB 20891-2007）第二及以前阶段排放标准的非道路柴油移动机械，执行表 1 中的Ⅰ类限值。</w:t>
      </w:r>
    </w:p>
    <w:p w:rsidR="002A1343" w:rsidRDefault="003B0827">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《非道路移动机械用柴油机排气污染物排放限值及测量方法（中国第三、四阶段）》（GB 20891-2014）第三及以后阶段排放标准的非道路柴油移动机械，执行表 1 中的Ⅱ类限值。</w:t>
      </w:r>
    </w:p>
    <w:p w:rsidR="002A1343" w:rsidRDefault="003B0827">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划定并公布禁止使用高排放非道路柴油移动机械的区域，限定区域内可选择执行表 1 中的非道路柴油移动机械烟度排放的Ⅲ类限值。</w:t>
      </w:r>
    </w:p>
    <w:p w:rsidR="00A16EEC" w:rsidRDefault="00A16EEC">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执行二类（</w:t>
      </w:r>
      <w:r w:rsidRPr="00D7384B">
        <w:rPr>
          <w:rFonts w:ascii="仿宋_GB2312" w:eastAsia="仿宋_GB2312" w:hAnsi="宋体" w:hint="eastAsia"/>
          <w:sz w:val="32"/>
          <w:szCs w:val="32"/>
        </w:rPr>
        <w:t>Pmax≥19</w:t>
      </w:r>
      <w:r w:rsidR="00D7384B" w:rsidRPr="00D7384B">
        <w:rPr>
          <w:rFonts w:ascii="仿宋_GB2312" w:eastAsia="仿宋_GB2312" w:hAnsi="宋体" w:hint="eastAsia"/>
          <w:sz w:val="32"/>
          <w:szCs w:val="32"/>
        </w:rPr>
        <w:t>kW）</w:t>
      </w:r>
      <w:r w:rsidR="00D7384B">
        <w:rPr>
          <w:rFonts w:ascii="仿宋_GB2312" w:eastAsia="仿宋_GB2312" w:hAnsi="宋体" w:hint="eastAsia"/>
          <w:sz w:val="32"/>
          <w:szCs w:val="32"/>
        </w:rPr>
        <w:t>和三类限值的非道路移动柴油机械，在正常工作过程中，目视不能有明显可见烟。</w:t>
      </w:r>
      <w:bookmarkStart w:id="1" w:name="_GoBack"/>
      <w:bookmarkEnd w:id="1"/>
    </w:p>
    <w:p w:rsidR="002A1343" w:rsidRDefault="00F51928">
      <w:pPr>
        <w:widowControl/>
        <w:spacing w:line="600" w:lineRule="exact"/>
        <w:rPr>
          <w:rFonts w:ascii="黑体" w:eastAsia="黑体" w:hAnsi="黑体"/>
          <w:sz w:val="32"/>
          <w:szCs w:val="32"/>
        </w:rPr>
      </w:pPr>
      <w:r>
        <w:rPr>
          <w:rFonts w:ascii="黑体" w:eastAsia="黑体" w:hAnsi="黑体" w:hint="eastAsia"/>
          <w:sz w:val="32"/>
          <w:szCs w:val="32"/>
        </w:rPr>
        <w:t xml:space="preserve">    </w:t>
      </w:r>
      <w:r w:rsidR="003B0827">
        <w:rPr>
          <w:rFonts w:ascii="黑体" w:eastAsia="黑体" w:hAnsi="黑体" w:hint="eastAsia"/>
          <w:sz w:val="32"/>
          <w:szCs w:val="32"/>
        </w:rPr>
        <w:t>三、检测仪器设备及标准器</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（一）检测仪器设备至少应包含：发动机转速计、不透光烟度计、控制计算机及视频拍照设备，相关设备工作原理应满足GB3847要求。</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（二）期间核查（或自校）标准器至少应包含：进行期间核查（或自校）用标准中性滤光片（</w:t>
      </w:r>
      <w:r>
        <w:rPr>
          <w:rFonts w:ascii="仿宋_GB2312" w:eastAsia="仿宋_GB2312" w:hAnsi="宋体"/>
          <w:sz w:val="32"/>
          <w:szCs w:val="32"/>
        </w:rPr>
        <w:t>30%、50%</w:t>
      </w:r>
      <w:r>
        <w:rPr>
          <w:rFonts w:ascii="仿宋_GB2312" w:eastAsia="仿宋_GB2312" w:hAnsi="宋体" w:hint="eastAsia"/>
          <w:sz w:val="32"/>
          <w:szCs w:val="32"/>
        </w:rPr>
        <w:t>、</w:t>
      </w:r>
      <w:r>
        <w:rPr>
          <w:rFonts w:ascii="仿宋_GB2312" w:eastAsia="仿宋_GB2312" w:hAnsi="宋体"/>
          <w:sz w:val="32"/>
          <w:szCs w:val="32"/>
        </w:rPr>
        <w:t>70%、90%）</w:t>
      </w:r>
      <w:r>
        <w:rPr>
          <w:rFonts w:ascii="仿宋_GB2312" w:eastAsia="仿宋_GB2312" w:hAnsi="宋体" w:hint="eastAsia"/>
          <w:sz w:val="32"/>
          <w:szCs w:val="32"/>
        </w:rPr>
        <w:t>。</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（三）设备检定和自检：</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检验设备应取得相应溯源证书，有检定规程的设备应取得检定证书，有校准规范的应取得校准证书，以保证其检验结果和数据的准确性、可靠性。</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不透光烟度计：JJG976 透射式烟度计检定规程；</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发动机转速计：JJG676 工作测振仪、JJF1375 机动车发动机转速测量仪；</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标准中性滤光片：JJG976-2016 透射式烟度计、JJG1034-2008 光谱光度计标准滤光器。</w:t>
      </w:r>
    </w:p>
    <w:p w:rsidR="002A1343" w:rsidRDefault="003B0827">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检验设备的自检流程应按照GB 3847-2018 《柴油车污染物排放限值及测量方法（自由加速法及加载减速法）》和HJ∕T 395-2007 《压燃式发动机汽车自由加速法法排气烟度测量设备技术要求》的相关要求执行。</w:t>
      </w:r>
    </w:p>
    <w:p w:rsidR="002A1343" w:rsidRDefault="003B0827">
      <w:pPr>
        <w:spacing w:line="600" w:lineRule="exact"/>
        <w:ind w:firstLineChars="200" w:firstLine="620"/>
        <w:rPr>
          <w:rFonts w:ascii="黑体" w:eastAsia="黑体" w:hAnsi="黑体" w:cs="宋体"/>
          <w:spacing w:val="-5"/>
          <w:sz w:val="32"/>
          <w:szCs w:val="32"/>
        </w:rPr>
      </w:pPr>
      <w:r>
        <w:rPr>
          <w:rFonts w:ascii="黑体" w:eastAsia="黑体" w:hAnsi="黑体" w:cs="宋体" w:hint="eastAsia"/>
          <w:spacing w:val="-5"/>
          <w:sz w:val="32"/>
          <w:szCs w:val="32"/>
        </w:rPr>
        <w:t>四、注意事项</w:t>
      </w:r>
    </w:p>
    <w:p w:rsidR="002A1343" w:rsidRDefault="003B0827">
      <w:pPr>
        <w:spacing w:line="600" w:lineRule="exact"/>
        <w:ind w:firstLineChars="200" w:firstLine="620"/>
        <w:rPr>
          <w:rFonts w:ascii="仿宋_GB2312" w:eastAsia="仿宋_GB2312" w:hAnsi="宋体" w:cs="宋体"/>
          <w:spacing w:val="-5"/>
          <w:sz w:val="32"/>
          <w:szCs w:val="32"/>
        </w:rPr>
      </w:pPr>
      <w:r>
        <w:rPr>
          <w:rFonts w:ascii="仿宋_GB2312" w:eastAsia="仿宋_GB2312" w:hAnsi="宋体" w:cs="宋体" w:hint="eastAsia"/>
          <w:spacing w:val="-5"/>
          <w:sz w:val="32"/>
          <w:szCs w:val="32"/>
        </w:rPr>
        <w:t>（一）检验前，检验机构的检测设备需与设区的市级生态环境局监控平台联网建立通信，检验过程并受控于系统软件，检验过程数据能实时传输至设区的市级生态环境部门的监控平台。</w:t>
      </w:r>
    </w:p>
    <w:p w:rsidR="002A1343" w:rsidRDefault="003B0827">
      <w:pPr>
        <w:spacing w:line="600" w:lineRule="exact"/>
        <w:ind w:firstLineChars="200" w:firstLine="620"/>
        <w:rPr>
          <w:rFonts w:ascii="仿宋_GB2312" w:eastAsia="仿宋_GB2312" w:hAnsi="宋体" w:cs="宋体"/>
          <w:spacing w:val="-5"/>
          <w:sz w:val="32"/>
          <w:szCs w:val="32"/>
        </w:rPr>
      </w:pPr>
      <w:r>
        <w:rPr>
          <w:rFonts w:ascii="仿宋_GB2312" w:eastAsia="仿宋_GB2312" w:hAnsi="宋体" w:cs="宋体" w:hint="eastAsia"/>
          <w:spacing w:val="-5"/>
          <w:sz w:val="32"/>
          <w:szCs w:val="32"/>
        </w:rPr>
        <w:t>（二）在某些受检机械装置上，在现场排放检测时，接近受检机械装置的排气系统可能受到限制（如装有火花熄灭器或类似物品），因而不能按照推荐方式接近和直接测量排气管出口来安装取样探头，在这种情况下，如果检测现场允许，应拆除使取样受限制的装置，如现场条件不满足也可以采用加长管的方式。</w:t>
      </w:r>
    </w:p>
    <w:p w:rsidR="002A1343" w:rsidRDefault="003B0827">
      <w:pPr>
        <w:spacing w:line="600" w:lineRule="exact"/>
        <w:ind w:firstLineChars="200" w:firstLine="620"/>
        <w:rPr>
          <w:rFonts w:ascii="仿宋_GB2312" w:eastAsia="仿宋_GB2312" w:hAnsi="宋体" w:cs="宋体"/>
          <w:spacing w:val="-5"/>
          <w:sz w:val="32"/>
          <w:szCs w:val="32"/>
        </w:rPr>
      </w:pPr>
      <w:r>
        <w:rPr>
          <w:rFonts w:ascii="仿宋_GB2312" w:eastAsia="仿宋_GB2312" w:hAnsi="宋体" w:cs="宋体" w:hint="eastAsia"/>
          <w:spacing w:val="-5"/>
          <w:sz w:val="32"/>
          <w:szCs w:val="32"/>
        </w:rPr>
        <w:t>（三）当采样探头无法插入排气管中或排气管路长度不够400mm时，需要接入加长管，把尾气正确引出，排气管和加长管的联接应可靠的密封，且允许取样探头能插入400 mm。应注意加长管的长度不得影响烟度值得变化或引起过长时间的测量值延迟。</w:t>
      </w:r>
    </w:p>
    <w:p w:rsidR="002A1343" w:rsidRDefault="003B0827">
      <w:pPr>
        <w:spacing w:line="600" w:lineRule="exact"/>
        <w:ind w:firstLineChars="200" w:firstLine="620"/>
        <w:rPr>
          <w:rFonts w:ascii="仿宋_GB2312" w:eastAsia="仿宋_GB2312" w:hAnsi="宋体" w:cs="宋体"/>
          <w:spacing w:val="-5"/>
          <w:sz w:val="32"/>
          <w:szCs w:val="32"/>
        </w:rPr>
      </w:pPr>
      <w:r>
        <w:rPr>
          <w:rFonts w:ascii="仿宋_GB2312" w:eastAsia="仿宋_GB2312" w:hAnsi="宋体" w:cs="宋体" w:hint="eastAsia"/>
          <w:spacing w:val="-5"/>
          <w:sz w:val="32"/>
          <w:szCs w:val="32"/>
        </w:rPr>
        <w:t>（四）当受检机械装置的排气管直径大于10cm时，需采</w:t>
      </w:r>
      <w:r>
        <w:rPr>
          <w:rFonts w:ascii="仿宋_GB2312" w:eastAsia="仿宋_GB2312" w:hAnsi="宋体" w:cs="宋体" w:hint="eastAsia"/>
          <w:spacing w:val="-5"/>
          <w:sz w:val="32"/>
          <w:szCs w:val="32"/>
        </w:rPr>
        <w:lastRenderedPageBreak/>
        <w:t>用变径管插入原机械装置的排气管中，把尾气正确引出，排气管和加长管的联接应可靠的密封，且允许取样探头能插入400 mm。</w:t>
      </w:r>
    </w:p>
    <w:p w:rsidR="002A1343" w:rsidRDefault="003B0827">
      <w:pPr>
        <w:spacing w:line="600" w:lineRule="exact"/>
        <w:ind w:firstLineChars="200" w:firstLine="620"/>
        <w:rPr>
          <w:rFonts w:ascii="仿宋_GB2312" w:eastAsia="仿宋_GB2312" w:hAnsi="宋体" w:cs="宋体"/>
          <w:spacing w:val="-5"/>
          <w:sz w:val="32"/>
          <w:szCs w:val="32"/>
        </w:rPr>
      </w:pPr>
      <w:r>
        <w:rPr>
          <w:rFonts w:ascii="仿宋_GB2312" w:eastAsia="仿宋_GB2312" w:hAnsi="宋体" w:cs="宋体" w:hint="eastAsia"/>
          <w:spacing w:val="-5"/>
          <w:sz w:val="32"/>
          <w:szCs w:val="32"/>
        </w:rPr>
        <w:t>（五）取样探头应使用符合不透光烟度计使用说明书要求的规格。加长管或变径管的长度不得超过30倍加长管或变径管出口处的横截面内直径。</w:t>
      </w:r>
    </w:p>
    <w:p w:rsidR="002A1343" w:rsidRDefault="003B0827">
      <w:pPr>
        <w:spacing w:line="600" w:lineRule="exact"/>
        <w:ind w:firstLineChars="200" w:firstLine="620"/>
        <w:rPr>
          <w:rFonts w:ascii="宋体" w:hAnsi="宋体" w:cs="宋体"/>
          <w:spacing w:val="-5"/>
          <w:sz w:val="28"/>
          <w:szCs w:val="28"/>
        </w:rPr>
      </w:pPr>
      <w:r>
        <w:rPr>
          <w:rFonts w:ascii="仿宋_GB2312" w:eastAsia="仿宋_GB2312" w:hAnsi="宋体" w:cs="宋体" w:hint="eastAsia"/>
          <w:spacing w:val="-5"/>
          <w:sz w:val="32"/>
          <w:szCs w:val="32"/>
        </w:rPr>
        <w:t>（六）取样管的长度不得超过3.5m，取样管的材料（一般为304不锈钢波纹管）和内径（一般为8mm）应与不透光烟度计的原厂取样管材料和内径相同，其内壁表面工艺处理方式也应与原厂取样管一致。</w:t>
      </w:r>
    </w:p>
    <w:sectPr w:rsidR="002A1343" w:rsidSect="00524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865" w:rsidRDefault="003A1865" w:rsidP="00A95BA5">
      <w:r>
        <w:separator/>
      </w:r>
    </w:p>
  </w:endnote>
  <w:endnote w:type="continuationSeparator" w:id="1">
    <w:p w:rsidR="003A1865" w:rsidRDefault="003A1865" w:rsidP="00A9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865" w:rsidRDefault="003A1865" w:rsidP="00A95BA5">
      <w:r>
        <w:separator/>
      </w:r>
    </w:p>
  </w:footnote>
  <w:footnote w:type="continuationSeparator" w:id="1">
    <w:p w:rsidR="003A1865" w:rsidRDefault="003A1865" w:rsidP="00A95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6068"/>
    <w:rsid w:val="000279CD"/>
    <w:rsid w:val="0006776E"/>
    <w:rsid w:val="000C5C90"/>
    <w:rsid w:val="000E665C"/>
    <w:rsid w:val="001204E2"/>
    <w:rsid w:val="0014581D"/>
    <w:rsid w:val="001575E4"/>
    <w:rsid w:val="001725D2"/>
    <w:rsid w:val="00173134"/>
    <w:rsid w:val="00186BF5"/>
    <w:rsid w:val="001F19CA"/>
    <w:rsid w:val="00207586"/>
    <w:rsid w:val="0021183D"/>
    <w:rsid w:val="00282508"/>
    <w:rsid w:val="002A1343"/>
    <w:rsid w:val="003A1865"/>
    <w:rsid w:val="003B0827"/>
    <w:rsid w:val="003C17BA"/>
    <w:rsid w:val="003C5CAF"/>
    <w:rsid w:val="003D61F2"/>
    <w:rsid w:val="003F780D"/>
    <w:rsid w:val="00426EC3"/>
    <w:rsid w:val="004629F8"/>
    <w:rsid w:val="004651AF"/>
    <w:rsid w:val="0048337B"/>
    <w:rsid w:val="004D4785"/>
    <w:rsid w:val="004F026F"/>
    <w:rsid w:val="00524E98"/>
    <w:rsid w:val="00531F8B"/>
    <w:rsid w:val="00567552"/>
    <w:rsid w:val="00594963"/>
    <w:rsid w:val="0059703C"/>
    <w:rsid w:val="005A1FB9"/>
    <w:rsid w:val="005A3C69"/>
    <w:rsid w:val="005A7342"/>
    <w:rsid w:val="005E7C9A"/>
    <w:rsid w:val="0060196D"/>
    <w:rsid w:val="00604033"/>
    <w:rsid w:val="00646FBE"/>
    <w:rsid w:val="00682107"/>
    <w:rsid w:val="0069014C"/>
    <w:rsid w:val="006A549F"/>
    <w:rsid w:val="006D0B17"/>
    <w:rsid w:val="006F0E82"/>
    <w:rsid w:val="006F3D95"/>
    <w:rsid w:val="00704251"/>
    <w:rsid w:val="00733136"/>
    <w:rsid w:val="007337EF"/>
    <w:rsid w:val="00753E6A"/>
    <w:rsid w:val="00785ED5"/>
    <w:rsid w:val="007F5334"/>
    <w:rsid w:val="008231F9"/>
    <w:rsid w:val="008263E1"/>
    <w:rsid w:val="00840D7B"/>
    <w:rsid w:val="00843742"/>
    <w:rsid w:val="00867302"/>
    <w:rsid w:val="00873526"/>
    <w:rsid w:val="008A47A1"/>
    <w:rsid w:val="008B5956"/>
    <w:rsid w:val="008D0790"/>
    <w:rsid w:val="00911D98"/>
    <w:rsid w:val="009439C9"/>
    <w:rsid w:val="0095049B"/>
    <w:rsid w:val="009550ED"/>
    <w:rsid w:val="009F1AF3"/>
    <w:rsid w:val="00A16EEC"/>
    <w:rsid w:val="00A3270C"/>
    <w:rsid w:val="00A61BB2"/>
    <w:rsid w:val="00A95BA5"/>
    <w:rsid w:val="00AB71D9"/>
    <w:rsid w:val="00AC06A5"/>
    <w:rsid w:val="00B51BB2"/>
    <w:rsid w:val="00BB4748"/>
    <w:rsid w:val="00BC6EC3"/>
    <w:rsid w:val="00C414BD"/>
    <w:rsid w:val="00C71AB9"/>
    <w:rsid w:val="00C7308B"/>
    <w:rsid w:val="00D11593"/>
    <w:rsid w:val="00D14847"/>
    <w:rsid w:val="00D26068"/>
    <w:rsid w:val="00D653E0"/>
    <w:rsid w:val="00D7384B"/>
    <w:rsid w:val="00D90C17"/>
    <w:rsid w:val="00DB2E0A"/>
    <w:rsid w:val="00E10BA7"/>
    <w:rsid w:val="00E31734"/>
    <w:rsid w:val="00E82D96"/>
    <w:rsid w:val="00E91AE2"/>
    <w:rsid w:val="00F10D07"/>
    <w:rsid w:val="00F213C1"/>
    <w:rsid w:val="00F213F7"/>
    <w:rsid w:val="00F43B3D"/>
    <w:rsid w:val="00F51928"/>
    <w:rsid w:val="00F5495C"/>
    <w:rsid w:val="00F62102"/>
    <w:rsid w:val="00F9031B"/>
    <w:rsid w:val="00F9468A"/>
    <w:rsid w:val="00FA022B"/>
    <w:rsid w:val="00FC1FAD"/>
    <w:rsid w:val="00FC508F"/>
    <w:rsid w:val="00FD3AF4"/>
    <w:rsid w:val="00FF652E"/>
    <w:rsid w:val="74BE41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98"/>
    <w:pPr>
      <w:widowControl w:val="0"/>
      <w:jc w:val="both"/>
    </w:pPr>
    <w:rPr>
      <w:rFonts w:ascii="Calibri" w:hAnsi="Calibri" w:cs="黑体"/>
      <w:kern w:val="2"/>
      <w:sz w:val="21"/>
      <w:szCs w:val="22"/>
    </w:rPr>
  </w:style>
  <w:style w:type="paragraph" w:styleId="1">
    <w:name w:val="heading 1"/>
    <w:basedOn w:val="a"/>
    <w:next w:val="a"/>
    <w:link w:val="1Char"/>
    <w:uiPriority w:val="9"/>
    <w:qFormat/>
    <w:rsid w:val="00911D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24E98"/>
    <w:rPr>
      <w:b/>
      <w:bCs/>
    </w:rPr>
  </w:style>
  <w:style w:type="paragraph" w:styleId="a4">
    <w:name w:val="annotation text"/>
    <w:basedOn w:val="a"/>
    <w:link w:val="Char0"/>
    <w:uiPriority w:val="99"/>
    <w:unhideWhenUsed/>
    <w:rsid w:val="00524E98"/>
    <w:pPr>
      <w:jc w:val="left"/>
    </w:pPr>
  </w:style>
  <w:style w:type="paragraph" w:styleId="a5">
    <w:name w:val="Balloon Text"/>
    <w:basedOn w:val="a"/>
    <w:link w:val="Char1"/>
    <w:uiPriority w:val="99"/>
    <w:unhideWhenUsed/>
    <w:rsid w:val="00524E98"/>
    <w:rPr>
      <w:sz w:val="18"/>
      <w:szCs w:val="18"/>
    </w:rPr>
  </w:style>
  <w:style w:type="paragraph" w:styleId="a6">
    <w:name w:val="footer"/>
    <w:basedOn w:val="a"/>
    <w:link w:val="Char2"/>
    <w:uiPriority w:val="99"/>
    <w:unhideWhenUsed/>
    <w:rsid w:val="00524E98"/>
    <w:pPr>
      <w:tabs>
        <w:tab w:val="center" w:pos="4153"/>
        <w:tab w:val="right" w:pos="8306"/>
      </w:tabs>
      <w:snapToGrid w:val="0"/>
      <w:jc w:val="left"/>
    </w:pPr>
    <w:rPr>
      <w:sz w:val="18"/>
      <w:szCs w:val="18"/>
    </w:rPr>
  </w:style>
  <w:style w:type="paragraph" w:styleId="a7">
    <w:name w:val="header"/>
    <w:basedOn w:val="a"/>
    <w:link w:val="Char3"/>
    <w:uiPriority w:val="99"/>
    <w:unhideWhenUsed/>
    <w:rsid w:val="00524E98"/>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524E98"/>
    <w:rPr>
      <w:sz w:val="21"/>
      <w:szCs w:val="21"/>
    </w:rPr>
  </w:style>
  <w:style w:type="table" w:styleId="a9">
    <w:name w:val="Table Grid"/>
    <w:basedOn w:val="a1"/>
    <w:rsid w:val="00524E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rsid w:val="00524E98"/>
    <w:pPr>
      <w:ind w:firstLineChars="200" w:firstLine="420"/>
    </w:pPr>
  </w:style>
  <w:style w:type="paragraph" w:customStyle="1" w:styleId="aa">
    <w:name w:val="正文表标题"/>
    <w:next w:val="a"/>
    <w:rsid w:val="00524E98"/>
    <w:pPr>
      <w:jc w:val="center"/>
    </w:pPr>
    <w:rPr>
      <w:rFonts w:ascii="黑体" w:eastAsia="黑体" w:hAnsi="黑体" w:cs="黑体"/>
      <w:color w:val="000000"/>
      <w:sz w:val="21"/>
      <w:szCs w:val="21"/>
    </w:rPr>
  </w:style>
  <w:style w:type="character" w:customStyle="1" w:styleId="Char3">
    <w:name w:val="页眉 Char"/>
    <w:basedOn w:val="a0"/>
    <w:link w:val="a7"/>
    <w:uiPriority w:val="99"/>
    <w:rsid w:val="00524E98"/>
    <w:rPr>
      <w:sz w:val="18"/>
      <w:szCs w:val="18"/>
    </w:rPr>
  </w:style>
  <w:style w:type="character" w:customStyle="1" w:styleId="Char2">
    <w:name w:val="页脚 Char"/>
    <w:basedOn w:val="a0"/>
    <w:link w:val="a6"/>
    <w:uiPriority w:val="99"/>
    <w:rsid w:val="00524E98"/>
    <w:rPr>
      <w:sz w:val="18"/>
      <w:szCs w:val="18"/>
    </w:rPr>
  </w:style>
  <w:style w:type="character" w:customStyle="1" w:styleId="Char0">
    <w:name w:val="批注文字 Char"/>
    <w:basedOn w:val="a0"/>
    <w:link w:val="a4"/>
    <w:uiPriority w:val="99"/>
    <w:semiHidden/>
    <w:rsid w:val="00524E98"/>
  </w:style>
  <w:style w:type="character" w:customStyle="1" w:styleId="Char">
    <w:name w:val="批注主题 Char"/>
    <w:basedOn w:val="Char0"/>
    <w:link w:val="a3"/>
    <w:uiPriority w:val="99"/>
    <w:semiHidden/>
    <w:rsid w:val="00524E98"/>
    <w:rPr>
      <w:b/>
      <w:bCs/>
    </w:rPr>
  </w:style>
  <w:style w:type="character" w:customStyle="1" w:styleId="Char1">
    <w:name w:val="批注框文本 Char"/>
    <w:basedOn w:val="a0"/>
    <w:link w:val="a5"/>
    <w:uiPriority w:val="99"/>
    <w:semiHidden/>
    <w:rsid w:val="00524E98"/>
    <w:rPr>
      <w:sz w:val="18"/>
      <w:szCs w:val="18"/>
    </w:rPr>
  </w:style>
  <w:style w:type="character" w:customStyle="1" w:styleId="1Char">
    <w:name w:val="标题 1 Char"/>
    <w:basedOn w:val="a0"/>
    <w:link w:val="1"/>
    <w:uiPriority w:val="9"/>
    <w:rsid w:val="00911D98"/>
    <w:rPr>
      <w:rFonts w:ascii="Calibri"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865172736">
      <w:bodyDiv w:val="1"/>
      <w:marLeft w:val="0"/>
      <w:marRight w:val="0"/>
      <w:marTop w:val="0"/>
      <w:marBottom w:val="0"/>
      <w:divBdr>
        <w:top w:val="none" w:sz="0" w:space="0" w:color="auto"/>
        <w:left w:val="none" w:sz="0" w:space="0" w:color="auto"/>
        <w:bottom w:val="none" w:sz="0" w:space="0" w:color="auto"/>
        <w:right w:val="none" w:sz="0" w:space="0" w:color="auto"/>
      </w:divBdr>
    </w:div>
    <w:div w:id="212791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7</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sunny</dc:creator>
  <cp:lastModifiedBy>232</cp:lastModifiedBy>
  <cp:revision>10</cp:revision>
  <cp:lastPrinted>2020-04-27T02:14:00Z</cp:lastPrinted>
  <dcterms:created xsi:type="dcterms:W3CDTF">2020-01-10T06:47:00Z</dcterms:created>
  <dcterms:modified xsi:type="dcterms:W3CDTF">2020-04-27T02:19:00Z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